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4A" w:rsidRDefault="001E2480" w:rsidP="00C65A4A">
      <w:pPr>
        <w:pStyle w:val="Heading1"/>
      </w:pPr>
      <w:r>
        <w:t xml:space="preserve">appendix a:  </w:t>
      </w:r>
      <w:r w:rsidR="000D4AC8">
        <w:t xml:space="preserve">CONCEPTS UNDERLYING </w:t>
      </w:r>
      <w:r w:rsidR="00C65A4A">
        <w:t>201</w:t>
      </w:r>
      <w:r w:rsidR="000D4AC8">
        <w:t>3</w:t>
      </w:r>
      <w:r w:rsidR="00C65A4A">
        <w:t>-1</w:t>
      </w:r>
      <w:r w:rsidR="000D4AC8">
        <w:t>4</w:t>
      </w:r>
      <w:r w:rsidR="00C65A4A">
        <w:t xml:space="preserve"> BUDGET AND FORWARD ESTIMATES</w:t>
      </w:r>
    </w:p>
    <w:p w:rsidR="00C65A4A" w:rsidRDefault="00C65A4A" w:rsidP="00C65A4A">
      <w:pPr>
        <w:pStyle w:val="BodyText"/>
      </w:pPr>
      <w:r>
        <w:t>There are a number of important concepts used in the preparation of the 201</w:t>
      </w:r>
      <w:r w:rsidR="000142CD">
        <w:t>3</w:t>
      </w:r>
      <w:r>
        <w:noBreakHyphen/>
        <w:t>1</w:t>
      </w:r>
      <w:r w:rsidR="000142CD">
        <w:t>4</w:t>
      </w:r>
      <w:r>
        <w:t> Budget Papers.  This appendix provides detail to help understand these concepts.</w:t>
      </w:r>
    </w:p>
    <w:p w:rsidR="00C65A4A" w:rsidRDefault="00C65A4A" w:rsidP="00C65A4A">
      <w:pPr>
        <w:pStyle w:val="Heading3"/>
        <w:keepNext w:val="0"/>
      </w:pPr>
      <w:r>
        <w:t>Administrative Arrangements</w:t>
      </w:r>
    </w:p>
    <w:p w:rsidR="00C65A4A" w:rsidRDefault="00C65A4A" w:rsidP="00C65A4A">
      <w:pPr>
        <w:pStyle w:val="BodyText"/>
      </w:pPr>
      <w:r>
        <w:t>The 201</w:t>
      </w:r>
      <w:r w:rsidR="000142CD">
        <w:t>3</w:t>
      </w:r>
      <w:r>
        <w:t>-1</w:t>
      </w:r>
      <w:r w:rsidR="000142CD">
        <w:t>4</w:t>
      </w:r>
      <w:r>
        <w:t xml:space="preserve"> Budget reflects a number of key administrative changes that have occurred since the release of the last Budget.</w:t>
      </w:r>
    </w:p>
    <w:p w:rsidR="00C65A4A" w:rsidRDefault="00C65A4A" w:rsidP="001E2480">
      <w:pPr>
        <w:pStyle w:val="Sub-Heading"/>
        <w:keepNext w:val="0"/>
        <w:spacing w:after="60"/>
      </w:pPr>
      <w:r>
        <w:t>Ministerial Portfolios</w:t>
      </w:r>
    </w:p>
    <w:p w:rsidR="00C65A4A" w:rsidRPr="00AF1EAA" w:rsidRDefault="00C65A4A" w:rsidP="001E2480">
      <w:pPr>
        <w:pStyle w:val="Sub-Heading"/>
        <w:spacing w:before="120"/>
        <w:jc w:val="both"/>
        <w:rPr>
          <w:rFonts w:ascii="Calibri" w:hAnsi="Calibri" w:cs="Calibri"/>
          <w:b/>
          <w:bCs/>
          <w:szCs w:val="24"/>
        </w:rPr>
      </w:pPr>
      <w:r>
        <w:rPr>
          <w:rFonts w:ascii="Calibri" w:hAnsi="Calibri" w:cs="Calibri"/>
          <w:i w:val="0"/>
          <w:szCs w:val="24"/>
        </w:rPr>
        <w:t>Information</w:t>
      </w:r>
      <w:r w:rsidRPr="001B2EB4">
        <w:rPr>
          <w:rFonts w:ascii="Calibri" w:hAnsi="Calibri" w:cs="Calibri"/>
          <w:i w:val="0"/>
          <w:szCs w:val="24"/>
        </w:rPr>
        <w:t xml:space="preserve"> presented in the 201</w:t>
      </w:r>
      <w:r w:rsidR="000142CD">
        <w:rPr>
          <w:rFonts w:ascii="Calibri" w:hAnsi="Calibri" w:cs="Calibri"/>
          <w:i w:val="0"/>
          <w:szCs w:val="24"/>
        </w:rPr>
        <w:t>3</w:t>
      </w:r>
      <w:r w:rsidRPr="001B2EB4">
        <w:rPr>
          <w:rFonts w:ascii="Calibri" w:hAnsi="Calibri" w:cs="Calibri"/>
          <w:i w:val="0"/>
          <w:szCs w:val="24"/>
        </w:rPr>
        <w:t>-1</w:t>
      </w:r>
      <w:r w:rsidR="000142CD">
        <w:rPr>
          <w:rFonts w:ascii="Calibri" w:hAnsi="Calibri" w:cs="Calibri"/>
          <w:i w:val="0"/>
          <w:szCs w:val="24"/>
        </w:rPr>
        <w:t>4</w:t>
      </w:r>
      <w:r w:rsidRPr="001B2EB4">
        <w:rPr>
          <w:rFonts w:ascii="Calibri" w:hAnsi="Calibri" w:cs="Calibri"/>
          <w:i w:val="0"/>
          <w:szCs w:val="24"/>
        </w:rPr>
        <w:t xml:space="preserve"> Budget Papers reflect the current composition of the </w:t>
      </w:r>
      <w:r w:rsidRPr="002B15C8">
        <w:rPr>
          <w:rFonts w:ascii="Calibri" w:hAnsi="Calibri" w:cs="Calibri"/>
          <w:bCs/>
          <w:szCs w:val="24"/>
        </w:rPr>
        <w:t>Admin</w:t>
      </w:r>
      <w:r>
        <w:rPr>
          <w:rFonts w:ascii="Calibri" w:hAnsi="Calibri" w:cs="Calibri"/>
          <w:bCs/>
          <w:szCs w:val="24"/>
        </w:rPr>
        <w:t xml:space="preserve">istrative Arrangements </w:t>
      </w:r>
      <w:r w:rsidR="008527AC">
        <w:rPr>
          <w:rFonts w:ascii="Calibri" w:hAnsi="Calibri" w:cs="Calibri"/>
          <w:bCs/>
          <w:szCs w:val="24"/>
        </w:rPr>
        <w:t>2012 (</w:t>
      </w:r>
      <w:r w:rsidR="00FE4498">
        <w:rPr>
          <w:rFonts w:ascii="Calibri" w:hAnsi="Calibri" w:cs="Calibri"/>
          <w:bCs/>
          <w:szCs w:val="24"/>
        </w:rPr>
        <w:t>No</w:t>
      </w:r>
      <w:r w:rsidR="008527AC">
        <w:rPr>
          <w:rFonts w:ascii="Calibri" w:hAnsi="Calibri" w:cs="Calibri"/>
          <w:bCs/>
          <w:szCs w:val="24"/>
        </w:rPr>
        <w:t xml:space="preserve"> 2)</w:t>
      </w:r>
      <w:r w:rsidRPr="002B15C8">
        <w:rPr>
          <w:rFonts w:ascii="Calibri" w:hAnsi="Calibri" w:cs="Calibri"/>
          <w:bCs/>
          <w:i w:val="0"/>
          <w:szCs w:val="24"/>
        </w:rPr>
        <w:t xml:space="preserve">, which </w:t>
      </w:r>
      <w:r>
        <w:rPr>
          <w:rFonts w:ascii="Calibri" w:hAnsi="Calibri" w:cs="Calibri"/>
          <w:bCs/>
          <w:i w:val="0"/>
          <w:szCs w:val="24"/>
        </w:rPr>
        <w:t xml:space="preserve">came into effect on </w:t>
      </w:r>
      <w:r w:rsidR="008527AC">
        <w:rPr>
          <w:rFonts w:ascii="Calibri" w:hAnsi="Calibri" w:cs="Calibri"/>
          <w:bCs/>
          <w:i w:val="0"/>
          <w:szCs w:val="24"/>
        </w:rPr>
        <w:t>10 November 2012</w:t>
      </w:r>
      <w:r w:rsidRPr="001B2EB4">
        <w:rPr>
          <w:rFonts w:ascii="Calibri" w:hAnsi="Calibri" w:cs="Calibri"/>
          <w:i w:val="0"/>
          <w:szCs w:val="24"/>
        </w:rPr>
        <w:t xml:space="preserve">. </w:t>
      </w:r>
      <w:r w:rsidRPr="00BD3704">
        <w:rPr>
          <w:rFonts w:ascii="Calibri" w:hAnsi="Calibri" w:cs="Calibri"/>
          <w:i w:val="0"/>
          <w:szCs w:val="24"/>
        </w:rPr>
        <w:t xml:space="preserve"> </w:t>
      </w:r>
      <w:r w:rsidRPr="001B2EB4">
        <w:rPr>
          <w:rFonts w:ascii="Calibri" w:hAnsi="Calibri" w:cs="Calibri"/>
          <w:i w:val="0"/>
          <w:szCs w:val="24"/>
        </w:rPr>
        <w:t>The</w:t>
      </w:r>
      <w:r>
        <w:rPr>
          <w:rFonts w:ascii="Calibri" w:hAnsi="Calibri" w:cs="Calibri"/>
          <w:i w:val="0"/>
          <w:szCs w:val="24"/>
        </w:rPr>
        <w:t xml:space="preserve"> current</w:t>
      </w:r>
      <w:r w:rsidRPr="001B2EB4">
        <w:rPr>
          <w:rFonts w:ascii="Calibri" w:hAnsi="Calibri" w:cs="Calibri"/>
          <w:i w:val="0"/>
          <w:szCs w:val="24"/>
        </w:rPr>
        <w:t xml:space="preserve"> ministerial </w:t>
      </w:r>
      <w:r>
        <w:rPr>
          <w:rFonts w:ascii="Calibri" w:hAnsi="Calibri" w:cs="Calibri"/>
          <w:i w:val="0"/>
          <w:szCs w:val="24"/>
        </w:rPr>
        <w:t>responsibilities</w:t>
      </w:r>
      <w:r w:rsidRPr="001B2EB4">
        <w:rPr>
          <w:rFonts w:ascii="Calibri" w:hAnsi="Calibri" w:cs="Calibri"/>
          <w:i w:val="0"/>
          <w:szCs w:val="24"/>
        </w:rPr>
        <w:t xml:space="preserve"> are summarised below:</w:t>
      </w:r>
    </w:p>
    <w:tbl>
      <w:tblPr>
        <w:tblW w:w="0" w:type="auto"/>
        <w:tblLook w:val="04A0"/>
      </w:tblPr>
      <w:tblGrid>
        <w:gridCol w:w="6235"/>
      </w:tblGrid>
      <w:tr w:rsidR="00A1022C" w:rsidTr="00D5137E">
        <w:trPr>
          <w:cantSplit/>
        </w:trPr>
        <w:tc>
          <w:tcPr>
            <w:tcW w:w="0" w:type="auto"/>
            <w:shd w:val="clear" w:color="auto" w:fill="auto"/>
          </w:tcPr>
          <w:p w:rsidR="00C65A4A" w:rsidRPr="00D5137E" w:rsidRDefault="00C65A4A" w:rsidP="00D5137E">
            <w:pPr>
              <w:pStyle w:val="BodyText"/>
              <w:keepNext w:val="0"/>
              <w:spacing w:before="60" w:after="60"/>
              <w:ind w:left="227"/>
              <w:rPr>
                <w:b/>
                <w:lang w:eastAsia="en-AU"/>
              </w:rPr>
            </w:pPr>
            <w:r w:rsidRPr="00D5137E">
              <w:rPr>
                <w:b/>
                <w:lang w:eastAsia="en-AU"/>
              </w:rPr>
              <w:t>Ms Katy Gallagher MLA</w:t>
            </w:r>
          </w:p>
          <w:p w:rsidR="00C65A4A" w:rsidRPr="00D5137E" w:rsidRDefault="00C65A4A" w:rsidP="00D5137E">
            <w:pPr>
              <w:pStyle w:val="BodyText"/>
              <w:keepNext w:val="0"/>
              <w:spacing w:before="60" w:after="60"/>
              <w:ind w:left="227"/>
              <w:jc w:val="left"/>
              <w:rPr>
                <w:sz w:val="22"/>
                <w:szCs w:val="22"/>
                <w:lang w:eastAsia="en-AU"/>
              </w:rPr>
            </w:pPr>
            <w:r w:rsidRPr="00D5137E">
              <w:rPr>
                <w:b/>
                <w:sz w:val="22"/>
                <w:szCs w:val="22"/>
                <w:lang w:eastAsia="en-AU"/>
              </w:rPr>
              <w:tab/>
            </w:r>
            <w:r w:rsidRPr="00D5137E">
              <w:rPr>
                <w:sz w:val="22"/>
                <w:szCs w:val="22"/>
                <w:lang w:eastAsia="en-AU"/>
              </w:rPr>
              <w:t>-</w:t>
            </w:r>
            <w:r w:rsidRPr="00D5137E">
              <w:rPr>
                <w:b/>
                <w:sz w:val="22"/>
                <w:szCs w:val="22"/>
                <w:lang w:eastAsia="en-AU"/>
              </w:rPr>
              <w:t xml:space="preserve"> </w:t>
            </w:r>
            <w:r w:rsidRPr="00D5137E">
              <w:rPr>
                <w:sz w:val="22"/>
                <w:szCs w:val="22"/>
                <w:lang w:eastAsia="en-AU"/>
              </w:rPr>
              <w:t>Chief Minister</w:t>
            </w:r>
          </w:p>
          <w:p w:rsidR="00A1022C" w:rsidRPr="00D5137E" w:rsidRDefault="00C65A4A" w:rsidP="00A1022C">
            <w:pPr>
              <w:pStyle w:val="BodyText"/>
              <w:keepNext w:val="0"/>
              <w:spacing w:before="60" w:after="60"/>
              <w:ind w:left="227"/>
              <w:jc w:val="left"/>
              <w:rPr>
                <w:sz w:val="22"/>
                <w:szCs w:val="22"/>
                <w:lang w:eastAsia="en-AU"/>
              </w:rPr>
            </w:pPr>
            <w:r w:rsidRPr="00D5137E">
              <w:rPr>
                <w:sz w:val="22"/>
                <w:szCs w:val="22"/>
                <w:lang w:eastAsia="en-AU"/>
              </w:rPr>
              <w:tab/>
            </w:r>
            <w:r w:rsidR="00A1022C" w:rsidRPr="00D5137E">
              <w:rPr>
                <w:sz w:val="22"/>
                <w:szCs w:val="22"/>
                <w:lang w:eastAsia="en-AU"/>
              </w:rPr>
              <w:t>- Minister for Health</w:t>
            </w:r>
          </w:p>
          <w:p w:rsidR="00A1022C" w:rsidRDefault="00C65A4A" w:rsidP="00A1022C">
            <w:pPr>
              <w:pStyle w:val="BodyText"/>
              <w:keepNext w:val="0"/>
              <w:spacing w:before="60" w:after="60"/>
              <w:jc w:val="left"/>
              <w:rPr>
                <w:sz w:val="22"/>
                <w:szCs w:val="22"/>
                <w:lang w:eastAsia="en-AU"/>
              </w:rPr>
            </w:pPr>
            <w:r w:rsidRPr="00D5137E">
              <w:rPr>
                <w:sz w:val="22"/>
                <w:szCs w:val="22"/>
                <w:lang w:eastAsia="en-AU"/>
              </w:rPr>
              <w:tab/>
            </w:r>
            <w:r w:rsidR="00A1022C" w:rsidRPr="00D5137E">
              <w:rPr>
                <w:sz w:val="22"/>
                <w:szCs w:val="22"/>
                <w:lang w:eastAsia="en-AU"/>
              </w:rPr>
              <w:t xml:space="preserve">- </w:t>
            </w:r>
            <w:r w:rsidR="00A1022C">
              <w:rPr>
                <w:sz w:val="22"/>
                <w:szCs w:val="22"/>
                <w:lang w:eastAsia="en-AU"/>
              </w:rPr>
              <w:t>Minister for Regional Development</w:t>
            </w:r>
          </w:p>
          <w:p w:rsidR="00C65A4A" w:rsidRPr="00A1022C" w:rsidRDefault="00C65A4A" w:rsidP="00A1022C">
            <w:pPr>
              <w:pStyle w:val="BodyText"/>
              <w:keepNext w:val="0"/>
              <w:spacing w:before="60" w:after="60"/>
              <w:ind w:firstLine="709"/>
              <w:jc w:val="left"/>
              <w:rPr>
                <w:sz w:val="22"/>
                <w:szCs w:val="22"/>
                <w:lang w:eastAsia="en-AU"/>
              </w:rPr>
            </w:pPr>
            <w:r w:rsidRPr="00D5137E">
              <w:rPr>
                <w:sz w:val="22"/>
                <w:szCs w:val="22"/>
                <w:lang w:eastAsia="en-AU"/>
              </w:rPr>
              <w:t xml:space="preserve">- </w:t>
            </w:r>
            <w:r w:rsidR="00A1022C">
              <w:rPr>
                <w:sz w:val="22"/>
                <w:szCs w:val="22"/>
                <w:lang w:eastAsia="en-AU"/>
              </w:rPr>
              <w:t>Minister for Higher Education</w:t>
            </w:r>
          </w:p>
        </w:tc>
      </w:tr>
      <w:tr w:rsidR="00A1022C" w:rsidTr="00D5137E">
        <w:trPr>
          <w:cantSplit/>
        </w:trPr>
        <w:tc>
          <w:tcPr>
            <w:tcW w:w="0" w:type="auto"/>
            <w:shd w:val="clear" w:color="auto" w:fill="auto"/>
          </w:tcPr>
          <w:p w:rsidR="00C65A4A" w:rsidRDefault="00C65A4A" w:rsidP="00D5137E">
            <w:pPr>
              <w:pStyle w:val="BodyText"/>
              <w:keepNext w:val="0"/>
              <w:spacing w:before="60" w:after="60"/>
              <w:ind w:left="227"/>
              <w:rPr>
                <w:lang w:eastAsia="en-AU"/>
              </w:rPr>
            </w:pPr>
            <w:r w:rsidRPr="00D5137E">
              <w:rPr>
                <w:b/>
                <w:lang w:eastAsia="en-AU"/>
              </w:rPr>
              <w:t>Mr Andrew Barr MLA</w:t>
            </w:r>
          </w:p>
          <w:p w:rsidR="00A1022C" w:rsidRPr="00D5137E" w:rsidRDefault="00C65A4A" w:rsidP="00A1022C">
            <w:pPr>
              <w:pStyle w:val="BodyText"/>
              <w:keepNext w:val="0"/>
              <w:spacing w:before="60" w:after="60"/>
              <w:ind w:left="227"/>
              <w:jc w:val="left"/>
              <w:rPr>
                <w:sz w:val="22"/>
                <w:szCs w:val="22"/>
                <w:lang w:eastAsia="en-AU"/>
              </w:rPr>
            </w:pPr>
            <w:r w:rsidRPr="00D5137E">
              <w:rPr>
                <w:sz w:val="22"/>
                <w:szCs w:val="22"/>
                <w:lang w:eastAsia="en-AU"/>
              </w:rPr>
              <w:tab/>
            </w:r>
            <w:r w:rsidR="00A1022C" w:rsidRPr="00D5137E">
              <w:rPr>
                <w:sz w:val="22"/>
                <w:szCs w:val="22"/>
                <w:lang w:eastAsia="en-AU"/>
              </w:rPr>
              <w:t>- Deputy Chief Minister</w:t>
            </w:r>
          </w:p>
          <w:p w:rsidR="00A1022C" w:rsidRPr="00D5137E" w:rsidRDefault="00A1022C" w:rsidP="00A1022C">
            <w:pPr>
              <w:pStyle w:val="BodyText"/>
              <w:keepNext w:val="0"/>
              <w:spacing w:before="60" w:after="60"/>
              <w:ind w:left="227"/>
              <w:jc w:val="left"/>
              <w:rPr>
                <w:sz w:val="22"/>
                <w:szCs w:val="22"/>
                <w:lang w:eastAsia="en-AU"/>
              </w:rPr>
            </w:pPr>
            <w:r w:rsidRPr="00D5137E">
              <w:rPr>
                <w:sz w:val="22"/>
                <w:szCs w:val="22"/>
                <w:lang w:eastAsia="en-AU"/>
              </w:rPr>
              <w:tab/>
              <w:t>- Treasurer</w:t>
            </w:r>
          </w:p>
          <w:p w:rsidR="00A1022C" w:rsidRPr="00D5137E" w:rsidRDefault="00A1022C" w:rsidP="00A1022C">
            <w:pPr>
              <w:pStyle w:val="BodyText"/>
              <w:keepNext w:val="0"/>
              <w:spacing w:before="60" w:after="60"/>
              <w:ind w:left="227"/>
              <w:jc w:val="left"/>
              <w:rPr>
                <w:sz w:val="22"/>
                <w:szCs w:val="22"/>
                <w:lang w:eastAsia="en-AU"/>
              </w:rPr>
            </w:pPr>
            <w:r w:rsidRPr="00D5137E">
              <w:rPr>
                <w:sz w:val="22"/>
                <w:szCs w:val="22"/>
                <w:lang w:eastAsia="en-AU"/>
              </w:rPr>
              <w:tab/>
              <w:t>- Minister for Economic Development</w:t>
            </w:r>
          </w:p>
          <w:p w:rsidR="00A1022C" w:rsidRPr="00D5137E" w:rsidRDefault="00A1022C" w:rsidP="00A1022C">
            <w:pPr>
              <w:pStyle w:val="BodyText"/>
              <w:keepNext w:val="0"/>
              <w:spacing w:before="60" w:after="60"/>
              <w:ind w:left="227"/>
              <w:jc w:val="left"/>
              <w:rPr>
                <w:sz w:val="22"/>
                <w:szCs w:val="22"/>
                <w:lang w:eastAsia="en-AU"/>
              </w:rPr>
            </w:pPr>
            <w:r w:rsidRPr="00D5137E">
              <w:rPr>
                <w:sz w:val="22"/>
                <w:szCs w:val="22"/>
                <w:lang w:eastAsia="en-AU"/>
              </w:rPr>
              <w:tab/>
              <w:t xml:space="preserve">- </w:t>
            </w:r>
            <w:r w:rsidR="00B00708">
              <w:rPr>
                <w:sz w:val="22"/>
                <w:szCs w:val="22"/>
                <w:lang w:eastAsia="en-AU"/>
              </w:rPr>
              <w:t>Minister for Sport and Recreation</w:t>
            </w:r>
          </w:p>
          <w:p w:rsidR="00A1022C" w:rsidRPr="00D5137E" w:rsidRDefault="00A1022C" w:rsidP="00A1022C">
            <w:pPr>
              <w:pStyle w:val="BodyText"/>
              <w:keepNext w:val="0"/>
              <w:spacing w:before="60" w:after="60"/>
              <w:ind w:left="227"/>
              <w:jc w:val="left"/>
              <w:rPr>
                <w:sz w:val="22"/>
                <w:szCs w:val="22"/>
                <w:lang w:eastAsia="en-AU"/>
              </w:rPr>
            </w:pPr>
            <w:r w:rsidRPr="00D5137E">
              <w:rPr>
                <w:sz w:val="22"/>
                <w:szCs w:val="22"/>
                <w:lang w:eastAsia="en-AU"/>
              </w:rPr>
              <w:tab/>
              <w:t xml:space="preserve">- Minister for </w:t>
            </w:r>
            <w:r w:rsidR="00B00708">
              <w:rPr>
                <w:sz w:val="22"/>
                <w:szCs w:val="22"/>
                <w:lang w:eastAsia="en-AU"/>
              </w:rPr>
              <w:t>Tourism and Events</w:t>
            </w:r>
          </w:p>
          <w:p w:rsidR="00B00708" w:rsidRPr="00B00708" w:rsidRDefault="00A1022C" w:rsidP="00B00708">
            <w:pPr>
              <w:pStyle w:val="BodyText"/>
              <w:keepNext w:val="0"/>
              <w:spacing w:before="60" w:after="60"/>
              <w:ind w:left="227"/>
              <w:jc w:val="left"/>
              <w:rPr>
                <w:sz w:val="22"/>
                <w:szCs w:val="22"/>
                <w:lang w:eastAsia="en-AU"/>
              </w:rPr>
            </w:pPr>
            <w:r w:rsidRPr="00D5137E">
              <w:rPr>
                <w:sz w:val="22"/>
                <w:szCs w:val="22"/>
                <w:lang w:eastAsia="en-AU"/>
              </w:rPr>
              <w:tab/>
              <w:t>- Minister f</w:t>
            </w:r>
            <w:r w:rsidR="00B00708">
              <w:rPr>
                <w:sz w:val="22"/>
                <w:szCs w:val="22"/>
                <w:lang w:eastAsia="en-AU"/>
              </w:rPr>
              <w:t>or Community Services</w:t>
            </w:r>
          </w:p>
        </w:tc>
      </w:tr>
      <w:tr w:rsidR="00A1022C" w:rsidTr="00D5137E">
        <w:trPr>
          <w:cantSplit/>
        </w:trPr>
        <w:tc>
          <w:tcPr>
            <w:tcW w:w="0" w:type="auto"/>
            <w:shd w:val="clear" w:color="auto" w:fill="auto"/>
          </w:tcPr>
          <w:p w:rsidR="00C65A4A" w:rsidRDefault="00C65A4A" w:rsidP="00D5137E">
            <w:pPr>
              <w:pStyle w:val="BodyText"/>
              <w:keepNext w:val="0"/>
              <w:spacing w:before="60" w:after="60"/>
              <w:ind w:left="227"/>
              <w:rPr>
                <w:lang w:eastAsia="en-AU"/>
              </w:rPr>
            </w:pPr>
            <w:r w:rsidRPr="00D5137E">
              <w:rPr>
                <w:b/>
                <w:lang w:eastAsia="en-AU"/>
              </w:rPr>
              <w:t xml:space="preserve">Mr Simon </w:t>
            </w:r>
            <w:proofErr w:type="spellStart"/>
            <w:r w:rsidRPr="00D5137E">
              <w:rPr>
                <w:b/>
                <w:lang w:eastAsia="en-AU"/>
              </w:rPr>
              <w:t>Corbell</w:t>
            </w:r>
            <w:proofErr w:type="spellEnd"/>
            <w:r w:rsidRPr="00D5137E">
              <w:rPr>
                <w:b/>
                <w:lang w:eastAsia="en-AU"/>
              </w:rPr>
              <w:t xml:space="preserve"> MLA</w:t>
            </w:r>
          </w:p>
          <w:p w:rsidR="00C65A4A" w:rsidRPr="00D5137E" w:rsidRDefault="00C65A4A" w:rsidP="00B00708">
            <w:pPr>
              <w:pStyle w:val="BodyText"/>
              <w:keepNext w:val="0"/>
              <w:spacing w:before="60" w:after="60"/>
              <w:ind w:left="227"/>
              <w:jc w:val="left"/>
              <w:rPr>
                <w:sz w:val="22"/>
                <w:szCs w:val="22"/>
                <w:lang w:eastAsia="en-AU"/>
              </w:rPr>
            </w:pPr>
            <w:r w:rsidRPr="00D5137E">
              <w:rPr>
                <w:sz w:val="22"/>
                <w:szCs w:val="22"/>
                <w:lang w:eastAsia="en-AU"/>
              </w:rPr>
              <w:tab/>
              <w:t>- Attorney-General</w:t>
            </w:r>
          </w:p>
          <w:p w:rsidR="00A1022C" w:rsidRDefault="00C65A4A" w:rsidP="00A1022C">
            <w:pPr>
              <w:pStyle w:val="BodyText"/>
              <w:keepNext w:val="0"/>
              <w:spacing w:before="60" w:after="60"/>
              <w:ind w:left="227"/>
              <w:jc w:val="left"/>
              <w:rPr>
                <w:sz w:val="22"/>
                <w:szCs w:val="22"/>
                <w:lang w:eastAsia="en-AU"/>
              </w:rPr>
            </w:pPr>
            <w:r w:rsidRPr="00D5137E">
              <w:rPr>
                <w:sz w:val="22"/>
                <w:szCs w:val="22"/>
                <w:lang w:eastAsia="en-AU"/>
              </w:rPr>
              <w:tab/>
            </w:r>
            <w:r w:rsidR="00A1022C" w:rsidRPr="00D5137E">
              <w:rPr>
                <w:sz w:val="22"/>
                <w:szCs w:val="22"/>
                <w:lang w:eastAsia="en-AU"/>
              </w:rPr>
              <w:t xml:space="preserve">- </w:t>
            </w:r>
            <w:r w:rsidR="00A1022C">
              <w:rPr>
                <w:sz w:val="22"/>
                <w:szCs w:val="22"/>
                <w:lang w:eastAsia="en-AU"/>
              </w:rPr>
              <w:t>Minister for Police and Emergency Services</w:t>
            </w:r>
          </w:p>
          <w:p w:rsidR="00A1022C" w:rsidRDefault="00C65A4A" w:rsidP="00A1022C">
            <w:pPr>
              <w:pStyle w:val="BodyText"/>
              <w:keepNext w:val="0"/>
              <w:spacing w:before="60" w:after="60"/>
              <w:ind w:left="227" w:firstLine="482"/>
              <w:jc w:val="left"/>
              <w:rPr>
                <w:sz w:val="22"/>
                <w:szCs w:val="22"/>
                <w:lang w:eastAsia="en-AU"/>
              </w:rPr>
            </w:pPr>
            <w:r w:rsidRPr="00D5137E">
              <w:rPr>
                <w:sz w:val="22"/>
                <w:szCs w:val="22"/>
                <w:lang w:eastAsia="en-AU"/>
              </w:rPr>
              <w:t xml:space="preserve">- </w:t>
            </w:r>
            <w:r w:rsidR="00A1022C">
              <w:rPr>
                <w:sz w:val="22"/>
                <w:szCs w:val="22"/>
                <w:lang w:eastAsia="en-AU"/>
              </w:rPr>
              <w:t>Minister for Workplace Safety and Industrial Relations</w:t>
            </w:r>
          </w:p>
          <w:p w:rsidR="00B00708" w:rsidRPr="00D5137E" w:rsidRDefault="00B00708" w:rsidP="0072418E">
            <w:pPr>
              <w:pStyle w:val="BodyText"/>
              <w:keepNext w:val="0"/>
              <w:spacing w:before="60" w:after="60"/>
              <w:ind w:left="227" w:firstLine="482"/>
              <w:jc w:val="left"/>
              <w:rPr>
                <w:sz w:val="22"/>
                <w:szCs w:val="22"/>
                <w:lang w:eastAsia="en-AU"/>
              </w:rPr>
            </w:pPr>
            <w:r>
              <w:rPr>
                <w:sz w:val="22"/>
                <w:szCs w:val="22"/>
                <w:lang w:eastAsia="en-AU"/>
              </w:rPr>
              <w:t>- Minister for Environment and Sustainable Development</w:t>
            </w:r>
          </w:p>
        </w:tc>
      </w:tr>
      <w:tr w:rsidR="00A1022C" w:rsidTr="00D5137E">
        <w:trPr>
          <w:cantSplit/>
        </w:trPr>
        <w:tc>
          <w:tcPr>
            <w:tcW w:w="0" w:type="auto"/>
            <w:shd w:val="clear" w:color="auto" w:fill="auto"/>
          </w:tcPr>
          <w:p w:rsidR="00C65A4A" w:rsidRDefault="00C65A4A" w:rsidP="00D5137E">
            <w:pPr>
              <w:pStyle w:val="BodyText"/>
              <w:keepNext w:val="0"/>
              <w:spacing w:before="60" w:after="60"/>
              <w:ind w:left="227"/>
              <w:rPr>
                <w:lang w:eastAsia="en-AU"/>
              </w:rPr>
            </w:pPr>
            <w:r w:rsidRPr="00D5137E">
              <w:rPr>
                <w:b/>
                <w:lang w:eastAsia="en-AU"/>
              </w:rPr>
              <w:t>Ms Joy Burch MLA</w:t>
            </w:r>
          </w:p>
          <w:p w:rsidR="00C65A4A" w:rsidRPr="00D5137E" w:rsidRDefault="00C65A4A" w:rsidP="00D5137E">
            <w:pPr>
              <w:pStyle w:val="BodyText"/>
              <w:keepNext w:val="0"/>
              <w:spacing w:before="60" w:after="60"/>
              <w:ind w:left="227"/>
              <w:jc w:val="left"/>
              <w:rPr>
                <w:sz w:val="22"/>
                <w:szCs w:val="22"/>
                <w:lang w:eastAsia="en-AU"/>
              </w:rPr>
            </w:pPr>
            <w:r>
              <w:rPr>
                <w:lang w:eastAsia="en-AU"/>
              </w:rPr>
              <w:tab/>
            </w:r>
            <w:r w:rsidRPr="00D5137E">
              <w:rPr>
                <w:sz w:val="22"/>
                <w:szCs w:val="22"/>
                <w:lang w:eastAsia="en-AU"/>
              </w:rPr>
              <w:t xml:space="preserve">- </w:t>
            </w:r>
            <w:r w:rsidR="00A1022C">
              <w:rPr>
                <w:sz w:val="22"/>
                <w:szCs w:val="22"/>
                <w:lang w:eastAsia="en-AU"/>
              </w:rPr>
              <w:t>Minister for Education and Training</w:t>
            </w:r>
          </w:p>
          <w:p w:rsidR="00C65A4A" w:rsidRPr="00D5137E" w:rsidRDefault="00C65A4A" w:rsidP="00D5137E">
            <w:pPr>
              <w:pStyle w:val="BodyText"/>
              <w:keepNext w:val="0"/>
              <w:spacing w:before="60" w:after="60"/>
              <w:ind w:left="227"/>
              <w:jc w:val="left"/>
              <w:rPr>
                <w:sz w:val="22"/>
                <w:szCs w:val="22"/>
                <w:lang w:eastAsia="en-AU"/>
              </w:rPr>
            </w:pPr>
            <w:r w:rsidRPr="00D5137E">
              <w:rPr>
                <w:sz w:val="22"/>
                <w:szCs w:val="22"/>
                <w:lang w:eastAsia="en-AU"/>
              </w:rPr>
              <w:tab/>
              <w:t xml:space="preserve">- </w:t>
            </w:r>
            <w:r w:rsidR="00A1022C">
              <w:rPr>
                <w:sz w:val="22"/>
                <w:szCs w:val="22"/>
                <w:lang w:eastAsia="en-AU"/>
              </w:rPr>
              <w:t>Minister for Disability, Children and Young People</w:t>
            </w:r>
          </w:p>
          <w:p w:rsidR="00C65A4A" w:rsidRPr="00D5137E" w:rsidRDefault="00C65A4A" w:rsidP="00D5137E">
            <w:pPr>
              <w:pStyle w:val="BodyText"/>
              <w:keepNext w:val="0"/>
              <w:spacing w:before="60" w:after="60"/>
              <w:ind w:left="227"/>
              <w:jc w:val="left"/>
              <w:rPr>
                <w:sz w:val="22"/>
                <w:szCs w:val="22"/>
                <w:lang w:eastAsia="en-AU"/>
              </w:rPr>
            </w:pPr>
            <w:r w:rsidRPr="00D5137E">
              <w:rPr>
                <w:sz w:val="22"/>
                <w:szCs w:val="22"/>
                <w:lang w:eastAsia="en-AU"/>
              </w:rPr>
              <w:tab/>
              <w:t xml:space="preserve">- </w:t>
            </w:r>
            <w:r w:rsidR="00A1022C">
              <w:rPr>
                <w:sz w:val="22"/>
                <w:szCs w:val="22"/>
                <w:lang w:eastAsia="en-AU"/>
              </w:rPr>
              <w:t>Minister for Arts</w:t>
            </w:r>
          </w:p>
          <w:p w:rsidR="000142CD" w:rsidRDefault="00C65A4A" w:rsidP="000142CD">
            <w:pPr>
              <w:pStyle w:val="BodyText"/>
              <w:keepNext w:val="0"/>
              <w:spacing w:before="60" w:after="60"/>
              <w:ind w:left="227"/>
              <w:jc w:val="left"/>
              <w:rPr>
                <w:sz w:val="22"/>
                <w:szCs w:val="22"/>
                <w:lang w:eastAsia="en-AU"/>
              </w:rPr>
            </w:pPr>
            <w:r w:rsidRPr="00D5137E">
              <w:rPr>
                <w:sz w:val="22"/>
                <w:szCs w:val="22"/>
                <w:lang w:eastAsia="en-AU"/>
              </w:rPr>
              <w:tab/>
              <w:t xml:space="preserve">- </w:t>
            </w:r>
            <w:r w:rsidR="00A1022C">
              <w:rPr>
                <w:sz w:val="22"/>
                <w:szCs w:val="22"/>
                <w:lang w:eastAsia="en-AU"/>
              </w:rPr>
              <w:t>Minister for Women</w:t>
            </w:r>
          </w:p>
          <w:p w:rsidR="00A1022C" w:rsidRDefault="00A1022C" w:rsidP="00A1022C">
            <w:pPr>
              <w:pStyle w:val="BodyText"/>
              <w:keepNext w:val="0"/>
              <w:spacing w:before="60" w:after="60"/>
              <w:ind w:left="227" w:firstLine="482"/>
              <w:jc w:val="left"/>
              <w:rPr>
                <w:sz w:val="22"/>
                <w:szCs w:val="22"/>
                <w:lang w:eastAsia="en-AU"/>
              </w:rPr>
            </w:pPr>
            <w:r>
              <w:rPr>
                <w:sz w:val="22"/>
                <w:szCs w:val="22"/>
                <w:lang w:eastAsia="en-AU"/>
              </w:rPr>
              <w:t>- Minister for Multicultural Affairs</w:t>
            </w:r>
          </w:p>
          <w:p w:rsidR="00C65A4A" w:rsidRDefault="00A1022C" w:rsidP="00A1022C">
            <w:pPr>
              <w:pStyle w:val="BodyText"/>
              <w:keepNext w:val="0"/>
              <w:spacing w:before="60" w:after="60"/>
              <w:ind w:left="227" w:firstLine="482"/>
              <w:jc w:val="left"/>
              <w:rPr>
                <w:lang w:eastAsia="en-AU"/>
              </w:rPr>
            </w:pPr>
            <w:r>
              <w:rPr>
                <w:sz w:val="22"/>
                <w:szCs w:val="22"/>
                <w:lang w:eastAsia="en-AU"/>
              </w:rPr>
              <w:t>- Minister for Racing and Gaming</w:t>
            </w:r>
          </w:p>
        </w:tc>
      </w:tr>
      <w:tr w:rsidR="00A1022C" w:rsidTr="00D5137E">
        <w:trPr>
          <w:cantSplit/>
        </w:trPr>
        <w:tc>
          <w:tcPr>
            <w:tcW w:w="0" w:type="auto"/>
            <w:shd w:val="clear" w:color="auto" w:fill="auto"/>
          </w:tcPr>
          <w:p w:rsidR="00C65A4A" w:rsidRDefault="000142CD" w:rsidP="00D5137E">
            <w:pPr>
              <w:pStyle w:val="BodyText"/>
              <w:keepNext w:val="0"/>
              <w:spacing w:before="60" w:after="60"/>
              <w:ind w:left="227"/>
              <w:rPr>
                <w:lang w:eastAsia="en-AU"/>
              </w:rPr>
            </w:pPr>
            <w:r>
              <w:rPr>
                <w:b/>
                <w:lang w:eastAsia="en-AU"/>
              </w:rPr>
              <w:lastRenderedPageBreak/>
              <w:t xml:space="preserve">Mr Shane </w:t>
            </w:r>
            <w:proofErr w:type="spellStart"/>
            <w:r>
              <w:rPr>
                <w:b/>
                <w:lang w:eastAsia="en-AU"/>
              </w:rPr>
              <w:t>Rattenbury</w:t>
            </w:r>
            <w:proofErr w:type="spellEnd"/>
            <w:r w:rsidR="00C65A4A" w:rsidRPr="00D5137E">
              <w:rPr>
                <w:b/>
                <w:lang w:eastAsia="en-AU"/>
              </w:rPr>
              <w:t xml:space="preserve"> MLA</w:t>
            </w:r>
          </w:p>
          <w:p w:rsidR="00A1022C" w:rsidRDefault="00C65A4A" w:rsidP="00A1022C">
            <w:pPr>
              <w:pStyle w:val="BodyText"/>
              <w:keepNext w:val="0"/>
              <w:spacing w:before="60" w:after="60"/>
              <w:ind w:left="227"/>
              <w:jc w:val="left"/>
              <w:rPr>
                <w:sz w:val="22"/>
                <w:szCs w:val="22"/>
                <w:lang w:eastAsia="en-AU"/>
              </w:rPr>
            </w:pPr>
            <w:r w:rsidRPr="00D5137E">
              <w:rPr>
                <w:sz w:val="22"/>
                <w:szCs w:val="22"/>
                <w:lang w:eastAsia="en-AU"/>
              </w:rPr>
              <w:tab/>
              <w:t xml:space="preserve">- </w:t>
            </w:r>
            <w:r w:rsidR="00A1022C" w:rsidRPr="00D5137E">
              <w:rPr>
                <w:sz w:val="22"/>
                <w:szCs w:val="22"/>
                <w:lang w:eastAsia="en-AU"/>
              </w:rPr>
              <w:t>Minister for Territory and Municipal Services</w:t>
            </w:r>
          </w:p>
          <w:p w:rsidR="00C65A4A" w:rsidRPr="00D5137E" w:rsidRDefault="00C65A4A" w:rsidP="00D5137E">
            <w:pPr>
              <w:pStyle w:val="BodyText"/>
              <w:keepNext w:val="0"/>
              <w:spacing w:before="60" w:after="60"/>
              <w:ind w:left="227"/>
              <w:jc w:val="left"/>
              <w:rPr>
                <w:sz w:val="22"/>
                <w:szCs w:val="22"/>
                <w:lang w:eastAsia="en-AU"/>
              </w:rPr>
            </w:pPr>
            <w:r w:rsidRPr="00D5137E">
              <w:rPr>
                <w:sz w:val="22"/>
                <w:szCs w:val="22"/>
                <w:lang w:eastAsia="en-AU"/>
              </w:rPr>
              <w:tab/>
              <w:t xml:space="preserve">- </w:t>
            </w:r>
            <w:r w:rsidR="00A1022C">
              <w:rPr>
                <w:sz w:val="22"/>
                <w:szCs w:val="22"/>
                <w:lang w:eastAsia="en-AU"/>
              </w:rPr>
              <w:t>Minister for Corrections</w:t>
            </w:r>
          </w:p>
          <w:p w:rsidR="00C65A4A" w:rsidRPr="00D5137E" w:rsidRDefault="00C65A4A" w:rsidP="00D5137E">
            <w:pPr>
              <w:pStyle w:val="BodyText"/>
              <w:keepNext w:val="0"/>
              <w:spacing w:before="60" w:after="60"/>
              <w:ind w:left="227"/>
              <w:jc w:val="left"/>
              <w:rPr>
                <w:sz w:val="22"/>
                <w:szCs w:val="22"/>
                <w:lang w:eastAsia="en-AU"/>
              </w:rPr>
            </w:pPr>
            <w:r w:rsidRPr="00D5137E">
              <w:rPr>
                <w:sz w:val="22"/>
                <w:szCs w:val="22"/>
                <w:lang w:eastAsia="en-AU"/>
              </w:rPr>
              <w:tab/>
              <w:t xml:space="preserve">- </w:t>
            </w:r>
            <w:r w:rsidR="00A1022C">
              <w:rPr>
                <w:sz w:val="22"/>
                <w:szCs w:val="22"/>
                <w:lang w:eastAsia="en-AU"/>
              </w:rPr>
              <w:t>Minister for Housing</w:t>
            </w:r>
          </w:p>
          <w:p w:rsidR="00C65A4A" w:rsidRDefault="00C65A4A" w:rsidP="000142CD">
            <w:pPr>
              <w:pStyle w:val="BodyText"/>
              <w:keepNext w:val="0"/>
              <w:spacing w:before="60" w:after="60"/>
              <w:ind w:left="227"/>
              <w:rPr>
                <w:sz w:val="22"/>
                <w:szCs w:val="22"/>
                <w:lang w:eastAsia="en-AU"/>
              </w:rPr>
            </w:pPr>
            <w:r w:rsidRPr="00D5137E">
              <w:rPr>
                <w:sz w:val="22"/>
                <w:szCs w:val="22"/>
                <w:lang w:eastAsia="en-AU"/>
              </w:rPr>
              <w:tab/>
              <w:t xml:space="preserve">- </w:t>
            </w:r>
            <w:r w:rsidR="00A1022C">
              <w:rPr>
                <w:sz w:val="22"/>
                <w:szCs w:val="22"/>
                <w:lang w:eastAsia="en-AU"/>
              </w:rPr>
              <w:t>Minister for Aboriginal and Torres Strait Islander Affairs</w:t>
            </w:r>
          </w:p>
          <w:p w:rsidR="00A1022C" w:rsidRPr="00D5137E" w:rsidRDefault="00A1022C" w:rsidP="00A1022C">
            <w:pPr>
              <w:pStyle w:val="BodyText"/>
              <w:keepNext w:val="0"/>
              <w:spacing w:before="60" w:after="60"/>
              <w:ind w:left="227" w:firstLine="482"/>
              <w:rPr>
                <w:b/>
                <w:lang w:eastAsia="en-AU"/>
              </w:rPr>
            </w:pPr>
            <w:r>
              <w:rPr>
                <w:sz w:val="22"/>
                <w:szCs w:val="22"/>
                <w:lang w:eastAsia="en-AU"/>
              </w:rPr>
              <w:t>- Minister for Ageing</w:t>
            </w:r>
          </w:p>
        </w:tc>
      </w:tr>
    </w:tbl>
    <w:p w:rsidR="00C65A4A" w:rsidRDefault="00C65A4A" w:rsidP="00451669">
      <w:pPr>
        <w:pStyle w:val="Sub-Heading"/>
        <w:keepNext w:val="0"/>
        <w:spacing w:after="60"/>
      </w:pPr>
      <w:r>
        <w:t>New Administrative Arrangements</w:t>
      </w:r>
    </w:p>
    <w:p w:rsidR="008527AC" w:rsidRDefault="008527AC" w:rsidP="00EC3D66">
      <w:pPr>
        <w:pStyle w:val="Heading4"/>
      </w:pPr>
      <w:r w:rsidRPr="00EC3D66">
        <w:t>Shared Services</w:t>
      </w:r>
    </w:p>
    <w:p w:rsidR="0072418E" w:rsidRPr="002C1F3D" w:rsidRDefault="002C1F3D" w:rsidP="002C1F3D">
      <w:pPr>
        <w:jc w:val="both"/>
      </w:pPr>
      <w:r>
        <w:t xml:space="preserve">Even though the Commerce and Works Directorate which incorporates the Shared Services functions was created on 10 November 2012 following the </w:t>
      </w:r>
      <w:r w:rsidR="00FE4498">
        <w:rPr>
          <w:i/>
        </w:rPr>
        <w:t xml:space="preserve">Administrative </w:t>
      </w:r>
      <w:r w:rsidRPr="002C1F3D">
        <w:rPr>
          <w:i/>
        </w:rPr>
        <w:t>Arrangements</w:t>
      </w:r>
      <w:r w:rsidR="009D34E7">
        <w:rPr>
          <w:i/>
        </w:rPr>
        <w:t> </w:t>
      </w:r>
      <w:r w:rsidRPr="002C1F3D">
        <w:rPr>
          <w:i/>
        </w:rPr>
        <w:t>2012 (</w:t>
      </w:r>
      <w:r w:rsidR="009D34E7">
        <w:rPr>
          <w:i/>
        </w:rPr>
        <w:t>N</w:t>
      </w:r>
      <w:r w:rsidRPr="002C1F3D">
        <w:rPr>
          <w:i/>
        </w:rPr>
        <w:t>o 2)</w:t>
      </w:r>
      <w:r>
        <w:t xml:space="preserve">, Shared Services </w:t>
      </w:r>
      <w:r w:rsidR="009D34E7">
        <w:t xml:space="preserve">Centre </w:t>
      </w:r>
      <w:r>
        <w:t xml:space="preserve">continued as a separate reporting entity in 2012-13 in accordance with the </w:t>
      </w:r>
      <w:r>
        <w:rPr>
          <w:i/>
        </w:rPr>
        <w:t>Financial Management (Directorates) Guidelines 2012</w:t>
      </w:r>
      <w:r>
        <w:t xml:space="preserve">. </w:t>
      </w:r>
      <w:r w:rsidR="009D34E7">
        <w:t xml:space="preserve"> </w:t>
      </w:r>
      <w:r>
        <w:t xml:space="preserve">Under the newly issued </w:t>
      </w:r>
      <w:r>
        <w:rPr>
          <w:i/>
        </w:rPr>
        <w:t xml:space="preserve">Financial Management (Directorates) Guidelines 2013, </w:t>
      </w:r>
      <w:r w:rsidRPr="002C1F3D">
        <w:t>Shared</w:t>
      </w:r>
      <w:r>
        <w:t xml:space="preserve"> Services is no longer required to be a separate reporting entity from 1 July 201</w:t>
      </w:r>
      <w:r w:rsidR="00C06804">
        <w:t>3</w:t>
      </w:r>
      <w:r>
        <w:t xml:space="preserve">.  As a result, Shared Services </w:t>
      </w:r>
      <w:r w:rsidR="009D34E7">
        <w:t xml:space="preserve">Centre </w:t>
      </w:r>
      <w:r>
        <w:t>will be reported as part of the Commerce and Works Directorate from 1 July 2013.</w:t>
      </w:r>
    </w:p>
    <w:p w:rsidR="004E0705" w:rsidRPr="00564CFC" w:rsidRDefault="004E0705" w:rsidP="004E0705">
      <w:pPr>
        <w:pStyle w:val="Heading4"/>
      </w:pPr>
      <w:r w:rsidRPr="00564CFC">
        <w:t>Functional Changes</w:t>
      </w:r>
    </w:p>
    <w:p w:rsidR="00F0720A" w:rsidRPr="00F0720A" w:rsidRDefault="00F0720A" w:rsidP="00F0720A">
      <w:pPr>
        <w:pStyle w:val="BodyText"/>
      </w:pPr>
      <w:r w:rsidRPr="00F0720A">
        <w:rPr>
          <w:rStyle w:val="BodyTextChar"/>
        </w:rPr>
        <w:t>As</w:t>
      </w:r>
      <w:r w:rsidRPr="00F0720A">
        <w:t xml:space="preserve"> part of the proposed Administrative Arrangements, one functional responsibility change will occur, as summarised below:</w:t>
      </w:r>
    </w:p>
    <w:p w:rsidR="004E0705" w:rsidRPr="00F0720A" w:rsidRDefault="00F0720A" w:rsidP="00F0720A">
      <w:pPr>
        <w:pStyle w:val="BodyTextIndent"/>
        <w:keepLines w:val="0"/>
        <w:numPr>
          <w:ilvl w:val="0"/>
          <w:numId w:val="2"/>
        </w:numPr>
      </w:pPr>
      <w:r w:rsidRPr="00F0720A">
        <w:t>The Capital Metro function will be transferred from the Economic Development Directorate to form the Capital Metro Agency.</w:t>
      </w:r>
    </w:p>
    <w:p w:rsidR="00B00708" w:rsidRDefault="00B00708" w:rsidP="009C50F2">
      <w:pPr>
        <w:pStyle w:val="Heading3TopofPage"/>
      </w:pPr>
    </w:p>
    <w:p w:rsidR="009C50F2" w:rsidRDefault="009C50F2" w:rsidP="00B5497A">
      <w:pPr>
        <w:pStyle w:val="Heading3TopofPage"/>
        <w:keepNext w:val="0"/>
      </w:pPr>
      <w:r>
        <w:t>Supplementary Appropriation 2012-13</w:t>
      </w:r>
    </w:p>
    <w:p w:rsidR="000142CD" w:rsidRDefault="009C50F2" w:rsidP="00B5497A">
      <w:pPr>
        <w:pStyle w:val="BodyText"/>
        <w:keepNext w:val="0"/>
      </w:pPr>
      <w:proofErr w:type="gramStart"/>
      <w:r>
        <w:t xml:space="preserve">The </w:t>
      </w:r>
      <w:r>
        <w:rPr>
          <w:i/>
          <w:iCs/>
        </w:rPr>
        <w:t>Appropriation Bill 2012-13 (</w:t>
      </w:r>
      <w:r w:rsidR="00FE4498">
        <w:rPr>
          <w:i/>
          <w:iCs/>
        </w:rPr>
        <w:t>No</w:t>
      </w:r>
      <w:r>
        <w:rPr>
          <w:i/>
          <w:iCs/>
        </w:rPr>
        <w:t xml:space="preserve"> 2)</w:t>
      </w:r>
      <w:r>
        <w:t xml:space="preserve"> (the </w:t>
      </w:r>
      <w:r w:rsidR="00165BF9">
        <w:t>Act</w:t>
      </w:r>
      <w:r>
        <w:t>) was presented in the Legislative Assembly on 14 February 2013 and pa</w:t>
      </w:r>
      <w:r w:rsidR="00165BF9">
        <w:t>ssed on 9 April 2013.</w:t>
      </w:r>
      <w:proofErr w:type="gramEnd"/>
      <w:r w:rsidR="00165BF9">
        <w:t xml:space="preserve">  The Act </w:t>
      </w:r>
      <w:r>
        <w:t>provide</w:t>
      </w:r>
      <w:r w:rsidR="00165BF9">
        <w:t>d</w:t>
      </w:r>
      <w:r>
        <w:t xml:space="preserve"> additional appropriations totalling $231.058 million to agencies to facilitate the on-passing of Commonwealth health grants, to meet forecast sales within t</w:t>
      </w:r>
      <w:r w:rsidR="00C06804">
        <w:t>he land rent scheme and to rollover</w:t>
      </w:r>
      <w:r>
        <w:t xml:space="preserve"> unspent </w:t>
      </w:r>
      <w:r w:rsidR="00165BF9">
        <w:t xml:space="preserve">former </w:t>
      </w:r>
      <w:r>
        <w:t xml:space="preserve">Treasury Directorate </w:t>
      </w:r>
      <w:r w:rsidR="00165BF9">
        <w:t>2011</w:t>
      </w:r>
      <w:r w:rsidR="00165BF9">
        <w:noBreakHyphen/>
        <w:t xml:space="preserve">12 </w:t>
      </w:r>
      <w:r>
        <w:t xml:space="preserve">appropriation.  The 2013-14 Budget Papers have been prepared on the basis of the inclusion of items noted in the </w:t>
      </w:r>
      <w:r w:rsidR="00165BF9">
        <w:t>Act</w:t>
      </w:r>
      <w:r>
        <w:t xml:space="preserve">.  </w:t>
      </w:r>
    </w:p>
    <w:p w:rsidR="00C65A4A" w:rsidRDefault="00C65A4A" w:rsidP="00B5497A">
      <w:pPr>
        <w:pStyle w:val="Heading3"/>
        <w:keepNext w:val="0"/>
      </w:pPr>
      <w:r>
        <w:t>Presentation of Financial Statements/Budget Papers</w:t>
      </w:r>
    </w:p>
    <w:p w:rsidR="00C65A4A" w:rsidRDefault="00C65A4A" w:rsidP="00B5497A">
      <w:pPr>
        <w:pStyle w:val="BodyText"/>
        <w:keepNext w:val="0"/>
      </w:pPr>
      <w:r>
        <w:t>There have been no presentation changes to financial statements or the Budget Papers since the previous Budget.</w:t>
      </w:r>
    </w:p>
    <w:p w:rsidR="00C65A4A" w:rsidRDefault="00C65A4A" w:rsidP="00B5497A">
      <w:pPr>
        <w:pStyle w:val="Heading3"/>
        <w:keepNext w:val="0"/>
      </w:pPr>
      <w:r>
        <w:t>The 201</w:t>
      </w:r>
      <w:r w:rsidR="00A05CEF">
        <w:t>2</w:t>
      </w:r>
      <w:r>
        <w:noBreakHyphen/>
        <w:t>1</w:t>
      </w:r>
      <w:r w:rsidR="00A05CEF">
        <w:t>3</w:t>
      </w:r>
      <w:r>
        <w:t xml:space="preserve"> Estimated Outcome</w:t>
      </w:r>
    </w:p>
    <w:p w:rsidR="00C65A4A" w:rsidRDefault="00C65A4A" w:rsidP="00B5497A">
      <w:pPr>
        <w:pStyle w:val="BodyText"/>
        <w:keepNext w:val="0"/>
      </w:pPr>
      <w:bookmarkStart w:id="0" w:name="OLE_LINK1"/>
      <w:bookmarkStart w:id="1" w:name="OLE_LINK2"/>
      <w:r>
        <w:t>The 201</w:t>
      </w:r>
      <w:r w:rsidR="00A05CEF">
        <w:t>2</w:t>
      </w:r>
      <w:r>
        <w:noBreakHyphen/>
        <w:t>1</w:t>
      </w:r>
      <w:r w:rsidR="00A05CEF">
        <w:t>3</w:t>
      </w:r>
      <w:r>
        <w:t xml:space="preserve"> estimated outcome figures have been updated to </w:t>
      </w:r>
      <w:r w:rsidR="008527AC">
        <w:t xml:space="preserve">include the effect of the 2011-12 audited </w:t>
      </w:r>
      <w:proofErr w:type="gramStart"/>
      <w:r w:rsidR="008527AC">
        <w:t>outcome</w:t>
      </w:r>
      <w:proofErr w:type="gramEnd"/>
      <w:r w:rsidR="008527AC">
        <w:t>, the</w:t>
      </w:r>
      <w:r w:rsidR="008527AC" w:rsidRPr="00165BF9">
        <w:t xml:space="preserve"> </w:t>
      </w:r>
      <w:r w:rsidR="00165BF9" w:rsidRPr="00165BF9">
        <w:t>Act</w:t>
      </w:r>
      <w:r w:rsidR="008527AC">
        <w:t xml:space="preserve"> and other impacts</w:t>
      </w:r>
      <w:r w:rsidR="009B37C5">
        <w:t xml:space="preserve"> identified during the preparation of the Budget.</w:t>
      </w:r>
    </w:p>
    <w:bookmarkEnd w:id="0"/>
    <w:bookmarkEnd w:id="1"/>
    <w:p w:rsidR="00C65A4A" w:rsidRDefault="00C65A4A" w:rsidP="00C65A4A">
      <w:pPr>
        <w:pStyle w:val="Heading3"/>
      </w:pPr>
      <w:r>
        <w:lastRenderedPageBreak/>
        <w:t xml:space="preserve">Sector </w:t>
      </w:r>
      <w:smartTag w:uri="urn:schemas-microsoft-com:office:smarttags" w:element="place">
        <w:smartTag w:uri="urn:schemas-microsoft-com:office:smarttags" w:element="City">
          <w:r>
            <w:t>Split</w:t>
          </w:r>
        </w:smartTag>
      </w:smartTag>
    </w:p>
    <w:p w:rsidR="00C65A4A" w:rsidRDefault="00C65A4A" w:rsidP="00C65A4A">
      <w:pPr>
        <w:pStyle w:val="BodyText"/>
      </w:pPr>
      <w:r>
        <w:t>The Government Finance Statistics (GFS) sector classification is used for the presentation of consolidated financial statements.  Consolidated statements are provided for the General Government Sector (GGS) and Public Trading Enterpri</w:t>
      </w:r>
      <w:r w:rsidR="003607CE">
        <w:t>se (PTE) Sector.  A t</w:t>
      </w:r>
      <w:r>
        <w:t xml:space="preserve">otal Territory </w:t>
      </w:r>
      <w:r w:rsidR="00C06804">
        <w:t>view</w:t>
      </w:r>
      <w:r>
        <w:t xml:space="preserve"> of the 201</w:t>
      </w:r>
      <w:r w:rsidR="00A05CEF">
        <w:t>3</w:t>
      </w:r>
      <w:r>
        <w:noBreakHyphen/>
        <w:t>1</w:t>
      </w:r>
      <w:r w:rsidR="00A05CEF">
        <w:t>4</w:t>
      </w:r>
      <w:r>
        <w:t xml:space="preserve"> Budget is also included.  Definitions of these sectors can be found in the Glossary.</w:t>
      </w:r>
    </w:p>
    <w:p w:rsidR="00C65A4A" w:rsidRDefault="00C65A4A" w:rsidP="00C65A4A">
      <w:pPr>
        <w:pStyle w:val="Heading3"/>
      </w:pPr>
      <w:r>
        <w:t>Accrual Concepts</w:t>
      </w:r>
    </w:p>
    <w:p w:rsidR="00C65A4A" w:rsidRDefault="00C65A4A" w:rsidP="00C65A4A">
      <w:pPr>
        <w:pStyle w:val="BodyText"/>
      </w:pPr>
      <w:r>
        <w:t xml:space="preserve">All budget estimates are calculated on an accrual basis.  Amounts have been prepared in </w:t>
      </w:r>
      <w:r w:rsidR="00B00708">
        <w:t>line with the principles of the</w:t>
      </w:r>
      <w:r>
        <w:t xml:space="preserve"> standards issued by the Australian Accounting Standards Board (AASB) w</w:t>
      </w:r>
      <w:r w:rsidR="009B37C5">
        <w:t>hich applied from 1 January 2012</w:t>
      </w:r>
      <w:r>
        <w:t>.</w:t>
      </w:r>
    </w:p>
    <w:p w:rsidR="00C65A4A" w:rsidRDefault="00C65A4A" w:rsidP="00C65A4A">
      <w:pPr>
        <w:pStyle w:val="BodyText"/>
      </w:pPr>
      <w:r>
        <w:t>In order to match transactions to a particular period, accruals are used to account for differences in timing between business or operational transactions and the associated cash flow.  It is the inclusion of these non-cash items that differentiates the Operating Statement from the Cash Flow Statement.</w:t>
      </w:r>
    </w:p>
    <w:p w:rsidR="00C65A4A" w:rsidRDefault="00C65A4A" w:rsidP="00C65A4A">
      <w:pPr>
        <w:pStyle w:val="BodyText"/>
      </w:pPr>
      <w:r>
        <w:t xml:space="preserve">The difference between income (in the Operating Statement) and cash receipts (in </w:t>
      </w:r>
      <w:r w:rsidR="002C1F3D">
        <w:t xml:space="preserve">the </w:t>
      </w:r>
      <w:r>
        <w:t>Cash Flow Statement) is explained by the inclusion of income amounts which have been earned but not yet received.  Further, accrued income excludes any amounts that have been collected in the current year but were earned in the previous year.  Income includes non</w:t>
      </w:r>
      <w:r>
        <w:noBreakHyphen/>
        <w:t>cash transactions that have an impact on the Balance Sheet, such as an increase in the value of an asset following a revaluation.</w:t>
      </w:r>
    </w:p>
    <w:p w:rsidR="00C65A4A" w:rsidRDefault="00C65A4A" w:rsidP="00C65A4A">
      <w:pPr>
        <w:pStyle w:val="BodyText"/>
      </w:pPr>
      <w:r>
        <w:t>Accrued expenses (in the Operating Statement) differ from cash payments (in the Cash Flow Statement) due to the inclusion of items such as employee benefits, which are recognised as expenses in the current period, but represent an obligation to pay cash in a future period.  Another difference arises through the inclusion (in accrued expenses) of purchases made, or obligations incurred, where the associated bill/invoice will not be paid during the current year.  Further, accrued expenses exclude payments which relate to purchases or obligations incurred in the previous year, although the cash payments may be paid in the current year.  Similar to income, expenses include non-cash transactions, such as revaluations, and the recognition of depreciation against certain assets.</w:t>
      </w:r>
    </w:p>
    <w:p w:rsidR="00C65A4A" w:rsidRDefault="00C65A4A" w:rsidP="00C65A4A">
      <w:pPr>
        <w:pStyle w:val="Heading3"/>
      </w:pPr>
      <w:r>
        <w:t>Controlled/Territorial Separation of Disclosure</w:t>
      </w:r>
    </w:p>
    <w:p w:rsidR="00C65A4A" w:rsidRDefault="00C65A4A" w:rsidP="00C65A4A">
      <w:pPr>
        <w:pStyle w:val="BodyText"/>
      </w:pPr>
      <w:r>
        <w:t>A key feature of the accrual model used by the Territory is the separation of Controlled activities from Territorial activities.  Each agency’s budget distinguishes between these in its financial statement.</w:t>
      </w:r>
    </w:p>
    <w:p w:rsidR="00C65A4A" w:rsidRDefault="00C65A4A" w:rsidP="00C65A4A">
      <w:pPr>
        <w:pStyle w:val="BodyText"/>
      </w:pPr>
      <w:r>
        <w:t>Controlled activities are those related to the delivery of agreed outputs of directorates and other agencies for which there is agreed funding by the appropriation type ‘payments for outputs’.  By separately reporting on these items from other activities, the performance of the directorate/agency in delivering the agreed outputs can be seen.</w:t>
      </w:r>
    </w:p>
    <w:p w:rsidR="00C65A4A" w:rsidRDefault="00C65A4A" w:rsidP="00C65A4A">
      <w:pPr>
        <w:pStyle w:val="BodyText"/>
      </w:pPr>
      <w:r>
        <w:t xml:space="preserve">Territorial activities are the other activities of directorates, which are administered on behalf of the Territory, including administering Commonwealth Government grants and the collection of taxes, fees and fines for the Territory.  </w:t>
      </w:r>
    </w:p>
    <w:p w:rsidR="00C65A4A" w:rsidRDefault="00C65A4A" w:rsidP="00C65A4A">
      <w:pPr>
        <w:pStyle w:val="BodyText"/>
      </w:pPr>
      <w:r>
        <w:t>Controlled and Territorial activities are separately appropriated.</w:t>
      </w:r>
    </w:p>
    <w:p w:rsidR="00C65A4A" w:rsidRDefault="00C65A4A" w:rsidP="00C65A4A">
      <w:pPr>
        <w:pStyle w:val="BodyText"/>
      </w:pPr>
      <w:r>
        <w:lastRenderedPageBreak/>
        <w:t xml:space="preserve">The split of Controlled and Territorial activities allows for accountability and performance analysis to be more accurate and meaningful.  Territorial payments and revenues are typically determined by Government, and payment or assessment processing is handled by the relevant directorate.  The amounts of payments or revenues may vary significantly without reflecting on </w:t>
      </w:r>
      <w:r w:rsidR="008450D5">
        <w:t xml:space="preserve">the </w:t>
      </w:r>
      <w:r>
        <w:t>operational performance of the directorate.</w:t>
      </w:r>
    </w:p>
    <w:p w:rsidR="00C65A4A" w:rsidRDefault="00C65A4A" w:rsidP="00C65A4A">
      <w:pPr>
        <w:pStyle w:val="BodyText"/>
      </w:pPr>
      <w:r>
        <w:t>The separate recording of these Territorial items allows readers to focus on the expenses, revenues, assets and liabilities involved in the delivery of outputs to establish the effectiveness of directorates’ performance in the delivery of outcomes.  Directors-General have a direct role in the level of resources applied to, and costs incurred in, delivering outputs.  Similarly, they have greater control over the level of charges applying to consumers of the outputs.</w:t>
      </w:r>
    </w:p>
    <w:p w:rsidR="00C65A4A" w:rsidRDefault="00C65A4A" w:rsidP="00C65A4A">
      <w:pPr>
        <w:pStyle w:val="Heading3TopofPage"/>
      </w:pPr>
      <w:r>
        <w:t>Bank Accounts</w:t>
      </w:r>
    </w:p>
    <w:p w:rsidR="00C65A4A" w:rsidRDefault="00C65A4A" w:rsidP="00C65A4A">
      <w:pPr>
        <w:pStyle w:val="BodyText"/>
      </w:pPr>
      <w:r>
        <w:t>Agencies operate their own bank accounts and are paid on a progressive basis in accordance with the delivery o</w:t>
      </w:r>
      <w:r w:rsidR="009D34E7">
        <w:t>f their outputs.  By contrast, R</w:t>
      </w:r>
      <w:r>
        <w:t xml:space="preserve">evenue collected on </w:t>
      </w:r>
      <w:r w:rsidR="009D34E7">
        <w:t>B</w:t>
      </w:r>
      <w:r>
        <w:t>ehalf of the Territory (RBT) by agencies is transferred to the Territory Banking Account on a regular basis.</w:t>
      </w:r>
    </w:p>
    <w:p w:rsidR="00C65A4A" w:rsidRDefault="00C65A4A" w:rsidP="00C65A4A">
      <w:pPr>
        <w:pStyle w:val="BodyText"/>
      </w:pPr>
      <w:r>
        <w:t>The 201</w:t>
      </w:r>
      <w:r w:rsidR="00401273">
        <w:t>3</w:t>
      </w:r>
      <w:r>
        <w:noBreakHyphen/>
        <w:t>1</w:t>
      </w:r>
      <w:r w:rsidR="00401273">
        <w:t>4</w:t>
      </w:r>
      <w:r>
        <w:t xml:space="preserve"> Budget was developed using the same arrangements applying to cash management practices as in previous budgets.  A key aspect of the arrangements is the requirement for directorates to return cash surplus</w:t>
      </w:r>
      <w:r w:rsidR="008450D5">
        <w:t>es</w:t>
      </w:r>
      <w:r>
        <w:t xml:space="preserve"> back to </w:t>
      </w:r>
      <w:r w:rsidR="008450D5">
        <w:t xml:space="preserve">the </w:t>
      </w:r>
      <w:r>
        <w:t xml:space="preserve">Government.  As directorates no longer hold surplus cash, directorates will generally not have a need to </w:t>
      </w:r>
      <w:r w:rsidRPr="007B54F8">
        <w:t>invest surplus funds with the Territory Banking Account.  The changed cash management arrangements do no</w:t>
      </w:r>
      <w:r w:rsidR="008450D5">
        <w:t>t impact the cash operations of</w:t>
      </w:r>
      <w:r w:rsidRPr="007B54F8">
        <w:t xml:space="preserve"> Territory authorities or Territory</w:t>
      </w:r>
      <w:r w:rsidRPr="007B54F8">
        <w:noBreakHyphen/>
        <w:t>owned Corporations (TOCs).</w:t>
      </w:r>
    </w:p>
    <w:p w:rsidR="00C65A4A" w:rsidRPr="00704ABF" w:rsidRDefault="00C65A4A" w:rsidP="00C65A4A">
      <w:pPr>
        <w:pStyle w:val="BodyText"/>
      </w:pPr>
      <w:r w:rsidRPr="00704ABF">
        <w:t xml:space="preserve">In relation to the </w:t>
      </w:r>
      <w:r w:rsidR="009D34E7">
        <w:t>Local Hospital Network Directorate (</w:t>
      </w:r>
      <w:r w:rsidRPr="00704ABF">
        <w:t>LHN</w:t>
      </w:r>
      <w:r w:rsidR="009D34E7">
        <w:t>)</w:t>
      </w:r>
      <w:r w:rsidRPr="00704ABF">
        <w:t xml:space="preserve">, under the </w:t>
      </w:r>
      <w:r w:rsidR="009D34E7" w:rsidRPr="000A0BAC">
        <w:rPr>
          <w:i/>
        </w:rPr>
        <w:t>National</w:t>
      </w:r>
      <w:r w:rsidR="00503731">
        <w:rPr>
          <w:i/>
        </w:rPr>
        <w:t xml:space="preserve"> </w:t>
      </w:r>
      <w:r w:rsidR="009D34E7" w:rsidRPr="000A0BAC">
        <w:rPr>
          <w:i/>
        </w:rPr>
        <w:t>Health</w:t>
      </w:r>
      <w:r w:rsidR="00503731">
        <w:rPr>
          <w:i/>
        </w:rPr>
        <w:t xml:space="preserve"> </w:t>
      </w:r>
      <w:r w:rsidR="009D34E7" w:rsidRPr="000A0BAC">
        <w:rPr>
          <w:i/>
        </w:rPr>
        <w:t>Reform</w:t>
      </w:r>
      <w:r w:rsidR="00503731">
        <w:rPr>
          <w:i/>
        </w:rPr>
        <w:t xml:space="preserve"> </w:t>
      </w:r>
      <w:r w:rsidR="009D34E7" w:rsidRPr="00762CF5">
        <w:rPr>
          <w:i/>
        </w:rPr>
        <w:t xml:space="preserve">Agreement </w:t>
      </w:r>
      <w:r w:rsidR="009D34E7" w:rsidRPr="00762CF5">
        <w:t>(NHRA</w:t>
      </w:r>
      <w:r w:rsidR="009D34E7">
        <w:t>)</w:t>
      </w:r>
      <w:r w:rsidRPr="00704ABF">
        <w:t>, the Commonwealth Government will contribute 45 per cent of growth funding for public hospital expenditure for all States and Territories based on an Activity Based Funding (ABF) mechanism.  Consistent with the NHRA, the ACT LHN will maintain two bank accounts to receive funding, a State Pool Account (SPA) held at the Reserve Bank of Australia (RBA) and a State Managed Fund Account (SMFA).</w:t>
      </w:r>
    </w:p>
    <w:p w:rsidR="00C65A4A" w:rsidRPr="007B54F8" w:rsidRDefault="00C65A4A" w:rsidP="00C65A4A">
      <w:pPr>
        <w:pStyle w:val="BodyText"/>
      </w:pPr>
      <w:r w:rsidRPr="00704ABF">
        <w:t>The ACT LHN will “purchase” services from the four public hospitals and manage the SPA and the SMFA to collect payments from the Commonwealth, the ACT and other jurisdictions. The ACT LHN will control both bank accounts to minimise the number of funding transfers between the ACT LHN and the Health Directorate.</w:t>
      </w:r>
    </w:p>
    <w:p w:rsidR="00C65A4A" w:rsidRDefault="00C65A4A" w:rsidP="00C65A4A">
      <w:pPr>
        <w:pStyle w:val="Heading3"/>
        <w:spacing w:before="200"/>
      </w:pPr>
      <w:r>
        <w:t>Central Finances of the Government</w:t>
      </w:r>
    </w:p>
    <w:p w:rsidR="00C65A4A" w:rsidRDefault="00C65A4A" w:rsidP="00C65A4A">
      <w:pPr>
        <w:pStyle w:val="BodyText"/>
      </w:pPr>
      <w:r>
        <w:t>The central finances of the Government are managed through a separate whole of government bank account, named the ‘Territory Banking Account’, which is administered and reported as a Territorial activity.</w:t>
      </w:r>
    </w:p>
    <w:p w:rsidR="00C65A4A" w:rsidRDefault="00C65A4A" w:rsidP="00C65A4A">
      <w:pPr>
        <w:pStyle w:val="Heading3"/>
      </w:pPr>
      <w:r>
        <w:t>Outputs Basis of Budget Management</w:t>
      </w:r>
    </w:p>
    <w:p w:rsidR="00C65A4A" w:rsidRDefault="00C65A4A" w:rsidP="00C65A4A">
      <w:pPr>
        <w:pStyle w:val="BodyText"/>
      </w:pPr>
      <w:r>
        <w:t>There is an explicit linkage between the outcomes desired by Government and the outputs chosen to achieve those outcomes at an agreed level of funding.  The budget structure and monitoring that occurs throughout the financial year targets the delivery of outputs against an agreed level of funding.</w:t>
      </w:r>
    </w:p>
    <w:p w:rsidR="00B5497A" w:rsidRDefault="00B5497A">
      <w:pPr>
        <w:rPr>
          <w:rFonts w:ascii="Arial" w:hAnsi="Arial" w:cs="Arial"/>
          <w:b/>
          <w:bCs/>
          <w:szCs w:val="26"/>
        </w:rPr>
      </w:pPr>
      <w:r>
        <w:br w:type="page"/>
      </w:r>
    </w:p>
    <w:p w:rsidR="00C65A4A" w:rsidRDefault="00C65A4A" w:rsidP="00C65A4A">
      <w:pPr>
        <w:pStyle w:val="Heading3"/>
      </w:pPr>
      <w:r>
        <w:lastRenderedPageBreak/>
        <w:t xml:space="preserve">Appropriation Types </w:t>
      </w:r>
    </w:p>
    <w:p w:rsidR="00C65A4A" w:rsidRDefault="00C65A4A" w:rsidP="00C65A4A">
      <w:pPr>
        <w:pStyle w:val="BodyText"/>
      </w:pPr>
      <w:r>
        <w:t xml:space="preserve">Section 8 of the </w:t>
      </w:r>
      <w:r>
        <w:rPr>
          <w:i/>
          <w:iCs/>
        </w:rPr>
        <w:t>Financial Management Act 1996</w:t>
      </w:r>
      <w:r>
        <w:t xml:space="preserve"> establishes three types of appropriation.</w:t>
      </w:r>
    </w:p>
    <w:p w:rsidR="00C65A4A" w:rsidRDefault="00C65A4A" w:rsidP="00C65A4A">
      <w:pPr>
        <w:pStyle w:val="Sub-Heading"/>
        <w:spacing w:before="200"/>
      </w:pPr>
      <w:r>
        <w:t>Payments for Outputs</w:t>
      </w:r>
    </w:p>
    <w:p w:rsidR="00C65A4A" w:rsidRDefault="00C65A4A" w:rsidP="00C65A4A">
      <w:pPr>
        <w:pStyle w:val="BodyText"/>
      </w:pPr>
      <w:r>
        <w:t>Payment for Outputs is shown as revenue to an agency.  It represents the level of funding agreed to be paid by Government for the delivery of a range of goods and services defined as outputs in the Budget Papers.</w:t>
      </w:r>
    </w:p>
    <w:p w:rsidR="00C65A4A" w:rsidRDefault="00C65A4A" w:rsidP="00C65A4A">
      <w:pPr>
        <w:pStyle w:val="BodyText"/>
      </w:pPr>
      <w:r>
        <w:t>The full cost of providing a service may be financed partly by sales to third parties defined as ‘user charge’ revenues.  Generally, where a service is provided to other agencies, those agencies show the receipt of that service as an input cost to their own output(s) and pay for that service with funds generated from their ‘payment for outputs’ or ‘user charge’ revenues.</w:t>
      </w:r>
    </w:p>
    <w:p w:rsidR="00C65A4A" w:rsidRDefault="00C65A4A" w:rsidP="00C65A4A">
      <w:pPr>
        <w:pStyle w:val="Sub-Heading"/>
        <w:spacing w:before="200"/>
      </w:pPr>
      <w:r>
        <w:t>Capital Injections</w:t>
      </w:r>
    </w:p>
    <w:p w:rsidR="00C65A4A" w:rsidRDefault="00C65A4A" w:rsidP="00C65A4A">
      <w:pPr>
        <w:pStyle w:val="BodyText"/>
      </w:pPr>
      <w:r>
        <w:t>Capital injections are used to increase the capital base of an agency, and may be used to:</w:t>
      </w:r>
    </w:p>
    <w:p w:rsidR="00C65A4A" w:rsidRDefault="00C65A4A" w:rsidP="0095590A">
      <w:pPr>
        <w:pStyle w:val="BodyTextIndent"/>
        <w:numPr>
          <w:ilvl w:val="0"/>
          <w:numId w:val="1"/>
        </w:numPr>
      </w:pPr>
      <w:r>
        <w:t>purchase assets;</w:t>
      </w:r>
    </w:p>
    <w:p w:rsidR="00C65A4A" w:rsidRDefault="00C65A4A" w:rsidP="0095590A">
      <w:pPr>
        <w:pStyle w:val="BodyTextIndent"/>
        <w:numPr>
          <w:ilvl w:val="0"/>
          <w:numId w:val="1"/>
        </w:numPr>
      </w:pPr>
      <w:r>
        <w:t>develop assets;</w:t>
      </w:r>
    </w:p>
    <w:p w:rsidR="00C65A4A" w:rsidRDefault="00C65A4A" w:rsidP="0095590A">
      <w:pPr>
        <w:pStyle w:val="BodyTextIndent"/>
        <w:numPr>
          <w:ilvl w:val="0"/>
          <w:numId w:val="1"/>
        </w:numPr>
      </w:pPr>
      <w:r>
        <w:t xml:space="preserve">augment assets; or </w:t>
      </w:r>
    </w:p>
    <w:p w:rsidR="00C65A4A" w:rsidRDefault="00C65A4A" w:rsidP="0095590A">
      <w:pPr>
        <w:pStyle w:val="BodyTextIndent"/>
        <w:numPr>
          <w:ilvl w:val="0"/>
          <w:numId w:val="1"/>
        </w:numPr>
      </w:pPr>
      <w:r>
        <w:t>reduce liabilities.</w:t>
      </w:r>
    </w:p>
    <w:p w:rsidR="00C65A4A" w:rsidRDefault="00C65A4A" w:rsidP="00C65A4A">
      <w:pPr>
        <w:pStyle w:val="BodyText"/>
      </w:pPr>
      <w:r>
        <w:t>Capital injections are issued as either equity injections or repayable loans.  The latter are effectively a working capital advance which must be repaid.  The Budget Papers must disclose any repayable capital injections and the conditions under which the injection is given (for example repayment timeframes, interest rate</w:t>
      </w:r>
      <w:r w:rsidR="002C1F3D">
        <w:t>,</w:t>
      </w:r>
      <w:r>
        <w:t xml:space="preserve"> principal and interest repayments).  All repayable injections are reflected in the relevant agency as a liability, while the Territory Banking Account discloses them as a loans receivable.</w:t>
      </w:r>
    </w:p>
    <w:p w:rsidR="00C65A4A" w:rsidRDefault="00C65A4A" w:rsidP="00C65A4A">
      <w:pPr>
        <w:pStyle w:val="Sub-Heading"/>
      </w:pPr>
      <w:r>
        <w:t>Expenses on Behalf of the Territory (EBT)</w:t>
      </w:r>
    </w:p>
    <w:p w:rsidR="00C65A4A" w:rsidRDefault="00C65A4A" w:rsidP="00C65A4A">
      <w:pPr>
        <w:pStyle w:val="BodyText"/>
      </w:pPr>
      <w:r>
        <w:t>This category represents Territorial (administered) expenses, which the Government appropriates for payment of grants, subsidies and transfer payments.</w:t>
      </w:r>
    </w:p>
    <w:p w:rsidR="001F3070" w:rsidRDefault="001F3070" w:rsidP="00C65A4A">
      <w:pPr>
        <w:pStyle w:val="Heading3"/>
      </w:pPr>
    </w:p>
    <w:p w:rsidR="00C65A4A" w:rsidRDefault="00C65A4A" w:rsidP="00C65A4A">
      <w:pPr>
        <w:pStyle w:val="Heading3"/>
      </w:pPr>
      <w:r>
        <w:t>Capital Works</w:t>
      </w:r>
    </w:p>
    <w:p w:rsidR="00C65A4A" w:rsidRDefault="00C65A4A" w:rsidP="00C65A4A">
      <w:pPr>
        <w:pStyle w:val="BodyText"/>
      </w:pPr>
      <w:r>
        <w:t>In terms of budgeting, the capital works or asset acquisition program can be funded in a number of ways.  Initially, an agency seeking to increase its physical asset base should examine its internal funding capability, then alternative funding sources such as debt, capital injection or public private p</w:t>
      </w:r>
      <w:r w:rsidRPr="00572CB2">
        <w:t>artnerships</w:t>
      </w:r>
      <w:r>
        <w:t>.  Capital works activities may also include the planning of future capital works, such as feasibility studies, which may be funded through payments for output.</w:t>
      </w:r>
    </w:p>
    <w:p w:rsidR="00C65A4A" w:rsidRDefault="00C65A4A" w:rsidP="00C65A4A">
      <w:pPr>
        <w:pStyle w:val="BodyText"/>
      </w:pPr>
      <w:r>
        <w:t>Capital works proposals are examined for their projected contribution to the Government’s desired outcomes and to the delivery of outputs.  A whole of life projection is required for the impact on the directorate operating results and balance sheet position.</w:t>
      </w:r>
    </w:p>
    <w:p w:rsidR="00B5497A" w:rsidRDefault="00B5497A">
      <w:pPr>
        <w:rPr>
          <w:rFonts w:ascii="Arial" w:hAnsi="Arial" w:cs="Arial"/>
          <w:b/>
          <w:bCs/>
          <w:szCs w:val="26"/>
        </w:rPr>
      </w:pPr>
      <w:r>
        <w:br w:type="page"/>
      </w:r>
    </w:p>
    <w:p w:rsidR="00C65A4A" w:rsidRDefault="00C65A4A" w:rsidP="00C65A4A">
      <w:pPr>
        <w:pStyle w:val="Heading3"/>
      </w:pPr>
      <w:r>
        <w:lastRenderedPageBreak/>
        <w:t>Format of the Territory’s Budget Financial Statements</w:t>
      </w:r>
    </w:p>
    <w:p w:rsidR="00C65A4A" w:rsidRDefault="00C65A4A" w:rsidP="00C65A4A">
      <w:pPr>
        <w:pStyle w:val="BodyText"/>
      </w:pPr>
      <w:r>
        <w:t>The Territory’s financial interest is reflected in the consolidated budget and consolidated financial statements of all directorates, Territory authorities and T</w:t>
      </w:r>
      <w:r w:rsidR="00B00708">
        <w:t>OCs</w:t>
      </w:r>
      <w:r>
        <w:t>.</w:t>
      </w:r>
    </w:p>
    <w:p w:rsidR="00C65A4A" w:rsidRDefault="00C65A4A" w:rsidP="00C65A4A">
      <w:pPr>
        <w:pStyle w:val="BodyText"/>
      </w:pPr>
      <w:r>
        <w:t xml:space="preserve">Normal accrual accounting principles apply to the consolidation of the individual agency budgets into the </w:t>
      </w:r>
      <w:smartTag w:uri="urn:schemas-microsoft-com:office:smarttags" w:element="place">
        <w:smartTag w:uri="urn:schemas-microsoft-com:office:smarttags" w:element="PlaceName">
          <w:smartTag w:uri="urn:schemas-microsoft-com:office:smarttags" w:element="Street">
            <w:r>
              <w:t>Total</w:t>
            </w:r>
          </w:smartTag>
        </w:smartTag>
        <w:r>
          <w:t xml:space="preserve"> </w:t>
        </w:r>
        <w:smartTag w:uri="urn:schemas-microsoft-com:office:smarttags" w:element="PlaceType">
          <w:r>
            <w:t>Territory</w:t>
          </w:r>
        </w:smartTag>
      </w:smartTag>
      <w:r>
        <w:t xml:space="preserve"> statements.  Internal trading transactions between components of the whole of Territory are eliminated during the consolidation process, as are the internal trading transactions between trading elements within a directorate or with another entity within </w:t>
      </w:r>
      <w:r w:rsidR="00644228">
        <w:t xml:space="preserve">the ACT </w:t>
      </w:r>
      <w:r>
        <w:t>Government.</w:t>
      </w:r>
    </w:p>
    <w:p w:rsidR="00C65A4A" w:rsidRDefault="00C65A4A" w:rsidP="00C65A4A">
      <w:pPr>
        <w:pStyle w:val="BodyText"/>
      </w:pPr>
      <w:r>
        <w:t>Eliminations of internal trading are necessary in order to accurately reflect the interaction between each budget or reporting entity and other external entities.  Failure to eliminate these transactions results in double counting, resulting in an inflated level of activity of the entity in relation to other external entities.  On the balance sheet, failure to eliminate internal trading will result in an incorrect level of payables, receivables, investments and borrowings.  This includes, for instance, the level of debt owed by the Territory.  Internal debt created by one agency lending to another within the Territory is offset by an internal r</w:t>
      </w:r>
      <w:r w:rsidR="00503731">
        <w:t>eceivable and has no impact on t</w:t>
      </w:r>
      <w:r>
        <w:t>otal Territory debt.</w:t>
      </w:r>
    </w:p>
    <w:p w:rsidR="00C65A4A" w:rsidRDefault="00C65A4A" w:rsidP="00C65A4A">
      <w:pPr>
        <w:pStyle w:val="BodyText"/>
      </w:pPr>
      <w:r>
        <w:t>Total Territory consolidation is split between the GGS and PTEs.  The appropriate eliminations are also made in reporting these sectors, firstly within the sector (that is intra</w:t>
      </w:r>
      <w:r>
        <w:noBreakHyphen/>
        <w:t>GGS and intra</w:t>
      </w:r>
      <w:r>
        <w:noBreakHyphen/>
        <w:t>PTE eliminations) and secondly between the two sectors (that is between the GGS and PTE sectors).</w:t>
      </w:r>
    </w:p>
    <w:p w:rsidR="00C65A4A" w:rsidRDefault="00C65A4A" w:rsidP="002C1063">
      <w:pPr>
        <w:pStyle w:val="Sub-Heading"/>
      </w:pPr>
      <w:r>
        <w:t>Financial Statement Presentation</w:t>
      </w:r>
    </w:p>
    <w:p w:rsidR="00C65A4A" w:rsidRDefault="00C65A4A" w:rsidP="00C65A4A">
      <w:pPr>
        <w:pStyle w:val="BodyText"/>
      </w:pPr>
      <w:r>
        <w:t>The format of the Territory’s financial statements is different from agency financial statements.  The Territory’s whole of government format aligns financial reporting with t</w:t>
      </w:r>
      <w:r w:rsidR="00B00708">
        <w:t>he GFS</w:t>
      </w:r>
      <w:r>
        <w:t xml:space="preserve"> format used in the Uniform Presentation Framework (UPF).  This format is considered to be a more suitable presentation for whole of government financial reporting, more informative for readers and more readily facilitates comparison with other jurisdictions.</w:t>
      </w:r>
    </w:p>
    <w:p w:rsidR="00C65A4A" w:rsidRDefault="00C65A4A" w:rsidP="00C65A4A">
      <w:pPr>
        <w:pStyle w:val="BodyText"/>
      </w:pPr>
      <w:r>
        <w:t>The key differences between whole of government financial statements and agency statements include:</w:t>
      </w:r>
    </w:p>
    <w:p w:rsidR="00C65A4A" w:rsidRDefault="00C65A4A" w:rsidP="0095590A">
      <w:pPr>
        <w:pStyle w:val="BodyTextIndent"/>
        <w:numPr>
          <w:ilvl w:val="0"/>
          <w:numId w:val="1"/>
        </w:numPr>
      </w:pPr>
      <w:r>
        <w:t xml:space="preserve">The whole of government Operating Statement classifies transactions as </w:t>
      </w:r>
      <w:proofErr w:type="gramStart"/>
      <w:r>
        <w:t>either revenue</w:t>
      </w:r>
      <w:proofErr w:type="gramEnd"/>
      <w:r>
        <w:t>, expenses or other economic flows.</w:t>
      </w:r>
    </w:p>
    <w:p w:rsidR="00C65A4A" w:rsidRDefault="00AE3891" w:rsidP="00C65A4A">
      <w:pPr>
        <w:pStyle w:val="BodyTextIndent2"/>
        <w:tabs>
          <w:tab w:val="clear" w:pos="717"/>
        </w:tabs>
        <w:ind w:left="714" w:hanging="357"/>
      </w:pPr>
      <w:proofErr w:type="gramStart"/>
      <w:r>
        <w:t>r</w:t>
      </w:r>
      <w:r w:rsidR="00C65A4A">
        <w:t>evenue</w:t>
      </w:r>
      <w:proofErr w:type="gramEnd"/>
      <w:r w:rsidR="00C65A4A">
        <w:t xml:space="preserve"> and expenses result from mutually agreed transactions between two parties.</w:t>
      </w:r>
    </w:p>
    <w:p w:rsidR="00C65A4A" w:rsidRDefault="00AE3891" w:rsidP="00C65A4A">
      <w:pPr>
        <w:pStyle w:val="BodyTextIndent2"/>
        <w:tabs>
          <w:tab w:val="clear" w:pos="717"/>
        </w:tabs>
        <w:ind w:left="714" w:hanging="357"/>
      </w:pPr>
      <w:proofErr w:type="gramStart"/>
      <w:r>
        <w:t>o</w:t>
      </w:r>
      <w:r w:rsidR="00C65A4A">
        <w:t>ther</w:t>
      </w:r>
      <w:proofErr w:type="gramEnd"/>
      <w:r w:rsidR="00C65A4A">
        <w:t xml:space="preserve"> Economic Flows result from changes in the volume or value of assets or liabilities resulting from revaluations, net gains on the sale of assets or liabilities and non-mutual bad debts written off.</w:t>
      </w:r>
    </w:p>
    <w:p w:rsidR="00C65A4A" w:rsidRDefault="00C65A4A" w:rsidP="0095590A">
      <w:pPr>
        <w:pStyle w:val="BodyTextIndent"/>
        <w:numPr>
          <w:ilvl w:val="0"/>
          <w:numId w:val="1"/>
        </w:numPr>
      </w:pPr>
      <w:r>
        <w:t>The UPF Net Operating Balance is a GFS concept that is calculated as the difference between revenue and expenses result</w:t>
      </w:r>
      <w:r w:rsidR="002C1F3D">
        <w:t>ing</w:t>
      </w:r>
      <w:r>
        <w:t xml:space="preserve"> from transactions.  </w:t>
      </w:r>
      <w:r w:rsidR="002C1F3D">
        <w:t xml:space="preserve">This </w:t>
      </w:r>
      <w:r>
        <w:t xml:space="preserve">measure </w:t>
      </w:r>
      <w:r w:rsidR="002C1F3D">
        <w:t>excludes asset sales and investment gains</w:t>
      </w:r>
      <w:r>
        <w:t>.</w:t>
      </w:r>
    </w:p>
    <w:p w:rsidR="00EF459E" w:rsidRDefault="00C65A4A" w:rsidP="00EF459E">
      <w:pPr>
        <w:pStyle w:val="BodyTextIndent"/>
        <w:numPr>
          <w:ilvl w:val="0"/>
          <w:numId w:val="1"/>
        </w:numPr>
      </w:pPr>
      <w:r>
        <w:lastRenderedPageBreak/>
        <w:t xml:space="preserve">The Headline Net Operating Balance is the UPF Net Operating Balance plus expected long term superannuation investment earnings.  </w:t>
      </w:r>
      <w:r w:rsidR="00EF459E" w:rsidRPr="00B852A4">
        <w:t xml:space="preserve">The measure takes into account the full impact of the </w:t>
      </w:r>
      <w:r w:rsidR="00EF459E">
        <w:t xml:space="preserve">long term </w:t>
      </w:r>
      <w:r w:rsidR="00EF459E" w:rsidRPr="00B852A4">
        <w:t xml:space="preserve">expected earnings on assets dedicated to fund and support the </w:t>
      </w:r>
      <w:r w:rsidR="00EF459E">
        <w:t xml:space="preserve">accruing </w:t>
      </w:r>
      <w:r w:rsidR="00EF459E" w:rsidRPr="00B852A4">
        <w:t xml:space="preserve">costs associated with servicing the Government’s </w:t>
      </w:r>
      <w:r w:rsidR="00EF459E">
        <w:t xml:space="preserve">long term </w:t>
      </w:r>
      <w:r w:rsidR="00EF459E" w:rsidRPr="00B852A4">
        <w:t>defined superannuation obligations.</w:t>
      </w:r>
      <w:r w:rsidR="00EF459E">
        <w:t xml:space="preserve">  S</w:t>
      </w:r>
      <w:r w:rsidR="00EF459E" w:rsidRPr="00EF459E">
        <w:t xml:space="preserve">uperannuation expenses will be paid over the next forty to sixty years.  The Government’s superannuation investments held in the Superannuation Provision Account (SPA) are to fund these future cash payments.  </w:t>
      </w:r>
      <w:r w:rsidR="00EF459E">
        <w:t xml:space="preserve">The inclusion of the full amount of the long term investment earnings is necessary to provide an accurate assessment of the longer term sustainability of the budget position.  </w:t>
      </w:r>
    </w:p>
    <w:p w:rsidR="00C65A4A" w:rsidRDefault="00C65A4A" w:rsidP="0095590A">
      <w:pPr>
        <w:pStyle w:val="BodyTextIndent"/>
        <w:numPr>
          <w:ilvl w:val="0"/>
          <w:numId w:val="1"/>
        </w:numPr>
      </w:pPr>
      <w:r>
        <w:t>The Operating Result recognises the change in a government’s net worth as a result of both transactions and other economic flows, excluding those reflected directly in equity.</w:t>
      </w:r>
    </w:p>
    <w:p w:rsidR="00C65A4A" w:rsidRDefault="00AE3891" w:rsidP="00C65A4A">
      <w:pPr>
        <w:pStyle w:val="BodyTextIndent2"/>
        <w:tabs>
          <w:tab w:val="clear" w:pos="717"/>
        </w:tabs>
        <w:ind w:left="714" w:hanging="357"/>
      </w:pPr>
      <w:proofErr w:type="gramStart"/>
      <w:r>
        <w:t>f</w:t>
      </w:r>
      <w:r w:rsidR="00C65A4A">
        <w:t>or</w:t>
      </w:r>
      <w:proofErr w:type="gramEnd"/>
      <w:r w:rsidR="00C65A4A">
        <w:t xml:space="preserve"> the Territory, the key differences between the UPF Net Operating Balance and the Operating Result are significant land sales, net gains on the sale of non financial assets and net gains on financial assets held to fund future superannuation payments.</w:t>
      </w:r>
    </w:p>
    <w:p w:rsidR="00C65A4A" w:rsidRDefault="00C65A4A" w:rsidP="0095590A">
      <w:pPr>
        <w:pStyle w:val="BodyTextIndent"/>
        <w:numPr>
          <w:ilvl w:val="0"/>
          <w:numId w:val="1"/>
        </w:numPr>
      </w:pPr>
      <w:r>
        <w:t>Total Comprehensive Income serves as a</w:t>
      </w:r>
      <w:r w:rsidRPr="001D42DD">
        <w:t xml:space="preserve"> measure of the total change in value of the agency during a financial year arising from revenue, expenses and both realised and unrealised movements in the valuation of assets and liabilities.  Total Comprehensive Income is the equivalent to the increase or decrease in Net Assets during the financial year.</w:t>
      </w:r>
    </w:p>
    <w:p w:rsidR="00C65A4A" w:rsidRPr="001D42DD" w:rsidRDefault="00C65A4A" w:rsidP="0095590A">
      <w:pPr>
        <w:pStyle w:val="BodyTextIndent"/>
        <w:numPr>
          <w:ilvl w:val="0"/>
          <w:numId w:val="1"/>
        </w:numPr>
      </w:pPr>
      <w:r>
        <w:t xml:space="preserve">The </w:t>
      </w:r>
      <w:r w:rsidRPr="000E6634">
        <w:t xml:space="preserve">Net </w:t>
      </w:r>
      <w:r>
        <w:t>L</w:t>
      </w:r>
      <w:r w:rsidRPr="000E6634">
        <w:t>ending/(</w:t>
      </w:r>
      <w:r>
        <w:t>B</w:t>
      </w:r>
      <w:r w:rsidRPr="000E6634">
        <w:t>orrowing)</w:t>
      </w:r>
      <w:r>
        <w:t xml:space="preserve"> position represents</w:t>
      </w:r>
      <w:r w:rsidRPr="000E6634">
        <w:t xml:space="preserve"> </w:t>
      </w:r>
      <w:r>
        <w:t>t</w:t>
      </w:r>
      <w:r w:rsidRPr="001D42DD">
        <w:t>he financing requirement of government, calculated as the net operating balance less the net acquisition of non</w:t>
      </w:r>
      <w:r w:rsidR="00B00708">
        <w:noBreakHyphen/>
      </w:r>
      <w:proofErr w:type="spellStart"/>
      <w:r w:rsidRPr="001D42DD">
        <w:t>financial</w:t>
      </w:r>
      <w:proofErr w:type="spellEnd"/>
      <w:r w:rsidRPr="001D42DD">
        <w:t xml:space="preserve"> assets.  It also equals transactions in financial assets less transactions in liabilities.  A positive result reflects a net lending position and a negative result reflects a net borrowing position.</w:t>
      </w:r>
    </w:p>
    <w:p w:rsidR="00C65A4A" w:rsidRDefault="00C65A4A" w:rsidP="0095590A">
      <w:pPr>
        <w:pStyle w:val="BodyTextIndent"/>
        <w:numPr>
          <w:ilvl w:val="0"/>
          <w:numId w:val="1"/>
        </w:numPr>
      </w:pPr>
      <w:r>
        <w:t>The whole of government Balance Sheet is presented on a liquidity basis rather than t</w:t>
      </w:r>
      <w:r w:rsidR="00EF459E">
        <w:t>he more traditional current/</w:t>
      </w:r>
      <w:proofErr w:type="spellStart"/>
      <w:r w:rsidR="00EF459E">
        <w:t xml:space="preserve">non </w:t>
      </w:r>
      <w:r>
        <w:t>current</w:t>
      </w:r>
      <w:proofErr w:type="spellEnd"/>
      <w:r>
        <w:t xml:space="preserve"> classifications.</w:t>
      </w:r>
    </w:p>
    <w:p w:rsidR="00451669" w:rsidRDefault="00C65A4A" w:rsidP="000D4AC8">
      <w:pPr>
        <w:pStyle w:val="Heading3"/>
      </w:pPr>
      <w:r>
        <w:br w:type="page"/>
      </w:r>
    </w:p>
    <w:p w:rsidR="000D4AC8" w:rsidRDefault="000D4AC8" w:rsidP="000D4AC8">
      <w:pPr>
        <w:pStyle w:val="Heading3"/>
      </w:pPr>
      <w:r>
        <w:lastRenderedPageBreak/>
        <w:t>Agency Budget Statements</w:t>
      </w:r>
    </w:p>
    <w:p w:rsidR="000D4AC8" w:rsidRDefault="00452A06" w:rsidP="000D4AC8">
      <w:pPr>
        <w:pStyle w:val="BodyText"/>
      </w:pPr>
      <w:r>
        <w:t xml:space="preserve">The agency budget statements contained in </w:t>
      </w:r>
      <w:r w:rsidR="000D4AC8">
        <w:t xml:space="preserve">Budget Paper </w:t>
      </w:r>
      <w:r w:rsidR="00FE4498">
        <w:t>No.</w:t>
      </w:r>
      <w:r w:rsidR="000D4AC8">
        <w:t xml:space="preserve"> 4 provi</w:t>
      </w:r>
      <w:r>
        <w:t>de</w:t>
      </w:r>
      <w:r w:rsidR="000D4AC8">
        <w:t xml:space="preserve"> details of each agency’s purpose and priorities, performance indicators, financial statements and changes to appropriation for the current and upcoming financial years</w:t>
      </w:r>
      <w:r w:rsidR="006D4791">
        <w:t xml:space="preserve"> </w:t>
      </w:r>
      <w:r w:rsidR="000D4AC8">
        <w:t>and the forward estimates period (each of the following three years after the upcoming financial year).</w:t>
      </w:r>
    </w:p>
    <w:p w:rsidR="000D4AC8" w:rsidRDefault="000D4AC8" w:rsidP="000D4AC8">
      <w:pPr>
        <w:pStyle w:val="BodyText"/>
      </w:pPr>
      <w:r>
        <w:t>Agency chapters provide detail on what the agency intends to achieve, how performance will be measured and the cost of providing services to the community.  Financial statements and accompanying notes are included at the back of each agency’s chapter.</w:t>
      </w:r>
      <w:r w:rsidR="00452A06">
        <w:t xml:space="preserve">  </w:t>
      </w:r>
      <w:r>
        <w:t xml:space="preserve">More specifically readers </w:t>
      </w:r>
      <w:r w:rsidR="00452A06">
        <w:t xml:space="preserve">are provided with the following </w:t>
      </w:r>
      <w:r>
        <w:t>agency information:</w:t>
      </w:r>
    </w:p>
    <w:p w:rsidR="000D4AC8" w:rsidRDefault="000D4AC8" w:rsidP="000D4AC8">
      <w:pPr>
        <w:pStyle w:val="BodyTextIndent"/>
        <w:numPr>
          <w:ilvl w:val="0"/>
          <w:numId w:val="1"/>
        </w:numPr>
      </w:pPr>
      <w:r>
        <w:t>Purpose;</w:t>
      </w:r>
    </w:p>
    <w:p w:rsidR="000D4AC8" w:rsidRDefault="000D4AC8" w:rsidP="000D4AC8">
      <w:pPr>
        <w:pStyle w:val="BodyTextIndent"/>
        <w:numPr>
          <w:ilvl w:val="0"/>
          <w:numId w:val="1"/>
        </w:numPr>
      </w:pPr>
      <w:r>
        <w:t xml:space="preserve">Priorities for the </w:t>
      </w:r>
      <w:r w:rsidR="006D4791">
        <w:t xml:space="preserve">Budget </w:t>
      </w:r>
      <w:r>
        <w:t>Year;</w:t>
      </w:r>
    </w:p>
    <w:p w:rsidR="000D4AC8" w:rsidRDefault="000D4AC8" w:rsidP="000D4AC8">
      <w:pPr>
        <w:pStyle w:val="BodyTextIndent"/>
        <w:numPr>
          <w:ilvl w:val="0"/>
          <w:numId w:val="1"/>
        </w:numPr>
      </w:pPr>
      <w:r>
        <w:t>Business and Corporate Strategies;</w:t>
      </w:r>
    </w:p>
    <w:p w:rsidR="000D4AC8" w:rsidRDefault="000D4AC8" w:rsidP="000D4AC8">
      <w:pPr>
        <w:pStyle w:val="BodyTextIndent"/>
        <w:numPr>
          <w:ilvl w:val="0"/>
          <w:numId w:val="1"/>
        </w:numPr>
      </w:pPr>
      <w:r>
        <w:t>Estimated Employment Level;</w:t>
      </w:r>
    </w:p>
    <w:p w:rsidR="000D4AC8" w:rsidRDefault="000D4AC8" w:rsidP="000D4AC8">
      <w:pPr>
        <w:pStyle w:val="BodyTextIndent"/>
        <w:numPr>
          <w:ilvl w:val="0"/>
          <w:numId w:val="1"/>
        </w:numPr>
      </w:pPr>
      <w:r>
        <w:t>Strategic Objectives and Indicators;</w:t>
      </w:r>
    </w:p>
    <w:p w:rsidR="000D4AC8" w:rsidRDefault="000D4AC8" w:rsidP="000D4AC8">
      <w:pPr>
        <w:pStyle w:val="BodyTextIndent"/>
        <w:numPr>
          <w:ilvl w:val="0"/>
          <w:numId w:val="1"/>
        </w:numPr>
      </w:pPr>
      <w:r>
        <w:t>Output Classes;</w:t>
      </w:r>
    </w:p>
    <w:p w:rsidR="000D4AC8" w:rsidRDefault="000D4AC8" w:rsidP="000D4AC8">
      <w:pPr>
        <w:pStyle w:val="BodyTextIndent"/>
        <w:numPr>
          <w:ilvl w:val="0"/>
          <w:numId w:val="1"/>
        </w:numPr>
      </w:pPr>
      <w:r>
        <w:t>Accountability Indicators;</w:t>
      </w:r>
    </w:p>
    <w:p w:rsidR="000D4AC8" w:rsidRDefault="000D4AC8" w:rsidP="000D4AC8">
      <w:pPr>
        <w:pStyle w:val="BodyTextIndent"/>
        <w:numPr>
          <w:ilvl w:val="0"/>
          <w:numId w:val="1"/>
        </w:numPr>
      </w:pPr>
      <w:r>
        <w:t>Changes to Appropriation;</w:t>
      </w:r>
    </w:p>
    <w:p w:rsidR="000D4AC8" w:rsidRDefault="000D4AC8" w:rsidP="000D4AC8">
      <w:pPr>
        <w:pStyle w:val="BodyTextIndent"/>
        <w:numPr>
          <w:ilvl w:val="0"/>
          <w:numId w:val="1"/>
        </w:numPr>
      </w:pPr>
      <w:r>
        <w:t xml:space="preserve">Capital Works Program for the Budget year and forward estimate period; and </w:t>
      </w:r>
    </w:p>
    <w:p w:rsidR="000D4AC8" w:rsidRDefault="000D4AC8" w:rsidP="000D4AC8">
      <w:pPr>
        <w:pStyle w:val="BodyTextIndent"/>
        <w:numPr>
          <w:ilvl w:val="0"/>
          <w:numId w:val="1"/>
        </w:numPr>
      </w:pPr>
      <w:r>
        <w:t>Financial Statements by Agency</w:t>
      </w:r>
      <w:r w:rsidR="00B00708">
        <w:t xml:space="preserve"> (Controlled/Territorial)</w:t>
      </w:r>
      <w:r>
        <w:t xml:space="preserve"> and Output (including detailed notes to the statements). </w:t>
      </w:r>
    </w:p>
    <w:p w:rsidR="000D4AC8" w:rsidRDefault="000D4AC8" w:rsidP="000D4AC8">
      <w:pPr>
        <w:pStyle w:val="Sub-Heading"/>
      </w:pPr>
      <w:r>
        <w:t>Purpose</w:t>
      </w:r>
    </w:p>
    <w:p w:rsidR="000D4AC8" w:rsidRDefault="000D4AC8" w:rsidP="000D4AC8">
      <w:pPr>
        <w:pStyle w:val="BodyText"/>
      </w:pPr>
      <w:r>
        <w:t>Provides a brief overview of an agency’s key service delivery responsibilities, intentions for the coming year and long-term goals for the agency.</w:t>
      </w:r>
    </w:p>
    <w:p w:rsidR="000D4AC8" w:rsidRDefault="000D4AC8" w:rsidP="000D4AC8">
      <w:pPr>
        <w:pStyle w:val="Sub-Heading"/>
      </w:pPr>
      <w:r>
        <w:t xml:space="preserve">Priorities for the </w:t>
      </w:r>
      <w:r w:rsidR="006D4791">
        <w:t xml:space="preserve">Budget </w:t>
      </w:r>
      <w:r>
        <w:t>Year</w:t>
      </w:r>
    </w:p>
    <w:p w:rsidR="000D4AC8" w:rsidRDefault="000D4AC8" w:rsidP="000D4AC8">
      <w:pPr>
        <w:pStyle w:val="BodyText"/>
      </w:pPr>
      <w:r>
        <w:t>Provides a brief overview of key strategies and operational priorities for the upcoming financial year for the agency.  It takes into account any new initiatives and capital investment.</w:t>
      </w:r>
    </w:p>
    <w:p w:rsidR="000D4AC8" w:rsidRDefault="000D4AC8" w:rsidP="000D4AC8">
      <w:pPr>
        <w:pStyle w:val="Sub-Heading"/>
      </w:pPr>
      <w:r>
        <w:t>Business and Corporate Strategies</w:t>
      </w:r>
    </w:p>
    <w:p w:rsidR="000D4AC8" w:rsidRDefault="000D4AC8" w:rsidP="000D4AC8">
      <w:pPr>
        <w:pStyle w:val="BodyText"/>
      </w:pPr>
      <w:r>
        <w:t>Outlines the key strategies the agency intends to employ to fulfil its purpose, achieve its objectives, priorities and efficiency measures, and manage business and financial risks.</w:t>
      </w:r>
    </w:p>
    <w:p w:rsidR="000D4AC8" w:rsidRDefault="000D4AC8" w:rsidP="000D4AC8">
      <w:pPr>
        <w:pStyle w:val="Sub-Heading"/>
      </w:pPr>
      <w:r>
        <w:t>Estimated Employment Levels</w:t>
      </w:r>
    </w:p>
    <w:p w:rsidR="000D4AC8" w:rsidRDefault="000D4AC8" w:rsidP="000D4AC8">
      <w:pPr>
        <w:pStyle w:val="BodyText"/>
      </w:pPr>
      <w:r>
        <w:t>Provides agency projected staffing numb</w:t>
      </w:r>
      <w:r w:rsidR="00B00708">
        <w:t>ers with the prior year actual</w:t>
      </w:r>
      <w:r>
        <w:t xml:space="preserve"> numbers</w:t>
      </w:r>
      <w:r w:rsidR="00965C38">
        <w:t>,</w:t>
      </w:r>
      <w:r>
        <w:t xml:space="preserve"> </w:t>
      </w:r>
      <w:r w:rsidR="00B00708">
        <w:t xml:space="preserve">the current year’s budgeted and </w:t>
      </w:r>
      <w:r>
        <w:t>estimated numbers</w:t>
      </w:r>
      <w:r w:rsidR="00965C38">
        <w:t xml:space="preserve"> and the budget numbers for the upcoming financial year</w:t>
      </w:r>
      <w:r>
        <w:t>.  Employment levels are represented in terms of full</w:t>
      </w:r>
      <w:r>
        <w:noBreakHyphen/>
        <w:t>time equivalent numbers which is a measure of labour resources employed in the delivery of services to the community.</w:t>
      </w:r>
    </w:p>
    <w:p w:rsidR="000D4AC8" w:rsidRDefault="000D4AC8" w:rsidP="000D4AC8">
      <w:pPr>
        <w:pStyle w:val="Sub-Heading"/>
      </w:pPr>
      <w:r>
        <w:lastRenderedPageBreak/>
        <w:t>Strategic Objectives and Indicators</w:t>
      </w:r>
    </w:p>
    <w:p w:rsidR="000D4AC8" w:rsidRDefault="000D4AC8" w:rsidP="000D4AC8">
      <w:pPr>
        <w:pStyle w:val="BodyText"/>
      </w:pPr>
      <w:r>
        <w:t xml:space="preserve">Performance indicators are aimed at measuring the Government’s performance against longer-term strategic objectives and outcomes which impact upon the community.  </w:t>
      </w:r>
      <w:r w:rsidR="00A87195">
        <w:t xml:space="preserve">Although agencies hold some accountability for performance, external factors may influence results.  These indicators are not subject to audit.  </w:t>
      </w:r>
      <w:r>
        <w:t>Provided below are two examples of strategic indicators for the Community Services Directorate and Justice and Community Safety Directorate.</w:t>
      </w:r>
    </w:p>
    <w:p w:rsidR="000D4AC8" w:rsidRDefault="000D4AC8" w:rsidP="00B666AA">
      <w:pPr>
        <w:pStyle w:val="Heading3"/>
        <w:spacing w:before="120"/>
      </w:pPr>
      <w:r>
        <w:t>Example 1</w:t>
      </w:r>
    </w:p>
    <w:p w:rsidR="000D4AC8" w:rsidRDefault="000D4AC8" w:rsidP="00B666AA">
      <w:pPr>
        <w:pStyle w:val="SIHeading1"/>
        <w:spacing w:before="0"/>
      </w:pPr>
      <w:r>
        <w:t>Community Services Directorate</w:t>
      </w:r>
    </w:p>
    <w:p w:rsidR="000D4AC8" w:rsidRDefault="000D4AC8" w:rsidP="000D4AC8">
      <w:pPr>
        <w:pStyle w:val="SIHeading1"/>
        <w:spacing w:before="0"/>
      </w:pPr>
      <w:r>
        <w:t>Strategic Objective 1:</w:t>
      </w:r>
    </w:p>
    <w:p w:rsidR="000D4AC8" w:rsidRPr="0034595D" w:rsidRDefault="00CD33AC" w:rsidP="00B666AA">
      <w:pPr>
        <w:pStyle w:val="SIHeading2"/>
        <w:rPr>
          <w:rFonts w:cs="Arial"/>
        </w:rPr>
      </w:pPr>
      <w:r w:rsidRPr="00CD33AC">
        <w:rPr>
          <w:noProof/>
        </w:rPr>
        <w:pict>
          <v:line id="_x0000_s1200" style="position:absolute;left:0;text-align:left;flip:y;z-index:251689984" from="-22.95pt,5.8pt" to="-22.95pt,154.95pt"/>
        </w:pict>
      </w:r>
      <w:r w:rsidRPr="00CD33AC">
        <w:rPr>
          <w:noProof/>
        </w:rPr>
        <w:pict>
          <v:line id="_x0000_s1199" style="position:absolute;left:0;text-align:left;z-index:251688960" from="-22.95pt,5.8pt" to="0,5.8pt">
            <v:stroke endarrow="block"/>
          </v:line>
        </w:pict>
      </w:r>
      <w:r w:rsidR="000D4AC8">
        <w:t>Provide Services to Strengthen the Capaci</w:t>
      </w:r>
      <w:r w:rsidR="00B666AA">
        <w:t xml:space="preserve">ty of People with Disabilities, </w:t>
      </w:r>
      <w:r w:rsidR="000D4AC8">
        <w:t xml:space="preserve">their Families and </w:t>
      </w:r>
      <w:r w:rsidR="000D4AC8" w:rsidRPr="0034595D">
        <w:rPr>
          <w:rFonts w:cs="Arial"/>
        </w:rPr>
        <w:t>Carers to Ma</w:t>
      </w:r>
      <w:r w:rsidR="00FE4498">
        <w:rPr>
          <w:rFonts w:cs="Arial"/>
        </w:rPr>
        <w:t>ximise Control over their Lives</w:t>
      </w:r>
    </w:p>
    <w:p w:rsidR="0034595D" w:rsidRPr="0034595D" w:rsidRDefault="0034595D" w:rsidP="0034595D">
      <w:pPr>
        <w:pStyle w:val="BodyText"/>
        <w:spacing w:before="0" w:after="0"/>
        <w:rPr>
          <w:rFonts w:ascii="Arial" w:hAnsi="Arial" w:cs="Arial"/>
          <w:sz w:val="20"/>
        </w:rPr>
      </w:pPr>
      <w:r w:rsidRPr="0034595D">
        <w:rPr>
          <w:rFonts w:ascii="Arial" w:hAnsi="Arial" w:cs="Arial"/>
          <w:b/>
          <w:sz w:val="20"/>
        </w:rPr>
        <w:t>Strategic Indicator 1:</w:t>
      </w:r>
      <w:r w:rsidRPr="0034595D">
        <w:rPr>
          <w:rFonts w:ascii="Arial" w:hAnsi="Arial" w:cs="Arial"/>
          <w:sz w:val="20"/>
        </w:rPr>
        <w:t xml:space="preserve"> Number of Service Users by Service Type Accessed</w:t>
      </w:r>
    </w:p>
    <w:tbl>
      <w:tblPr>
        <w:tblW w:w="8946" w:type="dxa"/>
        <w:tblLayout w:type="fixed"/>
        <w:tblCellMar>
          <w:left w:w="0" w:type="dxa"/>
          <w:right w:w="0" w:type="dxa"/>
        </w:tblCellMar>
        <w:tblLook w:val="0000"/>
      </w:tblPr>
      <w:tblGrid>
        <w:gridCol w:w="4335"/>
        <w:gridCol w:w="1170"/>
        <w:gridCol w:w="1170"/>
        <w:gridCol w:w="1170"/>
        <w:gridCol w:w="1101"/>
      </w:tblGrid>
      <w:tr w:rsidR="000D4AC8" w:rsidTr="00E825DE">
        <w:tc>
          <w:tcPr>
            <w:tcW w:w="4335" w:type="dxa"/>
            <w:tcBorders>
              <w:top w:val="single" w:sz="4" w:space="0" w:color="auto"/>
              <w:left w:val="nil"/>
              <w:bottom w:val="nil"/>
              <w:right w:val="nil"/>
            </w:tcBorders>
            <w:noWrap/>
            <w:tcMar>
              <w:top w:w="15" w:type="dxa"/>
              <w:left w:w="15" w:type="dxa"/>
              <w:bottom w:w="0" w:type="dxa"/>
              <w:right w:w="15" w:type="dxa"/>
            </w:tcMar>
            <w:vAlign w:val="bottom"/>
          </w:tcPr>
          <w:p w:rsidR="000D4AC8" w:rsidRDefault="000D4AC8" w:rsidP="00E825DE">
            <w:pPr>
              <w:spacing w:before="40" w:after="40"/>
              <w:rPr>
                <w:rFonts w:eastAsia="Arial Unicode MS"/>
                <w:b/>
                <w:bCs/>
                <w:sz w:val="18"/>
                <w:szCs w:val="18"/>
              </w:rPr>
            </w:pPr>
            <w:r>
              <w:rPr>
                <w:b/>
                <w:bCs/>
                <w:sz w:val="18"/>
                <w:szCs w:val="18"/>
              </w:rPr>
              <w:t> </w:t>
            </w:r>
          </w:p>
        </w:tc>
        <w:tc>
          <w:tcPr>
            <w:tcW w:w="1170" w:type="dxa"/>
            <w:tcBorders>
              <w:top w:val="single" w:sz="4" w:space="0" w:color="auto"/>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rPr>
                <w:rFonts w:eastAsia="Arial Unicode MS"/>
              </w:rPr>
              <w:t>Budget Year</w:t>
            </w:r>
          </w:p>
        </w:tc>
        <w:tc>
          <w:tcPr>
            <w:tcW w:w="1170" w:type="dxa"/>
            <w:tcBorders>
              <w:top w:val="single" w:sz="4" w:space="0" w:color="auto"/>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Fwd Year 1</w:t>
            </w:r>
          </w:p>
        </w:tc>
        <w:tc>
          <w:tcPr>
            <w:tcW w:w="1170" w:type="dxa"/>
            <w:tcBorders>
              <w:top w:val="single" w:sz="4" w:space="0" w:color="auto"/>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rPr>
                <w:rFonts w:eastAsia="Arial Unicode MS"/>
              </w:rPr>
              <w:t>Fwd Year 2</w:t>
            </w:r>
          </w:p>
        </w:tc>
        <w:tc>
          <w:tcPr>
            <w:tcW w:w="1101" w:type="dxa"/>
            <w:tcBorders>
              <w:top w:val="single" w:sz="4" w:space="0" w:color="auto"/>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rPr>
                <w:rFonts w:eastAsia="Arial Unicode MS"/>
              </w:rPr>
              <w:t>Fwd Year 3</w:t>
            </w:r>
          </w:p>
        </w:tc>
      </w:tr>
      <w:tr w:rsidR="000D4AC8" w:rsidTr="00E825DE">
        <w:tc>
          <w:tcPr>
            <w:tcW w:w="4335" w:type="dxa"/>
            <w:tcBorders>
              <w:top w:val="nil"/>
              <w:left w:val="nil"/>
              <w:bottom w:val="nil"/>
              <w:right w:val="nil"/>
            </w:tcBorders>
            <w:noWrap/>
            <w:tcMar>
              <w:top w:w="15" w:type="dxa"/>
              <w:left w:w="15" w:type="dxa"/>
              <w:bottom w:w="0" w:type="dxa"/>
              <w:right w:w="15" w:type="dxa"/>
            </w:tcMar>
            <w:vAlign w:val="bottom"/>
          </w:tcPr>
          <w:p w:rsidR="000D4AC8" w:rsidRDefault="000D4AC8" w:rsidP="00E825DE">
            <w:pPr>
              <w:spacing w:before="40" w:after="40"/>
              <w:rPr>
                <w:rFonts w:eastAsia="Arial Unicode MS"/>
                <w:b/>
                <w:bCs/>
                <w:sz w:val="18"/>
                <w:szCs w:val="18"/>
              </w:rPr>
            </w:pPr>
          </w:p>
        </w:tc>
        <w:tc>
          <w:tcPr>
            <w:tcW w:w="1170" w:type="dxa"/>
            <w:tcBorders>
              <w:top w:val="nil"/>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Estimate</w:t>
            </w:r>
          </w:p>
        </w:tc>
        <w:tc>
          <w:tcPr>
            <w:tcW w:w="1170" w:type="dxa"/>
            <w:tcBorders>
              <w:top w:val="nil"/>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Estimate</w:t>
            </w:r>
          </w:p>
        </w:tc>
        <w:tc>
          <w:tcPr>
            <w:tcW w:w="1170" w:type="dxa"/>
            <w:tcBorders>
              <w:top w:val="nil"/>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Estimate</w:t>
            </w:r>
          </w:p>
        </w:tc>
        <w:tc>
          <w:tcPr>
            <w:tcW w:w="1101" w:type="dxa"/>
            <w:tcBorders>
              <w:top w:val="nil"/>
              <w:left w:val="nil"/>
              <w:bottom w:val="nil"/>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Estimate</w:t>
            </w:r>
          </w:p>
        </w:tc>
      </w:tr>
      <w:tr w:rsidR="000D4AC8" w:rsidTr="00B666AA">
        <w:tc>
          <w:tcPr>
            <w:tcW w:w="4335" w:type="dxa"/>
            <w:tcBorders>
              <w:top w:val="nil"/>
              <w:left w:val="nil"/>
              <w:bottom w:val="single" w:sz="4" w:space="0" w:color="auto"/>
              <w:right w:val="nil"/>
            </w:tcBorders>
            <w:noWrap/>
            <w:tcMar>
              <w:top w:w="15" w:type="dxa"/>
              <w:left w:w="15" w:type="dxa"/>
              <w:bottom w:w="0" w:type="dxa"/>
              <w:right w:w="15" w:type="dxa"/>
            </w:tcMar>
            <w:vAlign w:val="bottom"/>
          </w:tcPr>
          <w:p w:rsidR="000D4AC8" w:rsidRDefault="000D4AC8" w:rsidP="00E825DE">
            <w:pPr>
              <w:spacing w:before="40" w:after="40"/>
              <w:rPr>
                <w:rFonts w:eastAsia="Arial Unicode MS"/>
                <w:b/>
                <w:bCs/>
                <w:sz w:val="18"/>
                <w:szCs w:val="18"/>
              </w:rPr>
            </w:pPr>
          </w:p>
        </w:tc>
        <w:tc>
          <w:tcPr>
            <w:tcW w:w="1170" w:type="dxa"/>
            <w:tcBorders>
              <w:top w:val="nil"/>
              <w:left w:val="nil"/>
              <w:bottom w:val="single" w:sz="4" w:space="0" w:color="auto"/>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No.</w:t>
            </w:r>
          </w:p>
        </w:tc>
        <w:tc>
          <w:tcPr>
            <w:tcW w:w="1170" w:type="dxa"/>
            <w:tcBorders>
              <w:top w:val="nil"/>
              <w:left w:val="nil"/>
              <w:bottom w:val="single" w:sz="4" w:space="0" w:color="auto"/>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No.</w:t>
            </w:r>
          </w:p>
        </w:tc>
        <w:tc>
          <w:tcPr>
            <w:tcW w:w="1170" w:type="dxa"/>
            <w:tcBorders>
              <w:top w:val="nil"/>
              <w:left w:val="nil"/>
              <w:bottom w:val="single" w:sz="4" w:space="0" w:color="auto"/>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No.</w:t>
            </w:r>
          </w:p>
        </w:tc>
        <w:tc>
          <w:tcPr>
            <w:tcW w:w="1101" w:type="dxa"/>
            <w:tcBorders>
              <w:top w:val="nil"/>
              <w:left w:val="nil"/>
              <w:bottom w:val="single" w:sz="4" w:space="0" w:color="auto"/>
              <w:right w:val="nil"/>
            </w:tcBorders>
            <w:noWrap/>
            <w:tcMar>
              <w:top w:w="15" w:type="dxa"/>
              <w:left w:w="15" w:type="dxa"/>
              <w:bottom w:w="0" w:type="dxa"/>
              <w:right w:w="15" w:type="dxa"/>
            </w:tcMar>
            <w:vAlign w:val="bottom"/>
          </w:tcPr>
          <w:p w:rsidR="000D4AC8" w:rsidRDefault="000D4AC8" w:rsidP="00E825DE">
            <w:pPr>
              <w:pStyle w:val="TableTextHeading1"/>
              <w:spacing w:before="40" w:after="40"/>
              <w:rPr>
                <w:rFonts w:eastAsia="Arial Unicode MS"/>
              </w:rPr>
            </w:pPr>
            <w:r>
              <w:t>No.</w:t>
            </w:r>
          </w:p>
        </w:tc>
      </w:tr>
      <w:tr w:rsidR="000D4AC8" w:rsidTr="00B666AA">
        <w:trPr>
          <w:trHeight w:val="399"/>
        </w:trPr>
        <w:tc>
          <w:tcPr>
            <w:tcW w:w="4335" w:type="dxa"/>
            <w:tcBorders>
              <w:top w:val="single" w:sz="4" w:space="0" w:color="auto"/>
              <w:left w:val="nil"/>
              <w:bottom w:val="single" w:sz="4" w:space="0" w:color="auto"/>
              <w:right w:val="nil"/>
            </w:tcBorders>
            <w:noWrap/>
            <w:tcMar>
              <w:top w:w="15" w:type="dxa"/>
              <w:left w:w="15" w:type="dxa"/>
              <w:bottom w:w="0" w:type="dxa"/>
              <w:right w:w="15" w:type="dxa"/>
            </w:tcMar>
          </w:tcPr>
          <w:p w:rsidR="000D4AC8" w:rsidRDefault="00CD33AC" w:rsidP="00E825DE">
            <w:pPr>
              <w:rPr>
                <w:sz w:val="18"/>
                <w:szCs w:val="18"/>
              </w:rPr>
            </w:pPr>
            <w:r w:rsidRPr="00CD33AC">
              <w:rPr>
                <w:noProof/>
                <w:sz w:val="18"/>
              </w:rPr>
              <w:pict>
                <v:line id="_x0000_s1183" style="position:absolute;flip:x y;z-index:251674624;mso-position-horizontal-relative:text;mso-position-vertical-relative:text" from="192.9pt,11.1pt" to="261.5pt,42pt">
                  <v:stroke endarrow="block"/>
                </v:line>
              </w:pict>
            </w:r>
            <w:r w:rsidR="000D4AC8">
              <w:rPr>
                <w:sz w:val="18"/>
              </w:rPr>
              <w:t>Nu</w:t>
            </w:r>
            <w:r w:rsidR="000D4AC8">
              <w:rPr>
                <w:sz w:val="18"/>
                <w:szCs w:val="18"/>
              </w:rPr>
              <w:t>mber of Service Users by Service Type Accessed</w:t>
            </w:r>
          </w:p>
        </w:tc>
        <w:tc>
          <w:tcPr>
            <w:tcW w:w="1170" w:type="dxa"/>
            <w:tcBorders>
              <w:top w:val="single" w:sz="4" w:space="0" w:color="auto"/>
              <w:left w:val="nil"/>
              <w:bottom w:val="single" w:sz="4" w:space="0" w:color="auto"/>
              <w:right w:val="nil"/>
            </w:tcBorders>
            <w:noWrap/>
            <w:tcMar>
              <w:top w:w="15" w:type="dxa"/>
              <w:left w:w="15" w:type="dxa"/>
              <w:bottom w:w="0" w:type="dxa"/>
              <w:right w:w="15" w:type="dxa"/>
            </w:tcMar>
          </w:tcPr>
          <w:p w:rsidR="000D4AC8" w:rsidRPr="00122F04" w:rsidRDefault="0034595D" w:rsidP="00E825DE">
            <w:pPr>
              <w:pStyle w:val="AITableText"/>
              <w:rPr>
                <w:rFonts w:eastAsia="Arial Unicode MS"/>
                <w:sz w:val="18"/>
              </w:rPr>
            </w:pPr>
            <w:r>
              <w:rPr>
                <w:sz w:val="18"/>
              </w:rPr>
              <w:t>4,260</w:t>
            </w:r>
          </w:p>
        </w:tc>
        <w:tc>
          <w:tcPr>
            <w:tcW w:w="1170" w:type="dxa"/>
            <w:tcBorders>
              <w:top w:val="single" w:sz="4" w:space="0" w:color="auto"/>
              <w:left w:val="nil"/>
              <w:bottom w:val="single" w:sz="4" w:space="0" w:color="auto"/>
              <w:right w:val="nil"/>
            </w:tcBorders>
            <w:noWrap/>
            <w:tcMar>
              <w:top w:w="15" w:type="dxa"/>
              <w:left w:w="15" w:type="dxa"/>
              <w:bottom w:w="0" w:type="dxa"/>
              <w:right w:w="15" w:type="dxa"/>
            </w:tcMar>
          </w:tcPr>
          <w:p w:rsidR="000D4AC8" w:rsidRPr="00122F04" w:rsidRDefault="0034595D" w:rsidP="00E825DE">
            <w:pPr>
              <w:pStyle w:val="AITableText"/>
              <w:rPr>
                <w:rFonts w:eastAsia="Arial Unicode MS"/>
                <w:sz w:val="18"/>
              </w:rPr>
            </w:pPr>
            <w:r>
              <w:rPr>
                <w:rFonts w:eastAsia="Arial Unicode MS"/>
                <w:sz w:val="18"/>
              </w:rPr>
              <w:t>4,300</w:t>
            </w:r>
          </w:p>
        </w:tc>
        <w:tc>
          <w:tcPr>
            <w:tcW w:w="1170" w:type="dxa"/>
            <w:tcBorders>
              <w:top w:val="single" w:sz="4" w:space="0" w:color="auto"/>
              <w:left w:val="nil"/>
              <w:bottom w:val="single" w:sz="4" w:space="0" w:color="auto"/>
              <w:right w:val="nil"/>
            </w:tcBorders>
            <w:noWrap/>
            <w:tcMar>
              <w:top w:w="15" w:type="dxa"/>
              <w:left w:w="15" w:type="dxa"/>
              <w:bottom w:w="0" w:type="dxa"/>
              <w:right w:w="15" w:type="dxa"/>
            </w:tcMar>
          </w:tcPr>
          <w:p w:rsidR="000D4AC8" w:rsidRPr="00122F04" w:rsidRDefault="0034595D" w:rsidP="00E825DE">
            <w:pPr>
              <w:pStyle w:val="AITableText"/>
              <w:rPr>
                <w:rFonts w:eastAsia="Arial Unicode MS"/>
                <w:sz w:val="18"/>
              </w:rPr>
            </w:pPr>
            <w:r>
              <w:rPr>
                <w:rFonts w:eastAsia="Arial Unicode MS"/>
                <w:sz w:val="18"/>
              </w:rPr>
              <w:t>4,340</w:t>
            </w:r>
          </w:p>
        </w:tc>
        <w:tc>
          <w:tcPr>
            <w:tcW w:w="1101" w:type="dxa"/>
            <w:tcBorders>
              <w:top w:val="single" w:sz="4" w:space="0" w:color="auto"/>
              <w:left w:val="nil"/>
              <w:bottom w:val="single" w:sz="4" w:space="0" w:color="auto"/>
              <w:right w:val="nil"/>
            </w:tcBorders>
            <w:noWrap/>
            <w:tcMar>
              <w:top w:w="15" w:type="dxa"/>
              <w:left w:w="15" w:type="dxa"/>
              <w:bottom w:w="0" w:type="dxa"/>
              <w:right w:w="15" w:type="dxa"/>
            </w:tcMar>
          </w:tcPr>
          <w:p w:rsidR="000D4AC8" w:rsidRPr="00122F04" w:rsidRDefault="0034595D" w:rsidP="0034595D">
            <w:pPr>
              <w:pStyle w:val="AITableText"/>
              <w:rPr>
                <w:rFonts w:eastAsia="Arial Unicode MS"/>
                <w:sz w:val="18"/>
              </w:rPr>
            </w:pPr>
            <w:r>
              <w:rPr>
                <w:sz w:val="18"/>
              </w:rPr>
              <w:t>4,380</w:t>
            </w:r>
          </w:p>
        </w:tc>
      </w:tr>
    </w:tbl>
    <w:p w:rsidR="000D4AC8" w:rsidRDefault="00CD33AC" w:rsidP="000D4AC8">
      <w:pPr>
        <w:pStyle w:val="Header"/>
        <w:tabs>
          <w:tab w:val="clear" w:pos="4153"/>
          <w:tab w:val="clear" w:pos="8306"/>
        </w:tabs>
        <w:spacing w:before="180"/>
        <w:rPr>
          <w:rFonts w:ascii="Arial" w:hAnsi="Arial" w:cs="Arial"/>
          <w:b/>
          <w:sz w:val="20"/>
        </w:rPr>
      </w:pPr>
      <w:r w:rsidRPr="00CD33AC">
        <w:rPr>
          <w:rFonts w:ascii="Arial" w:hAnsi="Arial" w:cs="Arial"/>
          <w:b/>
          <w:noProof/>
          <w:kern w:val="28"/>
          <w:sz w:val="20"/>
        </w:rPr>
        <w:pict>
          <v:shapetype id="_x0000_t202" coordsize="21600,21600" o:spt="202" path="m,l,21600r21600,l21600,xe">
            <v:stroke joinstyle="miter"/>
            <v:path gradientshapeok="t" o:connecttype="rect"/>
          </v:shapetype>
          <v:shape id="_x0000_s1205" type="#_x0000_t202" style="position:absolute;margin-left:301.05pt;margin-top:21.55pt;width:2in;height:34.6pt;z-index:251695104;mso-position-horizontal-relative:text;mso-position-vertical-relative:text">
            <v:textbox style="mso-next-textbox:#_x0000_s1205">
              <w:txbxContent>
                <w:p w:rsidR="00451669" w:rsidRDefault="00451669" w:rsidP="000D4AC8">
                  <w:pPr>
                    <w:rPr>
                      <w:sz w:val="20"/>
                    </w:rPr>
                  </w:pPr>
                  <w:r>
                    <w:rPr>
                      <w:sz w:val="20"/>
                    </w:rPr>
                    <w:t>Measure set to reach strategic outcome.</w:t>
                  </w:r>
                </w:p>
              </w:txbxContent>
            </v:textbox>
          </v:shape>
        </w:pict>
      </w:r>
      <w:r>
        <w:rPr>
          <w:rFonts w:ascii="Arial" w:hAnsi="Arial" w:cs="Arial"/>
          <w:b/>
          <w:noProof/>
          <w:sz w:val="20"/>
        </w:rPr>
        <w:pict>
          <v:shape id="_x0000_s1198" type="#_x0000_t202" style="position:absolute;margin-left:148.05pt;margin-top:21.55pt;width:2in;height:34.6pt;z-index:251687936;mso-position-horizontal-relative:text;mso-position-vertical-relative:text">
            <v:textbox style="mso-next-textbox:#_x0000_s1198">
              <w:txbxContent>
                <w:p w:rsidR="00451669" w:rsidRDefault="00451669" w:rsidP="000D4AC8">
                  <w:pPr>
                    <w:rPr>
                      <w:sz w:val="20"/>
                    </w:rPr>
                  </w:pPr>
                  <w:r>
                    <w:rPr>
                      <w:sz w:val="20"/>
                    </w:rPr>
                    <w:t>Indicator of objective.</w:t>
                  </w:r>
                </w:p>
              </w:txbxContent>
            </v:textbox>
          </v:shape>
        </w:pict>
      </w:r>
      <w:r>
        <w:rPr>
          <w:rFonts w:ascii="Arial" w:hAnsi="Arial" w:cs="Arial"/>
          <w:b/>
          <w:noProof/>
          <w:sz w:val="20"/>
        </w:rPr>
        <w:pict>
          <v:shape id="_x0000_s1197" type="#_x0000_t202" style="position:absolute;margin-left:-4.8pt;margin-top:21.55pt;width:2in;height:34.6pt;z-index:251686912;mso-position-horizontal-relative:text;mso-position-vertical-relative:text">
            <v:textbox style="mso-next-textbox:#_x0000_s1197">
              <w:txbxContent>
                <w:p w:rsidR="00451669" w:rsidRDefault="00451669" w:rsidP="000D4AC8">
                  <w:pPr>
                    <w:rPr>
                      <w:sz w:val="20"/>
                    </w:rPr>
                  </w:pPr>
                  <w:r>
                    <w:rPr>
                      <w:sz w:val="20"/>
                    </w:rPr>
                    <w:t>This is the outcome desired i.e. strategic outcome.</w:t>
                  </w:r>
                </w:p>
              </w:txbxContent>
            </v:textbox>
          </v:shape>
        </w:pict>
      </w:r>
      <w:r w:rsidR="000D4AC8">
        <w:rPr>
          <w:rFonts w:ascii="Arial" w:hAnsi="Arial" w:cs="Arial"/>
          <w:b/>
          <w:sz w:val="20"/>
        </w:rPr>
        <w:t>Strategic Objective</w:t>
      </w:r>
      <w:r w:rsidR="000D4AC8">
        <w:rPr>
          <w:rFonts w:ascii="Arial" w:hAnsi="Arial" w:cs="Arial"/>
          <w:b/>
          <w:sz w:val="20"/>
        </w:rPr>
        <w:tab/>
      </w:r>
      <w:r w:rsidR="000D4AC8">
        <w:rPr>
          <w:rFonts w:ascii="Arial" w:hAnsi="Arial" w:cs="Arial"/>
          <w:b/>
          <w:sz w:val="20"/>
        </w:rPr>
        <w:tab/>
        <w:t xml:space="preserve">  Strategic Indicator</w:t>
      </w:r>
    </w:p>
    <w:p w:rsidR="000D4AC8" w:rsidRDefault="000D4AC8" w:rsidP="000D4AC8">
      <w:pPr>
        <w:pStyle w:val="Header"/>
        <w:tabs>
          <w:tab w:val="clear" w:pos="4153"/>
          <w:tab w:val="clear" w:pos="8306"/>
        </w:tabs>
      </w:pPr>
    </w:p>
    <w:p w:rsidR="000D4AC8" w:rsidRDefault="00CD33AC" w:rsidP="000D4AC8">
      <w:pPr>
        <w:pStyle w:val="Header"/>
        <w:tabs>
          <w:tab w:val="clear" w:pos="4153"/>
          <w:tab w:val="clear" w:pos="8306"/>
        </w:tabs>
        <w:rPr>
          <w:rFonts w:ascii="Arial" w:hAnsi="Arial" w:cs="Arial"/>
          <w:b/>
          <w:bCs/>
          <w:sz w:val="26"/>
          <w:szCs w:val="26"/>
        </w:rPr>
      </w:pPr>
      <w:r w:rsidRPr="00CD33AC">
        <w:rPr>
          <w:noProof/>
          <w:sz w:val="20"/>
        </w:rPr>
        <w:pict>
          <v:line id="_x0000_s1186" style="position:absolute;flip:x;z-index:251675648" from="-22.95pt,3.9pt" to="22.05pt,3.9pt"/>
        </w:pict>
      </w:r>
      <w:r w:rsidR="000D4AC8">
        <w:rPr>
          <w:rFonts w:ascii="Arial" w:hAnsi="Arial" w:cs="Arial"/>
          <w:b/>
          <w:bCs/>
          <w:sz w:val="26"/>
          <w:szCs w:val="26"/>
        </w:rPr>
        <w:br/>
      </w:r>
    </w:p>
    <w:p w:rsidR="000D4AC8" w:rsidRDefault="00CD33AC" w:rsidP="000D4AC8">
      <w:pPr>
        <w:pStyle w:val="Header"/>
        <w:tabs>
          <w:tab w:val="clear" w:pos="4153"/>
          <w:tab w:val="clear" w:pos="8306"/>
        </w:tabs>
        <w:rPr>
          <w:rFonts w:ascii="Arial" w:hAnsi="Arial" w:cs="Arial"/>
          <w:b/>
          <w:bCs/>
          <w:sz w:val="26"/>
          <w:szCs w:val="26"/>
        </w:rPr>
      </w:pPr>
      <w:r>
        <w:rPr>
          <w:rFonts w:ascii="Arial" w:hAnsi="Arial" w:cs="Arial"/>
          <w:b/>
          <w:bCs/>
          <w:sz w:val="26"/>
          <w:szCs w:val="26"/>
        </w:rPr>
        <w:pict>
          <v:line id="_x0000_s1201" style="position:absolute;z-index:251691008" from="229.05pt,16.8pt" to="229.05pt,16.8pt">
            <v:stroke endarrow="block"/>
          </v:line>
        </w:pict>
      </w:r>
      <w:r w:rsidR="000D4AC8">
        <w:rPr>
          <w:rFonts w:ascii="Arial" w:hAnsi="Arial" w:cs="Arial"/>
          <w:b/>
          <w:bCs/>
          <w:sz w:val="26"/>
          <w:szCs w:val="26"/>
        </w:rPr>
        <w:t>Example 2</w:t>
      </w:r>
    </w:p>
    <w:p w:rsidR="0034595D" w:rsidRDefault="000D4AC8" w:rsidP="00B666AA">
      <w:pPr>
        <w:pStyle w:val="Header"/>
        <w:tabs>
          <w:tab w:val="clear" w:pos="4153"/>
          <w:tab w:val="clear" w:pos="8306"/>
          <w:tab w:val="left" w:pos="6096"/>
        </w:tabs>
        <w:jc w:val="center"/>
        <w:rPr>
          <w:rFonts w:ascii="Arial" w:hAnsi="Arial"/>
          <w:kern w:val="28"/>
          <w:sz w:val="20"/>
        </w:rPr>
      </w:pPr>
      <w:r>
        <w:rPr>
          <w:rFonts w:ascii="Arial Bold" w:hAnsi="Arial Bold"/>
          <w:b/>
          <w:kern w:val="28"/>
          <w:sz w:val="20"/>
        </w:rPr>
        <w:t>Justice and Community Safety Directorate</w:t>
      </w:r>
      <w:r>
        <w:rPr>
          <w:rFonts w:ascii="Arial Bold" w:hAnsi="Arial Bold"/>
          <w:b/>
          <w:kern w:val="28"/>
          <w:sz w:val="20"/>
        </w:rPr>
        <w:br/>
        <w:t>Strategic Objective 1:</w:t>
      </w:r>
      <w:r w:rsidR="0034595D">
        <w:rPr>
          <w:rFonts w:ascii="Arial" w:hAnsi="Arial"/>
          <w:kern w:val="28"/>
          <w:sz w:val="20"/>
        </w:rPr>
        <w:t xml:space="preserve"> </w:t>
      </w:r>
    </w:p>
    <w:p w:rsidR="00B666AA" w:rsidRDefault="000D4AC8" w:rsidP="00B666AA">
      <w:pPr>
        <w:pStyle w:val="Header"/>
        <w:tabs>
          <w:tab w:val="clear" w:pos="4153"/>
          <w:tab w:val="clear" w:pos="8306"/>
          <w:tab w:val="left" w:pos="6096"/>
        </w:tabs>
        <w:jc w:val="center"/>
        <w:rPr>
          <w:rFonts w:ascii="Arial" w:hAnsi="Arial"/>
          <w:kern w:val="28"/>
          <w:sz w:val="20"/>
        </w:rPr>
      </w:pPr>
      <w:r>
        <w:rPr>
          <w:rFonts w:ascii="Arial" w:hAnsi="Arial"/>
          <w:kern w:val="28"/>
          <w:sz w:val="20"/>
        </w:rPr>
        <w:t>Accessible Justice System</w:t>
      </w:r>
    </w:p>
    <w:p w:rsidR="00AE3891" w:rsidRPr="00B666AA" w:rsidRDefault="00CD33AC" w:rsidP="00AE3891">
      <w:pPr>
        <w:pStyle w:val="Header"/>
        <w:tabs>
          <w:tab w:val="clear" w:pos="4153"/>
          <w:tab w:val="clear" w:pos="8306"/>
          <w:tab w:val="left" w:pos="6096"/>
        </w:tabs>
        <w:spacing w:after="240"/>
        <w:jc w:val="center"/>
        <w:rPr>
          <w:rFonts w:ascii="Arial" w:hAnsi="Arial"/>
          <w:kern w:val="28"/>
          <w:sz w:val="20"/>
        </w:rPr>
      </w:pPr>
      <w:r w:rsidRPr="00CD33AC">
        <w:rPr>
          <w:rFonts w:ascii="Arial Bold" w:hAnsi="Arial Bold"/>
          <w:b/>
          <w:noProof/>
          <w:kern w:val="28"/>
          <w:sz w:val="20"/>
        </w:rPr>
        <w:pict>
          <v:line id="_x0000_s1204" style="position:absolute;left:0;text-align:left;z-index:251694080" from="-22.95pt,15.2pt" to="0,15.2pt">
            <v:stroke endarrow="block"/>
          </v:line>
        </w:pict>
      </w:r>
      <w:r w:rsidRPr="00CD33AC">
        <w:rPr>
          <w:rFonts w:ascii="Arial Bold" w:hAnsi="Arial Bold"/>
          <w:b/>
          <w:noProof/>
          <w:kern w:val="28"/>
          <w:sz w:val="20"/>
        </w:rPr>
        <w:pict>
          <v:line id="_x0000_s1203" style="position:absolute;left:0;text-align:left;flip:y;z-index:251693056" from="-22.95pt,15.2pt" to="-22.95pt,266.85pt"/>
        </w:pict>
      </w:r>
      <w:r w:rsidR="000D4AC8">
        <w:rPr>
          <w:rFonts w:ascii="Arial" w:hAnsi="Arial"/>
          <w:kern w:val="28"/>
          <w:sz w:val="20"/>
        </w:rPr>
        <w:t xml:space="preserve">The ACT </w:t>
      </w:r>
      <w:r w:rsidR="00FE4498">
        <w:rPr>
          <w:rFonts w:ascii="Arial" w:hAnsi="Arial"/>
          <w:kern w:val="28"/>
          <w:sz w:val="20"/>
        </w:rPr>
        <w:t>J</w:t>
      </w:r>
      <w:r w:rsidR="000D4AC8">
        <w:rPr>
          <w:rFonts w:ascii="Arial" w:hAnsi="Arial"/>
          <w:kern w:val="28"/>
          <w:sz w:val="20"/>
        </w:rPr>
        <w:t xml:space="preserve">ustice </w:t>
      </w:r>
      <w:r w:rsidR="00FE4498">
        <w:rPr>
          <w:rFonts w:ascii="Arial" w:hAnsi="Arial"/>
          <w:kern w:val="28"/>
          <w:sz w:val="20"/>
        </w:rPr>
        <w:t>S</w:t>
      </w:r>
      <w:r w:rsidR="000D4AC8">
        <w:rPr>
          <w:rFonts w:ascii="Arial" w:hAnsi="Arial"/>
          <w:kern w:val="28"/>
          <w:sz w:val="20"/>
        </w:rPr>
        <w:t xml:space="preserve">ystem </w:t>
      </w:r>
      <w:r w:rsidR="00FE4498">
        <w:rPr>
          <w:rFonts w:ascii="Arial" w:hAnsi="Arial"/>
          <w:kern w:val="28"/>
          <w:sz w:val="20"/>
        </w:rPr>
        <w:t>S</w:t>
      </w:r>
      <w:r w:rsidR="000D4AC8">
        <w:rPr>
          <w:rFonts w:ascii="Arial" w:hAnsi="Arial"/>
          <w:kern w:val="28"/>
          <w:sz w:val="20"/>
        </w:rPr>
        <w:t xml:space="preserve">eeks to </w:t>
      </w:r>
      <w:r w:rsidR="00FE4498">
        <w:rPr>
          <w:rFonts w:ascii="Arial" w:hAnsi="Arial"/>
          <w:kern w:val="28"/>
          <w:sz w:val="20"/>
        </w:rPr>
        <w:t>E</w:t>
      </w:r>
      <w:r w:rsidR="000D4AC8">
        <w:rPr>
          <w:rFonts w:ascii="Arial" w:hAnsi="Arial"/>
          <w:kern w:val="28"/>
          <w:sz w:val="20"/>
        </w:rPr>
        <w:t xml:space="preserve">nsure </w:t>
      </w:r>
      <w:r w:rsidR="00FE4498">
        <w:rPr>
          <w:rFonts w:ascii="Arial" w:hAnsi="Arial"/>
          <w:kern w:val="28"/>
          <w:sz w:val="20"/>
        </w:rPr>
        <w:t>F</w:t>
      </w:r>
      <w:r w:rsidR="000D4AC8">
        <w:rPr>
          <w:rFonts w:ascii="Arial" w:hAnsi="Arial"/>
          <w:kern w:val="28"/>
          <w:sz w:val="20"/>
        </w:rPr>
        <w:t xml:space="preserve">airness to </w:t>
      </w:r>
      <w:r w:rsidR="00FE4498">
        <w:rPr>
          <w:rFonts w:ascii="Arial" w:hAnsi="Arial"/>
          <w:kern w:val="28"/>
          <w:sz w:val="20"/>
        </w:rPr>
        <w:t>A</w:t>
      </w:r>
      <w:r w:rsidR="000D4AC8">
        <w:rPr>
          <w:rFonts w:ascii="Arial" w:hAnsi="Arial"/>
          <w:kern w:val="28"/>
          <w:sz w:val="20"/>
        </w:rPr>
        <w:t xml:space="preserve">ll </w:t>
      </w:r>
      <w:r w:rsidR="00FE4498">
        <w:rPr>
          <w:rFonts w:ascii="Arial" w:hAnsi="Arial"/>
          <w:kern w:val="28"/>
          <w:sz w:val="20"/>
        </w:rPr>
        <w:t>P</w:t>
      </w:r>
      <w:r w:rsidR="000D4AC8">
        <w:rPr>
          <w:rFonts w:ascii="Arial" w:hAnsi="Arial"/>
          <w:kern w:val="28"/>
          <w:sz w:val="20"/>
        </w:rPr>
        <w:t xml:space="preserve">ersons </w:t>
      </w:r>
      <w:r w:rsidR="00FE4498">
        <w:rPr>
          <w:rFonts w:ascii="Arial" w:hAnsi="Arial"/>
          <w:kern w:val="28"/>
          <w:sz w:val="20"/>
        </w:rPr>
        <w:t>I</w:t>
      </w:r>
      <w:r w:rsidR="000D4AC8">
        <w:rPr>
          <w:rFonts w:ascii="Arial" w:hAnsi="Arial"/>
          <w:kern w:val="28"/>
          <w:sz w:val="20"/>
        </w:rPr>
        <w:t xml:space="preserve">nvolved.  A </w:t>
      </w:r>
      <w:r w:rsidR="00FE4498">
        <w:rPr>
          <w:rFonts w:ascii="Arial" w:hAnsi="Arial"/>
          <w:kern w:val="28"/>
          <w:sz w:val="20"/>
        </w:rPr>
        <w:t>F</w:t>
      </w:r>
      <w:r w:rsidR="000D4AC8">
        <w:rPr>
          <w:rFonts w:ascii="Arial" w:hAnsi="Arial"/>
          <w:kern w:val="28"/>
          <w:sz w:val="20"/>
        </w:rPr>
        <w:t xml:space="preserve">air </w:t>
      </w:r>
      <w:r w:rsidR="00FE4498">
        <w:rPr>
          <w:rFonts w:ascii="Arial" w:hAnsi="Arial"/>
          <w:kern w:val="28"/>
          <w:sz w:val="20"/>
        </w:rPr>
        <w:t>J</w:t>
      </w:r>
      <w:r w:rsidR="000D4AC8">
        <w:rPr>
          <w:rFonts w:ascii="Arial" w:hAnsi="Arial"/>
          <w:kern w:val="28"/>
          <w:sz w:val="20"/>
        </w:rPr>
        <w:t xml:space="preserve">ustice </w:t>
      </w:r>
      <w:r w:rsidR="00FE4498">
        <w:rPr>
          <w:rFonts w:ascii="Arial" w:hAnsi="Arial"/>
          <w:kern w:val="28"/>
          <w:sz w:val="20"/>
        </w:rPr>
        <w:t>S</w:t>
      </w:r>
      <w:r w:rsidR="000D4AC8">
        <w:rPr>
          <w:rFonts w:ascii="Arial" w:hAnsi="Arial"/>
          <w:kern w:val="28"/>
          <w:sz w:val="20"/>
        </w:rPr>
        <w:t xml:space="preserve">ystem is </w:t>
      </w:r>
      <w:r w:rsidR="00FE4498">
        <w:rPr>
          <w:rFonts w:ascii="Arial" w:hAnsi="Arial"/>
          <w:kern w:val="28"/>
          <w:sz w:val="20"/>
        </w:rPr>
        <w:t>A</w:t>
      </w:r>
      <w:r w:rsidR="000D4AC8">
        <w:rPr>
          <w:rFonts w:ascii="Arial" w:hAnsi="Arial"/>
          <w:kern w:val="28"/>
          <w:sz w:val="20"/>
        </w:rPr>
        <w:t xml:space="preserve">ccessible, </w:t>
      </w:r>
      <w:r w:rsidR="00FE4498">
        <w:rPr>
          <w:rFonts w:ascii="Arial" w:hAnsi="Arial"/>
          <w:kern w:val="28"/>
          <w:sz w:val="20"/>
        </w:rPr>
        <w:t>D</w:t>
      </w:r>
      <w:r w:rsidR="000D4AC8">
        <w:rPr>
          <w:rFonts w:ascii="Arial" w:hAnsi="Arial"/>
          <w:kern w:val="28"/>
          <w:sz w:val="20"/>
        </w:rPr>
        <w:t xml:space="preserve">eals </w:t>
      </w:r>
      <w:r w:rsidR="00FE4498">
        <w:rPr>
          <w:rFonts w:ascii="Arial" w:hAnsi="Arial"/>
          <w:kern w:val="28"/>
          <w:sz w:val="20"/>
        </w:rPr>
        <w:t>W</w:t>
      </w:r>
      <w:r w:rsidR="000D4AC8">
        <w:rPr>
          <w:rFonts w:ascii="Arial" w:hAnsi="Arial"/>
          <w:kern w:val="28"/>
          <w:sz w:val="20"/>
        </w:rPr>
        <w:t xml:space="preserve">ith </w:t>
      </w:r>
      <w:r w:rsidR="00FE4498">
        <w:rPr>
          <w:rFonts w:ascii="Arial" w:hAnsi="Arial"/>
          <w:kern w:val="28"/>
          <w:sz w:val="20"/>
        </w:rPr>
        <w:t>M</w:t>
      </w:r>
      <w:r w:rsidR="000D4AC8">
        <w:rPr>
          <w:rFonts w:ascii="Arial" w:hAnsi="Arial"/>
          <w:kern w:val="28"/>
          <w:sz w:val="20"/>
        </w:rPr>
        <w:t xml:space="preserve">atters in a </w:t>
      </w:r>
      <w:r w:rsidR="00FE4498">
        <w:rPr>
          <w:rFonts w:ascii="Arial" w:hAnsi="Arial"/>
          <w:kern w:val="28"/>
          <w:sz w:val="20"/>
        </w:rPr>
        <w:t>R</w:t>
      </w:r>
      <w:r w:rsidR="000D4AC8">
        <w:rPr>
          <w:rFonts w:ascii="Arial" w:hAnsi="Arial"/>
          <w:kern w:val="28"/>
          <w:sz w:val="20"/>
        </w:rPr>
        <w:t xml:space="preserve">easonably </w:t>
      </w:r>
      <w:r w:rsidR="00FE4498">
        <w:rPr>
          <w:rFonts w:ascii="Arial" w:hAnsi="Arial"/>
          <w:kern w:val="28"/>
          <w:sz w:val="20"/>
        </w:rPr>
        <w:t>E</w:t>
      </w:r>
      <w:r w:rsidR="000D4AC8">
        <w:rPr>
          <w:rFonts w:ascii="Arial" w:hAnsi="Arial"/>
          <w:kern w:val="28"/>
          <w:sz w:val="20"/>
        </w:rPr>
        <w:t xml:space="preserve">xpeditious </w:t>
      </w:r>
      <w:r w:rsidR="00FE4498">
        <w:rPr>
          <w:rFonts w:ascii="Arial" w:hAnsi="Arial"/>
          <w:kern w:val="28"/>
          <w:sz w:val="20"/>
        </w:rPr>
        <w:t>M</w:t>
      </w:r>
      <w:r w:rsidR="000D4AC8">
        <w:rPr>
          <w:rFonts w:ascii="Arial" w:hAnsi="Arial"/>
          <w:kern w:val="28"/>
          <w:sz w:val="20"/>
        </w:rPr>
        <w:t xml:space="preserve">anner and is </w:t>
      </w:r>
      <w:r w:rsidR="00FE4498">
        <w:rPr>
          <w:rFonts w:ascii="Arial" w:hAnsi="Arial"/>
          <w:kern w:val="28"/>
          <w:sz w:val="20"/>
        </w:rPr>
        <w:t>O</w:t>
      </w:r>
      <w:r w:rsidR="000D4AC8">
        <w:rPr>
          <w:rFonts w:ascii="Arial" w:hAnsi="Arial"/>
          <w:kern w:val="28"/>
          <w:sz w:val="20"/>
        </w:rPr>
        <w:t xml:space="preserve">ne in </w:t>
      </w:r>
      <w:r w:rsidR="00FE4498">
        <w:rPr>
          <w:rFonts w:ascii="Arial" w:hAnsi="Arial"/>
          <w:kern w:val="28"/>
          <w:sz w:val="20"/>
        </w:rPr>
        <w:t>W</w:t>
      </w:r>
      <w:r w:rsidR="000D4AC8">
        <w:rPr>
          <w:rFonts w:ascii="Arial" w:hAnsi="Arial"/>
          <w:kern w:val="28"/>
          <w:sz w:val="20"/>
        </w:rPr>
        <w:t xml:space="preserve">hich </w:t>
      </w:r>
      <w:r w:rsidR="00FE4498">
        <w:rPr>
          <w:rFonts w:ascii="Arial" w:hAnsi="Arial"/>
          <w:kern w:val="28"/>
          <w:sz w:val="20"/>
        </w:rPr>
        <w:t>A</w:t>
      </w:r>
      <w:r w:rsidR="000D4AC8">
        <w:rPr>
          <w:rFonts w:ascii="Arial" w:hAnsi="Arial"/>
          <w:kern w:val="28"/>
          <w:sz w:val="20"/>
        </w:rPr>
        <w:t xml:space="preserve">ll </w:t>
      </w:r>
      <w:r w:rsidR="00FE4498">
        <w:rPr>
          <w:rFonts w:ascii="Arial" w:hAnsi="Arial"/>
          <w:kern w:val="28"/>
          <w:sz w:val="20"/>
        </w:rPr>
        <w:t>P</w:t>
      </w:r>
      <w:r w:rsidR="000D4AC8">
        <w:rPr>
          <w:rFonts w:ascii="Arial" w:hAnsi="Arial"/>
          <w:kern w:val="28"/>
          <w:sz w:val="20"/>
        </w:rPr>
        <w:t xml:space="preserve">ersons </w:t>
      </w:r>
      <w:r w:rsidR="00FE4498">
        <w:rPr>
          <w:rFonts w:ascii="Arial" w:hAnsi="Arial"/>
          <w:kern w:val="28"/>
          <w:sz w:val="20"/>
        </w:rPr>
        <w:t>I</w:t>
      </w:r>
      <w:r w:rsidR="000D4AC8" w:rsidRPr="00F01B59">
        <w:rPr>
          <w:rFonts w:ascii="Arial" w:hAnsi="Arial" w:cs="Arial"/>
          <w:kern w:val="28"/>
          <w:sz w:val="20"/>
        </w:rPr>
        <w:t xml:space="preserve">nvolved </w:t>
      </w:r>
      <w:r w:rsidR="00FE4498">
        <w:rPr>
          <w:rFonts w:ascii="Arial" w:hAnsi="Arial" w:cs="Arial"/>
          <w:kern w:val="28"/>
          <w:sz w:val="20"/>
        </w:rPr>
        <w:t>C</w:t>
      </w:r>
      <w:r w:rsidR="000D4AC8" w:rsidRPr="00F01B59">
        <w:rPr>
          <w:rFonts w:ascii="Arial" w:hAnsi="Arial" w:cs="Arial"/>
          <w:kern w:val="28"/>
          <w:sz w:val="20"/>
        </w:rPr>
        <w:t xml:space="preserve">onduct </w:t>
      </w:r>
      <w:r w:rsidR="00FE4498">
        <w:rPr>
          <w:rFonts w:ascii="Arial" w:hAnsi="Arial" w:cs="Arial"/>
          <w:kern w:val="28"/>
          <w:sz w:val="20"/>
        </w:rPr>
        <w:t>T</w:t>
      </w:r>
      <w:r w:rsidR="000D4AC8" w:rsidRPr="00F01B59">
        <w:rPr>
          <w:rFonts w:ascii="Arial" w:hAnsi="Arial" w:cs="Arial"/>
          <w:kern w:val="28"/>
          <w:sz w:val="20"/>
        </w:rPr>
        <w:t xml:space="preserve">hemselves in a </w:t>
      </w:r>
      <w:r w:rsidR="00FE4498">
        <w:rPr>
          <w:rFonts w:ascii="Arial" w:hAnsi="Arial" w:cs="Arial"/>
          <w:kern w:val="28"/>
          <w:sz w:val="20"/>
        </w:rPr>
        <w:t>W</w:t>
      </w:r>
      <w:r w:rsidR="000D4AC8" w:rsidRPr="00F01B59">
        <w:rPr>
          <w:rFonts w:ascii="Arial" w:hAnsi="Arial" w:cs="Arial"/>
          <w:kern w:val="28"/>
          <w:sz w:val="20"/>
        </w:rPr>
        <w:t xml:space="preserve">ay </w:t>
      </w:r>
      <w:r w:rsidR="00FE4498">
        <w:rPr>
          <w:rFonts w:ascii="Arial" w:hAnsi="Arial" w:cs="Arial"/>
          <w:kern w:val="28"/>
          <w:sz w:val="20"/>
        </w:rPr>
        <w:t>T</w:t>
      </w:r>
      <w:r w:rsidR="000D4AC8" w:rsidRPr="00F01B59">
        <w:rPr>
          <w:rFonts w:ascii="Arial" w:hAnsi="Arial" w:cs="Arial"/>
          <w:kern w:val="28"/>
          <w:sz w:val="20"/>
        </w:rPr>
        <w:t xml:space="preserve">hat </w:t>
      </w:r>
      <w:r w:rsidR="00FE4498">
        <w:rPr>
          <w:rFonts w:ascii="Arial" w:hAnsi="Arial" w:cs="Arial"/>
          <w:kern w:val="28"/>
          <w:sz w:val="20"/>
        </w:rPr>
        <w:t>P</w:t>
      </w:r>
      <w:r w:rsidR="000D4AC8" w:rsidRPr="00F01B59">
        <w:rPr>
          <w:rFonts w:ascii="Arial" w:hAnsi="Arial" w:cs="Arial"/>
          <w:kern w:val="28"/>
          <w:sz w:val="20"/>
        </w:rPr>
        <w:t>romote</w:t>
      </w:r>
      <w:r w:rsidR="00AE3891">
        <w:rPr>
          <w:rFonts w:ascii="Arial" w:hAnsi="Arial" w:cs="Arial"/>
          <w:kern w:val="28"/>
          <w:sz w:val="20"/>
        </w:rPr>
        <w:t xml:space="preserve">s, </w:t>
      </w:r>
      <w:r w:rsidR="00FE4498">
        <w:rPr>
          <w:rFonts w:ascii="Arial" w:hAnsi="Arial" w:cs="Arial"/>
          <w:kern w:val="28"/>
          <w:sz w:val="20"/>
        </w:rPr>
        <w:t>P</w:t>
      </w:r>
      <w:r w:rsidR="00AE3891">
        <w:rPr>
          <w:rFonts w:ascii="Arial" w:hAnsi="Arial" w:cs="Arial"/>
          <w:kern w:val="28"/>
          <w:sz w:val="20"/>
        </w:rPr>
        <w:t xml:space="preserve">rotects and </w:t>
      </w:r>
      <w:r w:rsidR="00FE4498">
        <w:rPr>
          <w:rFonts w:ascii="Arial" w:hAnsi="Arial" w:cs="Arial"/>
          <w:kern w:val="28"/>
          <w:sz w:val="20"/>
        </w:rPr>
        <w:t>R</w:t>
      </w:r>
      <w:r w:rsidR="00AE3891">
        <w:rPr>
          <w:rFonts w:ascii="Arial" w:hAnsi="Arial" w:cs="Arial"/>
          <w:kern w:val="28"/>
          <w:sz w:val="20"/>
        </w:rPr>
        <w:t xml:space="preserve">espects </w:t>
      </w:r>
      <w:r w:rsidR="00FE4498">
        <w:rPr>
          <w:rFonts w:ascii="Arial" w:hAnsi="Arial" w:cs="Arial"/>
          <w:kern w:val="28"/>
          <w:sz w:val="20"/>
        </w:rPr>
        <w:t>R</w:t>
      </w:r>
      <w:r w:rsidR="00AE3891">
        <w:rPr>
          <w:rFonts w:ascii="Arial" w:hAnsi="Arial" w:cs="Arial"/>
          <w:kern w:val="28"/>
          <w:sz w:val="20"/>
        </w:rPr>
        <w:t>ights</w:t>
      </w:r>
    </w:p>
    <w:p w:rsidR="000D4AC8" w:rsidRPr="00AE3891" w:rsidRDefault="00F01B59" w:rsidP="00AE3891">
      <w:pPr>
        <w:pStyle w:val="BodyText"/>
        <w:spacing w:before="0" w:after="0"/>
        <w:rPr>
          <w:rFonts w:ascii="Arial" w:hAnsi="Arial" w:cs="Arial"/>
          <w:b/>
          <w:sz w:val="20"/>
        </w:rPr>
      </w:pPr>
      <w:r w:rsidRPr="00AE3891">
        <w:rPr>
          <w:rFonts w:ascii="Arial" w:hAnsi="Arial" w:cs="Arial"/>
          <w:b/>
          <w:sz w:val="20"/>
        </w:rPr>
        <w:t xml:space="preserve">Strategic Indicator 1: </w:t>
      </w:r>
      <w:r w:rsidRPr="00503731">
        <w:rPr>
          <w:rFonts w:ascii="Arial" w:hAnsi="Arial" w:cs="Arial"/>
          <w:sz w:val="20"/>
        </w:rPr>
        <w:t xml:space="preserve">Justice System Completion </w:t>
      </w:r>
      <w:r w:rsidR="00A87195" w:rsidRPr="00503731">
        <w:rPr>
          <w:rFonts w:ascii="Arial" w:hAnsi="Arial" w:cs="Arial"/>
          <w:sz w:val="20"/>
        </w:rPr>
        <w:t>R</w:t>
      </w:r>
      <w:r w:rsidRPr="00503731">
        <w:rPr>
          <w:rFonts w:ascii="Arial" w:hAnsi="Arial" w:cs="Arial"/>
          <w:sz w:val="20"/>
        </w:rPr>
        <w: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7"/>
        <w:gridCol w:w="2071"/>
        <w:gridCol w:w="1998"/>
        <w:gridCol w:w="1553"/>
        <w:gridCol w:w="1553"/>
      </w:tblGrid>
      <w:tr w:rsidR="00F01B59" w:rsidRPr="00DC11B3" w:rsidTr="00F01B59">
        <w:tc>
          <w:tcPr>
            <w:tcW w:w="2067" w:type="dxa"/>
            <w:tcBorders>
              <w:bottom w:val="single" w:sz="4" w:space="0" w:color="auto"/>
            </w:tcBorders>
          </w:tcPr>
          <w:p w:rsidR="00F01B59" w:rsidRPr="00DC11B3" w:rsidRDefault="00F01B59" w:rsidP="00E825DE">
            <w:pPr>
              <w:pStyle w:val="TableTextHeading1"/>
              <w:spacing w:before="40" w:after="40"/>
              <w:jc w:val="left"/>
              <w:rPr>
                <w:rFonts w:eastAsia="Arial Unicode MS"/>
              </w:rPr>
            </w:pPr>
            <w:r w:rsidRPr="00DC11B3">
              <w:rPr>
                <w:rFonts w:eastAsia="Arial Unicode MS"/>
              </w:rPr>
              <w:t>Success</w:t>
            </w:r>
          </w:p>
        </w:tc>
        <w:tc>
          <w:tcPr>
            <w:tcW w:w="2071" w:type="dxa"/>
            <w:tcBorders>
              <w:bottom w:val="single" w:sz="4" w:space="0" w:color="auto"/>
            </w:tcBorders>
          </w:tcPr>
          <w:p w:rsidR="00F01B59" w:rsidRPr="00DC11B3" w:rsidRDefault="00F01B59" w:rsidP="00E825DE">
            <w:pPr>
              <w:pStyle w:val="TableTextHeading1"/>
              <w:spacing w:before="40" w:after="40"/>
              <w:jc w:val="left"/>
              <w:rPr>
                <w:rFonts w:eastAsia="Arial Unicode MS"/>
              </w:rPr>
            </w:pPr>
            <w:r w:rsidRPr="00DC11B3">
              <w:rPr>
                <w:rFonts w:eastAsia="Arial Unicode MS"/>
              </w:rPr>
              <w:t>Strategic Indicator</w:t>
            </w:r>
          </w:p>
        </w:tc>
        <w:tc>
          <w:tcPr>
            <w:tcW w:w="1998" w:type="dxa"/>
            <w:tcBorders>
              <w:bottom w:val="single" w:sz="4" w:space="0" w:color="auto"/>
            </w:tcBorders>
          </w:tcPr>
          <w:p w:rsidR="00F01B59" w:rsidRDefault="00F01B59" w:rsidP="00A87195">
            <w:pPr>
              <w:pStyle w:val="TableTextHeading1"/>
              <w:spacing w:before="40" w:after="40"/>
              <w:rPr>
                <w:rFonts w:eastAsia="Arial Unicode MS"/>
              </w:rPr>
            </w:pPr>
            <w:r>
              <w:rPr>
                <w:rFonts w:eastAsia="Arial Unicode MS"/>
              </w:rPr>
              <w:t>Prior Year</w:t>
            </w:r>
          </w:p>
          <w:p w:rsidR="00F01B59" w:rsidRPr="00DC11B3" w:rsidRDefault="00F01B59" w:rsidP="00A87195">
            <w:pPr>
              <w:pStyle w:val="TableTextHeading1"/>
              <w:spacing w:before="40" w:after="40"/>
              <w:rPr>
                <w:rFonts w:eastAsia="Arial Unicode MS"/>
              </w:rPr>
            </w:pPr>
            <w:r>
              <w:rPr>
                <w:rFonts w:eastAsia="Arial Unicode MS"/>
              </w:rPr>
              <w:t>Target</w:t>
            </w:r>
          </w:p>
        </w:tc>
        <w:tc>
          <w:tcPr>
            <w:tcW w:w="1553" w:type="dxa"/>
            <w:tcBorders>
              <w:bottom w:val="single" w:sz="4" w:space="0" w:color="auto"/>
            </w:tcBorders>
          </w:tcPr>
          <w:p w:rsidR="00F01B59" w:rsidRDefault="00F01B59" w:rsidP="00A87195">
            <w:pPr>
              <w:pStyle w:val="TableTextHeading1"/>
              <w:spacing w:before="40" w:after="40"/>
              <w:rPr>
                <w:rFonts w:eastAsia="Arial Unicode MS"/>
              </w:rPr>
            </w:pPr>
            <w:r>
              <w:rPr>
                <w:rFonts w:eastAsia="Arial Unicode MS"/>
              </w:rPr>
              <w:t>Prior Year</w:t>
            </w:r>
          </w:p>
          <w:p w:rsidR="00F01B59" w:rsidRPr="00DC11B3" w:rsidRDefault="00F01B59" w:rsidP="00A87195">
            <w:pPr>
              <w:pStyle w:val="TableTextHeading1"/>
              <w:spacing w:before="40" w:after="40"/>
              <w:rPr>
                <w:rFonts w:eastAsia="Arial Unicode MS"/>
              </w:rPr>
            </w:pPr>
            <w:r>
              <w:rPr>
                <w:rFonts w:eastAsia="Arial Unicode MS"/>
              </w:rPr>
              <w:t>Est. Outcome</w:t>
            </w:r>
          </w:p>
        </w:tc>
        <w:tc>
          <w:tcPr>
            <w:tcW w:w="1553" w:type="dxa"/>
            <w:tcBorders>
              <w:bottom w:val="single" w:sz="4" w:space="0" w:color="auto"/>
            </w:tcBorders>
          </w:tcPr>
          <w:p w:rsidR="00F01B59" w:rsidRDefault="00F01B59" w:rsidP="00A87195">
            <w:pPr>
              <w:pStyle w:val="TableTextHeading1"/>
              <w:spacing w:before="40" w:after="40"/>
              <w:rPr>
                <w:rFonts w:eastAsia="Arial Unicode MS"/>
              </w:rPr>
            </w:pPr>
            <w:r>
              <w:rPr>
                <w:rFonts w:eastAsia="Arial Unicode MS"/>
              </w:rPr>
              <w:t>Budget Year</w:t>
            </w:r>
          </w:p>
          <w:p w:rsidR="00F01B59" w:rsidRPr="00DC11B3" w:rsidRDefault="00F01B59" w:rsidP="00A87195">
            <w:pPr>
              <w:pStyle w:val="TableTextHeading1"/>
              <w:spacing w:before="40" w:after="40"/>
              <w:rPr>
                <w:rFonts w:eastAsia="Arial Unicode MS"/>
              </w:rPr>
            </w:pPr>
            <w:r>
              <w:rPr>
                <w:rFonts w:eastAsia="Arial Unicode MS"/>
              </w:rPr>
              <w:t>Target</w:t>
            </w:r>
          </w:p>
        </w:tc>
      </w:tr>
      <w:tr w:rsidR="00F01B59" w:rsidRPr="00DC11B3" w:rsidTr="00F01B59">
        <w:tc>
          <w:tcPr>
            <w:tcW w:w="2067" w:type="dxa"/>
            <w:tcBorders>
              <w:left w:val="nil"/>
              <w:bottom w:val="nil"/>
              <w:right w:val="nil"/>
            </w:tcBorders>
          </w:tcPr>
          <w:p w:rsidR="00F01B59" w:rsidRPr="00F01B59" w:rsidRDefault="00F01B59" w:rsidP="00E825DE">
            <w:pPr>
              <w:pStyle w:val="Header"/>
              <w:tabs>
                <w:tab w:val="clear" w:pos="4153"/>
                <w:tab w:val="clear" w:pos="8306"/>
              </w:tabs>
              <w:rPr>
                <w:sz w:val="18"/>
                <w:szCs w:val="18"/>
              </w:rPr>
            </w:pPr>
            <w:r w:rsidRPr="00F01B59">
              <w:rPr>
                <w:sz w:val="18"/>
                <w:szCs w:val="18"/>
              </w:rPr>
              <w:t>Timely completion of cases</w:t>
            </w:r>
          </w:p>
        </w:tc>
        <w:tc>
          <w:tcPr>
            <w:tcW w:w="2071" w:type="dxa"/>
            <w:tcBorders>
              <w:left w:val="nil"/>
              <w:bottom w:val="nil"/>
              <w:right w:val="nil"/>
            </w:tcBorders>
          </w:tcPr>
          <w:p w:rsidR="00F01B59" w:rsidRPr="00703CF9" w:rsidRDefault="00F01B59" w:rsidP="00E825DE">
            <w:pPr>
              <w:pStyle w:val="Header"/>
              <w:tabs>
                <w:tab w:val="clear" w:pos="4153"/>
                <w:tab w:val="clear" w:pos="8306"/>
              </w:tabs>
              <w:rPr>
                <w:sz w:val="18"/>
                <w:szCs w:val="18"/>
              </w:rPr>
            </w:pPr>
            <w:r w:rsidRPr="00703CF9">
              <w:rPr>
                <w:sz w:val="18"/>
                <w:szCs w:val="18"/>
              </w:rPr>
              <w:t>Average number of days to finalise civil cases from time of lodgement.</w:t>
            </w:r>
          </w:p>
        </w:tc>
        <w:tc>
          <w:tcPr>
            <w:tcW w:w="1998" w:type="dxa"/>
            <w:tcBorders>
              <w:left w:val="nil"/>
              <w:bottom w:val="nil"/>
              <w:right w:val="nil"/>
            </w:tcBorders>
          </w:tcPr>
          <w:p w:rsidR="00F01B59" w:rsidRPr="00703CF9" w:rsidRDefault="00F01B59" w:rsidP="00E825DE">
            <w:pPr>
              <w:pStyle w:val="Header"/>
              <w:tabs>
                <w:tab w:val="clear" w:pos="4153"/>
                <w:tab w:val="clear" w:pos="8306"/>
              </w:tabs>
              <w:rPr>
                <w:sz w:val="18"/>
                <w:szCs w:val="18"/>
              </w:rPr>
            </w:pPr>
            <w:r w:rsidRPr="00703CF9">
              <w:rPr>
                <w:sz w:val="18"/>
                <w:szCs w:val="18"/>
              </w:rPr>
              <w:t>.</w:t>
            </w:r>
          </w:p>
        </w:tc>
        <w:tc>
          <w:tcPr>
            <w:tcW w:w="1553" w:type="dxa"/>
            <w:tcBorders>
              <w:left w:val="nil"/>
              <w:bottom w:val="nil"/>
              <w:right w:val="nil"/>
            </w:tcBorders>
          </w:tcPr>
          <w:p w:rsidR="00F01B59" w:rsidRPr="00703CF9" w:rsidRDefault="00F01B59" w:rsidP="00E825DE">
            <w:pPr>
              <w:pStyle w:val="Header"/>
              <w:tabs>
                <w:tab w:val="clear" w:pos="4153"/>
                <w:tab w:val="clear" w:pos="8306"/>
              </w:tabs>
              <w:rPr>
                <w:sz w:val="18"/>
                <w:szCs w:val="18"/>
              </w:rPr>
            </w:pPr>
          </w:p>
        </w:tc>
        <w:tc>
          <w:tcPr>
            <w:tcW w:w="1553" w:type="dxa"/>
            <w:tcBorders>
              <w:left w:val="nil"/>
              <w:bottom w:val="nil"/>
              <w:right w:val="nil"/>
            </w:tcBorders>
          </w:tcPr>
          <w:p w:rsidR="00F01B59" w:rsidRPr="00703CF9" w:rsidRDefault="00F01B59" w:rsidP="00E825DE">
            <w:pPr>
              <w:pStyle w:val="Header"/>
              <w:tabs>
                <w:tab w:val="clear" w:pos="4153"/>
                <w:tab w:val="clear" w:pos="8306"/>
              </w:tabs>
              <w:rPr>
                <w:sz w:val="18"/>
                <w:szCs w:val="18"/>
              </w:rPr>
            </w:pPr>
          </w:p>
        </w:tc>
      </w:tr>
      <w:tr w:rsidR="00703CF9" w:rsidRPr="00DC11B3" w:rsidTr="00F01B59">
        <w:tc>
          <w:tcPr>
            <w:tcW w:w="2067" w:type="dxa"/>
            <w:tcBorders>
              <w:top w:val="nil"/>
              <w:left w:val="nil"/>
              <w:bottom w:val="nil"/>
              <w:right w:val="nil"/>
            </w:tcBorders>
          </w:tcPr>
          <w:p w:rsidR="00703CF9" w:rsidRPr="00F01B59" w:rsidRDefault="00703CF9" w:rsidP="00E825DE">
            <w:pPr>
              <w:pStyle w:val="Header"/>
              <w:tabs>
                <w:tab w:val="clear" w:pos="4153"/>
                <w:tab w:val="clear" w:pos="8306"/>
              </w:tabs>
              <w:rPr>
                <w:sz w:val="18"/>
                <w:szCs w:val="18"/>
              </w:rPr>
            </w:pPr>
          </w:p>
        </w:tc>
        <w:tc>
          <w:tcPr>
            <w:tcW w:w="2071" w:type="dxa"/>
            <w:tcBorders>
              <w:top w:val="nil"/>
              <w:left w:val="nil"/>
              <w:bottom w:val="nil"/>
              <w:right w:val="nil"/>
            </w:tcBorders>
          </w:tcPr>
          <w:p w:rsidR="00703CF9" w:rsidRPr="00703CF9" w:rsidRDefault="00703CF9" w:rsidP="00F01B59">
            <w:pPr>
              <w:pStyle w:val="BodyTextIndent"/>
              <w:numPr>
                <w:ilvl w:val="0"/>
                <w:numId w:val="1"/>
              </w:numPr>
              <w:tabs>
                <w:tab w:val="clear" w:pos="360"/>
                <w:tab w:val="left" w:pos="284"/>
              </w:tabs>
              <w:spacing w:after="40"/>
              <w:ind w:left="284" w:hanging="284"/>
              <w:rPr>
                <w:rFonts w:cs="Calibri"/>
                <w:sz w:val="18"/>
                <w:szCs w:val="18"/>
              </w:rPr>
            </w:pPr>
            <w:bookmarkStart w:id="2" w:name="OLE_LINK5"/>
            <w:r w:rsidRPr="00703CF9">
              <w:rPr>
                <w:rFonts w:cs="Calibri"/>
                <w:sz w:val="18"/>
                <w:szCs w:val="18"/>
              </w:rPr>
              <w:t>Magistrates Court;</w:t>
            </w:r>
            <w:bookmarkEnd w:id="2"/>
          </w:p>
        </w:tc>
        <w:tc>
          <w:tcPr>
            <w:tcW w:w="1998" w:type="dxa"/>
            <w:tcBorders>
              <w:top w:val="nil"/>
              <w:left w:val="nil"/>
              <w:bottom w:val="nil"/>
              <w:right w:val="nil"/>
            </w:tcBorders>
          </w:tcPr>
          <w:p w:rsidR="00703CF9" w:rsidRPr="00703CF9" w:rsidRDefault="00703CF9" w:rsidP="00B666AA">
            <w:pPr>
              <w:pStyle w:val="TableTextNumbers"/>
              <w:keepNext/>
              <w:keepLines/>
              <w:spacing w:before="0" w:after="40"/>
              <w:ind w:left="357" w:hanging="357"/>
              <w:rPr>
                <w:rFonts w:cs="Calibri"/>
              </w:rPr>
            </w:pPr>
            <w:r w:rsidRPr="00703CF9">
              <w:rPr>
                <w:rFonts w:cs="Calibri"/>
              </w:rPr>
              <w:t>105</w:t>
            </w:r>
          </w:p>
        </w:tc>
        <w:tc>
          <w:tcPr>
            <w:tcW w:w="1553" w:type="dxa"/>
            <w:tcBorders>
              <w:top w:val="nil"/>
              <w:left w:val="nil"/>
              <w:bottom w:val="nil"/>
              <w:right w:val="nil"/>
            </w:tcBorders>
          </w:tcPr>
          <w:p w:rsidR="00703CF9" w:rsidRPr="00703CF9" w:rsidRDefault="00703CF9" w:rsidP="00B666AA">
            <w:pPr>
              <w:pStyle w:val="TableTextNumbers"/>
              <w:keepNext/>
              <w:keepLines/>
              <w:spacing w:before="0" w:after="40"/>
              <w:ind w:left="357" w:hanging="357"/>
              <w:rPr>
                <w:rFonts w:cs="Calibri"/>
              </w:rPr>
            </w:pPr>
            <w:r w:rsidRPr="00703CF9">
              <w:rPr>
                <w:rFonts w:cs="Calibri"/>
              </w:rPr>
              <w:t>80</w:t>
            </w:r>
          </w:p>
        </w:tc>
        <w:tc>
          <w:tcPr>
            <w:tcW w:w="1553" w:type="dxa"/>
            <w:tcBorders>
              <w:top w:val="nil"/>
              <w:left w:val="nil"/>
              <w:bottom w:val="nil"/>
              <w:right w:val="nil"/>
            </w:tcBorders>
          </w:tcPr>
          <w:p w:rsidR="00703CF9" w:rsidRPr="00703CF9" w:rsidRDefault="00703CF9" w:rsidP="00B666AA">
            <w:pPr>
              <w:pStyle w:val="TableTextNumbers"/>
              <w:keepNext/>
              <w:keepLines/>
              <w:spacing w:before="0" w:after="40"/>
              <w:ind w:left="357" w:hanging="357"/>
              <w:rPr>
                <w:rFonts w:cs="Calibri"/>
              </w:rPr>
            </w:pPr>
            <w:r w:rsidRPr="00703CF9">
              <w:rPr>
                <w:rFonts w:cs="Calibri"/>
              </w:rPr>
              <w:t>80</w:t>
            </w:r>
          </w:p>
        </w:tc>
      </w:tr>
      <w:tr w:rsidR="00703CF9" w:rsidRPr="00DC11B3" w:rsidTr="00703CF9">
        <w:trPr>
          <w:trHeight w:val="155"/>
        </w:trPr>
        <w:tc>
          <w:tcPr>
            <w:tcW w:w="2067" w:type="dxa"/>
            <w:tcBorders>
              <w:top w:val="nil"/>
              <w:left w:val="nil"/>
              <w:bottom w:val="nil"/>
              <w:right w:val="nil"/>
            </w:tcBorders>
          </w:tcPr>
          <w:p w:rsidR="00703CF9" w:rsidRPr="00F01B59" w:rsidRDefault="00703CF9" w:rsidP="00E825DE">
            <w:pPr>
              <w:pStyle w:val="Header"/>
              <w:tabs>
                <w:tab w:val="clear" w:pos="4153"/>
                <w:tab w:val="clear" w:pos="8306"/>
              </w:tabs>
              <w:rPr>
                <w:sz w:val="18"/>
                <w:szCs w:val="18"/>
              </w:rPr>
            </w:pPr>
          </w:p>
        </w:tc>
        <w:tc>
          <w:tcPr>
            <w:tcW w:w="2071" w:type="dxa"/>
            <w:tcBorders>
              <w:top w:val="nil"/>
              <w:left w:val="nil"/>
              <w:bottom w:val="nil"/>
              <w:right w:val="nil"/>
            </w:tcBorders>
          </w:tcPr>
          <w:p w:rsidR="00703CF9" w:rsidRPr="00703CF9" w:rsidRDefault="00703CF9" w:rsidP="00F01B59">
            <w:pPr>
              <w:pStyle w:val="BodyTextIndent"/>
              <w:numPr>
                <w:ilvl w:val="0"/>
                <w:numId w:val="1"/>
              </w:numPr>
              <w:tabs>
                <w:tab w:val="clear" w:pos="360"/>
                <w:tab w:val="left" w:pos="284"/>
              </w:tabs>
              <w:spacing w:after="40"/>
              <w:ind w:left="284" w:hanging="284"/>
              <w:rPr>
                <w:rFonts w:cs="Calibri"/>
                <w:sz w:val="18"/>
                <w:szCs w:val="18"/>
              </w:rPr>
            </w:pPr>
            <w:r w:rsidRPr="00703CF9">
              <w:rPr>
                <w:rFonts w:cs="Calibri"/>
                <w:sz w:val="18"/>
                <w:szCs w:val="18"/>
              </w:rPr>
              <w:t>Supreme Court;</w:t>
            </w:r>
          </w:p>
        </w:tc>
        <w:tc>
          <w:tcPr>
            <w:tcW w:w="1998" w:type="dxa"/>
            <w:tcBorders>
              <w:top w:val="nil"/>
              <w:left w:val="nil"/>
              <w:bottom w:val="nil"/>
              <w:right w:val="nil"/>
            </w:tcBorders>
          </w:tcPr>
          <w:p w:rsidR="00703CF9" w:rsidRPr="00703CF9" w:rsidRDefault="00703CF9" w:rsidP="00B666AA">
            <w:pPr>
              <w:pStyle w:val="TableTextNumbers"/>
              <w:keepNext/>
              <w:keepLines/>
              <w:spacing w:before="0" w:after="40"/>
              <w:ind w:left="357" w:hanging="357"/>
              <w:rPr>
                <w:rFonts w:cs="Calibri"/>
              </w:rPr>
            </w:pPr>
            <w:r w:rsidRPr="00703CF9">
              <w:rPr>
                <w:rFonts w:cs="Calibri"/>
              </w:rPr>
              <w:t>550</w:t>
            </w:r>
          </w:p>
        </w:tc>
        <w:tc>
          <w:tcPr>
            <w:tcW w:w="1553" w:type="dxa"/>
            <w:tcBorders>
              <w:top w:val="nil"/>
              <w:left w:val="nil"/>
              <w:bottom w:val="nil"/>
              <w:right w:val="nil"/>
            </w:tcBorders>
          </w:tcPr>
          <w:p w:rsidR="00703CF9" w:rsidRPr="00703CF9" w:rsidRDefault="00703CF9" w:rsidP="00B666AA">
            <w:pPr>
              <w:pStyle w:val="TableTextNumbers"/>
              <w:keepNext/>
              <w:keepLines/>
              <w:spacing w:before="0" w:after="40"/>
              <w:ind w:left="357" w:hanging="357"/>
              <w:rPr>
                <w:rFonts w:cs="Calibri"/>
              </w:rPr>
            </w:pPr>
            <w:r w:rsidRPr="00703CF9">
              <w:rPr>
                <w:rFonts w:cs="Calibri"/>
              </w:rPr>
              <w:t>550</w:t>
            </w:r>
          </w:p>
        </w:tc>
        <w:tc>
          <w:tcPr>
            <w:tcW w:w="1553" w:type="dxa"/>
            <w:tcBorders>
              <w:top w:val="nil"/>
              <w:left w:val="nil"/>
              <w:bottom w:val="nil"/>
              <w:right w:val="nil"/>
            </w:tcBorders>
          </w:tcPr>
          <w:p w:rsidR="00703CF9" w:rsidRPr="00703CF9" w:rsidRDefault="00703CF9" w:rsidP="00B666AA">
            <w:pPr>
              <w:pStyle w:val="TableTextNumbers"/>
              <w:keepNext/>
              <w:keepLines/>
              <w:spacing w:before="0" w:after="40"/>
              <w:ind w:left="357" w:hanging="357"/>
              <w:rPr>
                <w:rFonts w:cs="Calibri"/>
              </w:rPr>
            </w:pPr>
            <w:r w:rsidRPr="00703CF9">
              <w:rPr>
                <w:rFonts w:cs="Calibri"/>
              </w:rPr>
              <w:t>550</w:t>
            </w:r>
          </w:p>
        </w:tc>
      </w:tr>
      <w:tr w:rsidR="00F01B59" w:rsidRPr="00DC11B3" w:rsidTr="00F01B59">
        <w:tc>
          <w:tcPr>
            <w:tcW w:w="2067" w:type="dxa"/>
            <w:tcBorders>
              <w:top w:val="nil"/>
              <w:left w:val="nil"/>
              <w:bottom w:val="nil"/>
              <w:right w:val="nil"/>
            </w:tcBorders>
          </w:tcPr>
          <w:p w:rsidR="00F01B59" w:rsidRPr="00F01B59" w:rsidRDefault="00F01B59" w:rsidP="00E825DE">
            <w:pPr>
              <w:pStyle w:val="Header"/>
              <w:tabs>
                <w:tab w:val="clear" w:pos="4153"/>
                <w:tab w:val="clear" w:pos="8306"/>
              </w:tabs>
              <w:rPr>
                <w:b/>
                <w:kern w:val="28"/>
                <w:sz w:val="18"/>
                <w:szCs w:val="18"/>
              </w:rPr>
            </w:pPr>
          </w:p>
        </w:tc>
        <w:tc>
          <w:tcPr>
            <w:tcW w:w="2071" w:type="dxa"/>
            <w:tcBorders>
              <w:top w:val="nil"/>
              <w:left w:val="nil"/>
              <w:bottom w:val="nil"/>
              <w:right w:val="nil"/>
            </w:tcBorders>
          </w:tcPr>
          <w:p w:rsidR="00F01B59" w:rsidRPr="00703CF9" w:rsidRDefault="00CD33AC" w:rsidP="00E825DE">
            <w:pPr>
              <w:pStyle w:val="Header"/>
              <w:tabs>
                <w:tab w:val="clear" w:pos="4153"/>
                <w:tab w:val="clear" w:pos="8306"/>
              </w:tabs>
              <w:rPr>
                <w:b/>
                <w:kern w:val="28"/>
                <w:sz w:val="18"/>
                <w:szCs w:val="18"/>
              </w:rPr>
            </w:pPr>
            <w:r w:rsidRPr="00CD33AC">
              <w:rPr>
                <w:noProof/>
                <w:sz w:val="18"/>
                <w:szCs w:val="18"/>
              </w:rPr>
              <w:pict>
                <v:line id="_x0000_s1214" style="position:absolute;flip:x y;z-index:251702272;mso-position-horizontal-relative:text;mso-position-vertical-relative:text" from="84pt,21.1pt" to="150.7pt,107.9pt">
                  <v:stroke endarrow="block"/>
                </v:line>
              </w:pict>
            </w:r>
            <w:r w:rsidR="00F01B59" w:rsidRPr="00703CF9">
              <w:rPr>
                <w:sz w:val="18"/>
                <w:szCs w:val="18"/>
              </w:rPr>
              <w:t>% change and number of cases in the backlog of civil cases.</w:t>
            </w:r>
          </w:p>
        </w:tc>
        <w:tc>
          <w:tcPr>
            <w:tcW w:w="1998" w:type="dxa"/>
            <w:tcBorders>
              <w:top w:val="nil"/>
              <w:left w:val="nil"/>
              <w:bottom w:val="nil"/>
              <w:right w:val="nil"/>
            </w:tcBorders>
          </w:tcPr>
          <w:p w:rsidR="00F01B59" w:rsidRPr="00703CF9" w:rsidRDefault="00F01B59" w:rsidP="00F01B59">
            <w:pPr>
              <w:pStyle w:val="Header"/>
              <w:tabs>
                <w:tab w:val="clear" w:pos="4153"/>
                <w:tab w:val="clear" w:pos="8306"/>
              </w:tabs>
              <w:rPr>
                <w:sz w:val="18"/>
                <w:szCs w:val="18"/>
              </w:rPr>
            </w:pPr>
          </w:p>
        </w:tc>
        <w:tc>
          <w:tcPr>
            <w:tcW w:w="1553" w:type="dxa"/>
            <w:tcBorders>
              <w:top w:val="nil"/>
              <w:left w:val="nil"/>
              <w:bottom w:val="nil"/>
              <w:right w:val="nil"/>
            </w:tcBorders>
          </w:tcPr>
          <w:p w:rsidR="00F01B59" w:rsidRPr="00703CF9" w:rsidRDefault="00F01B59" w:rsidP="00E825DE">
            <w:pPr>
              <w:pStyle w:val="Header"/>
              <w:tabs>
                <w:tab w:val="clear" w:pos="4153"/>
                <w:tab w:val="clear" w:pos="8306"/>
              </w:tabs>
              <w:rPr>
                <w:noProof/>
                <w:sz w:val="18"/>
                <w:szCs w:val="18"/>
              </w:rPr>
            </w:pPr>
          </w:p>
        </w:tc>
        <w:tc>
          <w:tcPr>
            <w:tcW w:w="1553" w:type="dxa"/>
            <w:tcBorders>
              <w:top w:val="nil"/>
              <w:left w:val="nil"/>
              <w:bottom w:val="nil"/>
              <w:right w:val="nil"/>
            </w:tcBorders>
          </w:tcPr>
          <w:p w:rsidR="00F01B59" w:rsidRPr="00703CF9" w:rsidRDefault="00F01B59" w:rsidP="00E825DE">
            <w:pPr>
              <w:pStyle w:val="Header"/>
              <w:tabs>
                <w:tab w:val="clear" w:pos="4153"/>
                <w:tab w:val="clear" w:pos="8306"/>
              </w:tabs>
              <w:rPr>
                <w:noProof/>
                <w:sz w:val="18"/>
                <w:szCs w:val="18"/>
              </w:rPr>
            </w:pPr>
          </w:p>
        </w:tc>
      </w:tr>
      <w:tr w:rsidR="00703CF9" w:rsidRPr="00DC11B3" w:rsidTr="00F01B59">
        <w:tc>
          <w:tcPr>
            <w:tcW w:w="2067" w:type="dxa"/>
            <w:tcBorders>
              <w:top w:val="nil"/>
              <w:left w:val="nil"/>
              <w:bottom w:val="nil"/>
              <w:right w:val="nil"/>
            </w:tcBorders>
          </w:tcPr>
          <w:p w:rsidR="00703CF9" w:rsidRPr="00F01B59" w:rsidRDefault="00703CF9" w:rsidP="00E825DE">
            <w:pPr>
              <w:pStyle w:val="Header"/>
              <w:tabs>
                <w:tab w:val="clear" w:pos="4153"/>
                <w:tab w:val="clear" w:pos="8306"/>
              </w:tabs>
              <w:rPr>
                <w:b/>
                <w:kern w:val="28"/>
                <w:sz w:val="18"/>
                <w:szCs w:val="18"/>
              </w:rPr>
            </w:pPr>
          </w:p>
        </w:tc>
        <w:tc>
          <w:tcPr>
            <w:tcW w:w="2071" w:type="dxa"/>
            <w:tcBorders>
              <w:top w:val="nil"/>
              <w:left w:val="nil"/>
              <w:bottom w:val="nil"/>
              <w:right w:val="nil"/>
            </w:tcBorders>
          </w:tcPr>
          <w:p w:rsidR="00703CF9" w:rsidRPr="00703CF9" w:rsidRDefault="00703CF9" w:rsidP="00F01B59">
            <w:pPr>
              <w:pStyle w:val="BodyTextIndent"/>
              <w:numPr>
                <w:ilvl w:val="0"/>
                <w:numId w:val="1"/>
              </w:numPr>
              <w:tabs>
                <w:tab w:val="clear" w:pos="360"/>
                <w:tab w:val="left" w:pos="284"/>
              </w:tabs>
              <w:spacing w:after="40"/>
              <w:ind w:left="284" w:hanging="284"/>
              <w:jc w:val="left"/>
              <w:rPr>
                <w:rFonts w:cs="Calibri"/>
                <w:sz w:val="18"/>
                <w:szCs w:val="18"/>
              </w:rPr>
            </w:pPr>
            <w:r w:rsidRPr="00703CF9">
              <w:rPr>
                <w:rFonts w:cs="Calibri"/>
                <w:sz w:val="18"/>
                <w:szCs w:val="18"/>
              </w:rPr>
              <w:t xml:space="preserve">Magistrates Court &gt;12 </w:t>
            </w:r>
            <w:proofErr w:type="spellStart"/>
            <w:r w:rsidRPr="00703CF9">
              <w:rPr>
                <w:rFonts w:cs="Calibri"/>
                <w:sz w:val="18"/>
                <w:szCs w:val="18"/>
              </w:rPr>
              <w:t>mths</w:t>
            </w:r>
            <w:proofErr w:type="spellEnd"/>
            <w:r w:rsidRPr="00703CF9">
              <w:rPr>
                <w:rFonts w:cs="Calibri"/>
                <w:sz w:val="18"/>
                <w:szCs w:val="18"/>
              </w:rPr>
              <w:t>;</w:t>
            </w:r>
          </w:p>
        </w:tc>
        <w:tc>
          <w:tcPr>
            <w:tcW w:w="1998" w:type="dxa"/>
            <w:tcBorders>
              <w:top w:val="nil"/>
              <w:left w:val="nil"/>
              <w:bottom w:val="nil"/>
              <w:right w:val="nil"/>
            </w:tcBorders>
          </w:tcPr>
          <w:p w:rsidR="00703CF9" w:rsidRPr="00703CF9" w:rsidRDefault="00703CF9" w:rsidP="00B666AA">
            <w:pPr>
              <w:pStyle w:val="TableTextNumbers"/>
              <w:spacing w:after="40"/>
              <w:rPr>
                <w:rFonts w:cs="Calibri"/>
              </w:rPr>
            </w:pPr>
            <w:r w:rsidRPr="00703CF9">
              <w:rPr>
                <w:rFonts w:cs="Calibri"/>
              </w:rPr>
              <w:t>-2.7% (107 cases)</w:t>
            </w:r>
          </w:p>
        </w:tc>
        <w:tc>
          <w:tcPr>
            <w:tcW w:w="1553" w:type="dxa"/>
            <w:tcBorders>
              <w:top w:val="nil"/>
              <w:left w:val="nil"/>
              <w:bottom w:val="nil"/>
              <w:right w:val="nil"/>
            </w:tcBorders>
          </w:tcPr>
          <w:p w:rsidR="00703CF9" w:rsidRPr="00703CF9" w:rsidRDefault="00703CF9" w:rsidP="00B666AA">
            <w:pPr>
              <w:pStyle w:val="TableTextNumbers"/>
              <w:spacing w:after="40"/>
              <w:rPr>
                <w:rFonts w:cs="Calibri"/>
              </w:rPr>
            </w:pPr>
            <w:r w:rsidRPr="00703CF9">
              <w:rPr>
                <w:rFonts w:cs="Calibri"/>
              </w:rPr>
              <w:t>6.5% (100 cases)</w:t>
            </w:r>
          </w:p>
        </w:tc>
        <w:tc>
          <w:tcPr>
            <w:tcW w:w="1553" w:type="dxa"/>
            <w:tcBorders>
              <w:top w:val="nil"/>
              <w:left w:val="nil"/>
              <w:bottom w:val="nil"/>
              <w:right w:val="nil"/>
            </w:tcBorders>
          </w:tcPr>
          <w:p w:rsidR="00703CF9" w:rsidRPr="00703CF9" w:rsidRDefault="00703CF9" w:rsidP="00B666AA">
            <w:pPr>
              <w:pStyle w:val="TableTextNumbers"/>
              <w:spacing w:after="40"/>
              <w:rPr>
                <w:rFonts w:cs="Calibri"/>
              </w:rPr>
            </w:pPr>
            <w:r w:rsidRPr="00703CF9">
              <w:rPr>
                <w:rFonts w:cs="Calibri"/>
              </w:rPr>
              <w:t>-15.9% (90 cases)</w:t>
            </w:r>
          </w:p>
        </w:tc>
      </w:tr>
      <w:tr w:rsidR="00703CF9" w:rsidRPr="00DC11B3" w:rsidTr="00F01B59">
        <w:tc>
          <w:tcPr>
            <w:tcW w:w="2067" w:type="dxa"/>
            <w:tcBorders>
              <w:top w:val="nil"/>
              <w:left w:val="nil"/>
              <w:right w:val="nil"/>
            </w:tcBorders>
          </w:tcPr>
          <w:p w:rsidR="00703CF9" w:rsidRPr="00F01B59" w:rsidRDefault="00703CF9" w:rsidP="00E825DE">
            <w:pPr>
              <w:pStyle w:val="Header"/>
              <w:tabs>
                <w:tab w:val="clear" w:pos="4153"/>
                <w:tab w:val="clear" w:pos="8306"/>
              </w:tabs>
              <w:rPr>
                <w:b/>
                <w:kern w:val="28"/>
                <w:sz w:val="18"/>
                <w:szCs w:val="18"/>
              </w:rPr>
            </w:pPr>
          </w:p>
        </w:tc>
        <w:tc>
          <w:tcPr>
            <w:tcW w:w="2071" w:type="dxa"/>
            <w:tcBorders>
              <w:top w:val="nil"/>
              <w:left w:val="nil"/>
              <w:right w:val="nil"/>
            </w:tcBorders>
          </w:tcPr>
          <w:p w:rsidR="00703CF9" w:rsidRPr="00703CF9" w:rsidRDefault="00703CF9" w:rsidP="00F01B59">
            <w:pPr>
              <w:pStyle w:val="BodyTextIndent"/>
              <w:numPr>
                <w:ilvl w:val="0"/>
                <w:numId w:val="1"/>
              </w:numPr>
              <w:tabs>
                <w:tab w:val="clear" w:pos="360"/>
                <w:tab w:val="left" w:pos="284"/>
              </w:tabs>
              <w:spacing w:after="40"/>
              <w:ind w:left="284" w:hanging="284"/>
              <w:jc w:val="left"/>
              <w:rPr>
                <w:rFonts w:cs="Calibri"/>
                <w:sz w:val="18"/>
                <w:szCs w:val="18"/>
              </w:rPr>
            </w:pPr>
            <w:r w:rsidRPr="00703CF9">
              <w:rPr>
                <w:rFonts w:cs="Calibri"/>
                <w:sz w:val="18"/>
                <w:szCs w:val="18"/>
              </w:rPr>
              <w:t xml:space="preserve">Supreme Court &gt;24 </w:t>
            </w:r>
            <w:proofErr w:type="spellStart"/>
            <w:r w:rsidRPr="00703CF9">
              <w:rPr>
                <w:rFonts w:cs="Calibri"/>
                <w:sz w:val="18"/>
                <w:szCs w:val="18"/>
              </w:rPr>
              <w:t>mths</w:t>
            </w:r>
            <w:proofErr w:type="spellEnd"/>
          </w:p>
        </w:tc>
        <w:tc>
          <w:tcPr>
            <w:tcW w:w="1998" w:type="dxa"/>
            <w:tcBorders>
              <w:top w:val="nil"/>
              <w:left w:val="nil"/>
              <w:right w:val="nil"/>
            </w:tcBorders>
          </w:tcPr>
          <w:p w:rsidR="00703CF9" w:rsidRPr="00703CF9" w:rsidRDefault="00CD33AC" w:rsidP="00B666AA">
            <w:pPr>
              <w:pStyle w:val="TableTextNumbers"/>
              <w:spacing w:after="40"/>
              <w:rPr>
                <w:rFonts w:cs="Calibri"/>
              </w:rPr>
            </w:pPr>
            <w:r w:rsidRPr="00CD33AC">
              <w:rPr>
                <w:rFonts w:cs="Arial"/>
                <w:b/>
                <w:noProof/>
                <w:lang w:eastAsia="en-AU"/>
              </w:rPr>
              <w:pict>
                <v:line id="_x0000_s1216" style="position:absolute;left:0;text-align:left;flip:x y;z-index:251703296;mso-position-horizontal-relative:text;mso-position-vertical-relative:text" from="94.15pt,15.45pt" to="125.25pt,50.5pt">
                  <v:stroke endarrow="block"/>
                </v:line>
              </w:pict>
            </w:r>
            <w:r w:rsidR="00703CF9" w:rsidRPr="00703CF9">
              <w:rPr>
                <w:rFonts w:cs="Calibri"/>
              </w:rPr>
              <w:t>-4.8% (455 cases)</w:t>
            </w:r>
          </w:p>
        </w:tc>
        <w:tc>
          <w:tcPr>
            <w:tcW w:w="1553" w:type="dxa"/>
            <w:tcBorders>
              <w:top w:val="nil"/>
              <w:left w:val="nil"/>
              <w:right w:val="nil"/>
            </w:tcBorders>
          </w:tcPr>
          <w:p w:rsidR="00703CF9" w:rsidRPr="00703CF9" w:rsidRDefault="00703CF9" w:rsidP="00B666AA">
            <w:pPr>
              <w:pStyle w:val="TableTextNumbers"/>
              <w:spacing w:after="40"/>
              <w:rPr>
                <w:rFonts w:cs="Calibri"/>
              </w:rPr>
            </w:pPr>
            <w:r w:rsidRPr="00703CF9">
              <w:rPr>
                <w:rFonts w:cs="Calibri"/>
              </w:rPr>
              <w:t>-32% (310 cases)</w:t>
            </w:r>
          </w:p>
        </w:tc>
        <w:tc>
          <w:tcPr>
            <w:tcW w:w="1553" w:type="dxa"/>
            <w:tcBorders>
              <w:top w:val="nil"/>
              <w:left w:val="nil"/>
              <w:right w:val="nil"/>
            </w:tcBorders>
          </w:tcPr>
          <w:p w:rsidR="00703CF9" w:rsidRPr="00703CF9" w:rsidRDefault="00703CF9" w:rsidP="00B666AA">
            <w:pPr>
              <w:pStyle w:val="TableTextNumbers"/>
              <w:spacing w:after="40"/>
              <w:rPr>
                <w:rFonts w:cs="Calibri"/>
              </w:rPr>
            </w:pPr>
            <w:r w:rsidRPr="00703CF9">
              <w:rPr>
                <w:rFonts w:cs="Calibri"/>
              </w:rPr>
              <w:t>-38% (280 cases)</w:t>
            </w:r>
          </w:p>
        </w:tc>
      </w:tr>
    </w:tbl>
    <w:p w:rsidR="000D4AC8" w:rsidRDefault="000D4AC8" w:rsidP="000D4AC8">
      <w:pPr>
        <w:pStyle w:val="Header"/>
        <w:tabs>
          <w:tab w:val="clear" w:pos="4153"/>
          <w:tab w:val="clear" w:pos="8306"/>
        </w:tabs>
        <w:rPr>
          <w:rFonts w:ascii="Arial" w:hAnsi="Arial" w:cs="Arial"/>
          <w:b/>
          <w:sz w:val="20"/>
        </w:rPr>
      </w:pPr>
    </w:p>
    <w:p w:rsidR="000D4AC8" w:rsidRDefault="000D4AC8" w:rsidP="000D4AC8">
      <w:pPr>
        <w:pStyle w:val="Header"/>
        <w:tabs>
          <w:tab w:val="clear" w:pos="4153"/>
          <w:tab w:val="clear" w:pos="8306"/>
        </w:tabs>
        <w:rPr>
          <w:rFonts w:ascii="Arial" w:hAnsi="Arial" w:cs="Arial"/>
          <w:b/>
          <w:sz w:val="20"/>
        </w:rPr>
      </w:pPr>
      <w:r>
        <w:rPr>
          <w:rFonts w:ascii="Arial" w:hAnsi="Arial" w:cs="Arial"/>
          <w:b/>
          <w:sz w:val="20"/>
        </w:rPr>
        <w:t>Strategic Objective</w:t>
      </w:r>
      <w:r>
        <w:rPr>
          <w:rFonts w:ascii="Arial" w:hAnsi="Arial" w:cs="Arial"/>
          <w:b/>
          <w:sz w:val="20"/>
        </w:rPr>
        <w:tab/>
      </w:r>
      <w:r>
        <w:rPr>
          <w:rFonts w:ascii="Arial" w:hAnsi="Arial" w:cs="Arial"/>
          <w:b/>
          <w:sz w:val="20"/>
        </w:rPr>
        <w:tab/>
        <w:t xml:space="preserve">  Strategic Indicator</w:t>
      </w:r>
    </w:p>
    <w:p w:rsidR="000D4AC8" w:rsidRDefault="00CD33AC" w:rsidP="000D4AC8">
      <w:pPr>
        <w:pStyle w:val="Header"/>
        <w:tabs>
          <w:tab w:val="clear" w:pos="4153"/>
          <w:tab w:val="clear" w:pos="8306"/>
        </w:tabs>
        <w:rPr>
          <w:rFonts w:ascii="Arial Bold" w:hAnsi="Arial Bold"/>
          <w:b/>
          <w:kern w:val="28"/>
          <w:sz w:val="20"/>
        </w:rPr>
      </w:pPr>
      <w:r w:rsidRPr="00CD33AC">
        <w:rPr>
          <w:rFonts w:ascii="Arial" w:hAnsi="Arial" w:cs="Arial"/>
          <w:b/>
          <w:noProof/>
          <w:kern w:val="28"/>
          <w:sz w:val="20"/>
        </w:rPr>
        <w:pict>
          <v:shape id="_x0000_s1208" type="#_x0000_t202" style="position:absolute;margin-left:301.05pt;margin-top:2.55pt;width:2in;height:34.6pt;z-index:251698176">
            <v:textbox style="mso-next-textbox:#_x0000_s1208">
              <w:txbxContent>
                <w:p w:rsidR="00451669" w:rsidRDefault="00451669" w:rsidP="000D4AC8">
                  <w:pPr>
                    <w:rPr>
                      <w:sz w:val="20"/>
                    </w:rPr>
                  </w:pPr>
                  <w:r>
                    <w:rPr>
                      <w:sz w:val="20"/>
                    </w:rPr>
                    <w:t>Measure set to reach strategic outcome.</w:t>
                  </w:r>
                </w:p>
              </w:txbxContent>
            </v:textbox>
          </v:shape>
        </w:pict>
      </w:r>
      <w:r w:rsidRPr="00CD33AC">
        <w:rPr>
          <w:rFonts w:ascii="Arial" w:hAnsi="Arial" w:cs="Arial"/>
          <w:b/>
          <w:noProof/>
          <w:sz w:val="20"/>
        </w:rPr>
        <w:pict>
          <v:shape id="_x0000_s1207" type="#_x0000_t202" style="position:absolute;margin-left:148.05pt;margin-top:2.55pt;width:2in;height:34.6pt;z-index:251697152">
            <v:textbox style="mso-next-textbox:#_x0000_s1207">
              <w:txbxContent>
                <w:p w:rsidR="00451669" w:rsidRDefault="00451669" w:rsidP="000D4AC8">
                  <w:pPr>
                    <w:rPr>
                      <w:sz w:val="20"/>
                    </w:rPr>
                  </w:pPr>
                  <w:r>
                    <w:rPr>
                      <w:sz w:val="20"/>
                    </w:rPr>
                    <w:t>Indicator of objective.</w:t>
                  </w:r>
                </w:p>
                <w:p w:rsidR="00451669" w:rsidRDefault="00451669" w:rsidP="000D4AC8"/>
              </w:txbxContent>
            </v:textbox>
          </v:shape>
        </w:pict>
      </w:r>
      <w:r w:rsidRPr="00CD33AC">
        <w:rPr>
          <w:rFonts w:ascii="Arial" w:hAnsi="Arial" w:cs="Arial"/>
          <w:b/>
          <w:noProof/>
          <w:sz w:val="20"/>
        </w:rPr>
        <w:pict>
          <v:shape id="_x0000_s1206" type="#_x0000_t202" style="position:absolute;margin-left:-4.8pt;margin-top:2.55pt;width:2in;height:34.6pt;z-index:251696128">
            <v:textbox style="mso-next-textbox:#_x0000_s1206">
              <w:txbxContent>
                <w:p w:rsidR="00451669" w:rsidRDefault="00451669" w:rsidP="000D4AC8">
                  <w:pPr>
                    <w:rPr>
                      <w:sz w:val="20"/>
                    </w:rPr>
                  </w:pPr>
                  <w:r>
                    <w:rPr>
                      <w:sz w:val="20"/>
                    </w:rPr>
                    <w:t>This is the outcome desired i.e. strategic outcome.</w:t>
                  </w:r>
                </w:p>
              </w:txbxContent>
            </v:textbox>
          </v:shape>
        </w:pict>
      </w:r>
      <w:r>
        <w:rPr>
          <w:rFonts w:ascii="Arial Bold" w:hAnsi="Arial Bold"/>
          <w:b/>
          <w:noProof/>
          <w:kern w:val="28"/>
          <w:sz w:val="20"/>
        </w:rPr>
        <w:pict>
          <v:line id="_x0000_s1202" style="position:absolute;flip:x;z-index:251692032" from="-22.95pt,15.4pt" to="4.05pt,15.4pt"/>
        </w:pict>
      </w:r>
    </w:p>
    <w:p w:rsidR="000D4AC8" w:rsidRDefault="000D4AC8" w:rsidP="000D4AC8">
      <w:pPr>
        <w:pStyle w:val="Sub-Heading"/>
      </w:pPr>
      <w:r>
        <w:lastRenderedPageBreak/>
        <w:t>Outputs and Output Classes</w:t>
      </w:r>
    </w:p>
    <w:p w:rsidR="000D4AC8" w:rsidRDefault="000D4AC8" w:rsidP="000D4AC8">
      <w:pPr>
        <w:pStyle w:val="BodyText"/>
      </w:pPr>
      <w:r>
        <w:t>Outputs are defined as identifiable goods produced or services provided by, or on behalf of the Government, by an agency for the benefit of the community.  Outputs allow the Government to financially measure the cost to provide goods produced and/or services to the community in order to achieve policy objectives or outcomes.  Outputs are grouped together into similar categories called output classes.</w:t>
      </w:r>
    </w:p>
    <w:p w:rsidR="000D4AC8" w:rsidRDefault="000D4AC8" w:rsidP="000D4AC8">
      <w:pPr>
        <w:pStyle w:val="BodyText"/>
      </w:pPr>
      <w:r>
        <w:t>This section of the chapter identifies the outputs provided by the agency and the cost of the outputs compared to the appropriations received by the agency in relation to the Output Class.  Example 3 provides an example of an Output Class by agency.  It should be noted that an agency may have more than one Output Class.</w:t>
      </w:r>
    </w:p>
    <w:p w:rsidR="000D4AC8" w:rsidRDefault="000D4AC8" w:rsidP="000D4AC8">
      <w:pPr>
        <w:pStyle w:val="Heading3"/>
      </w:pPr>
      <w:r>
        <w:t>Example 3</w:t>
      </w:r>
    </w:p>
    <w:p w:rsidR="000D4AC8" w:rsidRDefault="000D4AC8" w:rsidP="000D4AC8">
      <w:pPr>
        <w:pStyle w:val="Heading3"/>
      </w:pPr>
      <w:r>
        <w:t>Output Class</w:t>
      </w:r>
    </w:p>
    <w:tbl>
      <w:tblPr>
        <w:tblW w:w="9100" w:type="dxa"/>
        <w:tblInd w:w="108" w:type="dxa"/>
        <w:tblLook w:val="0000"/>
      </w:tblPr>
      <w:tblGrid>
        <w:gridCol w:w="3698"/>
        <w:gridCol w:w="1421"/>
        <w:gridCol w:w="1280"/>
        <w:gridCol w:w="1421"/>
        <w:gridCol w:w="1280"/>
      </w:tblGrid>
      <w:tr w:rsidR="000D4AC8" w:rsidTr="00E825DE">
        <w:tc>
          <w:tcPr>
            <w:tcW w:w="3686" w:type="dxa"/>
            <w:tcBorders>
              <w:top w:val="single" w:sz="4" w:space="0" w:color="auto"/>
              <w:left w:val="nil"/>
              <w:bottom w:val="nil"/>
              <w:right w:val="nil"/>
            </w:tcBorders>
          </w:tcPr>
          <w:p w:rsidR="000D4AC8" w:rsidRDefault="000D4AC8" w:rsidP="00E825DE">
            <w:pPr>
              <w:pStyle w:val="Heading6"/>
            </w:pPr>
          </w:p>
        </w:tc>
        <w:tc>
          <w:tcPr>
            <w:tcW w:w="2693" w:type="dxa"/>
            <w:gridSpan w:val="2"/>
            <w:tcBorders>
              <w:top w:val="single" w:sz="4" w:space="0" w:color="auto"/>
              <w:left w:val="nil"/>
              <w:bottom w:val="single" w:sz="4" w:space="0" w:color="auto"/>
              <w:right w:val="nil"/>
            </w:tcBorders>
          </w:tcPr>
          <w:p w:rsidR="000D4AC8" w:rsidRDefault="000D4AC8" w:rsidP="00E825DE">
            <w:pPr>
              <w:pStyle w:val="Heading2"/>
            </w:pPr>
            <w:r>
              <w:t>Total Cost</w:t>
            </w:r>
          </w:p>
        </w:tc>
        <w:tc>
          <w:tcPr>
            <w:tcW w:w="2693" w:type="dxa"/>
            <w:gridSpan w:val="2"/>
            <w:tcBorders>
              <w:top w:val="single" w:sz="4" w:space="0" w:color="auto"/>
              <w:left w:val="nil"/>
              <w:bottom w:val="single" w:sz="4" w:space="0" w:color="auto"/>
              <w:right w:val="nil"/>
            </w:tcBorders>
          </w:tcPr>
          <w:p w:rsidR="000D4AC8" w:rsidRDefault="000D4AC8" w:rsidP="00E825DE">
            <w:pPr>
              <w:pStyle w:val="Heading2"/>
            </w:pPr>
            <w:r>
              <w:t>Government Payment for Outputs</w:t>
            </w:r>
          </w:p>
        </w:tc>
      </w:tr>
      <w:tr w:rsidR="000D4AC8" w:rsidTr="00E825DE">
        <w:tc>
          <w:tcPr>
            <w:tcW w:w="3686" w:type="dxa"/>
            <w:tcBorders>
              <w:top w:val="nil"/>
              <w:left w:val="nil"/>
              <w:bottom w:val="single" w:sz="4" w:space="0" w:color="auto"/>
              <w:right w:val="nil"/>
            </w:tcBorders>
          </w:tcPr>
          <w:p w:rsidR="000D4AC8" w:rsidRDefault="000D4AC8" w:rsidP="00E825DE">
            <w:pPr>
              <w:rPr>
                <w:rFonts w:ascii="Arial" w:hAnsi="Arial" w:cs="Arial"/>
                <w:b/>
                <w:bCs/>
              </w:rPr>
            </w:pPr>
          </w:p>
        </w:tc>
        <w:tc>
          <w:tcPr>
            <w:tcW w:w="1417" w:type="dxa"/>
            <w:tcBorders>
              <w:top w:val="single" w:sz="4" w:space="0" w:color="auto"/>
              <w:left w:val="nil"/>
              <w:bottom w:val="single" w:sz="4" w:space="0" w:color="auto"/>
              <w:right w:val="nil"/>
            </w:tcBorders>
          </w:tcPr>
          <w:p w:rsidR="000D4AC8" w:rsidRDefault="000D4AC8" w:rsidP="00E825DE">
            <w:pPr>
              <w:pStyle w:val="Heading6"/>
            </w:pPr>
            <w:r>
              <w:t xml:space="preserve">Prior Year </w:t>
            </w:r>
          </w:p>
          <w:p w:rsidR="000D4AC8" w:rsidRDefault="000D4AC8" w:rsidP="00E825DE">
            <w:pPr>
              <w:pStyle w:val="Heading6"/>
            </w:pPr>
            <w:r>
              <w:t>Est. Outcome</w:t>
            </w:r>
            <w:r>
              <w:br/>
              <w:t>$’000</w:t>
            </w:r>
          </w:p>
        </w:tc>
        <w:tc>
          <w:tcPr>
            <w:tcW w:w="1276" w:type="dxa"/>
            <w:tcBorders>
              <w:top w:val="single" w:sz="4" w:space="0" w:color="auto"/>
              <w:left w:val="nil"/>
              <w:bottom w:val="single" w:sz="4" w:space="0" w:color="auto"/>
              <w:right w:val="nil"/>
            </w:tcBorders>
          </w:tcPr>
          <w:p w:rsidR="000D4AC8" w:rsidRDefault="000D4AC8" w:rsidP="00E825DE">
            <w:pPr>
              <w:pStyle w:val="Heading6"/>
            </w:pPr>
            <w:r>
              <w:t xml:space="preserve">Budget </w:t>
            </w:r>
          </w:p>
          <w:p w:rsidR="000D4AC8" w:rsidRDefault="000D4AC8" w:rsidP="00E825DE">
            <w:pPr>
              <w:pStyle w:val="Heading6"/>
            </w:pPr>
            <w:r>
              <w:t>Year</w:t>
            </w:r>
            <w:r>
              <w:br/>
              <w:t>$’000</w:t>
            </w:r>
          </w:p>
        </w:tc>
        <w:tc>
          <w:tcPr>
            <w:tcW w:w="1417" w:type="dxa"/>
            <w:tcBorders>
              <w:top w:val="single" w:sz="4" w:space="0" w:color="auto"/>
              <w:left w:val="nil"/>
              <w:bottom w:val="single" w:sz="4" w:space="0" w:color="auto"/>
              <w:right w:val="nil"/>
            </w:tcBorders>
          </w:tcPr>
          <w:p w:rsidR="000D4AC8" w:rsidRDefault="000D4AC8" w:rsidP="00E825DE">
            <w:pPr>
              <w:pStyle w:val="Heading6"/>
            </w:pPr>
            <w:r>
              <w:t>Prior Year</w:t>
            </w:r>
          </w:p>
          <w:p w:rsidR="000D4AC8" w:rsidRDefault="000D4AC8" w:rsidP="00E825DE">
            <w:pPr>
              <w:pStyle w:val="Heading6"/>
            </w:pPr>
            <w:r>
              <w:t>Est. Outcome</w:t>
            </w:r>
            <w:r>
              <w:br/>
              <w:t>$’000</w:t>
            </w:r>
          </w:p>
        </w:tc>
        <w:tc>
          <w:tcPr>
            <w:tcW w:w="1276" w:type="dxa"/>
            <w:tcBorders>
              <w:top w:val="single" w:sz="4" w:space="0" w:color="auto"/>
              <w:left w:val="nil"/>
              <w:bottom w:val="single" w:sz="4" w:space="0" w:color="auto"/>
              <w:right w:val="nil"/>
            </w:tcBorders>
          </w:tcPr>
          <w:p w:rsidR="000D4AC8" w:rsidRDefault="000D4AC8" w:rsidP="00E825DE">
            <w:pPr>
              <w:pStyle w:val="Heading6"/>
            </w:pPr>
            <w:r>
              <w:t>Budget Year</w:t>
            </w:r>
            <w:r>
              <w:br/>
              <w:t>$’000</w:t>
            </w:r>
          </w:p>
        </w:tc>
      </w:tr>
      <w:tr w:rsidR="000D4AC8" w:rsidTr="00AE3891">
        <w:tc>
          <w:tcPr>
            <w:tcW w:w="3686" w:type="dxa"/>
            <w:tcBorders>
              <w:top w:val="single" w:sz="4" w:space="0" w:color="auto"/>
              <w:left w:val="nil"/>
              <w:bottom w:val="single" w:sz="4" w:space="0" w:color="auto"/>
              <w:right w:val="nil"/>
            </w:tcBorders>
          </w:tcPr>
          <w:p w:rsidR="000D4AC8" w:rsidRDefault="00CD33AC" w:rsidP="00E825DE">
            <w:pPr>
              <w:pStyle w:val="Heading7"/>
            </w:pPr>
            <w:r>
              <w:rPr>
                <w:noProof/>
              </w:rPr>
              <w:pict>
                <v:line id="_x0000_s1209" style="position:absolute;left:0;text-align:left;flip:y;z-index:251699200;mso-position-horizontal-relative:text;mso-position-vertical-relative:text" from="-19.35pt,20.1pt" to="-1.35pt,83.1pt">
                  <v:stroke endarrow="block"/>
                </v:line>
              </w:pict>
            </w:r>
            <w:r w:rsidR="000D4AC8">
              <w:t xml:space="preserve">Output Class 3: </w:t>
            </w:r>
            <w:r w:rsidR="000D4AC8">
              <w:br/>
            </w:r>
            <w:r w:rsidR="000D4AC8">
              <w:rPr>
                <w:lang w:val="en-GB"/>
              </w:rPr>
              <w:t>Vocational Education and Training</w:t>
            </w:r>
          </w:p>
        </w:tc>
        <w:tc>
          <w:tcPr>
            <w:tcW w:w="1417"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37,705</w:t>
            </w:r>
          </w:p>
        </w:tc>
        <w:tc>
          <w:tcPr>
            <w:tcW w:w="1276"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40,463</w:t>
            </w:r>
          </w:p>
        </w:tc>
        <w:tc>
          <w:tcPr>
            <w:tcW w:w="1417"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36,919</w:t>
            </w:r>
          </w:p>
        </w:tc>
        <w:tc>
          <w:tcPr>
            <w:tcW w:w="1276" w:type="dxa"/>
            <w:tcBorders>
              <w:top w:val="single" w:sz="4" w:space="0" w:color="auto"/>
              <w:left w:val="nil"/>
              <w:bottom w:val="single" w:sz="4" w:space="0" w:color="auto"/>
              <w:right w:val="nil"/>
            </w:tcBorders>
            <w:vAlign w:val="bottom"/>
          </w:tcPr>
          <w:p w:rsidR="000D4AC8" w:rsidRDefault="00CD33AC" w:rsidP="00AE3891">
            <w:pPr>
              <w:pStyle w:val="TableNumbersRight"/>
              <w:rPr>
                <w:szCs w:val="20"/>
              </w:rPr>
            </w:pPr>
            <w:r w:rsidRPr="00CD33AC">
              <w:rPr>
                <w:b/>
                <w:noProof/>
                <w:highlight w:val="cyan"/>
              </w:rPr>
              <w:pict>
                <v:line id="_x0000_s1195" style="position:absolute;left:0;text-align:left;flip:x y;z-index:251684864;mso-position-horizontal-relative:text;mso-position-vertical-relative:text" from="60.5pt,15.5pt" to="78.1pt,84.3pt">
                  <v:stroke endarrow="block"/>
                </v:line>
              </w:pict>
            </w:r>
          </w:p>
          <w:p w:rsidR="00AE3891" w:rsidRDefault="00AE3891" w:rsidP="00AE3891">
            <w:pPr>
              <w:pStyle w:val="TableNumbersRight"/>
              <w:rPr>
                <w:szCs w:val="20"/>
              </w:rPr>
            </w:pPr>
            <w:r>
              <w:rPr>
                <w:szCs w:val="20"/>
              </w:rPr>
              <w:t>39,629</w:t>
            </w:r>
          </w:p>
        </w:tc>
      </w:tr>
      <w:tr w:rsidR="000D4AC8" w:rsidTr="00E825DE">
        <w:tc>
          <w:tcPr>
            <w:tcW w:w="3686" w:type="dxa"/>
            <w:tcBorders>
              <w:top w:val="single" w:sz="4" w:space="0" w:color="auto"/>
              <w:left w:val="nil"/>
              <w:bottom w:val="single" w:sz="4" w:space="0" w:color="auto"/>
              <w:right w:val="nil"/>
            </w:tcBorders>
          </w:tcPr>
          <w:p w:rsidR="000D4AC8" w:rsidRDefault="00CD33AC" w:rsidP="00AE3891">
            <w:pPr>
              <w:pStyle w:val="Heading7"/>
            </w:pPr>
            <w:r>
              <w:rPr>
                <w:noProof/>
              </w:rPr>
              <w:pict>
                <v:line id="_x0000_s1211" style="position:absolute;left:0;text-align:left;flip:y;z-index:251701248;mso-position-horizontal-relative:text;mso-position-vertical-relative:text" from="175.65pt,32.15pt" to="211.65pt,59.15pt">
                  <v:stroke endarrow="block"/>
                </v:line>
              </w:pict>
            </w:r>
            <w:r>
              <w:rPr>
                <w:noProof/>
              </w:rPr>
              <w:pict>
                <v:line id="_x0000_s1210" style="position:absolute;left:0;text-align:left;flip:y;z-index:251700224;mso-position-horizontal-relative:text;mso-position-vertical-relative:text" from="115.65pt,23.6pt" to="115.65pt,59.6pt">
                  <v:stroke endarrow="block"/>
                </v:line>
              </w:pict>
            </w:r>
            <w:r w:rsidR="000D4AC8">
              <w:t>Output 3.1:  Planning and Coordination of Vocational Education and Training Services</w:t>
            </w:r>
          </w:p>
        </w:tc>
        <w:tc>
          <w:tcPr>
            <w:tcW w:w="1417"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37,705</w:t>
            </w:r>
          </w:p>
        </w:tc>
        <w:tc>
          <w:tcPr>
            <w:tcW w:w="1276"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40,463</w:t>
            </w:r>
          </w:p>
        </w:tc>
        <w:tc>
          <w:tcPr>
            <w:tcW w:w="1417"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36,919</w:t>
            </w:r>
          </w:p>
        </w:tc>
        <w:tc>
          <w:tcPr>
            <w:tcW w:w="1276" w:type="dxa"/>
            <w:tcBorders>
              <w:top w:val="single" w:sz="4" w:space="0" w:color="auto"/>
              <w:left w:val="nil"/>
              <w:bottom w:val="single" w:sz="4" w:space="0" w:color="auto"/>
              <w:right w:val="nil"/>
            </w:tcBorders>
            <w:vAlign w:val="bottom"/>
          </w:tcPr>
          <w:p w:rsidR="000D4AC8" w:rsidRDefault="000D4AC8" w:rsidP="00E825DE">
            <w:pPr>
              <w:pStyle w:val="TableNumbersRight"/>
              <w:rPr>
                <w:szCs w:val="20"/>
              </w:rPr>
            </w:pPr>
            <w:r>
              <w:rPr>
                <w:szCs w:val="20"/>
              </w:rPr>
              <w:t>39,629</w:t>
            </w:r>
          </w:p>
        </w:tc>
      </w:tr>
    </w:tbl>
    <w:p w:rsidR="000D4AC8" w:rsidRDefault="00CD33AC" w:rsidP="000D4AC8">
      <w:pPr>
        <w:rPr>
          <w:highlight w:val="cyan"/>
        </w:rPr>
      </w:pPr>
      <w:r w:rsidRPr="00CD33AC">
        <w:rPr>
          <w:noProof/>
          <w:highlight w:val="cyan"/>
        </w:rPr>
        <w:pict>
          <v:shape id="_x0000_s1196" type="#_x0000_t202" style="position:absolute;margin-left:130.05pt;margin-top:22.65pt;width:81pt;height:99pt;z-index:251685888;mso-position-horizontal-relative:text;mso-position-vertical-relative:text">
            <v:textbox style="mso-next-textbox:#_x0000_s1196">
              <w:txbxContent>
                <w:p w:rsidR="00451669" w:rsidRPr="00DC11B3" w:rsidRDefault="00451669" w:rsidP="000D4AC8">
                  <w:pPr>
                    <w:pStyle w:val="PlainText"/>
                    <w:rPr>
                      <w:rFonts w:cs="Calibri"/>
                    </w:rPr>
                  </w:pPr>
                  <w:r w:rsidRPr="00DC11B3">
                    <w:rPr>
                      <w:rFonts w:cs="Calibri"/>
                    </w:rPr>
                    <w:t>This is the estimate of the final outcome at the end of the current financial year.</w:t>
                  </w:r>
                </w:p>
              </w:txbxContent>
            </v:textbox>
          </v:shape>
        </w:pict>
      </w:r>
      <w:r w:rsidRPr="00CD33AC">
        <w:rPr>
          <w:noProof/>
          <w:highlight w:val="cyan"/>
        </w:rPr>
        <w:pict>
          <v:line id="_x0000_s1194" style="position:absolute;flip:x y;z-index:251683840;mso-position-horizontal-relative:text;mso-position-vertical-relative:text" from="297pt,0" to="301.05pt,22.35pt">
            <v:stroke endarrow="block"/>
          </v:line>
        </w:pict>
      </w:r>
    </w:p>
    <w:p w:rsidR="000D4AC8" w:rsidRDefault="00CD33AC" w:rsidP="000D4AC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highlight w:val="cyan"/>
        </w:rPr>
      </w:pPr>
      <w:r w:rsidRPr="00CD33AC">
        <w:rPr>
          <w:noProof/>
          <w:highlight w:val="cyan"/>
        </w:rPr>
        <w:pict>
          <v:shape id="_x0000_s1190" type="#_x0000_t202" style="position:absolute;left:0;text-align:left;margin-left:386.55pt;margin-top:7.7pt;width:90pt;height:99.3pt;z-index:251679744">
            <v:textbox style="mso-next-textbox:#_x0000_s1190">
              <w:txbxContent>
                <w:p w:rsidR="00451669" w:rsidRDefault="00451669" w:rsidP="000D4AC8">
                  <w:pPr>
                    <w:rPr>
                      <w:sz w:val="20"/>
                    </w:rPr>
                  </w:pPr>
                  <w:r>
                    <w:rPr>
                      <w:sz w:val="20"/>
                    </w:rPr>
                    <w:t>This item reflects the amount of funding for the Output Class sourced from the Appropriation Bill.</w:t>
                  </w:r>
                </w:p>
              </w:txbxContent>
            </v:textbox>
          </v:shape>
        </w:pict>
      </w:r>
      <w:r w:rsidRPr="00CD33AC">
        <w:rPr>
          <w:noProof/>
          <w:highlight w:val="cyan"/>
        </w:rPr>
        <w:pict>
          <v:shape id="_x0000_s1189" type="#_x0000_t202" style="position:absolute;left:0;text-align:left;margin-left:217.05pt;margin-top:8pt;width:161.7pt;height:107.8pt;z-index:251678720">
            <v:textbox style="mso-next-textbox:#_x0000_s1189">
              <w:txbxContent>
                <w:p w:rsidR="00451669" w:rsidRDefault="00451669" w:rsidP="000D4AC8">
                  <w:pPr>
                    <w:rPr>
                      <w:sz w:val="20"/>
                    </w:rPr>
                  </w:pPr>
                  <w:r>
                    <w:rPr>
                      <w:sz w:val="20"/>
                    </w:rPr>
                    <w:t>This item reflects the cost of Outputs within an Output Class. (This amount can be greater than the Government payment where the agency provides some of its own funding or the Output is provided on a full or part cost recovery basis).</w:t>
                  </w:r>
                </w:p>
              </w:txbxContent>
            </v:textbox>
          </v:shape>
        </w:pict>
      </w:r>
      <w:r w:rsidRPr="00CD33AC">
        <w:rPr>
          <w:noProof/>
          <w:highlight w:val="cyan"/>
        </w:rPr>
        <w:pict>
          <v:shape id="_x0000_s1193" type="#_x0000_t202" style="position:absolute;left:0;text-align:left;margin-left:-17.7pt;margin-top:7.7pt;width:63pt;height:99.3pt;z-index:251682816">
            <v:textbox style="mso-next-textbox:#_x0000_s1193">
              <w:txbxContent>
                <w:p w:rsidR="00451669" w:rsidRDefault="00451669" w:rsidP="000D4AC8">
                  <w:pPr>
                    <w:rPr>
                      <w:sz w:val="20"/>
                    </w:rPr>
                  </w:pPr>
                  <w:r>
                    <w:rPr>
                      <w:sz w:val="20"/>
                    </w:rPr>
                    <w:t>This is the name of an Output Class within the agency portfolio.</w:t>
                  </w:r>
                </w:p>
              </w:txbxContent>
            </v:textbox>
          </v:shape>
        </w:pict>
      </w:r>
      <w:r w:rsidRPr="00CD33AC">
        <w:rPr>
          <w:noProof/>
          <w:highlight w:val="cyan"/>
        </w:rPr>
        <w:pict>
          <v:shape id="_x0000_s1188" type="#_x0000_t202" style="position:absolute;left:0;text-align:left;margin-left:53.25pt;margin-top:8pt;width:67.8pt;height:99pt;z-index:251677696">
            <v:textbox style="mso-next-textbox:#_x0000_s1188">
              <w:txbxContent>
                <w:p w:rsidR="00451669" w:rsidRDefault="00451669" w:rsidP="000D4AC8">
                  <w:pPr>
                    <w:rPr>
                      <w:sz w:val="20"/>
                    </w:rPr>
                  </w:pPr>
                  <w:r>
                    <w:rPr>
                      <w:sz w:val="20"/>
                    </w:rPr>
                    <w:t>This is the Output provided by the agency within the Output Class.</w:t>
                  </w:r>
                </w:p>
              </w:txbxContent>
            </v:textbox>
          </v:shape>
        </w:pict>
      </w:r>
    </w:p>
    <w:p w:rsidR="000D4AC8" w:rsidRDefault="000D4AC8" w:rsidP="000D4AC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highlight w:val="cyan"/>
        </w:rPr>
      </w:pPr>
    </w:p>
    <w:p w:rsidR="000D4AC8" w:rsidRDefault="000D4AC8" w:rsidP="000D4AC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highlight w:val="cyan"/>
        </w:rPr>
      </w:pPr>
    </w:p>
    <w:p w:rsidR="000D4AC8" w:rsidRDefault="000D4AC8" w:rsidP="000D4AC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highlight w:val="cyan"/>
        </w:rPr>
      </w:pPr>
    </w:p>
    <w:p w:rsidR="000D4AC8" w:rsidRDefault="000D4AC8" w:rsidP="000D4AC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highlight w:val="cyan"/>
        </w:rPr>
      </w:pPr>
    </w:p>
    <w:p w:rsidR="000D4AC8" w:rsidRDefault="000D4AC8" w:rsidP="000D4AC8">
      <w:pPr>
        <w:pStyle w:val="Sub-Heading"/>
      </w:pPr>
    </w:p>
    <w:p w:rsidR="000D4AC8" w:rsidRDefault="000D4AC8" w:rsidP="000D4AC8">
      <w:pPr>
        <w:pStyle w:val="Sub-Heading"/>
      </w:pPr>
      <w:r>
        <w:t>Output Descriptions</w:t>
      </w:r>
    </w:p>
    <w:p w:rsidR="000D4AC8" w:rsidRDefault="000D4AC8" w:rsidP="000D4AC8">
      <w:pPr>
        <w:pStyle w:val="BodyText"/>
      </w:pPr>
      <w:r>
        <w:t>Output Descriptions are provided in the Budget Papers to provide readers with more information in relation to the outputs and services provided by the agency.  An example is provided below</w:t>
      </w:r>
      <w:r w:rsidR="007C04B9">
        <w:t xml:space="preserve"> for the post secondary education responsibilities of the Education and Training Directorate</w:t>
      </w:r>
      <w:r>
        <w:t>:</w:t>
      </w:r>
    </w:p>
    <w:p w:rsidR="000D4AC8" w:rsidRDefault="000D4AC8" w:rsidP="000D4AC8">
      <w:pPr>
        <w:pStyle w:val="BodyText"/>
      </w:pPr>
      <w:r>
        <w:t>The Directorate is responsible and accountable for the provision of strategic advice and management of Vocational Education and Training (VET) and higher education in the ACT.  This includes monitoring and auditing the provision of publicly funded vocational education and monitoring non self-accrediting higher education providers.</w:t>
      </w:r>
    </w:p>
    <w:p w:rsidR="00451669" w:rsidRDefault="000D4AC8" w:rsidP="000D4AC8">
      <w:pPr>
        <w:pStyle w:val="Sub-Heading"/>
      </w:pPr>
      <w:r>
        <w:br w:type="page"/>
      </w:r>
    </w:p>
    <w:p w:rsidR="000D4AC8" w:rsidRDefault="00CD33AC" w:rsidP="000D4AC8">
      <w:pPr>
        <w:pStyle w:val="Sub-Heading"/>
      </w:pPr>
      <w:r>
        <w:rPr>
          <w:noProof/>
        </w:rPr>
        <w:lastRenderedPageBreak/>
        <w:pict>
          <v:line id="_x0000_s1192" style="position:absolute;z-index:251681792" from="103.2pt,136.45pt" to="103.2pt,136.45pt">
            <v:stroke endarrow="block"/>
          </v:line>
        </w:pict>
      </w:r>
      <w:r w:rsidR="000D4AC8">
        <w:t>Accountability Indicators</w:t>
      </w:r>
    </w:p>
    <w:p w:rsidR="000D4AC8" w:rsidRDefault="000D4AC8" w:rsidP="000D4AC8">
      <w:pPr>
        <w:pStyle w:val="BodyText"/>
      </w:pPr>
      <w:r>
        <w:t xml:space="preserve">Accountability indicators directly measure an agency’s effectiveness and efficiency in delivering its outputs, and may be a measure of outcome, outputs or inputs.  Accountability indicators are provided for each output, are measurable and are subject to an audit review.  Targets </w:t>
      </w:r>
      <w:r w:rsidR="00AE3891">
        <w:t>are generally provided for the b</w:t>
      </w:r>
      <w:r>
        <w:t>udget year.  Accountability indicators compare the prior year target and estimated outcome.  Example 4 provides an example of an accountability indicator.</w:t>
      </w:r>
    </w:p>
    <w:p w:rsidR="000D4AC8" w:rsidRDefault="00CD33AC" w:rsidP="000D4AC8">
      <w:pPr>
        <w:pStyle w:val="Heading3"/>
      </w:pPr>
      <w:r>
        <w:rPr>
          <w:noProof/>
        </w:rPr>
        <w:pict>
          <v:shape id="_x0000_s1191" type="#_x0000_t202" style="position:absolute;margin-left:247.05pt;margin-top:1.3pt;width:76.2pt;height:43.45pt;z-index:251680768">
            <v:textbox style="mso-next-textbox:#_x0000_s1191">
              <w:txbxContent>
                <w:p w:rsidR="00451669" w:rsidRDefault="00451669" w:rsidP="000D4AC8">
                  <w:pPr>
                    <w:rPr>
                      <w:sz w:val="20"/>
                    </w:rPr>
                  </w:pPr>
                  <w:r>
                    <w:rPr>
                      <w:sz w:val="20"/>
                    </w:rPr>
                    <w:t>Key accountability indicators.</w:t>
                  </w:r>
                </w:p>
              </w:txbxContent>
            </v:textbox>
          </v:shape>
        </w:pict>
      </w:r>
      <w:r w:rsidR="000D4AC8">
        <w:t>Example 4</w:t>
      </w:r>
    </w:p>
    <w:p w:rsidR="000D4AC8" w:rsidRDefault="00CD33AC" w:rsidP="000D4AC8">
      <w:pPr>
        <w:pStyle w:val="Heading3"/>
        <w:rPr>
          <w:color w:val="000000"/>
        </w:rPr>
      </w:pPr>
      <w:r w:rsidRPr="00CD33AC">
        <w:rPr>
          <w:noProof/>
        </w:rPr>
        <w:pict>
          <v:line id="_x0000_s1187" style="position:absolute;flip:x;z-index:251676672" from="233.25pt,6.95pt" to="269.25pt,96.95pt">
            <v:stroke endarrow="block"/>
          </v:line>
        </w:pict>
      </w:r>
      <w:r w:rsidR="000D4AC8">
        <w:t xml:space="preserve">Accountability Indicators </w:t>
      </w:r>
    </w:p>
    <w:tbl>
      <w:tblPr>
        <w:tblW w:w="9100" w:type="dxa"/>
        <w:tblLayout w:type="fixed"/>
        <w:tblLook w:val="0000"/>
      </w:tblPr>
      <w:tblGrid>
        <w:gridCol w:w="4923"/>
        <w:gridCol w:w="1381"/>
        <w:gridCol w:w="1382"/>
        <w:gridCol w:w="1414"/>
      </w:tblGrid>
      <w:tr w:rsidR="000D4AC8" w:rsidTr="00E825DE">
        <w:trPr>
          <w:trHeight w:val="20"/>
        </w:trPr>
        <w:tc>
          <w:tcPr>
            <w:tcW w:w="5070" w:type="dxa"/>
            <w:tcBorders>
              <w:top w:val="single" w:sz="4" w:space="0" w:color="auto"/>
              <w:bottom w:val="single" w:sz="4" w:space="0" w:color="auto"/>
            </w:tcBorders>
          </w:tcPr>
          <w:p w:rsidR="000D4AC8" w:rsidRDefault="000D4AC8" w:rsidP="00E825DE">
            <w:pPr>
              <w:tabs>
                <w:tab w:val="left" w:pos="3306"/>
              </w:tabs>
              <w:rPr>
                <w:sz w:val="20"/>
              </w:rPr>
            </w:pPr>
          </w:p>
        </w:tc>
        <w:tc>
          <w:tcPr>
            <w:tcW w:w="1417" w:type="dxa"/>
            <w:tcBorders>
              <w:top w:val="single" w:sz="4" w:space="0" w:color="auto"/>
              <w:bottom w:val="single" w:sz="4" w:space="0" w:color="auto"/>
            </w:tcBorders>
          </w:tcPr>
          <w:p w:rsidR="000D4AC8" w:rsidRDefault="000D4AC8" w:rsidP="00E825DE">
            <w:pPr>
              <w:pStyle w:val="Heading6"/>
              <w:rPr>
                <w:bCs/>
              </w:rPr>
            </w:pPr>
            <w:r>
              <w:rPr>
                <w:bCs/>
              </w:rPr>
              <w:t>Prior Year</w:t>
            </w:r>
            <w:r>
              <w:rPr>
                <w:bCs/>
              </w:rPr>
              <w:br/>
              <w:t>Targets</w:t>
            </w:r>
          </w:p>
        </w:tc>
        <w:tc>
          <w:tcPr>
            <w:tcW w:w="1418" w:type="dxa"/>
            <w:tcBorders>
              <w:top w:val="single" w:sz="4" w:space="0" w:color="auto"/>
              <w:bottom w:val="single" w:sz="4" w:space="0" w:color="auto"/>
            </w:tcBorders>
          </w:tcPr>
          <w:p w:rsidR="000D4AC8" w:rsidRDefault="000D4AC8" w:rsidP="00E825DE">
            <w:pPr>
              <w:pStyle w:val="Heading6"/>
              <w:rPr>
                <w:bCs/>
              </w:rPr>
            </w:pPr>
            <w:r>
              <w:rPr>
                <w:bCs/>
              </w:rPr>
              <w:t>Prior Year</w:t>
            </w:r>
            <w:r>
              <w:rPr>
                <w:bCs/>
              </w:rPr>
              <w:br/>
              <w:t>Est. Outcome</w:t>
            </w:r>
          </w:p>
        </w:tc>
        <w:tc>
          <w:tcPr>
            <w:tcW w:w="1451" w:type="dxa"/>
            <w:tcBorders>
              <w:top w:val="single" w:sz="4" w:space="0" w:color="auto"/>
              <w:bottom w:val="single" w:sz="4" w:space="0" w:color="auto"/>
            </w:tcBorders>
          </w:tcPr>
          <w:p w:rsidR="000D4AC8" w:rsidRDefault="000D4AC8" w:rsidP="00E825DE">
            <w:pPr>
              <w:pStyle w:val="Heading6"/>
              <w:rPr>
                <w:bCs/>
              </w:rPr>
            </w:pPr>
            <w:r>
              <w:rPr>
                <w:bCs/>
              </w:rPr>
              <w:t>Budget</w:t>
            </w:r>
          </w:p>
          <w:p w:rsidR="000D4AC8" w:rsidRDefault="000D4AC8" w:rsidP="00E825DE">
            <w:pPr>
              <w:pStyle w:val="Heading6"/>
              <w:rPr>
                <w:bCs/>
              </w:rPr>
            </w:pPr>
            <w:r>
              <w:rPr>
                <w:bCs/>
              </w:rPr>
              <w:t>Targets</w:t>
            </w:r>
          </w:p>
        </w:tc>
      </w:tr>
      <w:tr w:rsidR="000D4AC8" w:rsidTr="00E825DE">
        <w:trPr>
          <w:trHeight w:val="20"/>
        </w:trPr>
        <w:tc>
          <w:tcPr>
            <w:tcW w:w="5070" w:type="dxa"/>
            <w:tcBorders>
              <w:top w:val="single" w:sz="4" w:space="0" w:color="auto"/>
              <w:bottom w:val="single" w:sz="4" w:space="0" w:color="auto"/>
            </w:tcBorders>
          </w:tcPr>
          <w:p w:rsidR="000D4AC8" w:rsidRDefault="000D4AC8" w:rsidP="00E825DE">
            <w:pPr>
              <w:pStyle w:val="Heading7"/>
            </w:pPr>
            <w:r>
              <w:t>Output Class 3: Vocational Education and Training</w:t>
            </w:r>
          </w:p>
        </w:tc>
        <w:tc>
          <w:tcPr>
            <w:tcW w:w="1417" w:type="dxa"/>
            <w:tcBorders>
              <w:top w:val="single" w:sz="4" w:space="0" w:color="auto"/>
              <w:bottom w:val="single" w:sz="4" w:space="0" w:color="auto"/>
            </w:tcBorders>
          </w:tcPr>
          <w:p w:rsidR="000D4AC8" w:rsidRDefault="000D4AC8" w:rsidP="00E825DE">
            <w:pPr>
              <w:pStyle w:val="Heading7"/>
            </w:pPr>
          </w:p>
        </w:tc>
        <w:tc>
          <w:tcPr>
            <w:tcW w:w="1418" w:type="dxa"/>
            <w:tcBorders>
              <w:top w:val="single" w:sz="4" w:space="0" w:color="auto"/>
              <w:bottom w:val="single" w:sz="4" w:space="0" w:color="auto"/>
            </w:tcBorders>
          </w:tcPr>
          <w:p w:rsidR="000D4AC8" w:rsidRDefault="000D4AC8" w:rsidP="00E825DE">
            <w:pPr>
              <w:pStyle w:val="Heading7"/>
            </w:pPr>
          </w:p>
        </w:tc>
        <w:tc>
          <w:tcPr>
            <w:tcW w:w="1451" w:type="dxa"/>
            <w:tcBorders>
              <w:top w:val="single" w:sz="4" w:space="0" w:color="auto"/>
              <w:bottom w:val="single" w:sz="4" w:space="0" w:color="auto"/>
            </w:tcBorders>
          </w:tcPr>
          <w:p w:rsidR="000D4AC8" w:rsidRDefault="000D4AC8" w:rsidP="00E825DE">
            <w:pPr>
              <w:pStyle w:val="Heading7"/>
            </w:pPr>
          </w:p>
        </w:tc>
      </w:tr>
      <w:tr w:rsidR="000D4AC8" w:rsidTr="00E825DE">
        <w:trPr>
          <w:trHeight w:val="238"/>
        </w:trPr>
        <w:tc>
          <w:tcPr>
            <w:tcW w:w="5070" w:type="dxa"/>
            <w:tcBorders>
              <w:bottom w:val="single" w:sz="4" w:space="0" w:color="auto"/>
            </w:tcBorders>
          </w:tcPr>
          <w:p w:rsidR="000D4AC8" w:rsidRDefault="000D4AC8" w:rsidP="00E825DE">
            <w:pPr>
              <w:pStyle w:val="Heading7"/>
            </w:pPr>
            <w:r>
              <w:t>Output 3.1:  Planning and Coordination of Vocational Education and Training Services</w:t>
            </w:r>
          </w:p>
        </w:tc>
        <w:tc>
          <w:tcPr>
            <w:tcW w:w="1417" w:type="dxa"/>
            <w:tcBorders>
              <w:bottom w:val="single" w:sz="4" w:space="0" w:color="auto"/>
            </w:tcBorders>
          </w:tcPr>
          <w:p w:rsidR="000D4AC8" w:rsidRDefault="000D4AC8" w:rsidP="00E825DE">
            <w:pPr>
              <w:rPr>
                <w:rStyle w:val="AITableTextChar"/>
                <w:sz w:val="20"/>
              </w:rPr>
            </w:pPr>
          </w:p>
        </w:tc>
        <w:tc>
          <w:tcPr>
            <w:tcW w:w="1418" w:type="dxa"/>
            <w:tcBorders>
              <w:bottom w:val="single" w:sz="4" w:space="0" w:color="auto"/>
            </w:tcBorders>
          </w:tcPr>
          <w:p w:rsidR="000D4AC8" w:rsidRDefault="000D4AC8" w:rsidP="00E825DE">
            <w:pPr>
              <w:rPr>
                <w:rStyle w:val="AITableTextChar"/>
                <w:sz w:val="20"/>
              </w:rPr>
            </w:pPr>
          </w:p>
        </w:tc>
        <w:tc>
          <w:tcPr>
            <w:tcW w:w="1451" w:type="dxa"/>
            <w:tcBorders>
              <w:bottom w:val="single" w:sz="4" w:space="0" w:color="auto"/>
            </w:tcBorders>
          </w:tcPr>
          <w:p w:rsidR="000D4AC8" w:rsidRDefault="000D4AC8" w:rsidP="00E825DE">
            <w:pPr>
              <w:rPr>
                <w:rStyle w:val="AITableTextChar"/>
                <w:sz w:val="20"/>
              </w:rPr>
            </w:pPr>
          </w:p>
        </w:tc>
      </w:tr>
      <w:tr w:rsidR="000D4AC8" w:rsidTr="00E825DE">
        <w:trPr>
          <w:trHeight w:val="20"/>
        </w:trPr>
        <w:tc>
          <w:tcPr>
            <w:tcW w:w="5070" w:type="dxa"/>
            <w:tcBorders>
              <w:top w:val="single" w:sz="4" w:space="0" w:color="auto"/>
            </w:tcBorders>
          </w:tcPr>
          <w:p w:rsidR="000D4AC8" w:rsidRDefault="000D4AC8" w:rsidP="00E825DE">
            <w:pPr>
              <w:pStyle w:val="AINotes"/>
              <w:numPr>
                <w:ilvl w:val="0"/>
                <w:numId w:val="25"/>
              </w:numPr>
              <w:spacing w:before="60"/>
              <w:jc w:val="left"/>
              <w:rPr>
                <w:sz w:val="20"/>
              </w:rPr>
            </w:pPr>
            <w:r>
              <w:rPr>
                <w:sz w:val="20"/>
              </w:rPr>
              <w:t>Total number of hours under programs available for competitive purchase.</w:t>
            </w:r>
          </w:p>
        </w:tc>
        <w:tc>
          <w:tcPr>
            <w:tcW w:w="1417" w:type="dxa"/>
            <w:tcBorders>
              <w:top w:val="single" w:sz="4" w:space="0" w:color="auto"/>
            </w:tcBorders>
          </w:tcPr>
          <w:p w:rsidR="000D4AC8" w:rsidRDefault="000D4AC8" w:rsidP="00E825DE">
            <w:pPr>
              <w:pStyle w:val="AINotes"/>
              <w:numPr>
                <w:ilvl w:val="0"/>
                <w:numId w:val="0"/>
              </w:numPr>
              <w:jc w:val="right"/>
              <w:rPr>
                <w:sz w:val="20"/>
              </w:rPr>
            </w:pPr>
            <w:r>
              <w:rPr>
                <w:sz w:val="20"/>
              </w:rPr>
              <w:t>1,800,000</w:t>
            </w:r>
          </w:p>
        </w:tc>
        <w:tc>
          <w:tcPr>
            <w:tcW w:w="1418" w:type="dxa"/>
            <w:tcBorders>
              <w:top w:val="single" w:sz="4" w:space="0" w:color="auto"/>
            </w:tcBorders>
          </w:tcPr>
          <w:p w:rsidR="000D4AC8" w:rsidRDefault="000D4AC8" w:rsidP="00E825DE">
            <w:pPr>
              <w:pStyle w:val="AINotes"/>
              <w:numPr>
                <w:ilvl w:val="0"/>
                <w:numId w:val="0"/>
              </w:numPr>
              <w:jc w:val="right"/>
              <w:rPr>
                <w:sz w:val="20"/>
              </w:rPr>
            </w:pPr>
            <w:r>
              <w:rPr>
                <w:sz w:val="20"/>
              </w:rPr>
              <w:t>1,800,000</w:t>
            </w:r>
          </w:p>
        </w:tc>
        <w:tc>
          <w:tcPr>
            <w:tcW w:w="1451" w:type="dxa"/>
            <w:tcBorders>
              <w:top w:val="single" w:sz="4" w:space="0" w:color="auto"/>
            </w:tcBorders>
          </w:tcPr>
          <w:p w:rsidR="000D4AC8" w:rsidRDefault="000D4AC8" w:rsidP="00E825DE">
            <w:pPr>
              <w:pStyle w:val="AINotes"/>
              <w:numPr>
                <w:ilvl w:val="0"/>
                <w:numId w:val="0"/>
              </w:numPr>
              <w:jc w:val="right"/>
              <w:rPr>
                <w:sz w:val="20"/>
              </w:rPr>
            </w:pPr>
            <w:r>
              <w:rPr>
                <w:sz w:val="20"/>
              </w:rPr>
              <w:t>1,800,000</w:t>
            </w:r>
          </w:p>
        </w:tc>
      </w:tr>
      <w:tr w:rsidR="000D4AC8" w:rsidTr="00E825DE">
        <w:trPr>
          <w:trHeight w:val="20"/>
        </w:trPr>
        <w:tc>
          <w:tcPr>
            <w:tcW w:w="5070" w:type="dxa"/>
          </w:tcPr>
          <w:p w:rsidR="000D4AC8" w:rsidRDefault="000D4AC8" w:rsidP="00E825DE">
            <w:pPr>
              <w:pStyle w:val="AINotes"/>
              <w:numPr>
                <w:ilvl w:val="0"/>
                <w:numId w:val="25"/>
              </w:numPr>
              <w:spacing w:before="60"/>
              <w:jc w:val="left"/>
              <w:rPr>
                <w:sz w:val="20"/>
              </w:rPr>
            </w:pPr>
            <w:r>
              <w:rPr>
                <w:sz w:val="20"/>
              </w:rPr>
              <w:t>Total reported number of training commencements under available programs.</w:t>
            </w:r>
          </w:p>
        </w:tc>
        <w:tc>
          <w:tcPr>
            <w:tcW w:w="1417" w:type="dxa"/>
          </w:tcPr>
          <w:p w:rsidR="000D4AC8" w:rsidRDefault="000D4AC8" w:rsidP="00E825DE">
            <w:pPr>
              <w:pStyle w:val="AINotes"/>
              <w:numPr>
                <w:ilvl w:val="0"/>
                <w:numId w:val="0"/>
              </w:numPr>
              <w:jc w:val="right"/>
              <w:rPr>
                <w:sz w:val="20"/>
              </w:rPr>
            </w:pPr>
            <w:r>
              <w:rPr>
                <w:sz w:val="20"/>
              </w:rPr>
              <w:t>6,800</w:t>
            </w:r>
          </w:p>
        </w:tc>
        <w:tc>
          <w:tcPr>
            <w:tcW w:w="1418" w:type="dxa"/>
          </w:tcPr>
          <w:p w:rsidR="000D4AC8" w:rsidRDefault="000D4AC8" w:rsidP="00E825DE">
            <w:pPr>
              <w:pStyle w:val="AINotes"/>
              <w:numPr>
                <w:ilvl w:val="0"/>
                <w:numId w:val="0"/>
              </w:numPr>
              <w:jc w:val="right"/>
              <w:rPr>
                <w:sz w:val="20"/>
              </w:rPr>
            </w:pPr>
            <w:r>
              <w:rPr>
                <w:sz w:val="20"/>
              </w:rPr>
              <w:t>6,800</w:t>
            </w:r>
          </w:p>
        </w:tc>
        <w:tc>
          <w:tcPr>
            <w:tcW w:w="1451" w:type="dxa"/>
          </w:tcPr>
          <w:p w:rsidR="000D4AC8" w:rsidRDefault="000D4AC8" w:rsidP="00E825DE">
            <w:pPr>
              <w:pStyle w:val="AINotes"/>
              <w:numPr>
                <w:ilvl w:val="0"/>
                <w:numId w:val="0"/>
              </w:numPr>
              <w:jc w:val="right"/>
              <w:rPr>
                <w:sz w:val="20"/>
              </w:rPr>
            </w:pPr>
            <w:r>
              <w:rPr>
                <w:sz w:val="20"/>
              </w:rPr>
              <w:t>6,800</w:t>
            </w:r>
          </w:p>
        </w:tc>
      </w:tr>
      <w:tr w:rsidR="000D4AC8" w:rsidTr="00E825DE">
        <w:trPr>
          <w:trHeight w:val="20"/>
        </w:trPr>
        <w:tc>
          <w:tcPr>
            <w:tcW w:w="5070" w:type="dxa"/>
          </w:tcPr>
          <w:p w:rsidR="000D4AC8" w:rsidRDefault="000D4AC8" w:rsidP="00E825DE">
            <w:pPr>
              <w:pStyle w:val="AINotes"/>
              <w:numPr>
                <w:ilvl w:val="0"/>
                <w:numId w:val="25"/>
              </w:numPr>
              <w:spacing w:before="60"/>
              <w:jc w:val="left"/>
              <w:rPr>
                <w:sz w:val="20"/>
              </w:rPr>
            </w:pPr>
            <w:r>
              <w:rPr>
                <w:sz w:val="20"/>
              </w:rPr>
              <w:t>Total number of enrolments of existing workers under additional programs.</w:t>
            </w:r>
          </w:p>
        </w:tc>
        <w:tc>
          <w:tcPr>
            <w:tcW w:w="1417" w:type="dxa"/>
          </w:tcPr>
          <w:p w:rsidR="000D4AC8" w:rsidRDefault="000D4AC8" w:rsidP="00E825DE">
            <w:pPr>
              <w:pStyle w:val="AINotes"/>
              <w:numPr>
                <w:ilvl w:val="0"/>
                <w:numId w:val="0"/>
              </w:numPr>
              <w:jc w:val="right"/>
              <w:rPr>
                <w:sz w:val="20"/>
              </w:rPr>
            </w:pPr>
            <w:r>
              <w:rPr>
                <w:sz w:val="20"/>
              </w:rPr>
              <w:t>n/a</w:t>
            </w:r>
          </w:p>
        </w:tc>
        <w:tc>
          <w:tcPr>
            <w:tcW w:w="1418" w:type="dxa"/>
          </w:tcPr>
          <w:p w:rsidR="000D4AC8" w:rsidRDefault="000D4AC8" w:rsidP="00E825DE">
            <w:pPr>
              <w:pStyle w:val="AINotes"/>
              <w:numPr>
                <w:ilvl w:val="0"/>
                <w:numId w:val="0"/>
              </w:numPr>
              <w:jc w:val="right"/>
              <w:rPr>
                <w:sz w:val="20"/>
              </w:rPr>
            </w:pPr>
            <w:r>
              <w:rPr>
                <w:sz w:val="20"/>
              </w:rPr>
              <w:t>3,876</w:t>
            </w:r>
          </w:p>
        </w:tc>
        <w:tc>
          <w:tcPr>
            <w:tcW w:w="1451" w:type="dxa"/>
          </w:tcPr>
          <w:p w:rsidR="000D4AC8" w:rsidRDefault="000D4AC8" w:rsidP="00E825DE">
            <w:pPr>
              <w:pStyle w:val="AINotes"/>
              <w:numPr>
                <w:ilvl w:val="0"/>
                <w:numId w:val="0"/>
              </w:numPr>
              <w:jc w:val="right"/>
              <w:rPr>
                <w:sz w:val="20"/>
              </w:rPr>
            </w:pPr>
            <w:r>
              <w:rPr>
                <w:sz w:val="20"/>
              </w:rPr>
              <w:t>2,405</w:t>
            </w:r>
          </w:p>
        </w:tc>
      </w:tr>
      <w:tr w:rsidR="000D4AC8" w:rsidTr="00E825DE">
        <w:trPr>
          <w:trHeight w:val="20"/>
        </w:trPr>
        <w:tc>
          <w:tcPr>
            <w:tcW w:w="5070" w:type="dxa"/>
            <w:tcBorders>
              <w:bottom w:val="single" w:sz="4" w:space="0" w:color="auto"/>
            </w:tcBorders>
          </w:tcPr>
          <w:p w:rsidR="000D4AC8" w:rsidRDefault="000D4AC8" w:rsidP="00E825DE">
            <w:pPr>
              <w:pStyle w:val="AINotes"/>
              <w:numPr>
                <w:ilvl w:val="0"/>
                <w:numId w:val="25"/>
              </w:numPr>
              <w:spacing w:before="60"/>
              <w:jc w:val="left"/>
              <w:rPr>
                <w:sz w:val="20"/>
              </w:rPr>
            </w:pPr>
            <w:r>
              <w:rPr>
                <w:sz w:val="20"/>
              </w:rPr>
              <w:t>Percentage of apprentices satisfied with their training under Australian Apprenticeships.</w:t>
            </w:r>
          </w:p>
        </w:tc>
        <w:tc>
          <w:tcPr>
            <w:tcW w:w="1417" w:type="dxa"/>
            <w:tcBorders>
              <w:bottom w:val="single" w:sz="4" w:space="0" w:color="auto"/>
            </w:tcBorders>
          </w:tcPr>
          <w:p w:rsidR="000D4AC8" w:rsidRDefault="000D4AC8" w:rsidP="00E825DE">
            <w:pPr>
              <w:pStyle w:val="AINotes"/>
              <w:numPr>
                <w:ilvl w:val="0"/>
                <w:numId w:val="0"/>
              </w:numPr>
              <w:jc w:val="right"/>
              <w:rPr>
                <w:sz w:val="20"/>
              </w:rPr>
            </w:pPr>
            <w:r>
              <w:rPr>
                <w:sz w:val="20"/>
              </w:rPr>
              <w:t>80%</w:t>
            </w:r>
          </w:p>
        </w:tc>
        <w:tc>
          <w:tcPr>
            <w:tcW w:w="1418" w:type="dxa"/>
            <w:tcBorders>
              <w:bottom w:val="single" w:sz="4" w:space="0" w:color="auto"/>
            </w:tcBorders>
          </w:tcPr>
          <w:p w:rsidR="000D4AC8" w:rsidRDefault="000D4AC8" w:rsidP="00E825DE">
            <w:pPr>
              <w:pStyle w:val="AINotes"/>
              <w:numPr>
                <w:ilvl w:val="0"/>
                <w:numId w:val="0"/>
              </w:numPr>
              <w:jc w:val="right"/>
              <w:rPr>
                <w:sz w:val="20"/>
              </w:rPr>
            </w:pPr>
            <w:r>
              <w:rPr>
                <w:sz w:val="20"/>
              </w:rPr>
              <w:t>85.2%</w:t>
            </w:r>
          </w:p>
        </w:tc>
        <w:tc>
          <w:tcPr>
            <w:tcW w:w="1451" w:type="dxa"/>
            <w:tcBorders>
              <w:bottom w:val="single" w:sz="4" w:space="0" w:color="auto"/>
            </w:tcBorders>
          </w:tcPr>
          <w:p w:rsidR="000D4AC8" w:rsidRDefault="000D4AC8" w:rsidP="00E825DE">
            <w:pPr>
              <w:pStyle w:val="AINotes"/>
              <w:numPr>
                <w:ilvl w:val="0"/>
                <w:numId w:val="0"/>
              </w:numPr>
              <w:jc w:val="right"/>
              <w:rPr>
                <w:sz w:val="20"/>
              </w:rPr>
            </w:pPr>
            <w:r>
              <w:rPr>
                <w:sz w:val="20"/>
              </w:rPr>
              <w:t>80%</w:t>
            </w:r>
          </w:p>
        </w:tc>
      </w:tr>
    </w:tbl>
    <w:p w:rsidR="000D4AC8" w:rsidRDefault="000D4AC8" w:rsidP="000D4AC8">
      <w:pPr>
        <w:pStyle w:val="Sub-Heading"/>
      </w:pPr>
      <w:r>
        <w:rPr>
          <w:rStyle w:val="Sub-HeadingsChar"/>
        </w:rPr>
        <w:t>Changes to Appropriations</w:t>
      </w:r>
    </w:p>
    <w:p w:rsidR="000D4AC8" w:rsidRDefault="000D4AC8" w:rsidP="000D4AC8">
      <w:pPr>
        <w:pStyle w:val="BodyText"/>
      </w:pPr>
      <w:r>
        <w:t>Appropriation is the maximum amount of public money authorised by the ACT Legislative Assembly under a legislative authority for transfer from the Territory Banking Account to a directorate, Territ</w:t>
      </w:r>
      <w:r w:rsidR="00740544">
        <w:t>ory authority or a TOC</w:t>
      </w:r>
      <w:r>
        <w:t xml:space="preserve">.  </w:t>
      </w:r>
    </w:p>
    <w:p w:rsidR="000D4AC8" w:rsidRDefault="000D4AC8" w:rsidP="000D4AC8">
      <w:pPr>
        <w:pStyle w:val="BodyText"/>
      </w:pPr>
      <w:r>
        <w:t xml:space="preserve">This part of the chapter shows the changes to the appropriation provided in the prior year Budget to determine the current Budget year appropriation.  The changes include Supplementary Appropriations, </w:t>
      </w:r>
      <w:r w:rsidR="00740544">
        <w:t xml:space="preserve">new policy adjustments, and </w:t>
      </w:r>
      <w:r>
        <w:t>param</w:t>
      </w:r>
      <w:r w:rsidR="00740544">
        <w:t>eter and technical variations</w:t>
      </w:r>
      <w:r>
        <w:t>.  The changes to appropriations are shown for both Controlled and Territorial appropriations for each agency, for each appropriation type.</w:t>
      </w:r>
    </w:p>
    <w:p w:rsidR="000D4AC8" w:rsidRDefault="000D4AC8" w:rsidP="000D4AC8">
      <w:pPr>
        <w:pStyle w:val="Heading4"/>
        <w:jc w:val="both"/>
        <w:rPr>
          <w:rStyle w:val="BodyTextChar"/>
          <w:i w:val="0"/>
        </w:rPr>
      </w:pPr>
      <w:r>
        <w:t xml:space="preserve">Government Payment for Outputs (GPO):  </w:t>
      </w:r>
      <w:r>
        <w:rPr>
          <w:rStyle w:val="BodyTextChar"/>
          <w:i w:val="0"/>
        </w:rPr>
        <w:t xml:space="preserve">The appropriated revenue that agencies receive to produce outputs on behalf of the Government. </w:t>
      </w:r>
    </w:p>
    <w:p w:rsidR="000D4AC8" w:rsidRPr="006B1320" w:rsidRDefault="000D4AC8" w:rsidP="000D4AC8">
      <w:pPr>
        <w:pStyle w:val="Heading3"/>
        <w:jc w:val="both"/>
        <w:rPr>
          <w:rFonts w:ascii="Calibri" w:hAnsi="Calibri" w:cs="Calibri"/>
          <w:b w:val="0"/>
          <w:szCs w:val="24"/>
        </w:rPr>
      </w:pPr>
      <w:r w:rsidRPr="006B1320">
        <w:rPr>
          <w:rFonts w:ascii="Calibri" w:hAnsi="Calibri" w:cs="Calibri"/>
          <w:b w:val="0"/>
          <w:i/>
          <w:szCs w:val="24"/>
        </w:rPr>
        <w:t xml:space="preserve">Payments for Expenses on Behalf of the Territory (EBT):  </w:t>
      </w:r>
      <w:r w:rsidRPr="006B1320">
        <w:rPr>
          <w:rStyle w:val="BodyTextChar"/>
          <w:rFonts w:cs="Calibri"/>
          <w:b w:val="0"/>
          <w:bCs w:val="0"/>
        </w:rPr>
        <w:t>Territorial (administered) revenues, which the Government appropriates to agencies for the payment of grants, subsidies and transfer payments (refer Territorial).</w:t>
      </w:r>
    </w:p>
    <w:p w:rsidR="000D4AC8" w:rsidRDefault="000D4AC8" w:rsidP="000D4AC8">
      <w:pPr>
        <w:pStyle w:val="Heading4"/>
        <w:keepNext w:val="0"/>
        <w:jc w:val="both"/>
        <w:rPr>
          <w:i w:val="0"/>
        </w:rPr>
      </w:pPr>
      <w:r>
        <w:t xml:space="preserve">Capital Injections:  </w:t>
      </w:r>
      <w:r>
        <w:rPr>
          <w:rStyle w:val="BodyTextChar"/>
          <w:i w:val="0"/>
        </w:rPr>
        <w:t>The means by which the Government injects funds into an agency for purposes such as the purchase or development of assets, the payment of debt, or the increase of an agency’s working capital.  On occasion capital injections may be repayable, in which case the terms of these loans are outlined in the Budget Papers.</w:t>
      </w:r>
    </w:p>
    <w:p w:rsidR="000D4AC8" w:rsidRDefault="000D4AC8" w:rsidP="000D4AC8">
      <w:pPr>
        <w:pStyle w:val="Sub-Heading"/>
      </w:pPr>
      <w:r>
        <w:lastRenderedPageBreak/>
        <w:t>Capital Works Program</w:t>
      </w:r>
    </w:p>
    <w:p w:rsidR="000D4AC8" w:rsidRDefault="000D4AC8" w:rsidP="000D4AC8">
      <w:pPr>
        <w:pStyle w:val="BodyText"/>
      </w:pPr>
      <w:r>
        <w:t>Identifies the major capital works projects which will be undertaken by the agency over the Budget and forward estimates.  The program includes new capital projects, capital upgrades and works in progress.</w:t>
      </w:r>
    </w:p>
    <w:p w:rsidR="00C65A4A" w:rsidRDefault="00C65A4A" w:rsidP="000D4AC8">
      <w:pPr>
        <w:pStyle w:val="Sub-Heading"/>
      </w:pPr>
      <w:r>
        <w:t>Agency Financial Statements</w:t>
      </w:r>
    </w:p>
    <w:p w:rsidR="00C212A7" w:rsidRDefault="00C212A7" w:rsidP="00C212A7">
      <w:pPr>
        <w:pStyle w:val="BodyText"/>
      </w:pPr>
      <w:r>
        <w:t>Financial information presented in the Budget Papers for each agency is prepared in accordance with the principles contained in Australian Accounting Standards.  Agency statements include forward estimate information to provide readers with a longer term focus on the agency’s financial performance and financial position.</w:t>
      </w:r>
    </w:p>
    <w:p w:rsidR="00C212A7" w:rsidRDefault="00C212A7" w:rsidP="00C212A7">
      <w:pPr>
        <w:pStyle w:val="BodyText"/>
      </w:pPr>
      <w:r>
        <w:t>Controlled and Territorial (administered) activities are presented in separate schedules.  Each agency provides (where appropriate) an:</w:t>
      </w:r>
    </w:p>
    <w:p w:rsidR="00C65A4A" w:rsidRDefault="00C65A4A" w:rsidP="0095590A">
      <w:pPr>
        <w:pStyle w:val="BodyTextIndent"/>
        <w:numPr>
          <w:ilvl w:val="0"/>
          <w:numId w:val="1"/>
        </w:numPr>
      </w:pPr>
      <w:r>
        <w:t>Operating Statement;</w:t>
      </w:r>
    </w:p>
    <w:p w:rsidR="00C65A4A" w:rsidRDefault="00C65A4A" w:rsidP="0095590A">
      <w:pPr>
        <w:pStyle w:val="BodyTextIndent"/>
        <w:numPr>
          <w:ilvl w:val="0"/>
          <w:numId w:val="1"/>
        </w:numPr>
      </w:pPr>
      <w:r>
        <w:t>Balance Sheet;</w:t>
      </w:r>
    </w:p>
    <w:p w:rsidR="00C65A4A" w:rsidRDefault="00C65A4A" w:rsidP="0095590A">
      <w:pPr>
        <w:pStyle w:val="BodyTextIndent"/>
        <w:numPr>
          <w:ilvl w:val="0"/>
          <w:numId w:val="1"/>
        </w:numPr>
      </w:pPr>
      <w:r>
        <w:t>Statement of Changes in Equity;</w:t>
      </w:r>
    </w:p>
    <w:p w:rsidR="00C65A4A" w:rsidRDefault="00C65A4A" w:rsidP="0095590A">
      <w:pPr>
        <w:pStyle w:val="BodyTextIndent"/>
        <w:numPr>
          <w:ilvl w:val="0"/>
          <w:numId w:val="1"/>
        </w:numPr>
      </w:pPr>
      <w:r>
        <w:t>Cash Flow Statement;</w:t>
      </w:r>
    </w:p>
    <w:p w:rsidR="00C65A4A" w:rsidRDefault="00C65A4A" w:rsidP="0095590A">
      <w:pPr>
        <w:pStyle w:val="BodyTextIndent"/>
        <w:numPr>
          <w:ilvl w:val="0"/>
          <w:numId w:val="1"/>
        </w:numPr>
      </w:pPr>
      <w:r>
        <w:t>Statement of Income and Expenses on Behalf of the Territory;</w:t>
      </w:r>
    </w:p>
    <w:p w:rsidR="00C65A4A" w:rsidRDefault="00C65A4A" w:rsidP="0095590A">
      <w:pPr>
        <w:pStyle w:val="BodyTextIndent"/>
        <w:numPr>
          <w:ilvl w:val="0"/>
          <w:numId w:val="1"/>
        </w:numPr>
      </w:pPr>
      <w:r>
        <w:t>Statement of Assets and Liabilities on Behalf of the Territory;</w:t>
      </w:r>
    </w:p>
    <w:p w:rsidR="00C65A4A" w:rsidRDefault="00C65A4A" w:rsidP="0095590A">
      <w:pPr>
        <w:pStyle w:val="BodyTextIndent"/>
        <w:numPr>
          <w:ilvl w:val="0"/>
          <w:numId w:val="1"/>
        </w:numPr>
      </w:pPr>
      <w:r>
        <w:t>Statement of Changes in Equity on Behalf of the Territory;</w:t>
      </w:r>
    </w:p>
    <w:p w:rsidR="00C65A4A" w:rsidRDefault="00C65A4A" w:rsidP="0095590A">
      <w:pPr>
        <w:pStyle w:val="BodyTextIndent"/>
        <w:numPr>
          <w:ilvl w:val="0"/>
          <w:numId w:val="1"/>
        </w:numPr>
      </w:pPr>
      <w:r>
        <w:t>Budgeted Statement of Cash Flows on Behalf of the Territory; and</w:t>
      </w:r>
    </w:p>
    <w:p w:rsidR="00C65A4A" w:rsidRDefault="00C65A4A" w:rsidP="0095590A">
      <w:pPr>
        <w:pStyle w:val="BodyTextIndent"/>
        <w:numPr>
          <w:ilvl w:val="0"/>
          <w:numId w:val="1"/>
        </w:numPr>
      </w:pPr>
      <w:r>
        <w:t>Notes to the Budget Statements.</w:t>
      </w:r>
    </w:p>
    <w:p w:rsidR="00C212A7" w:rsidRDefault="00C212A7" w:rsidP="00C212A7">
      <w:pPr>
        <w:pStyle w:val="BodyText"/>
      </w:pPr>
      <w:r>
        <w:t>When an agency has more than one Output Class, the agency will present an Operating Statement for each Output Class, along with Notes to support each Output Class Statement.</w:t>
      </w:r>
    </w:p>
    <w:p w:rsidR="00C212A7" w:rsidRDefault="00C212A7" w:rsidP="00C212A7">
      <w:pPr>
        <w:pStyle w:val="BodyText"/>
      </w:pPr>
      <w:r>
        <w:t>The Notes to the Budget Statements provide explanations for material variations between the estimated outcome and the original budget.  Variation explanations are provided for all statements with the exception of the Cash Flow Statement and the Budgeted Statement of Cash Flows on Behalf of the Territory.</w:t>
      </w:r>
    </w:p>
    <w:p w:rsidR="00C212A7" w:rsidRDefault="00BE68FE" w:rsidP="00C212A7">
      <w:pPr>
        <w:pStyle w:val="BodyText"/>
      </w:pPr>
      <w:r>
        <w:t>Explanations and i</w:t>
      </w:r>
      <w:r w:rsidR="00C212A7">
        <w:t>llustrative examples of the financial statements follow.</w:t>
      </w:r>
    </w:p>
    <w:p w:rsidR="00451669" w:rsidRDefault="00C212A7" w:rsidP="00C65A4A">
      <w:pPr>
        <w:pStyle w:val="Heading4"/>
        <w:keepNext w:val="0"/>
      </w:pPr>
      <w:r>
        <w:br w:type="page"/>
      </w:r>
    </w:p>
    <w:p w:rsidR="00C65A4A" w:rsidRDefault="00C65A4A" w:rsidP="00C65A4A">
      <w:pPr>
        <w:pStyle w:val="Heading4"/>
        <w:keepNext w:val="0"/>
      </w:pPr>
      <w:r>
        <w:lastRenderedPageBreak/>
        <w:t>Operating Statement</w:t>
      </w:r>
    </w:p>
    <w:p w:rsidR="00B81393" w:rsidRDefault="00B81393" w:rsidP="00B81393">
      <w:pPr>
        <w:pStyle w:val="BodyText"/>
      </w:pPr>
      <w:r>
        <w:t>The Operating Statement presents information on expenses and revenue, and the operating result of the agency’s activities in a financial year.</w:t>
      </w:r>
    </w:p>
    <w:p w:rsidR="00C65A4A" w:rsidRDefault="00C65A4A" w:rsidP="00C65A4A">
      <w:pPr>
        <w:pStyle w:val="BodyText"/>
        <w:keepNext w:val="0"/>
      </w:pPr>
      <w:r>
        <w:t>The items appearing on this statement are only controlled items.  Controlled items are those associated with the delivery of outputs and</w:t>
      </w:r>
      <w:r w:rsidR="00E47CF5">
        <w:t xml:space="preserve"> are items over which the agency has discretion, responsibility and authority</w:t>
      </w:r>
      <w:r>
        <w:t>.</w:t>
      </w:r>
    </w:p>
    <w:p w:rsidR="00B81393" w:rsidRDefault="00B81393" w:rsidP="00B81393">
      <w:pPr>
        <w:pStyle w:val="BodyText"/>
      </w:pPr>
      <w:r>
        <w:t xml:space="preserve">The </w:t>
      </w:r>
      <w:r w:rsidR="00BE68FE">
        <w:t xml:space="preserve">Operating Result is the </w:t>
      </w:r>
      <w:r>
        <w:t xml:space="preserve">difference between income and expenses </w:t>
      </w:r>
      <w:r w:rsidR="00BE68FE">
        <w:t>and</w:t>
      </w:r>
      <w:r>
        <w:t xml:space="preserve"> is the operating profit or loss for the period being reported.</w:t>
      </w:r>
    </w:p>
    <w:p w:rsidR="00C65A4A" w:rsidRDefault="00A55302" w:rsidP="00B81393">
      <w:pPr>
        <w:pStyle w:val="BodyText"/>
      </w:pPr>
      <w:r>
        <w:t xml:space="preserve">The </w:t>
      </w:r>
      <w:r w:rsidR="00C65A4A">
        <w:t>projected Operating Result</w:t>
      </w:r>
      <w:r>
        <w:t xml:space="preserve"> is to be interpreted as follows</w:t>
      </w:r>
      <w:r w:rsidR="00C65A4A">
        <w:t>:</w:t>
      </w:r>
    </w:p>
    <w:p w:rsidR="00C65A4A" w:rsidRDefault="00C65A4A" w:rsidP="00503731">
      <w:pPr>
        <w:pStyle w:val="BodyTextIndent"/>
        <w:numPr>
          <w:ilvl w:val="0"/>
          <w:numId w:val="1"/>
        </w:numPr>
      </w:pPr>
      <w:r>
        <w:t>Some agencies budget for an operating deficit, while others project a surplus or break</w:t>
      </w:r>
      <w:r>
        <w:noBreakHyphen/>
        <w:t>even position.  A deficit result is mostly attributable to the impact of depreciation resulting from the process used for funding capital works.  Funding of capital works is generally centrally managed within the Territory.  Funding for new capital works is generally provided by the Government to agencies as a capital injection in the year of acquisition of the new assets.</w:t>
      </w:r>
    </w:p>
    <w:p w:rsidR="00C65A4A" w:rsidRDefault="00C65A4A" w:rsidP="00503731">
      <w:pPr>
        <w:pStyle w:val="BodyTextIndent"/>
        <w:numPr>
          <w:ilvl w:val="0"/>
          <w:numId w:val="1"/>
        </w:numPr>
      </w:pPr>
      <w:r>
        <w:t>Depreciation is the accounting process for allocating the cost of asset usage over the useful life of the assets.  Generally, agencies are fully funded for the acquisition of assets at the time of acquiring the assets, thus further funding for depreciation is not provided.  At the end of the useful life for assets, the Government will make decisions regarding the future asset needs of the agency and the Territory.</w:t>
      </w:r>
    </w:p>
    <w:p w:rsidR="00C65A4A" w:rsidRDefault="00C65A4A" w:rsidP="00503731">
      <w:pPr>
        <w:pStyle w:val="BodyTextIndent"/>
        <w:numPr>
          <w:ilvl w:val="0"/>
          <w:numId w:val="1"/>
        </w:numPr>
      </w:pPr>
      <w:r>
        <w:t xml:space="preserve">As a result of agencies not receiving recurrent funding for depreciation, the operating result for some agencies will be a deficit.  Consequently, each agency’s actual performance must be assessed against its projected performance, not against whether it achieved a breakeven or surplus result. </w:t>
      </w:r>
    </w:p>
    <w:p w:rsidR="003974FD" w:rsidRDefault="003974FD" w:rsidP="003974FD">
      <w:pPr>
        <w:pStyle w:val="BodyText"/>
      </w:pPr>
      <w:r>
        <w:t>Total Comprehensive Income measures the total change in value of the directorate during a financial year arising from income, expenses and both realised and unrealised movements in the valuation of assets and liabilities.  Total Comprehensive Income is the equivalent to the total increase or decrease in Net Assets during the financial year.</w:t>
      </w:r>
    </w:p>
    <w:p w:rsidR="003974FD" w:rsidRDefault="003974FD" w:rsidP="003974FD">
      <w:pPr>
        <w:pStyle w:val="BodyText"/>
      </w:pPr>
      <w:r>
        <w:t xml:space="preserve">Example </w:t>
      </w:r>
      <w:r w:rsidR="00452A06">
        <w:t>5</w:t>
      </w:r>
      <w:r>
        <w:t xml:space="preserve"> provides an example of an agency Operating Statement.</w:t>
      </w:r>
    </w:p>
    <w:p w:rsidR="003974FD" w:rsidRDefault="003974FD" w:rsidP="003974FD">
      <w:pPr>
        <w:pStyle w:val="Heading3TopofPage"/>
      </w:pPr>
      <w:r>
        <w:rPr>
          <w:highlight w:val="cyan"/>
        </w:rPr>
        <w:br w:type="page"/>
      </w:r>
      <w:r>
        <w:lastRenderedPageBreak/>
        <w:t xml:space="preserve">Example </w:t>
      </w:r>
      <w:r w:rsidR="00452A06">
        <w:t>5</w:t>
      </w:r>
    </w:p>
    <w:p w:rsidR="003974FD" w:rsidRDefault="00CD33AC" w:rsidP="003974FD">
      <w:pPr>
        <w:pStyle w:val="Heading3"/>
        <w:jc w:val="center"/>
      </w:pPr>
      <w:r>
        <w:rPr>
          <w:noProof/>
        </w:rPr>
        <w:pict>
          <v:line id="_x0000_s1126" style="position:absolute;left:0;text-align:left;flip:x;z-index:251617280" from="310.05pt,17.15pt" to="337.2pt,47.7pt">
            <v:stroke endarrow="block"/>
          </v:line>
        </w:pict>
      </w:r>
      <w:r>
        <w:rPr>
          <w:noProof/>
        </w:rPr>
        <w:pict>
          <v:shape id="_x0000_s1119" type="#_x0000_t202" style="position:absolute;left:0;text-align:left;margin-left:328.05pt;margin-top:-42.3pt;width:123.65pt;height:59.45pt;z-index:251610112">
            <v:textbox style="mso-next-textbox:#_x0000_s1119">
              <w:txbxContent>
                <w:p w:rsidR="00451669" w:rsidRDefault="00451669" w:rsidP="003974FD">
                  <w:pPr>
                    <w:rPr>
                      <w:sz w:val="20"/>
                    </w:rPr>
                  </w:pPr>
                  <w:r>
                    <w:rPr>
                      <w:sz w:val="20"/>
                    </w:rPr>
                    <w:t>The variance is the percentage difference between the Estimated Outcome and the Budget.</w:t>
                  </w:r>
                </w:p>
              </w:txbxContent>
            </v:textbox>
          </v:shape>
        </w:pict>
      </w:r>
      <w:r w:rsidR="003974FD">
        <w:t>Operating Statement</w:t>
      </w:r>
    </w:p>
    <w:tbl>
      <w:tblPr>
        <w:tblW w:w="9356" w:type="dxa"/>
        <w:tblLayout w:type="fixed"/>
        <w:tblCellMar>
          <w:left w:w="28" w:type="dxa"/>
          <w:right w:w="28" w:type="dxa"/>
        </w:tblCellMar>
        <w:tblLook w:val="0000"/>
      </w:tblPr>
      <w:tblGrid>
        <w:gridCol w:w="1053"/>
        <w:gridCol w:w="284"/>
        <w:gridCol w:w="2790"/>
        <w:gridCol w:w="848"/>
        <w:gridCol w:w="869"/>
        <w:gridCol w:w="718"/>
        <w:gridCol w:w="816"/>
        <w:gridCol w:w="989"/>
        <w:gridCol w:w="989"/>
      </w:tblGrid>
      <w:tr w:rsidR="003974FD" w:rsidRPr="00BF742F" w:rsidTr="00E47CF5">
        <w:trPr>
          <w:cantSplit/>
        </w:trPr>
        <w:tc>
          <w:tcPr>
            <w:tcW w:w="1053"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 xml:space="preserve">  Prior Year Budget</w:t>
            </w:r>
          </w:p>
        </w:tc>
        <w:tc>
          <w:tcPr>
            <w:tcW w:w="28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rPr>
                <w:rFonts w:cs="Calibri"/>
                <w:b/>
                <w:bCs/>
                <w:sz w:val="18"/>
                <w:szCs w:val="18"/>
              </w:rPr>
            </w:pPr>
            <w:bookmarkStart w:id="3" w:name="Temp"/>
            <w:bookmarkEnd w:id="3"/>
          </w:p>
        </w:tc>
        <w:tc>
          <w:tcPr>
            <w:tcW w:w="84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Prior Year Est. Outcome</w:t>
            </w:r>
          </w:p>
        </w:tc>
        <w:tc>
          <w:tcPr>
            <w:tcW w:w="86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Budget Year</w:t>
            </w:r>
          </w:p>
        </w:tc>
        <w:tc>
          <w:tcPr>
            <w:tcW w:w="71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roofErr w:type="spellStart"/>
            <w:r w:rsidRPr="00BF742F">
              <w:rPr>
                <w:rFonts w:cs="Calibri"/>
                <w:b/>
                <w:bCs/>
                <w:sz w:val="18"/>
                <w:szCs w:val="18"/>
              </w:rPr>
              <w:t>Var</w:t>
            </w:r>
            <w:proofErr w:type="spellEnd"/>
          </w:p>
        </w:tc>
        <w:tc>
          <w:tcPr>
            <w:tcW w:w="816"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Forward Year 1 Estimate</w:t>
            </w:r>
          </w:p>
        </w:tc>
        <w:tc>
          <w:tcPr>
            <w:tcW w:w="98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Forward Year 2 Estimate</w:t>
            </w:r>
          </w:p>
        </w:tc>
        <w:tc>
          <w:tcPr>
            <w:tcW w:w="98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Forward Year 3 Estimate</w:t>
            </w:r>
          </w:p>
        </w:tc>
      </w:tr>
      <w:tr w:rsidR="003974FD" w:rsidRPr="00BF742F" w:rsidTr="00E47CF5">
        <w:trPr>
          <w:cantSplit/>
        </w:trPr>
        <w:tc>
          <w:tcPr>
            <w:tcW w:w="1053"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 xml:space="preserve">    $'000</w:t>
            </w:r>
          </w:p>
        </w:tc>
        <w:tc>
          <w:tcPr>
            <w:tcW w:w="28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rPr>
                <w:rFonts w:cs="Calibri"/>
                <w:b/>
                <w:bCs/>
                <w:sz w:val="18"/>
                <w:szCs w:val="18"/>
              </w:rPr>
            </w:pPr>
          </w:p>
        </w:tc>
        <w:tc>
          <w:tcPr>
            <w:tcW w:w="84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 xml:space="preserve">    $'000</w:t>
            </w:r>
          </w:p>
        </w:tc>
        <w:tc>
          <w:tcPr>
            <w:tcW w:w="869"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$'000</w:t>
            </w:r>
          </w:p>
        </w:tc>
        <w:tc>
          <w:tcPr>
            <w:tcW w:w="71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w:t>
            </w:r>
          </w:p>
        </w:tc>
        <w:tc>
          <w:tcPr>
            <w:tcW w:w="816"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 xml:space="preserve">    $'000</w:t>
            </w:r>
          </w:p>
        </w:tc>
        <w:tc>
          <w:tcPr>
            <w:tcW w:w="989"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 xml:space="preserve">     $'000</w:t>
            </w:r>
          </w:p>
        </w:tc>
        <w:tc>
          <w:tcPr>
            <w:tcW w:w="989"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 xml:space="preserve">   $'000</w:t>
            </w:r>
          </w:p>
        </w:tc>
      </w:tr>
      <w:tr w:rsidR="003974FD" w:rsidRPr="00BF742F" w:rsidTr="00E47CF5">
        <w:trPr>
          <w:cantSplit/>
        </w:trPr>
        <w:tc>
          <w:tcPr>
            <w:tcW w:w="1053"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Income</w:t>
            </w:r>
          </w:p>
        </w:tc>
        <w:tc>
          <w:tcPr>
            <w:tcW w:w="84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sz w:val="18"/>
                <w:szCs w:val="18"/>
              </w:rPr>
            </w:pPr>
          </w:p>
        </w:tc>
        <w:tc>
          <w:tcPr>
            <w:tcW w:w="816"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Height w:val="201"/>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CD33AC">
              <w:rPr>
                <w:rFonts w:cs="Calibri"/>
                <w:noProof/>
              </w:rPr>
              <w:pict>
                <v:shape id="_x0000_s1121" type="#_x0000_t202" style="position:absolute;left:0;text-align:left;margin-left:22.15pt;margin-top:7pt;width:153pt;height:61.15pt;z-index:251612160;mso-position-horizontal-relative:text;mso-position-vertical-relative:text">
                  <v:textbox style="mso-next-textbox:#_x0000_s1121">
                    <w:txbxContent>
                      <w:p w:rsidR="00451669" w:rsidRDefault="00451669" w:rsidP="003974FD">
                        <w:pPr>
                          <w:rPr>
                            <w:sz w:val="20"/>
                          </w:rPr>
                        </w:pPr>
                        <w:r>
                          <w:rPr>
                            <w:sz w:val="20"/>
                          </w:rPr>
                          <w:t>This is the total amount appropriated to the agency to deliver services and aligns with the Appropriation Bill.</w:t>
                        </w:r>
                      </w:p>
                    </w:txbxContent>
                  </v:textbox>
                </v:shape>
              </w:pict>
            </w: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Revenue</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Government Payment for Outputs</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465,771</w:t>
            </w:r>
          </w:p>
        </w:tc>
        <w:tc>
          <w:tcPr>
            <w:tcW w:w="718"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sz w:val="18"/>
                <w:szCs w:val="18"/>
              </w:rPr>
            </w:pPr>
            <w:r w:rsidRPr="00CD33AC">
              <w:rPr>
                <w:rFonts w:cs="Calibri"/>
                <w:b/>
                <w:noProof/>
                <w:sz w:val="18"/>
                <w:szCs w:val="18"/>
              </w:rPr>
              <w:pict>
                <v:line id="_x0000_s1130" style="position:absolute;left:0;text-align:left;flip:x;z-index:251621376;mso-position-horizontal-relative:text;mso-position-vertical-relative:text" from="4.15pt,14.3pt" to="22.15pt,14.3pt">
                  <v:stroke endarrow="block"/>
                </v:line>
              </w:pict>
            </w: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User Charges - Non ACT Government</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16,653</w:t>
            </w:r>
          </w:p>
        </w:tc>
        <w:tc>
          <w:tcPr>
            <w:tcW w:w="718"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sz w:val="18"/>
                <w:szCs w:val="18"/>
              </w:rPr>
            </w:pP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User Charges - ACT Government</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120</w:t>
            </w:r>
          </w:p>
        </w:tc>
        <w:tc>
          <w:tcPr>
            <w:tcW w:w="718"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Grants from the Commonwealth</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0</w:t>
            </w:r>
          </w:p>
        </w:tc>
        <w:tc>
          <w:tcPr>
            <w:tcW w:w="718"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CD33AC">
              <w:rPr>
                <w:rFonts w:cs="Calibri"/>
                <w:noProof/>
                <w:sz w:val="18"/>
                <w:szCs w:val="18"/>
              </w:rPr>
              <w:pict>
                <v:shape id="_x0000_s1133" type="#_x0000_t202" style="position:absolute;left:0;text-align:left;margin-left:22.15pt;margin-top:-.1pt;width:155.5pt;height:54pt;z-index:251624448;mso-position-horizontal-relative:text;mso-position-vertical-relative:text">
                  <v:textbox style="mso-next-textbox:#_x0000_s1133">
                    <w:txbxContent>
                      <w:p w:rsidR="00451669" w:rsidRPr="006B1320" w:rsidRDefault="00451669" w:rsidP="003974FD">
                        <w:pPr>
                          <w:rPr>
                            <w:sz w:val="20"/>
                          </w:rPr>
                        </w:pPr>
                        <w:r>
                          <w:rPr>
                            <w:sz w:val="20"/>
                          </w:rPr>
                          <w:t>These items reflect other revenue sources collected by or allocated to an agency.</w:t>
                        </w:r>
                      </w:p>
                    </w:txbxContent>
                  </v:textbox>
                </v:shape>
              </w:pict>
            </w: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Interest</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1,458</w:t>
            </w:r>
          </w:p>
        </w:tc>
        <w:tc>
          <w:tcPr>
            <w:tcW w:w="718"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Other Revenue</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18,202</w:t>
            </w:r>
          </w:p>
        </w:tc>
        <w:tc>
          <w:tcPr>
            <w:tcW w:w="718"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CD33AC">
              <w:rPr>
                <w:rFonts w:cs="Calibri"/>
                <w:noProof/>
              </w:rPr>
              <w:pict>
                <v:line id="_x0000_s1127" style="position:absolute;left:0;text-align:left;flip:x;z-index:251618304;mso-position-horizontal-relative:text;mso-position-vertical-relative:text" from="6.75pt,-.05pt" to="42.75pt,-.05pt">
                  <v:stroke endarrow="block"/>
                </v:line>
              </w:pict>
            </w: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Resources Received Free of Charge</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349</w:t>
            </w:r>
          </w:p>
        </w:tc>
        <w:tc>
          <w:tcPr>
            <w:tcW w:w="718"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Total Revenue</w:t>
            </w:r>
          </w:p>
        </w:tc>
        <w:tc>
          <w:tcPr>
            <w:tcW w:w="84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502,553</w:t>
            </w:r>
          </w:p>
        </w:tc>
        <w:tc>
          <w:tcPr>
            <w:tcW w:w="718"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rPr>
            </w:pPr>
            <w:r w:rsidRPr="00CD33AC">
              <w:rPr>
                <w:rFonts w:cs="Calibri"/>
                <w:b/>
                <w:bCs/>
                <w:noProof/>
                <w:sz w:val="18"/>
                <w:szCs w:val="18"/>
              </w:rPr>
              <w:pict>
                <v:shape id="_x0000_s1128" type="#_x0000_t202" style="position:absolute;left:0;text-align:left;margin-left:22.15pt;margin-top:6.1pt;width:155.35pt;height:96.2pt;z-index:251619328;mso-position-horizontal-relative:text;mso-position-vertical-relative:text">
                  <v:textbox style="mso-next-textbox:#_x0000_s1128">
                    <w:txbxContent>
                      <w:p w:rsidR="00451669" w:rsidRPr="006B1320" w:rsidRDefault="00451669" w:rsidP="003974FD">
                        <w:pPr>
                          <w:rPr>
                            <w:sz w:val="20"/>
                          </w:rPr>
                        </w:pPr>
                        <w:r>
                          <w:rPr>
                            <w:sz w:val="20"/>
                          </w:rPr>
                          <w:t xml:space="preserve">Gains represent items other than revenue that meet the definition of income and may or may not arise in the course of the ordinary activities of an agency. Gains may arise, for example, on disposal of </w:t>
                        </w:r>
                        <w:proofErr w:type="spellStart"/>
                        <w:r>
                          <w:rPr>
                            <w:sz w:val="20"/>
                          </w:rPr>
                          <w:t>non current</w:t>
                        </w:r>
                        <w:proofErr w:type="spellEnd"/>
                        <w:r>
                          <w:rPr>
                            <w:sz w:val="20"/>
                          </w:rPr>
                          <w:t xml:space="preserve"> assets.</w:t>
                        </w:r>
                      </w:p>
                    </w:txbxContent>
                  </v:textbox>
                </v:shape>
              </w:pict>
            </w:r>
          </w:p>
        </w:tc>
        <w:tc>
          <w:tcPr>
            <w:tcW w:w="81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Gains</w:t>
            </w:r>
          </w:p>
        </w:tc>
        <w:tc>
          <w:tcPr>
            <w:tcW w:w="848"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Other Gains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0</w:t>
            </w:r>
          </w:p>
        </w:tc>
        <w:tc>
          <w:tcPr>
            <w:tcW w:w="718" w:type="dxa"/>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CD33AC">
              <w:rPr>
                <w:rFonts w:cs="Calibri"/>
                <w:noProof/>
              </w:rPr>
              <w:pict>
                <v:line id="_x0000_s1123" style="position:absolute;left:0;text-align:left;flip:x;z-index:251614208;mso-position-horizontal-relative:text;mso-position-vertical-relative:text" from="6.9pt,12.45pt" to="42.9pt,12.45pt">
                  <v:stroke endarrow="block"/>
                </v:line>
              </w:pict>
            </w:r>
          </w:p>
        </w:tc>
        <w:tc>
          <w:tcPr>
            <w:tcW w:w="816"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Total Gains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0</w:t>
            </w:r>
          </w:p>
        </w:tc>
        <w:tc>
          <w:tcPr>
            <w:tcW w:w="71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Height w:val="376"/>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Total Income</w:t>
            </w:r>
          </w:p>
        </w:tc>
        <w:tc>
          <w:tcPr>
            <w:tcW w:w="84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502,553</w:t>
            </w:r>
          </w:p>
        </w:tc>
        <w:tc>
          <w:tcPr>
            <w:tcW w:w="71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Height w:val="172"/>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Expenses</w:t>
            </w:r>
          </w:p>
        </w:tc>
        <w:tc>
          <w:tcPr>
            <w:tcW w:w="84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Employee Expenses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315,846</w:t>
            </w:r>
          </w:p>
        </w:tc>
        <w:tc>
          <w:tcPr>
            <w:tcW w:w="71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Superannuation Expenses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50,214</w:t>
            </w:r>
          </w:p>
        </w:tc>
        <w:tc>
          <w:tcPr>
            <w:tcW w:w="718" w:type="dxa"/>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sz w:val="18"/>
                <w:szCs w:val="18"/>
              </w:rPr>
            </w:pPr>
            <w:r w:rsidRPr="00CD33AC">
              <w:rPr>
                <w:rFonts w:cs="Calibri"/>
                <w:noProof/>
              </w:rPr>
              <w:pict>
                <v:shape id="_x0000_s1122" type="#_x0000_t202" style="position:absolute;left:0;text-align:left;margin-left:22.15pt;margin-top:12.2pt;width:155.35pt;height:60pt;z-index:251613184;mso-position-horizontal-relative:text;mso-position-vertical-relative:text">
                  <v:textbox style="mso-next-textbox:#_x0000_s1122">
                    <w:txbxContent>
                      <w:p w:rsidR="00451669" w:rsidRDefault="00451669" w:rsidP="003974FD">
                        <w:pPr>
                          <w:rPr>
                            <w:sz w:val="20"/>
                          </w:rPr>
                        </w:pPr>
                        <w:r>
                          <w:rPr>
                            <w:sz w:val="20"/>
                          </w:rPr>
                          <w:t>These items reflect, on an accrual basis, the cost of all services delivered by an agency within a fiscal year.</w:t>
                        </w:r>
                      </w:p>
                    </w:txbxContent>
                  </v:textbox>
                </v:shape>
              </w:pict>
            </w:r>
          </w:p>
        </w:tc>
        <w:tc>
          <w:tcPr>
            <w:tcW w:w="816"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Supplies and Services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52,924</w:t>
            </w:r>
          </w:p>
        </w:tc>
        <w:tc>
          <w:tcPr>
            <w:tcW w:w="71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 xml:space="preserve">Depreciation and </w:t>
            </w:r>
            <w:proofErr w:type="spellStart"/>
            <w:r w:rsidRPr="00BF742F">
              <w:rPr>
                <w:rFonts w:cs="Calibri"/>
                <w:sz w:val="18"/>
                <w:szCs w:val="18"/>
              </w:rPr>
              <w:t>Amortisation</w:t>
            </w:r>
            <w:proofErr w:type="spellEnd"/>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45,249</w:t>
            </w:r>
          </w:p>
        </w:tc>
        <w:tc>
          <w:tcPr>
            <w:tcW w:w="718"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Borrowing Costs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99</w:t>
            </w:r>
          </w:p>
        </w:tc>
        <w:tc>
          <w:tcPr>
            <w:tcW w:w="718" w:type="dxa"/>
            <w:tcBorders>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CD33AC">
              <w:rPr>
                <w:rFonts w:cs="Calibri"/>
                <w:noProof/>
              </w:rPr>
              <w:pict>
                <v:line id="_x0000_s1124" style="position:absolute;left:0;text-align:left;flip:x;z-index:251615232;mso-position-horizontal-relative:text;mso-position-vertical-relative:text" from="3.15pt,10.7pt" to="22.15pt,10.7pt">
                  <v:stroke endarrow="block"/>
                </v:line>
              </w:pict>
            </w: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Cost of Goods Sold</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0</w:t>
            </w:r>
          </w:p>
        </w:tc>
        <w:tc>
          <w:tcPr>
            <w:tcW w:w="718"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Grants and Purchased Services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28,307</w:t>
            </w:r>
          </w:p>
        </w:tc>
        <w:tc>
          <w:tcPr>
            <w:tcW w:w="718"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Other Expenses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54,245</w:t>
            </w:r>
          </w:p>
        </w:tc>
        <w:tc>
          <w:tcPr>
            <w:tcW w:w="718" w:type="dxa"/>
            <w:tcBorders>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CD33AC">
              <w:rPr>
                <w:rFonts w:cs="Calibri"/>
                <w:noProof/>
                <w:sz w:val="18"/>
                <w:szCs w:val="18"/>
              </w:rPr>
              <w:pict>
                <v:shape id="_x0000_s1129" type="#_x0000_t202" style="position:absolute;left:0;text-align:left;margin-left:22.15pt;margin-top:14.8pt;width:155.35pt;height:45pt;z-index:251620352;mso-position-horizontal-relative:text;mso-position-vertical-relative:text">
                  <v:textbox style="mso-next-textbox:#_x0000_s1129">
                    <w:txbxContent>
                      <w:p w:rsidR="00451669" w:rsidRDefault="00451669" w:rsidP="003974FD">
                        <w:pPr>
                          <w:rPr>
                            <w:sz w:val="20"/>
                          </w:rPr>
                        </w:pPr>
                        <w:r>
                          <w:rPr>
                            <w:sz w:val="20"/>
                          </w:rPr>
                          <w:t>This item reflects the difference between operating revenue,</w:t>
                        </w:r>
                        <w:r>
                          <w:t xml:space="preserve"> </w:t>
                        </w:r>
                        <w:r>
                          <w:rPr>
                            <w:sz w:val="20"/>
                          </w:rPr>
                          <w:t>expenses and</w:t>
                        </w:r>
                        <w:r>
                          <w:t xml:space="preserve"> </w:t>
                        </w:r>
                        <w:r>
                          <w:rPr>
                            <w:sz w:val="20"/>
                          </w:rPr>
                          <w:t>gains.</w:t>
                        </w:r>
                      </w:p>
                      <w:p w:rsidR="00451669" w:rsidRDefault="00451669" w:rsidP="003974FD"/>
                    </w:txbxContent>
                  </v:textbox>
                </v:shape>
              </w:pict>
            </w: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r>
      <w:tr w:rsidR="00740544" w:rsidRPr="00BF742F" w:rsidTr="00E47CF5">
        <w:trPr>
          <w:cantSplit/>
        </w:trPr>
        <w:tc>
          <w:tcPr>
            <w:tcW w:w="1053" w:type="dxa"/>
            <w:tcBorders>
              <w:top w:val="nil"/>
              <w:left w:val="nil"/>
              <w:bottom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right w:val="nil"/>
            </w:tcBorders>
          </w:tcPr>
          <w:p w:rsidR="00740544" w:rsidRDefault="00740544" w:rsidP="00740544">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left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left w:val="nil"/>
              <w:right w:val="nil"/>
            </w:tcBorders>
            <w:vAlign w:val="center"/>
          </w:tcPr>
          <w:p w:rsidR="00740544"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left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sz w:val="18"/>
                <w:szCs w:val="18"/>
              </w:rPr>
            </w:pPr>
          </w:p>
        </w:tc>
        <w:tc>
          <w:tcPr>
            <w:tcW w:w="816" w:type="dxa"/>
            <w:tcBorders>
              <w:left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740544" w:rsidRPr="00BF742F" w:rsidRDefault="00740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Total Ordinary Expenses</w:t>
            </w:r>
          </w:p>
        </w:tc>
        <w:tc>
          <w:tcPr>
            <w:tcW w:w="84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546,884</w:t>
            </w:r>
          </w:p>
        </w:tc>
        <w:tc>
          <w:tcPr>
            <w:tcW w:w="71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left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noProof/>
                <w:sz w:val="18"/>
                <w:szCs w:val="18"/>
              </w:rPr>
            </w:pPr>
            <w:r w:rsidRPr="00CD33AC">
              <w:rPr>
                <w:rFonts w:cs="Calibri"/>
                <w:noProof/>
              </w:rPr>
              <w:pict>
                <v:line id="_x0000_s1125" style="position:absolute;left:0;text-align:left;flip:x;z-index:251616256;mso-position-horizontal-relative:text;mso-position-vertical-relative:text" from="2.2pt,.4pt" to="50.55pt,22.85pt">
                  <v:stroke endarrow="block"/>
                </v:line>
              </w:pict>
            </w: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Operating Result</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-44,331</w:t>
            </w:r>
          </w:p>
        </w:tc>
        <w:tc>
          <w:tcPr>
            <w:tcW w:w="718"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740544"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i/>
                <w:sz w:val="18"/>
                <w:szCs w:val="18"/>
              </w:rPr>
            </w:pPr>
          </w:p>
        </w:tc>
        <w:tc>
          <w:tcPr>
            <w:tcW w:w="2790" w:type="dxa"/>
            <w:tcBorders>
              <w:left w:val="nil"/>
            </w:tcBorders>
          </w:tcPr>
          <w:p w:rsidR="003974FD" w:rsidRPr="00740544" w:rsidRDefault="00740544"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Cs/>
                <w:i/>
                <w:sz w:val="18"/>
                <w:szCs w:val="18"/>
              </w:rPr>
            </w:pPr>
            <w:r w:rsidRPr="00740544">
              <w:rPr>
                <w:rFonts w:cs="Calibri"/>
                <w:bCs/>
                <w:i/>
                <w:sz w:val="18"/>
                <w:szCs w:val="18"/>
              </w:rPr>
              <w:t xml:space="preserve">Items that will not be </w:t>
            </w:r>
            <w:r w:rsidR="00E47CF5">
              <w:rPr>
                <w:rFonts w:cs="Calibri"/>
                <w:bCs/>
                <w:i/>
                <w:sz w:val="18"/>
                <w:szCs w:val="18"/>
              </w:rPr>
              <w:t>re</w:t>
            </w:r>
            <w:r w:rsidRPr="00740544">
              <w:rPr>
                <w:rFonts w:cs="Calibri"/>
                <w:bCs/>
                <w:i/>
                <w:sz w:val="18"/>
                <w:szCs w:val="18"/>
              </w:rPr>
              <w:t>classified subsequently to profit or loss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CD33AC">
              <w:rPr>
                <w:rFonts w:cs="Calibri"/>
                <w:b/>
                <w:bCs/>
                <w:noProof/>
                <w:sz w:val="18"/>
                <w:szCs w:val="18"/>
              </w:rPr>
              <w:pict>
                <v:shape id="_x0000_s1131" type="#_x0000_t202" style="position:absolute;left:0;text-align:left;margin-left:22.15pt;margin-top:18.3pt;width:157.7pt;height:36.75pt;z-index:251622400;mso-position-horizontal-relative:text;mso-position-vertical-relative:text">
                  <v:textbox style="mso-next-textbox:#_x0000_s1131">
                    <w:txbxContent>
                      <w:p w:rsidR="00451669" w:rsidRDefault="00451669" w:rsidP="003974FD">
                        <w:r>
                          <w:rPr>
                            <w:sz w:val="20"/>
                          </w:rPr>
                          <w:t>This item reflects the revaluation of Property, Plant and Equipment.</w:t>
                        </w:r>
                      </w:p>
                    </w:txbxContent>
                  </v:textbox>
                </v:shape>
              </w:pict>
            </w:r>
          </w:p>
        </w:tc>
        <w:tc>
          <w:tcPr>
            <w:tcW w:w="816" w:type="dxa"/>
            <w:tcBorders>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227" w:hanging="113"/>
              <w:rPr>
                <w:rFonts w:cs="Calibri"/>
                <w:sz w:val="18"/>
                <w:szCs w:val="18"/>
              </w:rPr>
            </w:pPr>
            <w:r w:rsidRPr="00BF742F">
              <w:rPr>
                <w:rFonts w:cs="Calibri"/>
                <w:sz w:val="18"/>
                <w:szCs w:val="18"/>
              </w:rPr>
              <w:t>Inc/Dec in Asset Revaluation Reserve Surpluses</w:t>
            </w:r>
          </w:p>
        </w:tc>
        <w:tc>
          <w:tcPr>
            <w:tcW w:w="848" w:type="dxa"/>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r w:rsidRPr="00BF742F">
              <w:rPr>
                <w:rFonts w:cs="Calibri"/>
                <w:sz w:val="18"/>
                <w:szCs w:val="18"/>
              </w:rPr>
              <w:t>10</w:t>
            </w:r>
          </w:p>
        </w:tc>
        <w:tc>
          <w:tcPr>
            <w:tcW w:w="718" w:type="dxa"/>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CD33AC">
              <w:rPr>
                <w:rFonts w:cs="Calibri"/>
                <w:b/>
                <w:bCs/>
                <w:noProof/>
                <w:sz w:val="18"/>
                <w:szCs w:val="18"/>
              </w:rPr>
              <w:pict>
                <v:line id="_x0000_s1132" style="position:absolute;left:0;text-align:left;flip:x y;z-index:251623424;mso-position-horizontal-relative:text;mso-position-vertical-relative:text" from="4.3pt,16.9pt" to="22.15pt,24.35pt">
                  <v:stroke endarrow="block"/>
                </v:line>
              </w:pict>
            </w:r>
          </w:p>
        </w:tc>
        <w:tc>
          <w:tcPr>
            <w:tcW w:w="816" w:type="dxa"/>
            <w:tcBorders>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left w:val="nil"/>
              <w:bottom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Total Other Comprehensive Income</w:t>
            </w:r>
          </w:p>
        </w:tc>
        <w:tc>
          <w:tcPr>
            <w:tcW w:w="848" w:type="dxa"/>
            <w:tcBorders>
              <w:top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sz w:val="18"/>
                <w:szCs w:val="18"/>
              </w:rPr>
              <w:t>10</w:t>
            </w:r>
          </w:p>
        </w:tc>
        <w:tc>
          <w:tcPr>
            <w:tcW w:w="718" w:type="dxa"/>
            <w:tcBorders>
              <w:top w:val="nil"/>
              <w:bottom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Pr>
                <w:rFonts w:cs="Calibri"/>
                <w:b/>
                <w:bCs/>
                <w:noProof/>
                <w:sz w:val="18"/>
                <w:szCs w:val="18"/>
                <w:lang w:val="en-AU" w:eastAsia="en-AU"/>
              </w:rPr>
              <w:pict>
                <v:shape id="_x0000_s1217" type="#_x0000_t202" style="position:absolute;left:0;text-align:left;margin-left:22.15pt;margin-top:3.1pt;width:155.5pt;height:48.9pt;z-index:251704320;mso-position-horizontal-relative:text;mso-position-vertical-relative:text">
                  <v:textbox style="mso-next-textbox:#_x0000_s1217">
                    <w:txbxContent>
                      <w:p w:rsidR="00451669" w:rsidRDefault="00451669" w:rsidP="00E47CF5">
                        <w:r>
                          <w:rPr>
                            <w:sz w:val="20"/>
                          </w:rPr>
                          <w:t>This item reflects the total increase or decrease during the financial year.</w:t>
                        </w:r>
                      </w:p>
                    </w:txbxContent>
                  </v:textbox>
                </v:shape>
              </w:pict>
            </w:r>
          </w:p>
        </w:tc>
        <w:tc>
          <w:tcPr>
            <w:tcW w:w="816" w:type="dxa"/>
            <w:tcBorders>
              <w:top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bottom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top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nil"/>
              <w:bottom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Pr>
                <w:rFonts w:cs="Calibri"/>
                <w:b/>
                <w:bCs/>
                <w:noProof/>
                <w:sz w:val="18"/>
                <w:szCs w:val="18"/>
                <w:lang w:val="en-AU" w:eastAsia="en-AU"/>
              </w:rPr>
              <w:pict>
                <v:line id="_x0000_s1218" style="position:absolute;left:0;text-align:left;flip:x;z-index:251705344;mso-position-horizontal-relative:text;mso-position-vertical-relative:text" from="2.2pt,10.5pt" to="22.15pt,26.15pt">
                  <v:stroke endarrow="block"/>
                </v:line>
              </w:pict>
            </w:r>
          </w:p>
        </w:tc>
        <w:tc>
          <w:tcPr>
            <w:tcW w:w="816" w:type="dxa"/>
            <w:tcBorders>
              <w:top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left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r w:rsidRPr="00BF742F">
              <w:rPr>
                <w:rFonts w:cs="Calibri"/>
                <w:b/>
                <w:bCs/>
                <w:sz w:val="18"/>
                <w:szCs w:val="18"/>
              </w:rPr>
              <w:t>Total Comprehensive Income</w:t>
            </w:r>
          </w:p>
        </w:tc>
        <w:tc>
          <w:tcPr>
            <w:tcW w:w="848"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lef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r w:rsidRPr="00BF742F">
              <w:rPr>
                <w:rFonts w:cs="Calibri"/>
                <w:b/>
                <w:bCs/>
                <w:sz w:val="18"/>
                <w:szCs w:val="18"/>
              </w:rPr>
              <w:t>-44,321</w:t>
            </w:r>
            <w:r w:rsidR="00E47CF5">
              <w:rPr>
                <w:rFonts w:cs="Calibri"/>
                <w:b/>
                <w:bCs/>
                <w:sz w:val="18"/>
                <w:szCs w:val="18"/>
              </w:rPr>
              <w:t xml:space="preserve">  </w:t>
            </w:r>
          </w:p>
        </w:tc>
        <w:tc>
          <w:tcPr>
            <w:tcW w:w="718"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r w:rsidR="003974FD" w:rsidRPr="00BF742F" w:rsidTr="00E47CF5">
        <w:trPr>
          <w:cantSplit/>
        </w:trPr>
        <w:tc>
          <w:tcPr>
            <w:tcW w:w="1053" w:type="dxa"/>
            <w:tcBorders>
              <w:top w:val="nil"/>
              <w:left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284" w:type="dxa"/>
            <w:tcBorders>
              <w:top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sz w:val="18"/>
                <w:szCs w:val="18"/>
              </w:rPr>
            </w:pPr>
          </w:p>
        </w:tc>
        <w:tc>
          <w:tcPr>
            <w:tcW w:w="2790" w:type="dxa"/>
            <w:tcBorders>
              <w:top w:val="nil"/>
              <w:bottom w:val="single" w:sz="4" w:space="0" w:color="auto"/>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113" w:hanging="113"/>
              <w:rPr>
                <w:rFonts w:cs="Calibri"/>
                <w:b/>
                <w:bCs/>
                <w:sz w:val="18"/>
                <w:szCs w:val="18"/>
              </w:rPr>
            </w:pPr>
          </w:p>
        </w:tc>
        <w:tc>
          <w:tcPr>
            <w:tcW w:w="848" w:type="dxa"/>
            <w:tcBorders>
              <w:top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69" w:type="dxa"/>
            <w:tcBorders>
              <w:top w:val="nil"/>
              <w:bottom w:val="single" w:sz="4"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718" w:type="dxa"/>
            <w:tcBorders>
              <w:top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816" w:type="dxa"/>
            <w:tcBorders>
              <w:top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c>
          <w:tcPr>
            <w:tcW w:w="989" w:type="dxa"/>
            <w:tcBorders>
              <w:top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jc w:val="right"/>
              <w:rPr>
                <w:rFonts w:cs="Calibri"/>
                <w:b/>
                <w:bCs/>
                <w:sz w:val="18"/>
                <w:szCs w:val="18"/>
              </w:rPr>
            </w:pPr>
          </w:p>
        </w:tc>
      </w:tr>
    </w:tbl>
    <w:p w:rsidR="00C65A4A" w:rsidRDefault="00CD33AC" w:rsidP="00C65A4A">
      <w:pPr>
        <w:pStyle w:val="Heading4"/>
        <w:keepNext w:val="0"/>
      </w:pPr>
      <w:r w:rsidRPr="00CD33AC">
        <w:rPr>
          <w:noProof/>
          <w:highlight w:val="cyan"/>
        </w:rPr>
        <w:lastRenderedPageBreak/>
        <w:pict>
          <v:line id="_x0000_s1120" style="position:absolute;z-index:251611136;mso-position-horizontal-relative:text;mso-position-vertical-relative:text" from="337.2pt,-13.6pt" to="337.2pt,-13.6pt">
            <v:stroke endarrow="block"/>
          </v:line>
        </w:pict>
      </w:r>
      <w:r w:rsidR="00C65A4A">
        <w:t>Balance Sheet</w:t>
      </w:r>
    </w:p>
    <w:p w:rsidR="00A55302" w:rsidRDefault="003974FD" w:rsidP="00A55302">
      <w:pPr>
        <w:pStyle w:val="BodyText"/>
        <w:keepNext w:val="0"/>
      </w:pPr>
      <w:r>
        <w:t xml:space="preserve">The Balance Sheet is a financial snapshot of an agency’s financial position taken at the end of the financial year (30 June).  </w:t>
      </w:r>
      <w:r w:rsidR="00A55302">
        <w:t>The items appearing on this statement summarise the balances of controlled assets and liabilities estimated at the end of the financial year of the agency.  Trust moneys and Territorial (administered) items are excluded.</w:t>
      </w:r>
    </w:p>
    <w:p w:rsidR="00BE68FE" w:rsidRDefault="00A55302" w:rsidP="003974FD">
      <w:pPr>
        <w:pStyle w:val="BodyText"/>
      </w:pPr>
      <w:r>
        <w:t xml:space="preserve">The Balance Sheet </w:t>
      </w:r>
      <w:r w:rsidR="003974FD">
        <w:t>is br</w:t>
      </w:r>
      <w:r w:rsidR="006C3544">
        <w:t xml:space="preserve">oken up between current and </w:t>
      </w:r>
      <w:proofErr w:type="spellStart"/>
      <w:r w:rsidR="006C3544">
        <w:t xml:space="preserve">non </w:t>
      </w:r>
      <w:r w:rsidR="003974FD">
        <w:t>current</w:t>
      </w:r>
      <w:proofErr w:type="spellEnd"/>
      <w:r w:rsidR="003974FD">
        <w:t xml:space="preserve"> assets and liabilities</w:t>
      </w:r>
      <w:r w:rsidR="00BE68FE">
        <w:t>.</w:t>
      </w:r>
    </w:p>
    <w:p w:rsidR="00BE68FE" w:rsidRDefault="00BE68FE" w:rsidP="00BE68FE">
      <w:pPr>
        <w:pStyle w:val="BodyText"/>
      </w:pPr>
      <w:r>
        <w:t>Current Assets are cash and other assets that are expected to be converted to cash within 12 months, such as re</w:t>
      </w:r>
      <w:r w:rsidR="006C3544">
        <w:t xml:space="preserve">ceivables and inventories.  </w:t>
      </w:r>
      <w:proofErr w:type="spellStart"/>
      <w:r w:rsidR="006C3544">
        <w:t xml:space="preserve">Non </w:t>
      </w:r>
      <w:r>
        <w:t>current</w:t>
      </w:r>
      <w:proofErr w:type="spellEnd"/>
      <w:r>
        <w:t xml:space="preserve"> assets are usually physical in nature with longer-term useful lives, such as land, buildings and equipment.  These are utilised by agencies in delivering services to the community.</w:t>
      </w:r>
    </w:p>
    <w:p w:rsidR="00BE68FE" w:rsidRDefault="00BE68FE" w:rsidP="00BE68FE">
      <w:pPr>
        <w:pStyle w:val="BodyText"/>
      </w:pPr>
      <w:r>
        <w:t xml:space="preserve">Current Liabilities are usually obligations that would be met within 12 months, such as payables (creditors), employees’ annual leave entitlements and interest </w:t>
      </w:r>
      <w:r w:rsidR="006C3544">
        <w:t xml:space="preserve">expenses due but not paid.  </w:t>
      </w:r>
      <w:proofErr w:type="spellStart"/>
      <w:r w:rsidR="006C3544">
        <w:t xml:space="preserve">Non </w:t>
      </w:r>
      <w:r>
        <w:t>current</w:t>
      </w:r>
      <w:proofErr w:type="spellEnd"/>
      <w:r>
        <w:t xml:space="preserve"> liabilities are longer term obligations, such as employees’ long service leave entitlements, borrowings (debt) and superannuation.</w:t>
      </w:r>
    </w:p>
    <w:p w:rsidR="00A55302" w:rsidRDefault="00BE68FE" w:rsidP="00BE68FE">
      <w:pPr>
        <w:pStyle w:val="BodyText"/>
      </w:pPr>
      <w:r>
        <w:rPr>
          <w:szCs w:val="19"/>
        </w:rPr>
        <w:t xml:space="preserve">Equity </w:t>
      </w:r>
      <w:r>
        <w:rPr>
          <w:rFonts w:eastAsia="ArialMT"/>
          <w:szCs w:val="19"/>
        </w:rPr>
        <w:t>represents the difference between total assets and total liabilities.  Equity is also known as net assets or net worth.  Therefore, this</w:t>
      </w:r>
      <w:r w:rsidR="003974FD">
        <w:t xml:space="preserve"> statement gives an indication of the agency</w:t>
      </w:r>
      <w:r w:rsidR="003974FD">
        <w:rPr>
          <w:rFonts w:hint="eastAsia"/>
        </w:rPr>
        <w:t>’</w:t>
      </w:r>
      <w:r w:rsidR="003974FD">
        <w:t>s financial strength</w:t>
      </w:r>
      <w:r>
        <w:t xml:space="preserve"> and </w:t>
      </w:r>
      <w:r w:rsidR="003974FD">
        <w:t xml:space="preserve">has a direct impact on the net worth financial target of the </w:t>
      </w:r>
      <w:r w:rsidR="003974FD">
        <w:rPr>
          <w:rFonts w:eastAsia="ArialMT"/>
        </w:rPr>
        <w:t>Government.</w:t>
      </w:r>
      <w:r w:rsidR="00A55302" w:rsidRPr="00A55302">
        <w:t xml:space="preserve"> </w:t>
      </w:r>
    </w:p>
    <w:p w:rsidR="00A45EA3" w:rsidRDefault="00A45EA3" w:rsidP="00A45EA3">
      <w:pPr>
        <w:pStyle w:val="BodyText"/>
      </w:pPr>
      <w:r>
        <w:t xml:space="preserve">Example </w:t>
      </w:r>
      <w:r w:rsidR="00452A06">
        <w:t>6</w:t>
      </w:r>
      <w:r>
        <w:t xml:space="preserve"> provides an example of an agency Balance Sheet.</w:t>
      </w:r>
    </w:p>
    <w:p w:rsidR="003974FD" w:rsidRPr="00D43C77" w:rsidRDefault="003974FD" w:rsidP="003974FD">
      <w:pPr>
        <w:pStyle w:val="Heading3TopofPage"/>
      </w:pPr>
      <w:r>
        <w:rPr>
          <w:highlight w:val="cyan"/>
        </w:rPr>
        <w:br w:type="page"/>
      </w:r>
      <w:r w:rsidRPr="00D43C77">
        <w:lastRenderedPageBreak/>
        <w:t xml:space="preserve">Example </w:t>
      </w:r>
      <w:r w:rsidR="00452A06">
        <w:t>6</w:t>
      </w:r>
    </w:p>
    <w:p w:rsidR="003974FD" w:rsidRDefault="00CD33AC" w:rsidP="003974FD">
      <w:pPr>
        <w:pStyle w:val="Heading3"/>
        <w:jc w:val="center"/>
      </w:pPr>
      <w:r>
        <w:rPr>
          <w:noProof/>
        </w:rPr>
        <w:pict>
          <v:line id="_x0000_s1137" style="position:absolute;left:0;text-align:left;flip:x;z-index:251628544" from="303.4pt,3.05pt" to="338.55pt,34.35pt">
            <v:stroke endarrow="block"/>
          </v:line>
        </w:pict>
      </w:r>
      <w:r>
        <w:rPr>
          <w:noProof/>
        </w:rPr>
        <w:pict>
          <v:shape id="_x0000_s1136" type="#_x0000_t202" style="position:absolute;left:0;text-align:left;margin-left:338.55pt;margin-top:-42.3pt;width:124.95pt;height:58.7pt;z-index:251627520">
            <v:textbox style="mso-next-textbox:#_x0000_s1136">
              <w:txbxContent>
                <w:p w:rsidR="00451669" w:rsidRPr="006B1320" w:rsidRDefault="00451669" w:rsidP="003974FD">
                  <w:pPr>
                    <w:rPr>
                      <w:sz w:val="20"/>
                    </w:rPr>
                  </w:pPr>
                  <w:r>
                    <w:rPr>
                      <w:sz w:val="20"/>
                    </w:rPr>
                    <w:t>The variance is the percentage difference between the Estimated Outcome and the Budget.</w:t>
                  </w:r>
                </w:p>
              </w:txbxContent>
            </v:textbox>
          </v:shape>
        </w:pict>
      </w:r>
      <w:r w:rsidR="003974FD">
        <w:t>Balance Sheet</w:t>
      </w:r>
    </w:p>
    <w:tbl>
      <w:tblPr>
        <w:tblW w:w="9356" w:type="dxa"/>
        <w:tblLayout w:type="fixed"/>
        <w:tblCellMar>
          <w:left w:w="28" w:type="dxa"/>
          <w:right w:w="28" w:type="dxa"/>
        </w:tblCellMar>
        <w:tblLook w:val="0000"/>
      </w:tblPr>
      <w:tblGrid>
        <w:gridCol w:w="1060"/>
        <w:gridCol w:w="267"/>
        <w:gridCol w:w="2220"/>
        <w:gridCol w:w="975"/>
        <w:gridCol w:w="975"/>
        <w:gridCol w:w="667"/>
        <w:gridCol w:w="975"/>
        <w:gridCol w:w="975"/>
        <w:gridCol w:w="975"/>
        <w:gridCol w:w="267"/>
      </w:tblGrid>
      <w:tr w:rsidR="003974FD" w:rsidRPr="00BF742F" w:rsidTr="003974FD">
        <w:trPr>
          <w:cantSplit/>
          <w:trHeight w:val="941"/>
        </w:trPr>
        <w:tc>
          <w:tcPr>
            <w:tcW w:w="1146"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Prior Year Budget</w:t>
            </w:r>
          </w:p>
        </w:tc>
        <w:tc>
          <w:tcPr>
            <w:tcW w:w="28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b/>
                <w:bCs/>
                <w:sz w:val="18"/>
                <w:szCs w:val="18"/>
              </w:rPr>
            </w:pPr>
          </w:p>
        </w:tc>
        <w:tc>
          <w:tcPr>
            <w:tcW w:w="241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b/>
                <w:bCs/>
                <w:sz w:val="18"/>
                <w:szCs w:val="18"/>
              </w:rPr>
            </w:pPr>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Prior Year </w:t>
            </w:r>
            <w:proofErr w:type="spellStart"/>
            <w:r w:rsidRPr="00BF742F">
              <w:rPr>
                <w:rFonts w:cs="Calibri"/>
                <w:b/>
                <w:bCs/>
                <w:sz w:val="17"/>
                <w:szCs w:val="17"/>
              </w:rPr>
              <w:t>Est.Outcome</w:t>
            </w:r>
            <w:proofErr w:type="spellEnd"/>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Budget Year</w:t>
            </w:r>
          </w:p>
        </w:tc>
        <w:tc>
          <w:tcPr>
            <w:tcW w:w="63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roofErr w:type="spellStart"/>
            <w:r w:rsidRPr="00BF742F">
              <w:rPr>
                <w:rFonts w:cs="Calibri"/>
                <w:b/>
                <w:bCs/>
                <w:sz w:val="18"/>
                <w:szCs w:val="18"/>
              </w:rPr>
              <w:t>Var</w:t>
            </w:r>
            <w:proofErr w:type="spellEnd"/>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Forward Year 1</w:t>
            </w:r>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Forward Year 2</w:t>
            </w:r>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Forward Year 3</w:t>
            </w: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6"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28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41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72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w:t>
            </w: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6"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Current Assets</w:t>
            </w:r>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single" w:sz="4" w:space="0" w:color="auto"/>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sz w:val="18"/>
                <w:szCs w:val="18"/>
              </w:rPr>
            </w:pPr>
          </w:p>
        </w:tc>
        <w:tc>
          <w:tcPr>
            <w:tcW w:w="1055" w:type="dxa"/>
            <w:tcBorders>
              <w:top w:val="single" w:sz="4" w:space="0" w:color="auto"/>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noProof/>
              </w:rPr>
              <w:pict>
                <v:shape id="_x0000_s1138" type="#_x0000_t202" style="position:absolute;left:0;text-align:left;margin-left:4.25pt;margin-top:10.5pt;width:148.55pt;height:45pt;z-index:251629568;mso-position-horizontal-relative:text;mso-position-vertical-relative:text">
                  <v:textbox style="mso-next-textbox:#_x0000_s1138">
                    <w:txbxContent>
                      <w:p w:rsidR="00451669" w:rsidRDefault="00451669" w:rsidP="003974FD">
                        <w:pPr>
                          <w:rPr>
                            <w:sz w:val="20"/>
                          </w:rPr>
                        </w:pPr>
                        <w:r>
                          <w:rPr>
                            <w:sz w:val="20"/>
                          </w:rPr>
                          <w:t>Assets that are either cash or are likely to be converted to cash within 12 months.</w:t>
                        </w:r>
                      </w:p>
                    </w:txbxContent>
                  </v:textbox>
                </v:shape>
              </w:pict>
            </w:r>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Cash and Cash Equivalents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29,760</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Receivables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3,353</w:t>
            </w:r>
          </w:p>
        </w:tc>
        <w:tc>
          <w:tcPr>
            <w:tcW w:w="720"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noProof/>
              </w:rPr>
              <w:pict>
                <v:line id="_x0000_s1140" style="position:absolute;left:0;text-align:left;flip:x;z-index:251631616;mso-position-horizontal-relative:text;mso-position-vertical-relative:text" from=".1pt,6.85pt" to="37.6pt,6.85pt">
                  <v:stroke endarrow="block"/>
                </v:lin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Other</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2,608</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Current Assets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35,721</w:t>
            </w: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highlight w:val="cyan"/>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highlight w:val="cyan"/>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highlight w:val="cyan"/>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highlight w:val="cyan"/>
              </w:rPr>
            </w:pPr>
          </w:p>
        </w:tc>
      </w:tr>
      <w:tr w:rsidR="003974FD" w:rsidRPr="00BF742F" w:rsidTr="00A85305">
        <w:trPr>
          <w:cantSplit/>
          <w:trHeight w:val="204"/>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Non Current Assets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Investments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6C3544" w:rsidP="006C3544">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r>
              <w:rPr>
                <w:rFonts w:cs="Calibri"/>
                <w:sz w:val="18"/>
                <w:szCs w:val="18"/>
              </w:rPr>
              <w:t xml:space="preserve">Property, Plant and </w:t>
            </w:r>
            <w:r w:rsidR="003974FD" w:rsidRPr="00BF742F">
              <w:rPr>
                <w:rFonts w:cs="Calibri"/>
                <w:sz w:val="18"/>
                <w:szCs w:val="18"/>
              </w:rPr>
              <w:t>Equipment</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1,619,955</w:t>
            </w:r>
          </w:p>
        </w:tc>
        <w:tc>
          <w:tcPr>
            <w:tcW w:w="720"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noProof/>
              </w:rPr>
              <w:pict>
                <v:line id="_x0000_s1141" style="position:absolute;left:0;text-align:left;flip:x;z-index:251632640;mso-position-horizontal-relative:text;mso-position-vertical-relative:text" from="3.9pt,20.3pt" to="37.6pt,20.3pt">
                  <v:stroke endarrow="block"/>
                </v:line>
              </w:pict>
            </w:r>
          </w:p>
        </w:tc>
        <w:tc>
          <w:tcPr>
            <w:tcW w:w="1055"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noProof/>
              </w:rPr>
              <w:pict>
                <v:shape id="_x0000_s1139" type="#_x0000_t202" style="position:absolute;left:0;text-align:left;margin-left:4.25pt;margin-top:2.1pt;width:148.55pt;height:45.05pt;z-index:251630592;mso-position-horizontal-relative:text;mso-position-vertical-relative:text">
                  <v:textbox style="mso-next-textbox:#_x0000_s1139">
                    <w:txbxContent>
                      <w:p w:rsidR="00451669" w:rsidRDefault="00451669" w:rsidP="003974FD">
                        <w:pPr>
                          <w:rPr>
                            <w:sz w:val="20"/>
                          </w:rPr>
                        </w:pPr>
                        <w:r>
                          <w:rPr>
                            <w:sz w:val="20"/>
                          </w:rPr>
                          <w:t>Assets that do not fall within the definition of current assets.</w:t>
                        </w:r>
                      </w:p>
                    </w:txbxContent>
                  </v:textbox>
                </v:shap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Intangibles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0</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Capital Works in Progress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10,375</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Non Current Assets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1,630,330</w:t>
            </w: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ASSETS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1,666,051</w:t>
            </w: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b/>
                <w:bCs/>
                <w:noProof/>
                <w:sz w:val="18"/>
                <w:szCs w:val="18"/>
              </w:rPr>
              <w:pict>
                <v:shape id="_x0000_s1143" type="#_x0000_t202" style="position:absolute;left:0;text-align:left;margin-left:4.25pt;margin-top:10.5pt;width:148.8pt;height:61.2pt;z-index:251634688;mso-position-horizontal-relative:text;mso-position-vertical-relative:text">
                  <v:textbox style="mso-next-textbox:#_x0000_s1143">
                    <w:txbxContent>
                      <w:p w:rsidR="00451669" w:rsidRPr="006B1320" w:rsidRDefault="00451669" w:rsidP="003974FD">
                        <w:pPr>
                          <w:rPr>
                            <w:sz w:val="20"/>
                          </w:rPr>
                        </w:pPr>
                        <w:proofErr w:type="gramStart"/>
                        <w:r>
                          <w:rPr>
                            <w:sz w:val="20"/>
                          </w:rPr>
                          <w:t>These items includes</w:t>
                        </w:r>
                        <w:proofErr w:type="gramEnd"/>
                        <w:r>
                          <w:rPr>
                            <w:sz w:val="20"/>
                          </w:rPr>
                          <w:t xml:space="preserve"> amounts owing by the agency to other parties including suppliers and employees.</w:t>
                        </w:r>
                      </w:p>
                    </w:txbxContent>
                  </v:textbox>
                </v:shap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Current Liabilities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Payables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7,409</w:t>
            </w:r>
          </w:p>
        </w:tc>
        <w:tc>
          <w:tcPr>
            <w:tcW w:w="720"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b/>
                <w:bCs/>
                <w:noProof/>
                <w:sz w:val="18"/>
                <w:szCs w:val="18"/>
              </w:rPr>
              <w:pict>
                <v:line id="_x0000_s1135" style="position:absolute;left:0;text-align:left;flip:x;z-index:251626496;mso-position-horizontal-relative:text;mso-position-vertical-relative:text" from="2.45pt,4.9pt" to="63.75pt,64.65pt">
                  <v:stroke endarrow="block"/>
                </v:lin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Finance Leases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619</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Employee Benefits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76,745</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b/>
                <w:bCs/>
                <w:noProof/>
                <w:sz w:val="18"/>
                <w:szCs w:val="18"/>
              </w:rPr>
              <w:pict>
                <v:shape id="_x0000_s1144" type="#_x0000_t202" style="position:absolute;left:0;text-align:left;margin-left:6pt;margin-top:12.95pt;width:147.4pt;height:82.55pt;z-index:251635712;mso-position-horizontal-relative:text;mso-position-vertical-relative:text">
                  <v:textbox style="mso-next-textbox:#_x0000_s1144">
                    <w:txbxContent>
                      <w:p w:rsidR="00451669" w:rsidRPr="006B1320" w:rsidRDefault="00451669" w:rsidP="003974FD">
                        <w:pPr>
                          <w:rPr>
                            <w:sz w:val="19"/>
                            <w:szCs w:val="19"/>
                          </w:rPr>
                        </w:pPr>
                        <w:r>
                          <w:rPr>
                            <w:sz w:val="19"/>
                            <w:szCs w:val="19"/>
                          </w:rPr>
                          <w:t>This item represents the difference between the agency’s Total Assets and Total Liabilities. Net Assets represent the agency’s overall financial position at a point in time.</w:t>
                        </w:r>
                      </w:p>
                    </w:txbxContent>
                  </v:textbox>
                </v:shap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Other</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3,963</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Current Liabilities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88,736</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Non Current Liabilities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b/>
                <w:bCs/>
                <w:noProof/>
                <w:sz w:val="18"/>
                <w:szCs w:val="18"/>
              </w:rPr>
              <w:pict>
                <v:line id="_x0000_s1134" style="position:absolute;left:0;text-align:left;flip:x;z-index:251625472;mso-position-horizontal-relative:text;mso-position-vertical-relative:text" from="2.45pt,5.5pt" to="56.7pt,84.7pt">
                  <v:stroke endarrow="block"/>
                </v:lin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Finance Leases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300</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Employee Benefits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4,855</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Non Current Liabilities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5,155</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LIABILITIES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93,891</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b/>
                <w:bCs/>
                <w:noProof/>
                <w:sz w:val="18"/>
                <w:szCs w:val="18"/>
              </w:rPr>
              <w:pict>
                <v:shape id="_x0000_s1145" type="#_x0000_t202" style="position:absolute;left:0;text-align:left;margin-left:6.8pt;margin-top:8pt;width:145.95pt;height:63pt;z-index:251636736;mso-position-horizontal-relative:text;mso-position-vertical-relative:text">
                  <v:textbox style="mso-next-textbox:#_x0000_s1145">
                    <w:txbxContent>
                      <w:p w:rsidR="00451669" w:rsidRPr="006B1320" w:rsidRDefault="00451669" w:rsidP="003974FD">
                        <w:pPr>
                          <w:rPr>
                            <w:sz w:val="20"/>
                          </w:rPr>
                        </w:pPr>
                        <w:r>
                          <w:rPr>
                            <w:sz w:val="20"/>
                          </w:rPr>
                          <w:t xml:space="preserve">Reserves are recognised for the increase on revaluation of </w:t>
                        </w:r>
                        <w:proofErr w:type="spellStart"/>
                        <w:r>
                          <w:rPr>
                            <w:sz w:val="20"/>
                          </w:rPr>
                          <w:t>non current</w:t>
                        </w:r>
                        <w:proofErr w:type="spellEnd"/>
                        <w:r>
                          <w:rPr>
                            <w:sz w:val="20"/>
                          </w:rPr>
                          <w:t xml:space="preserve"> assets or other intended use of funds. </w:t>
                        </w:r>
                      </w:p>
                    </w:txbxContent>
                  </v:textbox>
                </v:shap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NET ASSETS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1,572,160</w:t>
            </w:r>
          </w:p>
        </w:tc>
        <w:tc>
          <w:tcPr>
            <w:tcW w:w="720"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72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noProof/>
              </w:rPr>
              <w:pict>
                <v:line id="_x0000_s1142" style="position:absolute;left:0;text-align:left;flip:x;z-index:251633664;mso-position-horizontal-relative:text;mso-position-vertical-relative:text" from="6.45pt,12.05pt" to="65.65pt,60.8pt">
                  <v:stroke endarrow="block"/>
                </v:lin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6C3544">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r w:rsidRPr="00BF742F">
              <w:rPr>
                <w:rFonts w:cs="Calibri"/>
                <w:b/>
                <w:bCs/>
                <w:sz w:val="18"/>
                <w:szCs w:val="18"/>
              </w:rPr>
              <w:t>REPRESENTED BY FUNDS EMPLOYED</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A85305">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Accumulated Funds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685,225</w:t>
            </w: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noProof/>
                <w:sz w:val="18"/>
                <w:szCs w:val="18"/>
              </w:rPr>
              <w:pict>
                <v:shape id="_x0000_s1146" type="#_x0000_t202" style="position:absolute;left:0;text-align:left;margin-left:13.25pt;margin-top:2.75pt;width:138.35pt;height:45pt;z-index:251637760;mso-position-horizontal-relative:text;mso-position-vertical-relative:text">
                  <v:textbox style="mso-next-textbox:#_x0000_s1146">
                    <w:txbxContent>
                      <w:p w:rsidR="00451669" w:rsidRPr="006B1320" w:rsidRDefault="00451669" w:rsidP="003974FD">
                        <w:pPr>
                          <w:rPr>
                            <w:sz w:val="20"/>
                          </w:rPr>
                        </w:pPr>
                        <w:r>
                          <w:rPr>
                            <w:sz w:val="20"/>
                          </w:rPr>
                          <w:t>This is an agency’s contribution to the Net Worth of the Territory.</w:t>
                        </w:r>
                      </w:p>
                    </w:txbxContent>
                  </v:textbox>
                </v:shap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A85305">
        <w:trPr>
          <w:cantSplit/>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jc w:val="both"/>
              <w:rPr>
                <w:rFonts w:cs="Calibri"/>
                <w:sz w:val="18"/>
                <w:szCs w:val="18"/>
              </w:rPr>
            </w:pPr>
            <w:r w:rsidRPr="00BF742F">
              <w:rPr>
                <w:rFonts w:cs="Calibri"/>
                <w:sz w:val="18"/>
                <w:szCs w:val="18"/>
              </w:rPr>
              <w:t>Reserves</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886,935</w:t>
            </w:r>
          </w:p>
        </w:tc>
        <w:tc>
          <w:tcPr>
            <w:tcW w:w="72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Height w:val="516"/>
        </w:trPr>
        <w:tc>
          <w:tcPr>
            <w:tcW w:w="114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r w:rsidRPr="00BF742F">
              <w:rPr>
                <w:rFonts w:cs="Calibri"/>
                <w:b/>
                <w:bCs/>
                <w:sz w:val="18"/>
                <w:szCs w:val="18"/>
              </w:rPr>
              <w:t>TOTAL FUNDS EMPLOYED</w: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1,572,160</w:t>
            </w:r>
          </w:p>
        </w:tc>
        <w:tc>
          <w:tcPr>
            <w:tcW w:w="720"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b/>
                <w:bCs/>
                <w:noProof/>
                <w:sz w:val="18"/>
                <w:szCs w:val="18"/>
              </w:rPr>
              <w:pict>
                <v:line id="_x0000_s1147" style="position:absolute;left:0;text-align:left;flip:x;z-index:251638784;mso-position-horizontal-relative:text;mso-position-vertical-relative:text" from=".1pt,12.05pt" to="46.6pt,12.05pt">
                  <v:stroke endarrow="block"/>
                </v:line>
              </w:pict>
            </w: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Height w:val="296"/>
        </w:trPr>
        <w:tc>
          <w:tcPr>
            <w:tcW w:w="114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cs="Calibri"/>
                <w:b/>
                <w:sz w:val="18"/>
                <w:szCs w:val="18"/>
              </w:rPr>
            </w:pPr>
          </w:p>
        </w:tc>
        <w:tc>
          <w:tcPr>
            <w:tcW w:w="284"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410"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jc w:val="both"/>
              <w:rPr>
                <w:rFonts w:cs="Calibri"/>
                <w:b/>
                <w:bCs/>
                <w:sz w:val="18"/>
                <w:szCs w:val="18"/>
              </w:rPr>
            </w:pP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single" w:sz="4"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72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noProof/>
                <w:sz w:val="18"/>
                <w:szCs w:val="18"/>
              </w:rPr>
            </w:pP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bl>
    <w:p w:rsidR="00451669" w:rsidRDefault="003974FD" w:rsidP="00C65A4A">
      <w:pPr>
        <w:pStyle w:val="Heading4"/>
        <w:keepNext w:val="0"/>
      </w:pPr>
      <w:r>
        <w:br w:type="page"/>
      </w:r>
    </w:p>
    <w:p w:rsidR="00C65A4A" w:rsidRDefault="00C65A4A" w:rsidP="00C65A4A">
      <w:pPr>
        <w:pStyle w:val="Heading4"/>
        <w:keepNext w:val="0"/>
      </w:pPr>
      <w:r w:rsidRPr="00E342A7">
        <w:lastRenderedPageBreak/>
        <w:t>Statement of Changes in Equity</w:t>
      </w:r>
      <w:r>
        <w:t xml:space="preserve"> </w:t>
      </w:r>
    </w:p>
    <w:p w:rsidR="00A55302" w:rsidRDefault="00C65A4A" w:rsidP="00A55302">
      <w:pPr>
        <w:pStyle w:val="BodyText"/>
        <w:keepNext w:val="0"/>
      </w:pPr>
      <w:r>
        <w:t>The items included in the Statement of Changes in Equity are only associated with the delivery of outputs by the agency and are there</w:t>
      </w:r>
      <w:r w:rsidR="00A55302">
        <w:t>fore controlled by the agency.</w:t>
      </w:r>
    </w:p>
    <w:p w:rsidR="003974FD" w:rsidRDefault="003974FD" w:rsidP="003974FD">
      <w:pPr>
        <w:pStyle w:val="BodyText"/>
      </w:pPr>
      <w:r w:rsidRPr="00D43C77">
        <w:t xml:space="preserve">The Statement of Changes in Equity shows the changes in equity between two financial years reflecting the increase or decrease in its net assets during the year.  The total overall change in equity during a financial year represents the total amount of income and expenses, including gains and losses generated by an agency’s activities during the year.  Examples of changes in equity include movements in capital injections and distribution, asset revaluations and increases or decreases in net assets due to </w:t>
      </w:r>
      <w:r w:rsidR="00653727">
        <w:t xml:space="preserve">an </w:t>
      </w:r>
      <w:r w:rsidRPr="00D43C77">
        <w:t>administrative restructure.</w:t>
      </w:r>
    </w:p>
    <w:p w:rsidR="00A45EA3" w:rsidRDefault="00A45EA3" w:rsidP="00A45EA3">
      <w:pPr>
        <w:pStyle w:val="BodyText"/>
      </w:pPr>
      <w:r>
        <w:t xml:space="preserve">Example </w:t>
      </w:r>
      <w:r w:rsidR="00452A06">
        <w:t>7</w:t>
      </w:r>
      <w:r>
        <w:t xml:space="preserve"> provides an example of an agency Statement of Changes in Equity.</w:t>
      </w:r>
    </w:p>
    <w:p w:rsidR="003974FD" w:rsidRPr="00D43C77" w:rsidRDefault="003974FD" w:rsidP="00A85305">
      <w:pPr>
        <w:pStyle w:val="Heading3"/>
        <w:spacing w:before="0" w:after="0"/>
      </w:pPr>
      <w:r w:rsidRPr="00D43C77">
        <w:t xml:space="preserve">Example </w:t>
      </w:r>
      <w:r w:rsidR="00E825DE">
        <w:t>7</w:t>
      </w:r>
    </w:p>
    <w:p w:rsidR="003974FD" w:rsidRDefault="003974FD" w:rsidP="003974FD">
      <w:pPr>
        <w:pStyle w:val="Heading3"/>
        <w:jc w:val="center"/>
      </w:pPr>
      <w:r>
        <w:t>Statement of Changes in Equity</w:t>
      </w:r>
    </w:p>
    <w:tbl>
      <w:tblPr>
        <w:tblW w:w="9356" w:type="dxa"/>
        <w:tblLayout w:type="fixed"/>
        <w:tblCellMar>
          <w:left w:w="28" w:type="dxa"/>
          <w:right w:w="28" w:type="dxa"/>
        </w:tblCellMar>
        <w:tblLook w:val="0000"/>
      </w:tblPr>
      <w:tblGrid>
        <w:gridCol w:w="1068"/>
        <w:gridCol w:w="275"/>
        <w:gridCol w:w="2432"/>
        <w:gridCol w:w="1066"/>
        <w:gridCol w:w="1007"/>
        <w:gridCol w:w="487"/>
        <w:gridCol w:w="1007"/>
        <w:gridCol w:w="1007"/>
        <w:gridCol w:w="1007"/>
      </w:tblGrid>
      <w:tr w:rsidR="003974FD" w:rsidRPr="00BF742F" w:rsidTr="003974FD">
        <w:trPr>
          <w:cantSplit/>
          <w:trHeight w:val="928"/>
        </w:trPr>
        <w:tc>
          <w:tcPr>
            <w:tcW w:w="111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Prior Year Budget</w:t>
            </w:r>
          </w:p>
        </w:tc>
        <w:tc>
          <w:tcPr>
            <w:tcW w:w="28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b/>
                <w:bCs/>
                <w:sz w:val="18"/>
                <w:szCs w:val="18"/>
              </w:rPr>
            </w:pPr>
          </w:p>
        </w:tc>
        <w:tc>
          <w:tcPr>
            <w:tcW w:w="2543"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b/>
                <w:bCs/>
                <w:sz w:val="18"/>
                <w:szCs w:val="18"/>
              </w:rPr>
            </w:pPr>
          </w:p>
        </w:tc>
        <w:tc>
          <w:tcPr>
            <w:tcW w:w="1113"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Prior Year </w:t>
            </w:r>
            <w:proofErr w:type="spellStart"/>
            <w:r w:rsidRPr="00BF742F">
              <w:rPr>
                <w:rFonts w:cs="Calibri"/>
                <w:b/>
                <w:bCs/>
                <w:sz w:val="18"/>
                <w:szCs w:val="18"/>
              </w:rPr>
              <w:t>Est.Outcome</w:t>
            </w:r>
            <w:proofErr w:type="spellEnd"/>
          </w:p>
        </w:tc>
        <w:tc>
          <w:tcPr>
            <w:tcW w:w="1051"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Budget Year</w:t>
            </w:r>
          </w:p>
        </w:tc>
        <w:tc>
          <w:tcPr>
            <w:tcW w:w="506"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roofErr w:type="spellStart"/>
            <w:r w:rsidRPr="00BF742F">
              <w:rPr>
                <w:rFonts w:cs="Calibri"/>
                <w:b/>
                <w:bCs/>
                <w:sz w:val="18"/>
                <w:szCs w:val="18"/>
              </w:rPr>
              <w:t>Var</w:t>
            </w:r>
            <w:proofErr w:type="spellEnd"/>
          </w:p>
        </w:tc>
        <w:tc>
          <w:tcPr>
            <w:tcW w:w="1051"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Forward Year 1</w:t>
            </w:r>
          </w:p>
        </w:tc>
        <w:tc>
          <w:tcPr>
            <w:tcW w:w="1051"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Forward Year 2</w:t>
            </w:r>
          </w:p>
        </w:tc>
        <w:tc>
          <w:tcPr>
            <w:tcW w:w="1051" w:type="dxa"/>
            <w:tcBorders>
              <w:top w:val="single" w:sz="4" w:space="0" w:color="auto"/>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Planned as at end of Forward Year 3</w:t>
            </w:r>
          </w:p>
        </w:tc>
      </w:tr>
      <w:tr w:rsidR="003974FD" w:rsidRPr="00BF742F" w:rsidTr="006C3544">
        <w:trPr>
          <w:cantSplit/>
        </w:trPr>
        <w:tc>
          <w:tcPr>
            <w:tcW w:w="111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28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b/>
                <w:bCs/>
                <w:sz w:val="18"/>
                <w:szCs w:val="18"/>
              </w:rPr>
            </w:pPr>
          </w:p>
        </w:tc>
        <w:tc>
          <w:tcPr>
            <w:tcW w:w="2543"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Calibri"/>
                <w:b/>
                <w:bCs/>
                <w:sz w:val="18"/>
                <w:szCs w:val="18"/>
              </w:rPr>
            </w:pPr>
          </w:p>
        </w:tc>
        <w:tc>
          <w:tcPr>
            <w:tcW w:w="1113"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1051"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506"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w:t>
            </w:r>
          </w:p>
        </w:tc>
        <w:tc>
          <w:tcPr>
            <w:tcW w:w="1051"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1051"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c>
          <w:tcPr>
            <w:tcW w:w="1051" w:type="dxa"/>
            <w:tcBorders>
              <w:top w:val="nil"/>
              <w:left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 xml:space="preserve">    $'000</w:t>
            </w:r>
          </w:p>
        </w:tc>
      </w:tr>
      <w:tr w:rsidR="006C3544" w:rsidRPr="00BF742F" w:rsidTr="006C3544">
        <w:trPr>
          <w:cantSplit/>
        </w:trPr>
        <w:tc>
          <w:tcPr>
            <w:tcW w:w="1115" w:type="dxa"/>
            <w:tcBorders>
              <w:top w:val="single" w:sz="4" w:space="0" w:color="auto"/>
              <w:left w:val="nil"/>
              <w:right w:val="nil"/>
            </w:tcBorders>
          </w:tcPr>
          <w:p w:rsidR="006C3544" w:rsidRPr="00BF742F"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single" w:sz="4" w:space="0" w:color="auto"/>
              <w:left w:val="nil"/>
              <w:right w:val="nil"/>
            </w:tcBorders>
          </w:tcPr>
          <w:p w:rsidR="006C3544" w:rsidRPr="00BF742F" w:rsidRDefault="006C3544"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single" w:sz="4" w:space="0" w:color="auto"/>
              <w:left w:val="nil"/>
              <w:right w:val="nil"/>
            </w:tcBorders>
          </w:tcPr>
          <w:p w:rsidR="006C3544" w:rsidRPr="006C3544" w:rsidRDefault="006C3544" w:rsidP="006C3544">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cs="Calibri"/>
                <w:b/>
                <w:bCs/>
                <w:sz w:val="18"/>
                <w:szCs w:val="18"/>
              </w:rPr>
            </w:pPr>
            <w:r w:rsidRPr="006C3544">
              <w:rPr>
                <w:rFonts w:cs="Calibri"/>
                <w:b/>
                <w:bCs/>
                <w:sz w:val="18"/>
                <w:szCs w:val="18"/>
              </w:rPr>
              <w:t>Opening Equity</w:t>
            </w:r>
          </w:p>
        </w:tc>
        <w:tc>
          <w:tcPr>
            <w:tcW w:w="1113" w:type="dxa"/>
            <w:tcBorders>
              <w:top w:val="single" w:sz="4" w:space="0" w:color="auto"/>
              <w:left w:val="nil"/>
              <w:right w:val="nil"/>
            </w:tcBorders>
            <w:vAlign w:val="center"/>
          </w:tcPr>
          <w:p w:rsidR="006C3544" w:rsidRPr="008F465D"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single" w:sz="4" w:space="0" w:color="auto"/>
              <w:left w:val="nil"/>
              <w:right w:val="nil"/>
            </w:tcBorders>
          </w:tcPr>
          <w:p w:rsidR="006C3544" w:rsidRPr="00BF742F"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single" w:sz="4" w:space="0" w:color="auto"/>
              <w:left w:val="nil"/>
              <w:right w:val="nil"/>
            </w:tcBorders>
          </w:tcPr>
          <w:p w:rsidR="006C3544" w:rsidRPr="00BF742F"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single" w:sz="4" w:space="0" w:color="auto"/>
              <w:left w:val="nil"/>
              <w:right w:val="nil"/>
            </w:tcBorders>
          </w:tcPr>
          <w:p w:rsidR="006C3544" w:rsidRPr="00BF742F"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single" w:sz="4" w:space="0" w:color="auto"/>
              <w:left w:val="nil"/>
              <w:right w:val="nil"/>
            </w:tcBorders>
          </w:tcPr>
          <w:p w:rsidR="006C3544" w:rsidRPr="00BF742F"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single" w:sz="4" w:space="0" w:color="auto"/>
              <w:left w:val="nil"/>
            </w:tcBorders>
          </w:tcPr>
          <w:p w:rsidR="006C3544" w:rsidRPr="00BF742F" w:rsidRDefault="006C3544"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6C3544">
        <w:trPr>
          <w:cantSplit/>
        </w:trPr>
        <w:tc>
          <w:tcPr>
            <w:tcW w:w="1115" w:type="dxa"/>
            <w:tcBorders>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
                <w:bCs/>
                <w:sz w:val="18"/>
                <w:szCs w:val="18"/>
              </w:rPr>
            </w:pPr>
            <w:r w:rsidRPr="00BF742F">
              <w:rPr>
                <w:rFonts w:cs="Calibri"/>
                <w:bCs/>
                <w:sz w:val="18"/>
                <w:szCs w:val="18"/>
              </w:rPr>
              <w:t>Opening Accumulated Funds</w:t>
            </w:r>
          </w:p>
        </w:tc>
        <w:tc>
          <w:tcPr>
            <w:tcW w:w="1113" w:type="dxa"/>
            <w:tcBorders>
              <w:left w:val="nil"/>
              <w:bottom w:val="nil"/>
              <w:right w:val="nil"/>
            </w:tcBorders>
            <w:vAlign w:val="center"/>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Cs/>
                <w:sz w:val="18"/>
                <w:szCs w:val="18"/>
              </w:rPr>
            </w:pPr>
            <w:r w:rsidRPr="00CD33AC">
              <w:rPr>
                <w:rFonts w:cs="Calibri"/>
                <w:noProof/>
              </w:rPr>
              <w:pict>
                <v:line id="_x0000_s1149" style="position:absolute;left:0;text-align:left;z-index:251640832;mso-position-horizontal-relative:text;mso-position-vertical-relative:text" from="48.1pt,16.75pt" to="48.1pt,16.75pt"/>
              </w:pict>
            </w:r>
            <w:r w:rsidR="003974FD" w:rsidRPr="00BF742F">
              <w:rPr>
                <w:rFonts w:cs="Calibri"/>
                <w:bCs/>
                <w:sz w:val="18"/>
                <w:szCs w:val="18"/>
              </w:rPr>
              <w:t>716,128</w:t>
            </w:r>
          </w:p>
        </w:tc>
        <w:tc>
          <w:tcPr>
            <w:tcW w:w="1051" w:type="dxa"/>
            <w:tcBorders>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BF742F">
              <w:rPr>
                <w:rFonts w:cs="Calibri"/>
                <w:bCs/>
                <w:sz w:val="18"/>
                <w:szCs w:val="18"/>
              </w:rPr>
              <w:t>Opening Asset Revaluation</w:t>
            </w:r>
            <w:r w:rsidR="00A85305">
              <w:rPr>
                <w:rFonts w:cs="Calibri"/>
                <w:bCs/>
                <w:sz w:val="18"/>
                <w:szCs w:val="18"/>
              </w:rPr>
              <w:t xml:space="preserve"> Reserve</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Cs/>
                <w:sz w:val="18"/>
                <w:szCs w:val="18"/>
              </w:rPr>
            </w:pPr>
            <w:r w:rsidRPr="00BF742F">
              <w:rPr>
                <w:rFonts w:cs="Calibri"/>
                <w:bCs/>
                <w:sz w:val="18"/>
                <w:szCs w:val="18"/>
              </w:rPr>
              <w:t>883,725</w: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BF742F">
              <w:rPr>
                <w:rFonts w:cs="Calibri"/>
                <w:bCs/>
                <w:sz w:val="18"/>
                <w:szCs w:val="18"/>
              </w:rPr>
              <w:t>Opening Other Reserve</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Cs/>
                <w:sz w:val="18"/>
                <w:szCs w:val="18"/>
              </w:rPr>
            </w:pPr>
            <w:r w:rsidRPr="00BF742F">
              <w:rPr>
                <w:rFonts w:cs="Calibri"/>
                <w:bCs/>
                <w:sz w:val="18"/>
                <w:szCs w:val="18"/>
              </w:rPr>
              <w:t>3,200</w: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r w:rsidRPr="00BF742F">
              <w:rPr>
                <w:rFonts w:cs="Calibri"/>
                <w:b/>
                <w:bCs/>
                <w:sz w:val="18"/>
                <w:szCs w:val="18"/>
              </w:rPr>
              <w:t>Opening Balance</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1,603,053</w: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hanging="113"/>
              <w:rPr>
                <w:rFonts w:cs="Calibri"/>
                <w:b/>
                <w:bCs/>
                <w:sz w:val="18"/>
                <w:szCs w:val="18"/>
              </w:rPr>
            </w:pPr>
            <w:r w:rsidRPr="00BF742F">
              <w:rPr>
                <w:rFonts w:cs="Calibri"/>
                <w:b/>
                <w:bCs/>
                <w:sz w:val="18"/>
                <w:szCs w:val="18"/>
              </w:rPr>
              <w:t>Accumulated Funds</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BF742F">
              <w:rPr>
                <w:rFonts w:cs="Calibri"/>
                <w:bCs/>
                <w:sz w:val="18"/>
                <w:szCs w:val="18"/>
              </w:rPr>
              <w:t>Operating Result for the Period</w:t>
            </w:r>
          </w:p>
        </w:tc>
        <w:tc>
          <w:tcPr>
            <w:tcW w:w="1113" w:type="dxa"/>
            <w:tcBorders>
              <w:top w:val="nil"/>
              <w:left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Cs/>
                <w:sz w:val="18"/>
                <w:szCs w:val="18"/>
              </w:rPr>
            </w:pPr>
            <w:r w:rsidRPr="00BF742F">
              <w:rPr>
                <w:rFonts w:cs="Calibri"/>
                <w:bCs/>
                <w:sz w:val="18"/>
                <w:szCs w:val="18"/>
              </w:rPr>
              <w:t>-44,331</w:t>
            </w:r>
          </w:p>
        </w:tc>
        <w:tc>
          <w:tcPr>
            <w:tcW w:w="1051"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noProof/>
              </w:rPr>
              <w:pict>
                <v:line id="_x0000_s1157" style="position:absolute;left:0;text-align:left;z-index:251649024;mso-position-horizontal-relative:text;mso-position-vertical-relative:text" from="7.25pt,8.7pt" to="49.8pt,8.7pt">
                  <v:stroke startarrow="block"/>
                </v:line>
              </w:pict>
            </w:r>
          </w:p>
        </w:tc>
        <w:tc>
          <w:tcPr>
            <w:tcW w:w="506"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r w:rsidRPr="00CD33AC">
              <w:rPr>
                <w:rFonts w:cs="Calibri"/>
                <w:noProof/>
              </w:rPr>
              <w:pict>
                <v:shape id="_x0000_s1152" type="#_x0000_t202" style="position:absolute;left:0;text-align:left;margin-left:-.55pt;margin-top:1pt;width:180pt;height:31.8pt;z-index:251643904;mso-position-horizontal-relative:text;mso-position-vertical-relative:text">
                  <v:textbox style="mso-next-textbox:#_x0000_s1152">
                    <w:txbxContent>
                      <w:p w:rsidR="00451669" w:rsidRDefault="00451669" w:rsidP="003974FD">
                        <w:pPr>
                          <w:rPr>
                            <w:sz w:val="20"/>
                          </w:rPr>
                        </w:pPr>
                        <w:r>
                          <w:rPr>
                            <w:sz w:val="20"/>
                          </w:rPr>
                          <w:t>Obtained from the Operating Statement.</w:t>
                        </w:r>
                      </w:p>
                    </w:txbxContent>
                  </v:textbox>
                </v:shape>
              </w:pic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r w:rsidRPr="00BF742F">
              <w:rPr>
                <w:rFonts w:cs="Calibri"/>
                <w:b/>
                <w:bCs/>
                <w:sz w:val="18"/>
                <w:szCs w:val="18"/>
              </w:rPr>
              <w:t>Total Accumulated Funds</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-44,331</w: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Height w:val="253"/>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hanging="113"/>
              <w:rPr>
                <w:rFonts w:cs="Calibri"/>
                <w:b/>
                <w:bCs/>
                <w:sz w:val="18"/>
                <w:szCs w:val="18"/>
              </w:rPr>
            </w:pPr>
            <w:r w:rsidRPr="00BF742F">
              <w:rPr>
                <w:rFonts w:cs="Calibri"/>
                <w:b/>
                <w:bCs/>
                <w:sz w:val="18"/>
                <w:szCs w:val="18"/>
              </w:rPr>
              <w:t>Reserves</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BF742F">
              <w:rPr>
                <w:rFonts w:cs="Calibri"/>
                <w:bCs/>
                <w:sz w:val="18"/>
                <w:szCs w:val="18"/>
              </w:rPr>
              <w:t>Inc/Dec in Asset Revaluation Reserve Surpluses</w:t>
            </w:r>
          </w:p>
        </w:tc>
        <w:tc>
          <w:tcPr>
            <w:tcW w:w="1113" w:type="dxa"/>
            <w:tcBorders>
              <w:top w:val="nil"/>
              <w:left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Cs/>
                <w:sz w:val="18"/>
                <w:szCs w:val="18"/>
              </w:rPr>
            </w:pPr>
            <w:r w:rsidRPr="00BF742F">
              <w:rPr>
                <w:rFonts w:cs="Calibri"/>
                <w:bCs/>
                <w:sz w:val="18"/>
                <w:szCs w:val="18"/>
              </w:rPr>
              <w:t>10</w:t>
            </w:r>
          </w:p>
        </w:tc>
        <w:tc>
          <w:tcPr>
            <w:tcW w:w="1051"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noProof/>
              </w:rPr>
              <w:pict>
                <v:line id="_x0000_s1156" style="position:absolute;left:0;text-align:left;z-index:251648000;mso-position-horizontal-relative:text;mso-position-vertical-relative:text" from="7pt,17.7pt" to="49.8pt,17.7pt">
                  <v:stroke startarrow="block"/>
                </v:line>
              </w:pict>
            </w:r>
          </w:p>
        </w:tc>
        <w:tc>
          <w:tcPr>
            <w:tcW w:w="506"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r w:rsidRPr="00CD33AC">
              <w:rPr>
                <w:rFonts w:cs="Calibri"/>
                <w:b/>
                <w:bCs/>
                <w:noProof/>
                <w:sz w:val="18"/>
                <w:szCs w:val="18"/>
              </w:rPr>
              <w:pict>
                <v:shape id="_x0000_s1151" type="#_x0000_t202" style="position:absolute;left:0;text-align:left;margin-left:-.35pt;margin-top:3.55pt;width:180pt;height:44.75pt;z-index:251642880;mso-position-horizontal-relative:text;mso-position-vertical-relative:text">
                  <v:textbox style="mso-next-textbox:#_x0000_s1151">
                    <w:txbxContent>
                      <w:p w:rsidR="00451669" w:rsidRDefault="00451669" w:rsidP="003974FD">
                        <w:pPr>
                          <w:rPr>
                            <w:sz w:val="20"/>
                          </w:rPr>
                        </w:pPr>
                        <w:r>
                          <w:rPr>
                            <w:sz w:val="20"/>
                          </w:rPr>
                          <w:t>Indicates a valuation performed on Property, Plant and Equipment to determine its fair value.</w:t>
                        </w:r>
                      </w:p>
                    </w:txbxContent>
                  </v:textbox>
                </v:shape>
              </w:pic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r w:rsidRPr="00BF742F">
              <w:rPr>
                <w:rFonts w:cs="Calibri"/>
                <w:b/>
                <w:bCs/>
                <w:sz w:val="18"/>
                <w:szCs w:val="18"/>
              </w:rPr>
              <w:t>Comprehensive Result</w:t>
            </w: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-44,321</w: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6"/>
                <w:szCs w:val="16"/>
              </w:rPr>
            </w:pPr>
          </w:p>
        </w:tc>
        <w:tc>
          <w:tcPr>
            <w:tcW w:w="1113"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6"/>
                <w:szCs w:val="16"/>
              </w:rPr>
            </w:pPr>
          </w:p>
        </w:tc>
        <w:tc>
          <w:tcPr>
            <w:tcW w:w="1051"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6"/>
                <w:szCs w:val="16"/>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6"/>
                <w:szCs w:val="16"/>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6"/>
                <w:szCs w:val="16"/>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6"/>
                <w:szCs w:val="16"/>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6"/>
                <w:szCs w:val="16"/>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7" w:hanging="113"/>
              <w:rPr>
                <w:rFonts w:cs="Calibri"/>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
                <w:sz w:val="18"/>
                <w:szCs w:val="18"/>
              </w:rPr>
            </w:pPr>
            <w:r w:rsidRPr="00BF742F">
              <w:rPr>
                <w:rFonts w:cs="Calibri"/>
                <w:b/>
                <w:sz w:val="18"/>
                <w:szCs w:val="18"/>
              </w:rPr>
              <w:t>Transactions Involving Equity</w:t>
            </w:r>
          </w:p>
        </w:tc>
        <w:tc>
          <w:tcPr>
            <w:tcW w:w="1113" w:type="dxa"/>
            <w:tcBorders>
              <w:top w:val="nil"/>
              <w:left w:val="nil"/>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1051" w:type="dxa"/>
            <w:tcBorders>
              <w:top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506"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r w:rsidRPr="00CD33AC">
              <w:rPr>
                <w:rFonts w:cs="Calibri"/>
                <w:noProof/>
              </w:rPr>
              <w:pict>
                <v:shape id="_x0000_s1148" type="#_x0000_t202" style="position:absolute;left:0;text-align:left;margin-left:-.55pt;margin-top:8.35pt;width:181.4pt;height:81pt;z-index:251639808;mso-position-horizontal-relative:text;mso-position-vertical-relative:text">
                  <v:textbox style="mso-next-textbox:#_x0000_s1148">
                    <w:txbxContent>
                      <w:p w:rsidR="00451669" w:rsidRDefault="00451669" w:rsidP="003974FD">
                        <w:pPr>
                          <w:rPr>
                            <w:sz w:val="20"/>
                          </w:rPr>
                        </w:pPr>
                        <w:r>
                          <w:rPr>
                            <w:sz w:val="20"/>
                          </w:rPr>
                          <w:t>Represents the capital the Government has provided to an agency, less any capital distributions to Government.  The capital injection must be used in accordance with what was specified in the Appropriation Bill.</w:t>
                        </w:r>
                      </w:p>
                    </w:txbxContent>
                  </v:textbox>
                </v:shape>
              </w:pic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BF742F">
              <w:rPr>
                <w:rFonts w:cs="Calibri"/>
                <w:bCs/>
                <w:sz w:val="18"/>
                <w:szCs w:val="18"/>
              </w:rPr>
              <w:t>Capital Injections</w:t>
            </w:r>
          </w:p>
        </w:tc>
        <w:tc>
          <w:tcPr>
            <w:tcW w:w="1113"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sz w:val="18"/>
                <w:szCs w:val="18"/>
              </w:rPr>
              <w:t>14,249</w:t>
            </w:r>
          </w:p>
        </w:tc>
        <w:tc>
          <w:tcPr>
            <w:tcW w:w="1051"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noProof/>
              </w:rPr>
              <w:pict>
                <v:line id="_x0000_s1155" style="position:absolute;left:0;text-align:left;z-index:251646976;mso-position-horizontal-relative:text;mso-position-vertical-relative:text" from="6.5pt,9.2pt" to="49.8pt,9.2pt">
                  <v:stroke startarrow="block"/>
                </v:line>
              </w:pict>
            </w:r>
            <w:r w:rsidRPr="00CD33AC">
              <w:rPr>
                <w:rFonts w:cs="Calibri"/>
                <w:noProof/>
              </w:rPr>
              <w:pict>
                <v:line id="_x0000_s1150" style="position:absolute;left:0;text-align:left;z-index:251641856;mso-position-horizontal-relative:text;mso-position-vertical-relative:text" from="13.35pt,5.35pt" to="13.35pt,5.35pt"/>
              </w:pict>
            </w: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BF742F">
              <w:rPr>
                <w:rFonts w:cs="Calibri"/>
                <w:bCs/>
                <w:sz w:val="18"/>
                <w:szCs w:val="18"/>
              </w:rPr>
              <w:t>Capital Distributions</w:t>
            </w:r>
          </w:p>
        </w:tc>
        <w:tc>
          <w:tcPr>
            <w:tcW w:w="1113"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-821</w:t>
            </w:r>
          </w:p>
        </w:tc>
        <w:tc>
          <w:tcPr>
            <w:tcW w:w="1051"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noProof/>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r w:rsidRPr="00BF742F">
              <w:rPr>
                <w:rFonts w:cs="Calibri"/>
                <w:b/>
                <w:bCs/>
                <w:sz w:val="18"/>
                <w:szCs w:val="18"/>
              </w:rPr>
              <w:t>Total of Transactions Involving Equity</w:t>
            </w:r>
          </w:p>
        </w:tc>
        <w:tc>
          <w:tcPr>
            <w:tcW w:w="1113"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13,428</w:t>
            </w:r>
          </w:p>
        </w:tc>
        <w:tc>
          <w:tcPr>
            <w:tcW w:w="1051"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1113" w:type="dxa"/>
            <w:tcBorders>
              <w:top w:val="nil"/>
              <w:left w:val="nil"/>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7" w:hanging="113"/>
              <w:rPr>
                <w:rFonts w:cs="Calibri"/>
                <w:sz w:val="18"/>
                <w:szCs w:val="18"/>
              </w:rPr>
            </w:pPr>
          </w:p>
        </w:tc>
        <w:tc>
          <w:tcPr>
            <w:tcW w:w="2543" w:type="dxa"/>
            <w:tcBorders>
              <w:top w:val="nil"/>
              <w:left w:val="nil"/>
              <w:bottom w:val="nil"/>
              <w:right w:val="nil"/>
            </w:tcBorders>
          </w:tcPr>
          <w:p w:rsidR="003974FD" w:rsidRPr="009555D5"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9555D5">
              <w:rPr>
                <w:rFonts w:cs="Calibri"/>
                <w:bCs/>
                <w:sz w:val="18"/>
                <w:szCs w:val="18"/>
              </w:rPr>
              <w:t>Closing Accumulated Funds</w:t>
            </w:r>
          </w:p>
        </w:tc>
        <w:tc>
          <w:tcPr>
            <w:tcW w:w="1113" w:type="dxa"/>
            <w:tcBorders>
              <w:top w:val="nil"/>
              <w:left w:val="nil"/>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r w:rsidRPr="00BF742F">
              <w:rPr>
                <w:rFonts w:cs="Calibri"/>
                <w:sz w:val="18"/>
                <w:szCs w:val="18"/>
              </w:rPr>
              <w:t>685,225</w:t>
            </w:r>
          </w:p>
        </w:tc>
        <w:tc>
          <w:tcPr>
            <w:tcW w:w="1051" w:type="dxa"/>
            <w:tcBorders>
              <w:top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506"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cs="Calibri"/>
                <w:sz w:val="18"/>
                <w:szCs w:val="18"/>
              </w:rPr>
            </w:pPr>
          </w:p>
        </w:tc>
      </w:tr>
      <w:tr w:rsidR="003974FD" w:rsidRPr="00BF742F" w:rsidTr="003974FD">
        <w:trPr>
          <w:cantSplit/>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543" w:type="dxa"/>
            <w:tcBorders>
              <w:top w:val="nil"/>
              <w:left w:val="nil"/>
              <w:bottom w:val="nil"/>
              <w:right w:val="nil"/>
            </w:tcBorders>
          </w:tcPr>
          <w:p w:rsidR="003974FD" w:rsidRPr="009555D5"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9555D5">
              <w:rPr>
                <w:rFonts w:cs="Calibri"/>
                <w:bCs/>
                <w:sz w:val="18"/>
                <w:szCs w:val="18"/>
              </w:rPr>
              <w:t>Closing Asset Revaluation Reserve</w:t>
            </w:r>
          </w:p>
        </w:tc>
        <w:tc>
          <w:tcPr>
            <w:tcW w:w="1113" w:type="dxa"/>
            <w:tcBorders>
              <w:top w:val="nil"/>
              <w:left w:val="nil"/>
              <w:bottom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883,735</w:t>
            </w:r>
          </w:p>
        </w:tc>
        <w:tc>
          <w:tcPr>
            <w:tcW w:w="1051" w:type="dxa"/>
            <w:tcBorders>
              <w:top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506"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CD33AC">
              <w:rPr>
                <w:rFonts w:cs="Calibri"/>
                <w:noProof/>
                <w:sz w:val="18"/>
                <w:szCs w:val="18"/>
              </w:rPr>
              <w:pict>
                <v:shape id="_x0000_s1153" type="#_x0000_t202" style="position:absolute;left:0;text-align:left;margin-left:-.55pt;margin-top:19.15pt;width:180pt;height:45.5pt;z-index:251644928;mso-position-horizontal-relative:text;mso-position-vertical-relative:text">
                  <v:textbox style="mso-next-textbox:#_x0000_s1153">
                    <w:txbxContent>
                      <w:p w:rsidR="00451669" w:rsidRDefault="00451669" w:rsidP="003974FD">
                        <w:pPr>
                          <w:rPr>
                            <w:sz w:val="20"/>
                          </w:rPr>
                        </w:pPr>
                        <w:r>
                          <w:rPr>
                            <w:sz w:val="20"/>
                          </w:rPr>
                          <w:t>Closing balance matches the totals in the Balance Sheet for Net Assets and Total Funds Employed.</w:t>
                        </w:r>
                      </w:p>
                    </w:txbxContent>
                  </v:textbox>
                </v:shape>
              </w:pict>
            </w: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1"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1" w:type="dxa"/>
            <w:tcBorders>
              <w:top w:val="nil"/>
              <w:left w:val="nil"/>
              <w:bottom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Height w:val="80"/>
        </w:trPr>
        <w:tc>
          <w:tcPr>
            <w:tcW w:w="111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7" w:hanging="113"/>
              <w:rPr>
                <w:rFonts w:cs="Calibri"/>
                <w:sz w:val="18"/>
                <w:szCs w:val="18"/>
              </w:rPr>
            </w:pPr>
          </w:p>
        </w:tc>
        <w:tc>
          <w:tcPr>
            <w:tcW w:w="2543" w:type="dxa"/>
            <w:tcBorders>
              <w:top w:val="nil"/>
              <w:left w:val="nil"/>
              <w:bottom w:val="nil"/>
              <w:right w:val="nil"/>
            </w:tcBorders>
          </w:tcPr>
          <w:p w:rsidR="003974FD" w:rsidRPr="009555D5"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26" w:hanging="113"/>
              <w:rPr>
                <w:rFonts w:cs="Calibri"/>
                <w:bCs/>
                <w:sz w:val="18"/>
                <w:szCs w:val="18"/>
              </w:rPr>
            </w:pPr>
            <w:r w:rsidRPr="009555D5">
              <w:rPr>
                <w:rFonts w:cs="Calibri"/>
                <w:bCs/>
                <w:sz w:val="18"/>
                <w:szCs w:val="18"/>
              </w:rPr>
              <w:t>Closing Other Reserve</w:t>
            </w:r>
          </w:p>
        </w:tc>
        <w:tc>
          <w:tcPr>
            <w:tcW w:w="1113" w:type="dxa"/>
            <w:tcBorders>
              <w:top w:val="nil"/>
              <w:lef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r w:rsidRPr="00BF742F">
              <w:rPr>
                <w:rFonts w:cs="Calibri"/>
                <w:sz w:val="18"/>
                <w:szCs w:val="18"/>
              </w:rPr>
              <w:t>3,200</w:t>
            </w:r>
          </w:p>
        </w:tc>
        <w:tc>
          <w:tcPr>
            <w:tcW w:w="1051" w:type="dxa"/>
            <w:tcBorders>
              <w:top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506"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1"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1" w:type="dxa"/>
            <w:tcBorders>
              <w:top w:val="nil"/>
              <w:left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1051" w:type="dxa"/>
            <w:tcBorders>
              <w:top w:val="nil"/>
              <w:lef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r>
      <w:tr w:rsidR="003974FD" w:rsidRPr="00BF742F" w:rsidTr="003974FD">
        <w:trPr>
          <w:cantSplit/>
          <w:trHeight w:val="506"/>
        </w:trPr>
        <w:tc>
          <w:tcPr>
            <w:tcW w:w="111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sz w:val="18"/>
                <w:szCs w:val="18"/>
              </w:rPr>
            </w:pPr>
          </w:p>
        </w:tc>
        <w:tc>
          <w:tcPr>
            <w:tcW w:w="284"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p>
        </w:tc>
        <w:tc>
          <w:tcPr>
            <w:tcW w:w="2543"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13" w:hanging="113"/>
              <w:rPr>
                <w:rFonts w:cs="Calibri"/>
                <w:b/>
                <w:bCs/>
                <w:sz w:val="18"/>
                <w:szCs w:val="18"/>
              </w:rPr>
            </w:pPr>
            <w:r w:rsidRPr="00BF742F">
              <w:rPr>
                <w:rFonts w:cs="Calibri"/>
                <w:b/>
                <w:bCs/>
                <w:sz w:val="18"/>
                <w:szCs w:val="18"/>
              </w:rPr>
              <w:t>Closing Balance</w:t>
            </w:r>
          </w:p>
        </w:tc>
        <w:tc>
          <w:tcPr>
            <w:tcW w:w="1113" w:type="dxa"/>
            <w:tcBorders>
              <w:top w:val="nil"/>
              <w:left w:val="nil"/>
              <w:bottom w:val="single" w:sz="4" w:space="0" w:color="auto"/>
              <w:right w:val="single" w:sz="18"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BF742F">
              <w:rPr>
                <w:rFonts w:cs="Calibri"/>
                <w:b/>
                <w:bCs/>
                <w:sz w:val="18"/>
                <w:szCs w:val="18"/>
              </w:rPr>
              <w:t>1,572,160</w:t>
            </w:r>
          </w:p>
        </w:tc>
        <w:tc>
          <w:tcPr>
            <w:tcW w:w="1051" w:type="dxa"/>
            <w:tcBorders>
              <w:top w:val="nil"/>
              <w:left w:val="single" w:sz="18" w:space="0" w:color="auto"/>
              <w:bottom w:val="single" w:sz="4" w:space="0" w:color="auto"/>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r w:rsidRPr="00CD33AC">
              <w:rPr>
                <w:rFonts w:cs="Calibri"/>
                <w:noProof/>
                <w:sz w:val="18"/>
                <w:szCs w:val="18"/>
              </w:rPr>
              <w:pict>
                <v:line id="_x0000_s1154" style="position:absolute;left:0;text-align:left;z-index:251645952;mso-position-horizontal-relative:text;mso-position-vertical-relative:text" from="2.5pt,14.85pt" to="49.8pt,14.85pt">
                  <v:stroke startarrow="block"/>
                </v:line>
              </w:pict>
            </w:r>
          </w:p>
        </w:tc>
        <w:tc>
          <w:tcPr>
            <w:tcW w:w="506"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c>
          <w:tcPr>
            <w:tcW w:w="1051" w:type="dxa"/>
            <w:tcBorders>
              <w:top w:val="nil"/>
              <w:left w:val="nil"/>
              <w:bottom w:val="single" w:sz="4" w:space="0" w:color="auto"/>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right"/>
              <w:rPr>
                <w:rFonts w:cs="Calibri"/>
                <w:b/>
                <w:bCs/>
                <w:sz w:val="18"/>
                <w:szCs w:val="18"/>
              </w:rPr>
            </w:pPr>
          </w:p>
        </w:tc>
      </w:tr>
    </w:tbl>
    <w:p w:rsidR="00C65A4A" w:rsidRDefault="00C65A4A" w:rsidP="00C65A4A">
      <w:pPr>
        <w:pStyle w:val="Heading4"/>
        <w:keepNext w:val="0"/>
      </w:pPr>
      <w:r>
        <w:lastRenderedPageBreak/>
        <w:t>Cash Flow Statement</w:t>
      </w:r>
    </w:p>
    <w:p w:rsidR="00C65A4A" w:rsidRDefault="00C65A4A" w:rsidP="00C65A4A">
      <w:pPr>
        <w:pStyle w:val="BodyText"/>
        <w:keepNext w:val="0"/>
      </w:pPr>
      <w:r>
        <w:t>The items appearing on this statement are</w:t>
      </w:r>
      <w:r w:rsidR="00A85305">
        <w:t xml:space="preserve"> controlled items</w:t>
      </w:r>
      <w:r>
        <w:t>.  Trust monies and Territorial (administered) items are excluded.</w:t>
      </w:r>
    </w:p>
    <w:p w:rsidR="003974FD" w:rsidRPr="00D43C77" w:rsidRDefault="003974FD" w:rsidP="003974FD">
      <w:pPr>
        <w:pStyle w:val="BodyText"/>
      </w:pPr>
      <w:r w:rsidRPr="00D43C77">
        <w:t>The Cash Flow Statement is concerned with the flow of cash in and cash out of an agency for the financial year.  The Cash Flow Statement captures all cash receipts and cash payments that flow through the Operating Statement and Balance Sheet.  Non cash transactions are not captured in the Cash Flow Statement, for example, asset revaluations.</w:t>
      </w:r>
    </w:p>
    <w:p w:rsidR="003974FD" w:rsidRPr="00D43C77" w:rsidRDefault="003974FD" w:rsidP="003974FD">
      <w:pPr>
        <w:pStyle w:val="BodyText"/>
      </w:pPr>
      <w:r w:rsidRPr="00D43C77">
        <w:t>The Cash Flow Statement is partitioned into three segments, namely: cash flow resulting from operating activities, cash flow resulting from investing activities, and cash flow resulting from financing activities.</w:t>
      </w:r>
      <w:r w:rsidR="00BE68FE">
        <w:t xml:space="preserve">  Each is explained, in turn, below.</w:t>
      </w:r>
    </w:p>
    <w:p w:rsidR="003974FD" w:rsidRPr="00D43C77" w:rsidRDefault="003974FD" w:rsidP="003974FD">
      <w:pPr>
        <w:pStyle w:val="BodyText"/>
      </w:pPr>
      <w:r w:rsidRPr="00D43C77">
        <w:t xml:space="preserve">Operating activities are those which relate to the core business of the agency; for example the distribution of grants and the provision of goods and services to the </w:t>
      </w:r>
      <w:r>
        <w:t>c</w:t>
      </w:r>
      <w:r w:rsidRPr="00D43C77">
        <w:t>ommunity.</w:t>
      </w:r>
    </w:p>
    <w:p w:rsidR="003974FD" w:rsidRDefault="003974FD" w:rsidP="003974FD">
      <w:pPr>
        <w:pStyle w:val="BodyText"/>
      </w:pPr>
      <w:r>
        <w:t>Investing activities are those that relate to the management of assets, including the sale and purchase of assets such as land, buildings, plant and equipment, management of investments and customer loans.  Any profit or loss on the disposal of an asset is also recorded in the Operating Statement.</w:t>
      </w:r>
    </w:p>
    <w:p w:rsidR="003974FD" w:rsidRDefault="003974FD" w:rsidP="003974FD">
      <w:pPr>
        <w:pStyle w:val="BodyText"/>
      </w:pPr>
      <w:r>
        <w:t>Financing activities relate to changes in the size and composition of the contributed capital (accumulated funds) and borrowings of the agency.  It includes items such as capital injections from Government, distributions to Government and repayment of finance leases/borrowings.</w:t>
      </w:r>
    </w:p>
    <w:p w:rsidR="003974FD" w:rsidRDefault="003974FD" w:rsidP="003974FD">
      <w:pPr>
        <w:pStyle w:val="BodyText"/>
        <w:rPr>
          <w:rFonts w:eastAsia="ArialMT"/>
          <w:szCs w:val="19"/>
        </w:rPr>
      </w:pPr>
      <w:r>
        <w:rPr>
          <w:rFonts w:eastAsia="ArialMT"/>
          <w:szCs w:val="19"/>
        </w:rPr>
        <w:t>The net increase or decrease in cash held is simply the sum of cash receipts less cash payments for the period.  Total cash at the beginning and end of the period is also shown, which matches the total of cash assets shown in the Balance Sheet.</w:t>
      </w:r>
    </w:p>
    <w:p w:rsidR="003974FD" w:rsidRDefault="003974FD" w:rsidP="003974FD">
      <w:pPr>
        <w:pStyle w:val="BodyText"/>
      </w:pPr>
      <w:r>
        <w:t xml:space="preserve">Example </w:t>
      </w:r>
      <w:r w:rsidR="00E825DE">
        <w:t>8</w:t>
      </w:r>
      <w:r>
        <w:t xml:space="preserve"> provides an example of an agency Cash Flow Statement.</w:t>
      </w:r>
    </w:p>
    <w:p w:rsidR="003974FD" w:rsidRDefault="003974FD" w:rsidP="003974FD">
      <w:pPr>
        <w:pStyle w:val="Heading3TopofPage"/>
        <w:rPr>
          <w:iCs/>
        </w:rPr>
      </w:pPr>
      <w:r>
        <w:rPr>
          <w:highlight w:val="cyan"/>
        </w:rPr>
        <w:br w:type="page"/>
      </w:r>
      <w:r>
        <w:lastRenderedPageBreak/>
        <w:t xml:space="preserve">Example </w:t>
      </w:r>
      <w:r w:rsidR="00E825DE">
        <w:t>8</w:t>
      </w:r>
    </w:p>
    <w:p w:rsidR="003974FD" w:rsidRDefault="00CD33AC" w:rsidP="003974FD">
      <w:pPr>
        <w:pStyle w:val="Heading3"/>
        <w:jc w:val="center"/>
        <w:rPr>
          <w:iCs/>
        </w:rPr>
      </w:pPr>
      <w:r w:rsidRPr="00CD33AC">
        <w:rPr>
          <w:noProof/>
        </w:rPr>
        <w:pict>
          <v:line id="_x0000_s1159" style="position:absolute;left:0;text-align:left;flip:x;z-index:251651072" from="301.6pt,3.8pt" to="328.05pt,47.95pt">
            <v:stroke endarrow="block"/>
          </v:line>
        </w:pict>
      </w:r>
      <w:r w:rsidRPr="00CD33AC">
        <w:rPr>
          <w:noProof/>
        </w:rPr>
        <w:pict>
          <v:shape id="_x0000_s1158" type="#_x0000_t202" style="position:absolute;left:0;text-align:left;margin-left:328.05pt;margin-top:-33.3pt;width:126pt;height:58.7pt;z-index:251650048">
            <v:textbox style="mso-next-textbox:#_x0000_s1158">
              <w:txbxContent>
                <w:p w:rsidR="00451669" w:rsidRDefault="00451669" w:rsidP="003974FD">
                  <w:pPr>
                    <w:rPr>
                      <w:sz w:val="20"/>
                    </w:rPr>
                  </w:pPr>
                  <w:r>
                    <w:rPr>
                      <w:sz w:val="20"/>
                    </w:rPr>
                    <w:t>The variance is the percentage difference between the Estimated</w:t>
                  </w:r>
                  <w:r>
                    <w:t xml:space="preserve"> </w:t>
                  </w:r>
                  <w:r>
                    <w:rPr>
                      <w:sz w:val="20"/>
                    </w:rPr>
                    <w:t>Outcome and the Budget.</w:t>
                  </w:r>
                </w:p>
              </w:txbxContent>
            </v:textbox>
          </v:shape>
        </w:pict>
      </w:r>
      <w:r w:rsidR="003974FD">
        <w:t>Cash</w:t>
      </w:r>
      <w:r w:rsidR="003974FD">
        <w:rPr>
          <w:iCs/>
        </w:rPr>
        <w:t xml:space="preserve"> </w:t>
      </w:r>
      <w:r w:rsidR="003974FD">
        <w:t>Flow Statement</w:t>
      </w:r>
    </w:p>
    <w:tbl>
      <w:tblPr>
        <w:tblW w:w="9356" w:type="dxa"/>
        <w:tblLayout w:type="fixed"/>
        <w:tblCellMar>
          <w:left w:w="28" w:type="dxa"/>
          <w:right w:w="28" w:type="dxa"/>
        </w:tblCellMar>
        <w:tblLook w:val="0000"/>
      </w:tblPr>
      <w:tblGrid>
        <w:gridCol w:w="982"/>
        <w:gridCol w:w="278"/>
        <w:gridCol w:w="2545"/>
        <w:gridCol w:w="787"/>
        <w:gridCol w:w="1017"/>
        <w:gridCol w:w="696"/>
        <w:gridCol w:w="1017"/>
        <w:gridCol w:w="1017"/>
        <w:gridCol w:w="1017"/>
      </w:tblGrid>
      <w:tr w:rsidR="003974FD" w:rsidRPr="00BF742F" w:rsidTr="003974FD">
        <w:trPr>
          <w:cantSplit/>
        </w:trPr>
        <w:tc>
          <w:tcPr>
            <w:tcW w:w="102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Prior Year Budget</w:t>
            </w:r>
          </w:p>
        </w:tc>
        <w:tc>
          <w:tcPr>
            <w:tcW w:w="287"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b/>
                <w:bCs/>
                <w:sz w:val="18"/>
                <w:szCs w:val="18"/>
              </w:rPr>
            </w:pPr>
          </w:p>
        </w:tc>
        <w:tc>
          <w:tcPr>
            <w:tcW w:w="26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b/>
                <w:bCs/>
                <w:sz w:val="18"/>
                <w:szCs w:val="18"/>
              </w:rPr>
            </w:pPr>
          </w:p>
        </w:tc>
        <w:tc>
          <w:tcPr>
            <w:tcW w:w="81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Prior Year Est. Outcome</w:t>
            </w: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Budget </w:t>
            </w:r>
          </w:p>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Year   </w:t>
            </w:r>
          </w:p>
        </w:tc>
        <w:tc>
          <w:tcPr>
            <w:tcW w:w="72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roofErr w:type="spellStart"/>
            <w:r w:rsidRPr="00BF742F">
              <w:rPr>
                <w:rFonts w:cs="Calibri"/>
                <w:b/>
                <w:bCs/>
                <w:sz w:val="18"/>
                <w:szCs w:val="18"/>
              </w:rPr>
              <w:t>Var</w:t>
            </w:r>
            <w:proofErr w:type="spellEnd"/>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Forward Year 1 Estimate</w:t>
            </w: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Forward Year 2 Estimate</w:t>
            </w: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Forward Year 3 Estimate</w:t>
            </w:r>
          </w:p>
        </w:tc>
      </w:tr>
      <w:tr w:rsidR="003974FD" w:rsidRPr="00BF742F" w:rsidTr="003974FD">
        <w:trPr>
          <w:cantSplit/>
        </w:trPr>
        <w:tc>
          <w:tcPr>
            <w:tcW w:w="102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$'000</w:t>
            </w:r>
          </w:p>
        </w:tc>
        <w:tc>
          <w:tcPr>
            <w:tcW w:w="287"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b/>
                <w:bCs/>
                <w:sz w:val="18"/>
                <w:szCs w:val="18"/>
              </w:rPr>
            </w:pPr>
          </w:p>
        </w:tc>
        <w:tc>
          <w:tcPr>
            <w:tcW w:w="26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b/>
                <w:bCs/>
                <w:sz w:val="18"/>
                <w:szCs w:val="18"/>
              </w:rPr>
            </w:pPr>
          </w:p>
        </w:tc>
        <w:tc>
          <w:tcPr>
            <w:tcW w:w="819"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$'000</w:t>
            </w: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$'000</w:t>
            </w:r>
          </w:p>
        </w:tc>
        <w:tc>
          <w:tcPr>
            <w:tcW w:w="72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w:t>
            </w: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$'000</w:t>
            </w: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$'000</w:t>
            </w: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$'000</w:t>
            </w:r>
          </w:p>
        </w:tc>
      </w:tr>
      <w:tr w:rsidR="003974FD" w:rsidRPr="00BF742F" w:rsidTr="003974FD">
        <w:trPr>
          <w:cantSplit/>
          <w:trHeight w:val="489"/>
        </w:trPr>
        <w:tc>
          <w:tcPr>
            <w:tcW w:w="102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FLOWS FROM OPERATING ACTIVITIES</w:t>
            </w:r>
          </w:p>
        </w:tc>
        <w:tc>
          <w:tcPr>
            <w:tcW w:w="819"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noProof/>
              </w:rPr>
            </w:pP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Receipts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CD33AC">
              <w:rPr>
                <w:rFonts w:cs="Calibri"/>
                <w:noProof/>
              </w:rPr>
              <w:pict>
                <v:rect id="_x0000_s1163" style="position:absolute;left:0;text-align:left;margin-left:24.1pt;margin-top:.8pt;width:125.3pt;height:36.55pt;z-index:251655168;mso-position-horizontal-relative:text;mso-position-vertical-relative:text">
                  <v:textbox style="mso-next-textbox:#_x0000_s1163">
                    <w:txbxContent>
                      <w:p w:rsidR="00451669" w:rsidRDefault="00451669" w:rsidP="003974FD">
                        <w:pPr>
                          <w:rPr>
                            <w:sz w:val="20"/>
                          </w:rPr>
                        </w:pPr>
                        <w:r>
                          <w:rPr>
                            <w:sz w:val="20"/>
                          </w:rPr>
                          <w:t>This figure aligns with the Appropriation Bill.</w:t>
                        </w:r>
                      </w:p>
                    </w:txbxContent>
                  </v:textbox>
                </v:rect>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Cash from Government for Outputs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465,771</w:t>
            </w:r>
          </w:p>
        </w:tc>
        <w:tc>
          <w:tcPr>
            <w:tcW w:w="724"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b/>
                <w:bCs/>
                <w:noProof/>
                <w:sz w:val="18"/>
                <w:szCs w:val="18"/>
              </w:rPr>
              <w:pict>
                <v:line id="_x0000_s1170" style="position:absolute;left:0;text-align:left;flip:x;z-index:251662336;mso-position-horizontal-relative:text;mso-position-vertical-relative:text" from="4.65pt,5.9pt" to="58.4pt,14.9pt">
                  <v:stroke endarrow="block"/>
                </v:lin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User Chargers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16,873</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Interest Received</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center" w:pos="499"/>
                <w:tab w:val="left" w:pos="720"/>
                <w:tab w:val="righ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1,458</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Other Revenue</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51,916</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sz w:val="18"/>
                <w:szCs w:val="18"/>
              </w:rPr>
              <w:pict>
                <v:shape id="_x0000_s1166" type="#_x0000_t202" style="position:absolute;left:0;text-align:left;margin-left:23.7pt;margin-top:4.15pt;width:125.7pt;height:84.9pt;z-index:251658240;mso-position-horizontal-relative:text;mso-position-vertical-relative:text">
                  <v:textbox style="mso-next-textbox:#_x0000_s1166">
                    <w:txbxContent>
                      <w:p w:rsidR="00451669" w:rsidRPr="006B1320" w:rsidRDefault="00451669" w:rsidP="003974FD">
                        <w:pPr>
                          <w:rPr>
                            <w:sz w:val="20"/>
                          </w:rPr>
                        </w:pPr>
                        <w:r>
                          <w:rPr>
                            <w:sz w:val="20"/>
                          </w:rPr>
                          <w:t>Operating activities are the principle revenue-producing activities of an agency and other activities that are not</w:t>
                        </w:r>
                        <w:r>
                          <w:t xml:space="preserve"> </w:t>
                        </w:r>
                        <w:r>
                          <w:rPr>
                            <w:sz w:val="20"/>
                          </w:rPr>
                          <w:t>investing or financing activities.</w:t>
                        </w:r>
                      </w:p>
                    </w:txbxContent>
                  </v:textbox>
                </v:shap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Height w:val="345"/>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Operating Receipts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536,018</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323"/>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Payments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noProof/>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Related to Employees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310,983</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Related to Superannuation</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50,214</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Related to Supplies and Services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52,353</w:t>
            </w:r>
          </w:p>
        </w:tc>
        <w:tc>
          <w:tcPr>
            <w:tcW w:w="724"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sz w:val="18"/>
                <w:szCs w:val="18"/>
              </w:rPr>
              <w:pict>
                <v:line id="_x0000_s1162" style="position:absolute;left:0;text-align:left;flip:x;z-index:251654144;mso-position-horizontal-relative:text;mso-position-vertical-relative:text" from="6.4pt,-17pt" to="69.4pt,10pt">
                  <v:stroke endarrow="block"/>
                </v:lin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Borrowing Costs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96</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Grants and Purchased Services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28,861</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sz w:val="18"/>
                <w:szCs w:val="18"/>
              </w:rPr>
              <w:pict>
                <v:shape id="_x0000_s1167" type="#_x0000_t202" style="position:absolute;left:0;text-align:left;margin-left:31.65pt;margin-top:8pt;width:117.75pt;height:96.65pt;z-index:251659264;mso-position-horizontal-relative:text;mso-position-vertical-relative:text">
                  <v:textbox style="mso-next-textbox:#_x0000_s1167">
                    <w:txbxContent>
                      <w:p w:rsidR="00451669" w:rsidRPr="006B1320" w:rsidRDefault="00451669" w:rsidP="003974FD">
                        <w:pPr>
                          <w:rPr>
                            <w:sz w:val="20"/>
                          </w:rPr>
                        </w:pPr>
                        <w:r>
                          <w:rPr>
                            <w:sz w:val="20"/>
                          </w:rPr>
                          <w:t>Investing activities are the acquisition and disposal of long-term assets, and other investments not included in cash equivalents.</w:t>
                        </w:r>
                      </w:p>
                    </w:txbxContent>
                  </v:textbox>
                </v:shap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Other</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87,727</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Operating Payments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530,234</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CASH INFLOW/ (OUTFLOW) FROM OPERATING ACTIVITIES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CD33AC">
              <w:rPr>
                <w:rFonts w:cs="Calibri"/>
                <w:noProof/>
                <w:sz w:val="18"/>
                <w:szCs w:val="18"/>
              </w:rPr>
              <w:pict>
                <v:line id="_x0000_s1161" style="position:absolute;left:0;text-align:left;flip:x;z-index:251653120;mso-position-horizontal-relative:text;mso-position-vertical-relative:text" from="58.55pt,0" to="121.55pt,90pt">
                  <v:stroke endarrow="block"/>
                </v:line>
              </w:pict>
            </w:r>
            <w:r w:rsidR="003974FD" w:rsidRPr="00BF742F">
              <w:rPr>
                <w:rFonts w:cs="Calibri"/>
                <w:b/>
                <w:bCs/>
                <w:sz w:val="18"/>
                <w:szCs w:val="18"/>
              </w:rPr>
              <w:t>5,784</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FLOWS FROM INVESTING ACTIVITIES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noProof/>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Payments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Purchase of Property, Plant and Equipment and Capital Works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218,236</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sz w:val="18"/>
                <w:szCs w:val="18"/>
              </w:rPr>
              <w:pict>
                <v:rect id="_x0000_s1165" style="position:absolute;left:0;text-align:left;margin-left:32.05pt;margin-top:10.55pt;width:117.35pt;height:34pt;z-index:251657216;mso-position-horizontal-relative:text;mso-position-vertical-relative:text">
                  <v:textbox style="mso-next-textbox:#_x0000_s1165">
                    <w:txbxContent>
                      <w:p w:rsidR="00451669" w:rsidRDefault="00451669" w:rsidP="003974FD">
                        <w:pPr>
                          <w:rPr>
                            <w:sz w:val="20"/>
                          </w:rPr>
                        </w:pPr>
                        <w:r>
                          <w:rPr>
                            <w:sz w:val="20"/>
                          </w:rPr>
                          <w:t>This figure aligns with the Appropriation Bill.</w:t>
                        </w:r>
                      </w:p>
                    </w:txbxContent>
                  </v:textbox>
                </v:rect>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Investing Payments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218,236</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519"/>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CASH INFLOW/ (OUTFLOW) FROM INVESTING ACTIVITIES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-218,236</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443"/>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FLOWS FROM FINANCING ACTIVITIES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noProof/>
                <w:sz w:val="18"/>
                <w:szCs w:val="18"/>
              </w:rPr>
            </w:pPr>
            <w:r w:rsidRPr="00CD33AC">
              <w:rPr>
                <w:rFonts w:cs="Calibri"/>
                <w:b/>
                <w:bCs/>
                <w:noProof/>
                <w:sz w:val="18"/>
                <w:szCs w:val="18"/>
              </w:rPr>
              <w:pict>
                <v:line id="_x0000_s1160" style="position:absolute;left:0;text-align:left;flip:x;z-index:251652096;mso-position-horizontal-relative:text;mso-position-vertical-relative:text" from="6.4pt,-35pt" to="105.4pt,46pt">
                  <v:stroke endarrow="block"/>
                </v:line>
              </w:pict>
            </w:r>
          </w:p>
        </w:tc>
        <w:tc>
          <w:tcPr>
            <w:tcW w:w="106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CD33AC">
              <w:rPr>
                <w:rFonts w:cs="Calibri"/>
                <w:b/>
                <w:bCs/>
                <w:noProof/>
                <w:sz w:val="18"/>
                <w:szCs w:val="18"/>
              </w:rPr>
              <w:pict>
                <v:shape id="_x0000_s1168" type="#_x0000_t202" style="position:absolute;left:0;text-align:left;margin-left:23.6pt;margin-top:14.8pt;width:125.7pt;height:99.6pt;z-index:251660288;mso-position-horizontal-relative:text;mso-position-vertical-relative:text">
                  <v:textbox style="mso-next-textbox:#_x0000_s1168">
                    <w:txbxContent>
                      <w:p w:rsidR="00451669" w:rsidRPr="006B1320" w:rsidRDefault="00451669" w:rsidP="003974FD">
                        <w:pPr>
                          <w:rPr>
                            <w:sz w:val="20"/>
                          </w:rPr>
                        </w:pPr>
                        <w:r>
                          <w:rPr>
                            <w:sz w:val="20"/>
                          </w:rPr>
                          <w:t>Financing activities are activities that relate to changes in the size and composition of the contributed capital (accumulated funds) and borrowings of the agency.</w:t>
                        </w:r>
                      </w:p>
                    </w:txbxContent>
                  </v:textbox>
                </v:shap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339"/>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Receipts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190"/>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Capital Injection from Government</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214,821</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Financing Receipts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214,821</w:t>
            </w: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131"/>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Payments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220"/>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Distributions to Government</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688</w:t>
            </w:r>
          </w:p>
        </w:tc>
        <w:tc>
          <w:tcPr>
            <w:tcW w:w="724"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r w:rsidRPr="00CD33AC">
              <w:rPr>
                <w:rFonts w:cs="Calibri"/>
                <w:noProof/>
              </w:rPr>
              <w:pict>
                <v:line id="_x0000_s1164" style="position:absolute;left:0;text-align:left;flip:x;z-index:251656192;mso-position-horizontal-relative:text;mso-position-vertical-relative:text" from="5.95pt,9.25pt" to="83.3pt,9.25pt">
                  <v:stroke endarrow="block"/>
                </v:lin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Repayment of Finance Lease</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1,769</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sz w:val="18"/>
                <w:szCs w:val="18"/>
              </w:rPr>
            </w:pPr>
          </w:p>
        </w:tc>
      </w:tr>
      <w:tr w:rsidR="003974FD" w:rsidRPr="00BF742F" w:rsidTr="003974FD">
        <w:trPr>
          <w:cantSplit/>
          <w:trHeight w:val="255"/>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Financing Payments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2,457</w:t>
            </w:r>
          </w:p>
        </w:tc>
        <w:tc>
          <w:tcPr>
            <w:tcW w:w="724" w:type="dxa"/>
            <w:tcBorders>
              <w:top w:val="nil"/>
              <w:left w:val="single" w:sz="18" w:space="0" w:color="auto"/>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CD33AC">
              <w:rPr>
                <w:rFonts w:cs="Calibri"/>
                <w:b/>
                <w:bCs/>
                <w:noProof/>
                <w:sz w:val="18"/>
                <w:szCs w:val="18"/>
              </w:rPr>
              <w:pict>
                <v:shape id="_x0000_s1169" type="#_x0000_t202" style="position:absolute;left:0;text-align:left;margin-left:23.7pt;margin-top:2.3pt;width:125.7pt;height:105.5pt;z-index:251661312;mso-position-horizontal-relative:text;mso-position-vertical-relative:text">
                  <v:textbox style="mso-next-textbox:#_x0000_s1169">
                    <w:txbxContent>
                      <w:p w:rsidR="00451669" w:rsidRDefault="00451669" w:rsidP="003974FD">
                        <w:r>
                          <w:rPr>
                            <w:sz w:val="20"/>
                          </w:rPr>
                          <w:t>Net Increase/(Decrease) in Cash Held is the sum of net cash flows from all operating, investing and financing activities.  This measure is consistent with the movement of cash in the GGS Balance.</w:t>
                        </w:r>
                      </w:p>
                    </w:txbxContent>
                  </v:textbox>
                </v:shap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501"/>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CASH INFLOW/OUTFLOW FROM FINANCING ACTIVITIES</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212,364</w:t>
            </w: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INCREASE/ (DECREASE) IN CASH HELD</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single" w:sz="18" w:space="0" w:color="auto"/>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-88</w:t>
            </w:r>
          </w:p>
        </w:tc>
        <w:tc>
          <w:tcPr>
            <w:tcW w:w="724"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noProof/>
                <w:sz w:val="18"/>
                <w:szCs w:val="18"/>
              </w:rPr>
            </w:pPr>
            <w:r w:rsidRPr="00CD33AC">
              <w:rPr>
                <w:rFonts w:cs="Calibri"/>
                <w:b/>
                <w:bCs/>
                <w:noProof/>
                <w:sz w:val="18"/>
                <w:szCs w:val="18"/>
              </w:rPr>
              <w:pict>
                <v:line id="_x0000_s1171" style="position:absolute;left:0;text-align:left;flip:x;z-index:251663360;mso-position-horizontal-relative:text;mso-position-vertical-relative:text" from="6.4pt,10.8pt" to="58.4pt,10.8pt">
                  <v:stroke endarrow="block"/>
                </v:line>
              </w:pict>
            </w: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477"/>
        </w:trPr>
        <w:tc>
          <w:tcPr>
            <w:tcW w:w="10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 xml:space="preserve">CASH AT </w:t>
            </w:r>
            <w:r w:rsidR="00A85305">
              <w:rPr>
                <w:rFonts w:cs="Calibri"/>
                <w:b/>
                <w:bCs/>
                <w:sz w:val="18"/>
                <w:szCs w:val="18"/>
              </w:rPr>
              <w:t xml:space="preserve">THE </w:t>
            </w:r>
            <w:r w:rsidRPr="00BF742F">
              <w:rPr>
                <w:rFonts w:cs="Calibri"/>
                <w:b/>
                <w:bCs/>
                <w:sz w:val="18"/>
                <w:szCs w:val="18"/>
              </w:rPr>
              <w:t xml:space="preserve">BEGINNING OF </w:t>
            </w:r>
            <w:r w:rsidR="00A85305">
              <w:rPr>
                <w:rFonts w:cs="Calibri"/>
                <w:b/>
                <w:bCs/>
                <w:sz w:val="18"/>
                <w:szCs w:val="18"/>
              </w:rPr>
              <w:t xml:space="preserve">THE </w:t>
            </w:r>
            <w:r w:rsidRPr="00BF742F">
              <w:rPr>
                <w:rFonts w:cs="Calibri"/>
                <w:b/>
                <w:bCs/>
                <w:sz w:val="18"/>
                <w:szCs w:val="18"/>
              </w:rPr>
              <w:t>REPORTING PERIOD</w:t>
            </w:r>
          </w:p>
        </w:tc>
        <w:tc>
          <w:tcPr>
            <w:tcW w:w="819"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29,848</w:t>
            </w:r>
          </w:p>
        </w:tc>
        <w:tc>
          <w:tcPr>
            <w:tcW w:w="724"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3974FD" w:rsidRPr="00BF742F" w:rsidTr="003974FD">
        <w:trPr>
          <w:cantSplit/>
          <w:trHeight w:val="245"/>
        </w:trPr>
        <w:tc>
          <w:tcPr>
            <w:tcW w:w="102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center"/>
              <w:rPr>
                <w:rFonts w:cs="Calibri"/>
                <w:b/>
                <w:sz w:val="18"/>
                <w:szCs w:val="18"/>
              </w:rPr>
            </w:pPr>
          </w:p>
        </w:tc>
        <w:tc>
          <w:tcPr>
            <w:tcW w:w="287"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58"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AT THE END OF THE REPORTING PERIOD</w:t>
            </w:r>
          </w:p>
        </w:tc>
        <w:tc>
          <w:tcPr>
            <w:tcW w:w="819"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single" w:sz="4" w:space="0" w:color="auto"/>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29,760</w:t>
            </w:r>
          </w:p>
        </w:tc>
        <w:tc>
          <w:tcPr>
            <w:tcW w:w="724"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60"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bl>
    <w:p w:rsidR="00A45EA3" w:rsidRDefault="00A45EA3" w:rsidP="00C65A4A">
      <w:pPr>
        <w:pStyle w:val="Heading4"/>
        <w:keepNext w:val="0"/>
      </w:pPr>
    </w:p>
    <w:p w:rsidR="00C65A4A" w:rsidRDefault="00C65A4A" w:rsidP="00A45EA3">
      <w:pPr>
        <w:pStyle w:val="Heading4"/>
        <w:keepNext w:val="0"/>
      </w:pPr>
      <w:r>
        <w:lastRenderedPageBreak/>
        <w:t xml:space="preserve">Statement of Income and Expenses on Behalf of the Territory </w:t>
      </w:r>
    </w:p>
    <w:p w:rsidR="00A85305" w:rsidRDefault="003974FD" w:rsidP="003974FD">
      <w:pPr>
        <w:pStyle w:val="BodyText"/>
      </w:pPr>
      <w:r w:rsidRPr="00E4610A">
        <w:t xml:space="preserve">Expenses on this statement are those which are administered by an agency on behalf of the Territory, and over which an agency has no discretion in applying to an alternate use.  </w:t>
      </w:r>
    </w:p>
    <w:p w:rsidR="003974FD" w:rsidRPr="00E4610A" w:rsidRDefault="003974FD" w:rsidP="003974FD">
      <w:pPr>
        <w:pStyle w:val="BodyText"/>
      </w:pPr>
      <w:r w:rsidRPr="00E4610A">
        <w:t>Income on this statement represents taxes, fees and fines that are collected on behalf of the Territory and transferred to the Territory Banking Account for redistribution across Government.  The agency has no discretion over the use of Territorial income collected.</w:t>
      </w:r>
    </w:p>
    <w:p w:rsidR="003974FD" w:rsidRDefault="003974FD" w:rsidP="003974FD">
      <w:pPr>
        <w:pStyle w:val="BodyText"/>
      </w:pPr>
      <w:r w:rsidRPr="00E4610A">
        <w:t xml:space="preserve">Payments </w:t>
      </w:r>
      <w:r w:rsidR="00A85305">
        <w:t xml:space="preserve">for expenses </w:t>
      </w:r>
      <w:r w:rsidRPr="00E4610A">
        <w:t>on behalf of the Territory</w:t>
      </w:r>
      <w:r w:rsidR="00A85305">
        <w:t xml:space="preserve"> is appropriation to fund Territorial expenditure such as grants</w:t>
      </w:r>
      <w:r w:rsidRPr="00E4610A">
        <w:t>.  The income amounts transferred to the Territory Banking Account are shown as Transfer Expenses in this statement.</w:t>
      </w:r>
    </w:p>
    <w:p w:rsidR="00A45EA3" w:rsidRDefault="00A45EA3" w:rsidP="00A45EA3">
      <w:pPr>
        <w:pStyle w:val="BodyText"/>
      </w:pPr>
      <w:r>
        <w:t xml:space="preserve">Example </w:t>
      </w:r>
      <w:r w:rsidR="00E825DE">
        <w:t>9</w:t>
      </w:r>
      <w:r>
        <w:t xml:space="preserve"> provides an example of an agency Statement of Income and Expenses on Behalf of the Territory.</w:t>
      </w:r>
    </w:p>
    <w:p w:rsidR="003974FD" w:rsidRPr="00E4610A" w:rsidRDefault="00A45EA3" w:rsidP="003974FD">
      <w:pPr>
        <w:pStyle w:val="Heading3"/>
      </w:pPr>
      <w:r>
        <w:t xml:space="preserve">Example </w:t>
      </w:r>
      <w:r w:rsidR="00E825DE">
        <w:t>9</w:t>
      </w:r>
    </w:p>
    <w:p w:rsidR="003974FD" w:rsidRDefault="003974FD" w:rsidP="003974FD">
      <w:pPr>
        <w:pStyle w:val="Heading3"/>
        <w:jc w:val="center"/>
      </w:pPr>
      <w:r>
        <w:t>Statement of Income and Expenses on Behalf of the Territory</w:t>
      </w:r>
    </w:p>
    <w:tbl>
      <w:tblPr>
        <w:tblW w:w="9356" w:type="dxa"/>
        <w:jc w:val="center"/>
        <w:tblLayout w:type="fixed"/>
        <w:tblCellMar>
          <w:left w:w="28" w:type="dxa"/>
          <w:right w:w="28" w:type="dxa"/>
        </w:tblCellMar>
        <w:tblLook w:val="0000"/>
      </w:tblPr>
      <w:tblGrid>
        <w:gridCol w:w="1138"/>
        <w:gridCol w:w="270"/>
        <w:gridCol w:w="2251"/>
        <w:gridCol w:w="988"/>
        <w:gridCol w:w="988"/>
        <w:gridCol w:w="676"/>
        <w:gridCol w:w="988"/>
        <w:gridCol w:w="988"/>
        <w:gridCol w:w="1069"/>
      </w:tblGrid>
      <w:tr w:rsidR="003974FD" w:rsidRPr="00BF742F" w:rsidTr="003974FD">
        <w:trPr>
          <w:cantSplit/>
          <w:jc w:val="center"/>
        </w:trPr>
        <w:tc>
          <w:tcPr>
            <w:tcW w:w="121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Prior Year Budget </w:t>
            </w:r>
          </w:p>
        </w:tc>
        <w:tc>
          <w:tcPr>
            <w:tcW w:w="28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2417"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Prior Year Est. Outcome</w:t>
            </w:r>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Budget Year</w:t>
            </w:r>
          </w:p>
        </w:tc>
        <w:tc>
          <w:tcPr>
            <w:tcW w:w="722"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roofErr w:type="spellStart"/>
            <w:r w:rsidRPr="00BF742F">
              <w:rPr>
                <w:rFonts w:cs="Calibri"/>
                <w:b/>
                <w:bCs/>
                <w:sz w:val="18"/>
                <w:szCs w:val="18"/>
              </w:rPr>
              <w:t>Var</w:t>
            </w:r>
            <w:proofErr w:type="spellEnd"/>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Forward Year 1 Estimate  </w:t>
            </w:r>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Forward Year 2 Estimate </w:t>
            </w:r>
          </w:p>
        </w:tc>
        <w:tc>
          <w:tcPr>
            <w:tcW w:w="114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Forward </w:t>
            </w:r>
            <w:r w:rsidR="00A85305">
              <w:rPr>
                <w:rFonts w:cs="Calibri"/>
                <w:b/>
                <w:bCs/>
                <w:sz w:val="18"/>
                <w:szCs w:val="18"/>
              </w:rPr>
              <w:br/>
            </w:r>
            <w:r w:rsidRPr="00BF742F">
              <w:rPr>
                <w:rFonts w:cs="Calibri"/>
                <w:b/>
                <w:bCs/>
                <w:sz w:val="18"/>
                <w:szCs w:val="18"/>
              </w:rPr>
              <w:t xml:space="preserve">Year 3 Estimate  </w:t>
            </w:r>
          </w:p>
        </w:tc>
      </w:tr>
      <w:tr w:rsidR="003974FD" w:rsidRPr="00BF742F" w:rsidTr="003974FD">
        <w:trPr>
          <w:cantSplit/>
          <w:jc w:val="center"/>
        </w:trPr>
        <w:tc>
          <w:tcPr>
            <w:tcW w:w="121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28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2417"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722"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w:t>
            </w: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114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r>
      <w:tr w:rsidR="003974FD" w:rsidRPr="00BF742F" w:rsidTr="003974FD">
        <w:trPr>
          <w:cantSplit/>
          <w:jc w:val="center"/>
        </w:trPr>
        <w:tc>
          <w:tcPr>
            <w:tcW w:w="121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single" w:sz="4" w:space="0" w:color="auto"/>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Income</w:t>
            </w:r>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single" w:sz="4" w:space="0" w:color="auto"/>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22"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single" w:sz="4" w:space="0" w:color="auto"/>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Revenue</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CD33AC">
              <w:rPr>
                <w:rFonts w:cs="Calibri"/>
                <w:noProof/>
              </w:rPr>
              <w:pict>
                <v:shape id="_x0000_s1172" type="#_x0000_t202" style="position:absolute;left:0;text-align:left;margin-left:3.15pt;margin-top:7.65pt;width:137.5pt;height:72.55pt;z-index:251664384;mso-position-horizontal-relative:text;mso-position-vertical-relative:text">
                  <v:textbox style="mso-next-textbox:#_x0000_s1172">
                    <w:txbxContent>
                      <w:p w:rsidR="00451669" w:rsidRDefault="00451669" w:rsidP="003974FD">
                        <w:pPr>
                          <w:rPr>
                            <w:sz w:val="20"/>
                          </w:rPr>
                        </w:pPr>
                        <w:r>
                          <w:rPr>
                            <w:sz w:val="20"/>
                          </w:rPr>
                          <w:t xml:space="preserve">Generally this figure agrees with the total Payment for Expenses on Behalf of Territory in the Appropriation Bill. </w:t>
                        </w:r>
                      </w:p>
                    </w:txbxContent>
                  </v:textbox>
                </v:shape>
              </w:pic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Payment for Expenses on behalf of Territory</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single" w:sz="18" w:space="0" w:color="auto"/>
            </w:tcBorders>
            <w:vAlign w:val="center"/>
          </w:tcPr>
          <w:p w:rsidR="003974FD" w:rsidRPr="00BF742F" w:rsidRDefault="003974FD" w:rsidP="003974FD">
            <w:pPr>
              <w:pStyle w:val="PlainText"/>
              <w:tabs>
                <w:tab w:val="center" w:pos="499"/>
                <w:tab w:val="left" w:pos="720"/>
                <w:tab w:val="righ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r w:rsidRPr="00BF742F">
              <w:rPr>
                <w:rFonts w:cs="Calibri"/>
                <w:sz w:val="18"/>
                <w:szCs w:val="18"/>
              </w:rPr>
              <w:t>231,271</w:t>
            </w:r>
          </w:p>
        </w:tc>
        <w:tc>
          <w:tcPr>
            <w:tcW w:w="722" w:type="dxa"/>
            <w:tcBorders>
              <w:top w:val="nil"/>
              <w:left w:val="single" w:sz="18" w:space="0" w:color="auto"/>
              <w:bottom w:val="nil"/>
              <w:right w:val="nil"/>
            </w:tcBorders>
          </w:tcPr>
          <w:p w:rsidR="003974FD" w:rsidRPr="00BF742F" w:rsidRDefault="00CD33AC"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noProof/>
                <w:sz w:val="18"/>
                <w:szCs w:val="18"/>
              </w:rPr>
            </w:pPr>
            <w:r w:rsidRPr="00CD33AC">
              <w:rPr>
                <w:rFonts w:cs="Calibri"/>
                <w:b/>
                <w:bCs/>
                <w:noProof/>
                <w:sz w:val="18"/>
                <w:szCs w:val="18"/>
              </w:rPr>
              <w:pict>
                <v:line id="_x0000_s1173" style="position:absolute;left:0;text-align:left;z-index:251665408;mso-position-horizontal-relative:text;mso-position-vertical-relative:text" from="3.55pt,17.45pt" to="36.95pt,17.45pt">
                  <v:stroke startarrow="block"/>
                </v:line>
              </w:pic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Taxes</w:t>
            </w:r>
            <w:r w:rsidR="00A85305">
              <w:rPr>
                <w:rFonts w:cs="Calibri"/>
                <w:sz w:val="18"/>
                <w:szCs w:val="18"/>
              </w:rPr>
              <w:t>,</w:t>
            </w:r>
            <w:r w:rsidRPr="00BF742F">
              <w:rPr>
                <w:rFonts w:cs="Calibri"/>
                <w:sz w:val="18"/>
                <w:szCs w:val="18"/>
              </w:rPr>
              <w:t xml:space="preserve"> Fees and Fines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center" w:pos="499"/>
                <w:tab w:val="left" w:pos="720"/>
                <w:tab w:val="righ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r w:rsidRPr="00BF742F">
              <w:rPr>
                <w:rFonts w:cs="Calibri"/>
                <w:sz w:val="18"/>
                <w:szCs w:val="18"/>
              </w:rPr>
              <w:t>195</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noProof/>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noProof/>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Grants from the Commonwealth</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center" w:pos="499"/>
                <w:tab w:val="left" w:pos="720"/>
                <w:tab w:val="righ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r w:rsidRPr="00BF742F">
              <w:rPr>
                <w:rFonts w:cs="Calibri"/>
                <w:sz w:val="18"/>
                <w:szCs w:val="18"/>
              </w:rPr>
              <w:t>0</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noProof/>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noProof/>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Revenue</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231,466</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Gains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Gains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0</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Income</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231,466</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Expenses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Grants and Purchased Services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r w:rsidRPr="00BF742F">
              <w:rPr>
                <w:rFonts w:cs="Calibri"/>
                <w:sz w:val="18"/>
                <w:szCs w:val="18"/>
              </w:rPr>
              <w:t>231,271</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Transfer Expenses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r w:rsidRPr="00BF742F">
              <w:rPr>
                <w:rFonts w:cs="Calibri"/>
                <w:sz w:val="18"/>
                <w:szCs w:val="18"/>
              </w:rPr>
              <w:t>195</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3974FD" w:rsidRPr="00BF742F" w:rsidTr="003974FD">
        <w:trPr>
          <w:cantSplit/>
          <w:jc w:val="center"/>
        </w:trPr>
        <w:tc>
          <w:tcPr>
            <w:tcW w:w="121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nil"/>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Ordinary Expenses</w:t>
            </w: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231,466</w:t>
            </w:r>
          </w:p>
        </w:tc>
        <w:tc>
          <w:tcPr>
            <w:tcW w:w="722"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nil"/>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3974FD" w:rsidRPr="00BF742F" w:rsidTr="003974FD">
        <w:trPr>
          <w:cantSplit/>
          <w:jc w:val="center"/>
        </w:trPr>
        <w:tc>
          <w:tcPr>
            <w:tcW w:w="121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5"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7" w:type="dxa"/>
            <w:tcBorders>
              <w:top w:val="nil"/>
              <w:left w:val="nil"/>
              <w:bottom w:val="single" w:sz="4" w:space="0" w:color="auto"/>
              <w:right w:val="nil"/>
            </w:tcBorders>
          </w:tcPr>
          <w:p w:rsidR="003974FD" w:rsidRPr="00BF742F" w:rsidRDefault="003974FD" w:rsidP="003974FD">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Operating Result</w:t>
            </w: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single" w:sz="4" w:space="0" w:color="auto"/>
              <w:right w:val="nil"/>
            </w:tcBorders>
            <w:vAlign w:val="center"/>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0</w:t>
            </w:r>
          </w:p>
        </w:tc>
        <w:tc>
          <w:tcPr>
            <w:tcW w:w="722"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8"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145" w:type="dxa"/>
            <w:tcBorders>
              <w:top w:val="nil"/>
              <w:left w:val="nil"/>
              <w:bottom w:val="single" w:sz="4" w:space="0" w:color="auto"/>
              <w:right w:val="nil"/>
            </w:tcBorders>
          </w:tcPr>
          <w:p w:rsidR="003974FD" w:rsidRPr="00BF742F" w:rsidRDefault="003974FD" w:rsidP="003974F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bl>
    <w:p w:rsidR="00451669" w:rsidRDefault="003974FD" w:rsidP="00C65A4A">
      <w:pPr>
        <w:pStyle w:val="Heading4"/>
        <w:keepNext w:val="0"/>
      </w:pPr>
      <w:r>
        <w:rPr>
          <w:highlight w:val="cyan"/>
        </w:rPr>
        <w:br w:type="page"/>
      </w:r>
    </w:p>
    <w:p w:rsidR="00C65A4A" w:rsidRDefault="00C65A4A" w:rsidP="00C65A4A">
      <w:pPr>
        <w:pStyle w:val="Heading4"/>
        <w:keepNext w:val="0"/>
      </w:pPr>
      <w:r>
        <w:lastRenderedPageBreak/>
        <w:t xml:space="preserve">Statement of Assets and Liabilities on Behalf of the Territory </w:t>
      </w:r>
    </w:p>
    <w:p w:rsidR="00C65A4A" w:rsidRDefault="00C65A4A" w:rsidP="00C65A4A">
      <w:pPr>
        <w:pStyle w:val="BodyText"/>
        <w:keepNext w:val="0"/>
      </w:pPr>
      <w:r>
        <w:t xml:space="preserve">This statement discloses those assets and liabilities which are administered by the agency on behalf of the Territory and over which the agency has limited discretion regarding resource deployment or alternative use. </w:t>
      </w:r>
    </w:p>
    <w:p w:rsidR="00A45EA3" w:rsidRDefault="00A45EA3" w:rsidP="00A45EA3">
      <w:pPr>
        <w:pStyle w:val="BodyText"/>
      </w:pPr>
      <w:r>
        <w:t xml:space="preserve">Example </w:t>
      </w:r>
      <w:r w:rsidR="00E825DE">
        <w:t>10</w:t>
      </w:r>
      <w:r>
        <w:t xml:space="preserve"> provides an example of an agency Statement of Assets and Liabilities on Behalf of the Territory.</w:t>
      </w:r>
    </w:p>
    <w:p w:rsidR="00A05CEF" w:rsidRDefault="00A05CEF" w:rsidP="00A05CEF">
      <w:pPr>
        <w:pStyle w:val="Heading3"/>
      </w:pPr>
      <w:r>
        <w:t xml:space="preserve">Example </w:t>
      </w:r>
      <w:r w:rsidR="00E825DE">
        <w:t>10</w:t>
      </w:r>
    </w:p>
    <w:p w:rsidR="00A05CEF" w:rsidRDefault="00A05CEF" w:rsidP="00A05CEF">
      <w:pPr>
        <w:pStyle w:val="Heading3"/>
        <w:jc w:val="center"/>
      </w:pPr>
      <w:r>
        <w:t>Statement of Assets and Liabilities on Behalf of the Territory</w:t>
      </w:r>
    </w:p>
    <w:tbl>
      <w:tblPr>
        <w:tblW w:w="9356" w:type="dxa"/>
        <w:tblLayout w:type="fixed"/>
        <w:tblCellMar>
          <w:left w:w="28" w:type="dxa"/>
          <w:right w:w="28" w:type="dxa"/>
        </w:tblCellMar>
        <w:tblLook w:val="0000"/>
      </w:tblPr>
      <w:tblGrid>
        <w:gridCol w:w="981"/>
        <w:gridCol w:w="277"/>
        <w:gridCol w:w="2323"/>
        <w:gridCol w:w="1018"/>
        <w:gridCol w:w="1018"/>
        <w:gridCol w:w="685"/>
        <w:gridCol w:w="1018"/>
        <w:gridCol w:w="1018"/>
        <w:gridCol w:w="1018"/>
      </w:tblGrid>
      <w:tr w:rsidR="00A05CEF" w:rsidRPr="00BF742F" w:rsidTr="00A05CEF">
        <w:trPr>
          <w:cantSplit/>
        </w:trPr>
        <w:tc>
          <w:tcPr>
            <w:tcW w:w="101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Prior Year Budget</w:t>
            </w:r>
          </w:p>
        </w:tc>
        <w:tc>
          <w:tcPr>
            <w:tcW w:w="284"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2410"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1055" w:type="dxa"/>
            <w:tcBorders>
              <w:top w:val="single" w:sz="4" w:space="0" w:color="auto"/>
              <w:left w:val="nil"/>
              <w:bottom w:val="nil"/>
              <w:right w:val="nil"/>
            </w:tcBorders>
          </w:tcPr>
          <w:p w:rsidR="00A05CEF" w:rsidRPr="00BF742F" w:rsidRDefault="00A05CEF" w:rsidP="003A240B">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Prior Year Est. Outcome  </w:t>
            </w:r>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Planned as at end of Budget Year</w:t>
            </w:r>
          </w:p>
        </w:tc>
        <w:tc>
          <w:tcPr>
            <w:tcW w:w="709"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roofErr w:type="spellStart"/>
            <w:r w:rsidRPr="00BF742F">
              <w:rPr>
                <w:rFonts w:cs="Calibri"/>
                <w:b/>
                <w:bCs/>
                <w:sz w:val="18"/>
                <w:szCs w:val="18"/>
              </w:rPr>
              <w:t>Var</w:t>
            </w:r>
            <w:proofErr w:type="spellEnd"/>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Planned as at end of Forward Year 1</w:t>
            </w:r>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Planned as at end of Forward Year 2</w:t>
            </w:r>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Planned as at end of Forward Year 3</w:t>
            </w:r>
          </w:p>
        </w:tc>
      </w:tr>
      <w:tr w:rsidR="00A05CEF" w:rsidRPr="00BF742F" w:rsidTr="00A05CEF">
        <w:trPr>
          <w:cantSplit/>
        </w:trPr>
        <w:tc>
          <w:tcPr>
            <w:tcW w:w="101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284"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2410"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b/>
                <w:bCs/>
                <w:sz w:val="18"/>
                <w:szCs w:val="18"/>
              </w:rPr>
            </w:pP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709"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w:t>
            </w: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 xml:space="preserve">    $'000</w:t>
            </w:r>
          </w:p>
        </w:tc>
      </w:tr>
      <w:tr w:rsidR="00A05CEF" w:rsidRPr="00BF742F" w:rsidTr="00A05CEF">
        <w:trPr>
          <w:cantSplit/>
        </w:trPr>
        <w:tc>
          <w:tcPr>
            <w:tcW w:w="101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single" w:sz="4" w:space="0" w:color="auto"/>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single" w:sz="4" w:space="0" w:color="auto"/>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Current Assets</w:t>
            </w:r>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single" w:sz="4" w:space="0" w:color="auto"/>
              <w:left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09"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single" w:sz="4" w:space="0" w:color="auto"/>
              <w:left w:val="nil"/>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CD33AC">
              <w:rPr>
                <w:rFonts w:cs="Calibri"/>
                <w:b/>
                <w:bCs/>
                <w:noProof/>
                <w:sz w:val="18"/>
                <w:szCs w:val="18"/>
              </w:rPr>
              <w:pict>
                <v:shape id="_x0000_s1175" type="#_x0000_t202" style="position:absolute;left:0;text-align:left;margin-left:33.95pt;margin-top:4.65pt;width:113.45pt;height:101.35pt;z-index:251667456;mso-position-horizontal-relative:text;mso-position-vertical-relative:text">
                  <v:textbox style="mso-next-textbox:#_x0000_s1175">
                    <w:txbxContent>
                      <w:p w:rsidR="00451669" w:rsidRDefault="00451669" w:rsidP="00A05CEF">
                        <w:pPr>
                          <w:rPr>
                            <w:sz w:val="20"/>
                          </w:rPr>
                        </w:pPr>
                        <w:r>
                          <w:rPr>
                            <w:sz w:val="20"/>
                          </w:rPr>
                          <w:t>This figure aligns with the cash at the end of the reporting period in the Budgeted Statement of Cash</w:t>
                        </w:r>
                        <w:r>
                          <w:t xml:space="preserve"> </w:t>
                        </w:r>
                        <w:r>
                          <w:rPr>
                            <w:sz w:val="20"/>
                          </w:rPr>
                          <w:t>Flows on Behalf of the Territory.</w:t>
                        </w:r>
                        <w:r>
                          <w:t xml:space="preserve"> </w:t>
                        </w:r>
                      </w:p>
                      <w:p w:rsidR="00451669" w:rsidRDefault="00451669" w:rsidP="00A05CEF"/>
                    </w:txbxContent>
                  </v:textbox>
                </v:shape>
              </w:pict>
            </w:r>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bCs/>
                <w:sz w:val="18"/>
                <w:szCs w:val="18"/>
              </w:rPr>
            </w:pPr>
            <w:r w:rsidRPr="00BF742F">
              <w:rPr>
                <w:rFonts w:cs="Calibri"/>
                <w:sz w:val="18"/>
                <w:szCs w:val="18"/>
              </w:rPr>
              <w:t>Cash and Cash Equivalents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single" w:sz="18" w:space="0" w:color="auto"/>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Cs/>
                <w:sz w:val="18"/>
                <w:szCs w:val="18"/>
              </w:rPr>
            </w:pPr>
            <w:r w:rsidRPr="00BF742F">
              <w:rPr>
                <w:rFonts w:cs="Calibri"/>
                <w:bCs/>
                <w:sz w:val="18"/>
                <w:szCs w:val="18"/>
              </w:rPr>
              <w:t>119</w:t>
            </w:r>
          </w:p>
        </w:tc>
        <w:tc>
          <w:tcPr>
            <w:tcW w:w="709" w:type="dxa"/>
            <w:tcBorders>
              <w:top w:val="nil"/>
              <w:left w:val="single" w:sz="18" w:space="0" w:color="auto"/>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CD33AC">
              <w:rPr>
                <w:rFonts w:cs="Calibri"/>
                <w:b/>
                <w:bCs/>
                <w:noProof/>
                <w:sz w:val="18"/>
                <w:szCs w:val="18"/>
              </w:rPr>
              <w:pict>
                <v:line id="_x0000_s1174" style="position:absolute;left:0;text-align:left;flip:x;z-index:251666432;mso-position-horizontal-relative:text;mso-position-vertical-relative:text" from="1.95pt,5.85pt" to="78pt,5.85pt">
                  <v:stroke endarrow="block"/>
                </v:line>
              </w:pic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Receivables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center" w:pos="499"/>
                <w:tab w:val="left" w:pos="720"/>
                <w:tab w:val="righ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r w:rsidRPr="00BF742F">
              <w:rPr>
                <w:rFonts w:cs="Calibri"/>
                <w:sz w:val="18"/>
                <w:szCs w:val="18"/>
              </w:rPr>
              <w:t>204</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noProof/>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Current Assets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323</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ASSETS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323</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Current Liabilities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r w:rsidRPr="00BF742F">
              <w:rPr>
                <w:rFonts w:cs="Calibri"/>
                <w:sz w:val="18"/>
                <w:szCs w:val="18"/>
              </w:rPr>
              <w:t>Payables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Cs/>
                <w:sz w:val="18"/>
                <w:szCs w:val="18"/>
              </w:rPr>
            </w:pPr>
            <w:r w:rsidRPr="00BF742F">
              <w:rPr>
                <w:rFonts w:cs="Calibri"/>
                <w:bCs/>
                <w:sz w:val="18"/>
                <w:szCs w:val="18"/>
              </w:rPr>
              <w:t>0</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27" w:hanging="113"/>
              <w:rPr>
                <w:rFonts w:cs="Calibri"/>
                <w:bCs/>
                <w:sz w:val="18"/>
                <w:szCs w:val="18"/>
              </w:rPr>
            </w:pPr>
            <w:r w:rsidRPr="00BF742F">
              <w:rPr>
                <w:rFonts w:cs="Calibri"/>
                <w:sz w:val="18"/>
                <w:szCs w:val="18"/>
              </w:rPr>
              <w:t>Interest Bearing Liabilities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Cs/>
                <w:sz w:val="18"/>
                <w:szCs w:val="18"/>
              </w:rPr>
            </w:pPr>
            <w:r w:rsidRPr="00BF742F">
              <w:rPr>
                <w:rFonts w:cs="Calibri"/>
                <w:bCs/>
                <w:sz w:val="18"/>
                <w:szCs w:val="18"/>
              </w:rPr>
              <w:t>323</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sz w:val="18"/>
                <w:szCs w:val="18"/>
              </w:rPr>
            </w:pPr>
            <w:r w:rsidRPr="00BF742F">
              <w:rPr>
                <w:rFonts w:cs="Calibri"/>
                <w:b/>
                <w:bCs/>
                <w:sz w:val="18"/>
                <w:szCs w:val="18"/>
              </w:rPr>
              <w:t>Total Current Liabilities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sz w:val="18"/>
                <w:szCs w:val="18"/>
              </w:rPr>
            </w:pPr>
            <w:r w:rsidRPr="00BF742F">
              <w:rPr>
                <w:rFonts w:cs="Calibri"/>
                <w:b/>
                <w:sz w:val="18"/>
                <w:szCs w:val="18"/>
              </w:rPr>
              <w:t>323</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sz w:val="18"/>
                <w:szCs w:val="18"/>
              </w:rPr>
            </w:pPr>
            <w:r w:rsidRPr="00BF742F">
              <w:rPr>
                <w:rFonts w:cs="Calibri"/>
                <w:b/>
                <w:bCs/>
                <w:sz w:val="18"/>
                <w:szCs w:val="18"/>
              </w:rPr>
              <w:t>TOTAL LIABILITIES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sz w:val="18"/>
                <w:szCs w:val="18"/>
              </w:rPr>
            </w:pPr>
            <w:r w:rsidRPr="00BF742F">
              <w:rPr>
                <w:rFonts w:cs="Calibri"/>
                <w:b/>
                <w:sz w:val="18"/>
                <w:szCs w:val="18"/>
              </w:rPr>
              <w:t>323</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sz w:val="18"/>
                <w:szCs w:val="18"/>
              </w:rPr>
            </w:pPr>
            <w:r w:rsidRPr="00BF742F">
              <w:rPr>
                <w:rFonts w:cs="Calibri"/>
                <w:b/>
                <w:bCs/>
                <w:sz w:val="18"/>
                <w:szCs w:val="18"/>
              </w:rPr>
              <w:t>NET ASSETS</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sz w:val="18"/>
                <w:szCs w:val="18"/>
              </w:rPr>
            </w:pPr>
            <w:r w:rsidRPr="00BF742F">
              <w:rPr>
                <w:rFonts w:cs="Calibri"/>
                <w:b/>
                <w:sz w:val="18"/>
                <w:szCs w:val="18"/>
              </w:rPr>
              <w:t>0</w:t>
            </w: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r>
      <w:tr w:rsidR="00A05CEF" w:rsidRPr="00BF742F" w:rsidTr="00A05CEF">
        <w:trPr>
          <w:cantSplit/>
        </w:trPr>
        <w:tc>
          <w:tcPr>
            <w:tcW w:w="101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REPRESENTED BY FUNDS EMPLOYED</w:t>
            </w: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709"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r w:rsidR="00A05CEF" w:rsidRPr="00BF742F" w:rsidTr="00A05CEF">
        <w:trPr>
          <w:cantSplit/>
        </w:trPr>
        <w:tc>
          <w:tcPr>
            <w:tcW w:w="101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sz w:val="18"/>
                <w:szCs w:val="18"/>
              </w:rPr>
            </w:pPr>
          </w:p>
        </w:tc>
        <w:tc>
          <w:tcPr>
            <w:tcW w:w="284" w:type="dxa"/>
            <w:tcBorders>
              <w:top w:val="nil"/>
              <w:left w:val="nil"/>
              <w:bottom w:val="single" w:sz="4" w:space="0" w:color="auto"/>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p>
        </w:tc>
        <w:tc>
          <w:tcPr>
            <w:tcW w:w="2410" w:type="dxa"/>
            <w:tcBorders>
              <w:top w:val="nil"/>
              <w:left w:val="nil"/>
              <w:bottom w:val="single" w:sz="4" w:space="0" w:color="auto"/>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113" w:hanging="113"/>
              <w:rPr>
                <w:rFonts w:cs="Calibri"/>
                <w:b/>
                <w:bCs/>
                <w:sz w:val="18"/>
                <w:szCs w:val="18"/>
              </w:rPr>
            </w:pPr>
            <w:r w:rsidRPr="00BF742F">
              <w:rPr>
                <w:rFonts w:cs="Calibri"/>
                <w:b/>
                <w:bCs/>
                <w:sz w:val="18"/>
                <w:szCs w:val="18"/>
              </w:rPr>
              <w:t>TOTAL FUNDS EMPLOYED</w:t>
            </w: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single" w:sz="4" w:space="0" w:color="auto"/>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r w:rsidRPr="00BF742F">
              <w:rPr>
                <w:rFonts w:cs="Calibri"/>
                <w:b/>
                <w:bCs/>
                <w:sz w:val="18"/>
                <w:szCs w:val="18"/>
              </w:rPr>
              <w:t>0</w:t>
            </w:r>
          </w:p>
        </w:tc>
        <w:tc>
          <w:tcPr>
            <w:tcW w:w="709"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c>
          <w:tcPr>
            <w:tcW w:w="105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right"/>
              <w:rPr>
                <w:rFonts w:cs="Calibri"/>
                <w:b/>
                <w:bCs/>
                <w:sz w:val="18"/>
                <w:szCs w:val="18"/>
              </w:rPr>
            </w:pPr>
          </w:p>
        </w:tc>
      </w:tr>
    </w:tbl>
    <w:p w:rsidR="00C65A4A" w:rsidRDefault="00C65A4A" w:rsidP="00C65A4A">
      <w:pPr>
        <w:pStyle w:val="Heading4"/>
        <w:keepNext w:val="0"/>
      </w:pPr>
      <w:r w:rsidRPr="00E342A7">
        <w:t>Statement of Changes in Equity on Behalf of the Territory</w:t>
      </w:r>
      <w:r>
        <w:t xml:space="preserve"> </w:t>
      </w:r>
    </w:p>
    <w:p w:rsidR="00C65A4A" w:rsidRDefault="00C65A4A" w:rsidP="00C65A4A">
      <w:pPr>
        <w:pStyle w:val="BodyText"/>
      </w:pPr>
      <w:r>
        <w:t xml:space="preserve">The items included in the Statement of Changes in Equity on Behalf of the Territory are administered by the directorate on behalf of the Territory.  The types of changes in equity include movements in capital injection and distribution, and increases or decreases in net assets due to administrative restructure. </w:t>
      </w:r>
    </w:p>
    <w:p w:rsidR="00C65A4A" w:rsidRDefault="00C65A4A" w:rsidP="00C65A4A">
      <w:pPr>
        <w:pStyle w:val="Heading4"/>
        <w:keepNext w:val="0"/>
        <w:spacing w:before="0"/>
      </w:pPr>
      <w:r>
        <w:t xml:space="preserve">Budgeted Statement of Cash Flows on Behalf of the Territory </w:t>
      </w:r>
    </w:p>
    <w:p w:rsidR="00A05CEF" w:rsidRDefault="00A05CEF" w:rsidP="00A05CEF">
      <w:pPr>
        <w:pStyle w:val="BodyText"/>
      </w:pPr>
      <w:r w:rsidRPr="00E4610A">
        <w:t>This statement discloses those cash flows which are administered by an agency on behalf of the Territory.  This reflects the total cash flows, including the transfers between the Territory Banking Account and the agency operated banking account, for Revenue on Behalf of the Territory (RBT) and Expenditure on Behalf of the Territory (EBT).</w:t>
      </w:r>
    </w:p>
    <w:p w:rsidR="00451669" w:rsidRDefault="00C212A7" w:rsidP="00A05CEF">
      <w:pPr>
        <w:pStyle w:val="Heading3"/>
      </w:pPr>
      <w:r>
        <w:br w:type="page"/>
      </w:r>
    </w:p>
    <w:p w:rsidR="00A05CEF" w:rsidRDefault="00A05CEF" w:rsidP="00A05CEF">
      <w:pPr>
        <w:pStyle w:val="Heading3"/>
      </w:pPr>
      <w:r>
        <w:lastRenderedPageBreak/>
        <w:t>Example 11</w:t>
      </w:r>
    </w:p>
    <w:p w:rsidR="00A05CEF" w:rsidRDefault="00A05CEF" w:rsidP="00A05CEF">
      <w:pPr>
        <w:pStyle w:val="Heading3"/>
        <w:jc w:val="center"/>
      </w:pPr>
      <w:r>
        <w:t>Budgeted Statement of Cash Flows on Behalf of the</w:t>
      </w:r>
      <w:r>
        <w:rPr>
          <w:szCs w:val="24"/>
        </w:rPr>
        <w:t xml:space="preserve"> </w:t>
      </w:r>
      <w:r>
        <w:t>Territory</w:t>
      </w:r>
    </w:p>
    <w:tbl>
      <w:tblPr>
        <w:tblW w:w="9356" w:type="dxa"/>
        <w:tblInd w:w="-284" w:type="dxa"/>
        <w:tblLayout w:type="fixed"/>
        <w:tblCellMar>
          <w:left w:w="28" w:type="dxa"/>
          <w:right w:w="28" w:type="dxa"/>
        </w:tblCellMar>
        <w:tblLook w:val="0000"/>
      </w:tblPr>
      <w:tblGrid>
        <w:gridCol w:w="982"/>
        <w:gridCol w:w="139"/>
        <w:gridCol w:w="2584"/>
        <w:gridCol w:w="1044"/>
        <w:gridCol w:w="1044"/>
        <w:gridCol w:w="431"/>
        <w:gridCol w:w="1044"/>
        <w:gridCol w:w="1044"/>
        <w:gridCol w:w="1044"/>
      </w:tblGrid>
      <w:tr w:rsidR="00A05CEF" w:rsidRPr="00BF742F" w:rsidTr="00A05CEF">
        <w:trPr>
          <w:cantSplit/>
          <w:tblHeader/>
        </w:trPr>
        <w:tc>
          <w:tcPr>
            <w:tcW w:w="1021"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 Prior  Year Budget</w:t>
            </w:r>
          </w:p>
        </w:tc>
        <w:tc>
          <w:tcPr>
            <w:tcW w:w="142"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cs="Calibri"/>
                <w:b/>
                <w:bCs/>
                <w:sz w:val="18"/>
                <w:szCs w:val="18"/>
              </w:rPr>
            </w:pPr>
          </w:p>
        </w:tc>
        <w:tc>
          <w:tcPr>
            <w:tcW w:w="2691"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Prior Year Est. Outcome</w:t>
            </w: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Budget </w:t>
            </w:r>
            <w:r w:rsidR="00A85305">
              <w:rPr>
                <w:rFonts w:cs="Calibri"/>
                <w:b/>
                <w:bCs/>
                <w:sz w:val="18"/>
                <w:szCs w:val="18"/>
              </w:rPr>
              <w:br/>
            </w:r>
            <w:r w:rsidRPr="00BF742F">
              <w:rPr>
                <w:rFonts w:cs="Calibri"/>
                <w:b/>
                <w:bCs/>
                <w:sz w:val="18"/>
                <w:szCs w:val="18"/>
              </w:rPr>
              <w:t>Year</w:t>
            </w:r>
          </w:p>
        </w:tc>
        <w:tc>
          <w:tcPr>
            <w:tcW w:w="446"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roofErr w:type="spellStart"/>
            <w:r w:rsidRPr="00BF742F">
              <w:rPr>
                <w:rFonts w:cs="Calibri"/>
                <w:b/>
                <w:bCs/>
                <w:sz w:val="18"/>
                <w:szCs w:val="18"/>
              </w:rPr>
              <w:t>Var</w:t>
            </w:r>
            <w:proofErr w:type="spellEnd"/>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Forward Year 1 Estimate  </w:t>
            </w: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Forward Year 2 Estimate </w:t>
            </w: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 xml:space="preserve">Forward Year 3 Estimate  </w:t>
            </w:r>
          </w:p>
        </w:tc>
      </w:tr>
      <w:tr w:rsidR="00A05CEF" w:rsidRPr="00BF742F" w:rsidTr="00A05CEF">
        <w:trPr>
          <w:cantSplit/>
          <w:tblHeader/>
        </w:trPr>
        <w:tc>
          <w:tcPr>
            <w:tcW w:w="1021" w:type="dxa"/>
            <w:tcBorders>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$’000</w:t>
            </w:r>
          </w:p>
        </w:tc>
        <w:tc>
          <w:tcPr>
            <w:tcW w:w="142" w:type="dxa"/>
            <w:tcBorders>
              <w:left w:val="nil"/>
              <w:bottom w:val="single" w:sz="4" w:space="0" w:color="auto"/>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left w:val="nil"/>
              <w:bottom w:val="single" w:sz="4" w:space="0" w:color="auto"/>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1085" w:type="dxa"/>
            <w:tcBorders>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$’000</w:t>
            </w:r>
          </w:p>
        </w:tc>
        <w:tc>
          <w:tcPr>
            <w:tcW w:w="1085" w:type="dxa"/>
            <w:tcBorders>
              <w:left w:val="nil"/>
              <w:bottom w:val="single" w:sz="4" w:space="0" w:color="auto"/>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$’000</w:t>
            </w:r>
          </w:p>
        </w:tc>
        <w:tc>
          <w:tcPr>
            <w:tcW w:w="446" w:type="dxa"/>
            <w:tcBorders>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w:t>
            </w:r>
          </w:p>
        </w:tc>
        <w:tc>
          <w:tcPr>
            <w:tcW w:w="1085" w:type="dxa"/>
            <w:tcBorders>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$’000</w:t>
            </w:r>
          </w:p>
        </w:tc>
        <w:tc>
          <w:tcPr>
            <w:tcW w:w="1085" w:type="dxa"/>
            <w:tcBorders>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$’000</w:t>
            </w:r>
          </w:p>
        </w:tc>
        <w:tc>
          <w:tcPr>
            <w:tcW w:w="1085" w:type="dxa"/>
            <w:tcBorders>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$’000</w:t>
            </w:r>
          </w:p>
        </w:tc>
      </w:tr>
      <w:tr w:rsidR="00A05CEF" w:rsidRPr="00BF742F" w:rsidTr="00A05CEF">
        <w:trPr>
          <w:cantSplit/>
        </w:trPr>
        <w:tc>
          <w:tcPr>
            <w:tcW w:w="1021"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single" w:sz="4" w:space="0" w:color="auto"/>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single" w:sz="4" w:space="0" w:color="auto"/>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FLOWS FROM OPERATING ACTIVITIES</w:t>
            </w: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single" w:sz="4" w:space="0" w:color="auto"/>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446"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single" w:sz="4" w:space="0" w:color="auto"/>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Receipts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Cash from Government for EBT</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single" w:sz="18" w:space="0" w:color="auto"/>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249,702</w:t>
            </w:r>
          </w:p>
        </w:tc>
        <w:tc>
          <w:tcPr>
            <w:tcW w:w="446" w:type="dxa"/>
            <w:tcBorders>
              <w:top w:val="nil"/>
              <w:left w:val="single" w:sz="18" w:space="0" w:color="auto"/>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sz w:val="18"/>
                <w:szCs w:val="18"/>
              </w:rPr>
              <w:pict>
                <v:line id="_x0000_s1179" style="position:absolute;left:0;text-align:left;z-index:251671552;mso-position-horizontal-relative:text;mso-position-vertical-relative:text" from="10.7pt,8.7pt" to="50.05pt,8.9pt">
                  <v:stroke startarrow="block"/>
                </v:line>
              </w:pict>
            </w:r>
          </w:p>
        </w:tc>
        <w:tc>
          <w:tcPr>
            <w:tcW w:w="1085" w:type="dxa"/>
            <w:tcBorders>
              <w:top w:val="nil"/>
              <w:left w:val="nil"/>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rPr>
              <w:pict>
                <v:shape id="_x0000_s1177" type="#_x0000_t202" style="position:absolute;left:0;text-align:left;margin-left:31.2pt;margin-top:1.15pt;width:129pt;height:72.3pt;z-index:251669504;mso-position-horizontal-relative:text;mso-position-vertical-relative:text">
                  <v:textbox style="mso-next-textbox:#_x0000_s1177">
                    <w:txbxContent>
                      <w:p w:rsidR="00451669" w:rsidRDefault="00451669" w:rsidP="00A05CEF">
                        <w:pPr>
                          <w:rPr>
                            <w:sz w:val="20"/>
                          </w:rPr>
                        </w:pPr>
                        <w:r>
                          <w:rPr>
                            <w:sz w:val="20"/>
                          </w:rPr>
                          <w:t xml:space="preserve">Generally this figure aligns with the total Payment for Expenses on Behalf of Territory detailed in the Appropriation Bill. </w:t>
                        </w:r>
                      </w:p>
                    </w:txbxContent>
                  </v:textbox>
                </v:shape>
              </w:pic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Taxes, Fees and Fines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195</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noProof/>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Grants Received from the Commonwealth</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noProof/>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Other Revenue</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4,653</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Operating Receipts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254,550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Payments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Grants and Purchased Services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249,702</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Territory Receipts to Government</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195</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Related to Employees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Other</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4,653</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Operating Payments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254,550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CASH INFLOW/ (OUTFLOW) FROM OPERATING ACTIVITIES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FLOWS FROM INVESTING ACTIVITIES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Payments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Purchase of Property, Plant and Equipment and Capital Works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Investing Payments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CASH INFLOW/ (OUTFLOW) FROM INVESTING ACTIVITIES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FLOWS FROM FINANCING ACTIVITIES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Receipts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227" w:hanging="113"/>
              <w:rPr>
                <w:rFonts w:cs="Calibri"/>
                <w:sz w:val="18"/>
                <w:szCs w:val="18"/>
              </w:rPr>
            </w:pPr>
            <w:r w:rsidRPr="00BF742F">
              <w:rPr>
                <w:rFonts w:cs="Calibri"/>
                <w:sz w:val="18"/>
                <w:szCs w:val="18"/>
              </w:rPr>
              <w:t>Capital Injection from Government</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single" w:sz="18" w:space="0" w:color="auto"/>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BF742F">
              <w:rPr>
                <w:rFonts w:cs="Calibri"/>
                <w:sz w:val="18"/>
                <w:szCs w:val="18"/>
              </w:rPr>
              <w:t>0</w:t>
            </w:r>
          </w:p>
        </w:tc>
        <w:tc>
          <w:tcPr>
            <w:tcW w:w="446" w:type="dxa"/>
            <w:tcBorders>
              <w:top w:val="nil"/>
              <w:left w:val="single" w:sz="18" w:space="0" w:color="auto"/>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b/>
                <w:bCs/>
                <w:noProof/>
                <w:sz w:val="18"/>
                <w:szCs w:val="18"/>
              </w:rPr>
              <w:pict>
                <v:line id="_x0000_s1181" style="position:absolute;left:0;text-align:left;z-index:251673600;mso-position-horizontal-relative:text;mso-position-vertical-relative:text" from="5.25pt,15.2pt" to="53.8pt,15.2pt">
                  <v:stroke startarrow="block"/>
                </v:line>
              </w:pict>
            </w:r>
          </w:p>
        </w:tc>
        <w:tc>
          <w:tcPr>
            <w:tcW w:w="1085" w:type="dxa"/>
            <w:tcBorders>
              <w:top w:val="nil"/>
              <w:left w:val="nil"/>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r w:rsidRPr="00CD33AC">
              <w:rPr>
                <w:rFonts w:cs="Calibri"/>
                <w:noProof/>
              </w:rPr>
              <w:pict>
                <v:rect id="_x0000_s1176" style="position:absolute;left:0;text-align:left;margin-left:31.2pt;margin-top:5.05pt;width:129pt;height:33.15pt;z-index:251668480;mso-position-horizontal-relative:text;mso-position-vertical-relative:text">
                  <v:textbox style="mso-next-textbox:#_x0000_s1176">
                    <w:txbxContent>
                      <w:p w:rsidR="00451669" w:rsidRDefault="00451669" w:rsidP="00A05CEF">
                        <w:pPr>
                          <w:rPr>
                            <w:sz w:val="20"/>
                          </w:rPr>
                        </w:pPr>
                        <w:r>
                          <w:rPr>
                            <w:sz w:val="20"/>
                          </w:rPr>
                          <w:t>This figure aligns with the Appropriation Bill.</w:t>
                        </w:r>
                      </w:p>
                    </w:txbxContent>
                  </v:textbox>
                </v:rect>
              </w:pic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Financing Receipts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Cs/>
                <w:sz w:val="18"/>
                <w:szCs w:val="18"/>
              </w:rPr>
            </w:pPr>
            <w:r w:rsidRPr="00BF742F">
              <w:rPr>
                <w:rFonts w:cs="Calibri"/>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CASH INFLOW/ (OUTFLOW) FROM FINANCING ACTIVITIES</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NET INCREASE/ (DECREASE) IN CASH HELD</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0</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CD33AC">
              <w:rPr>
                <w:rFonts w:cs="Calibri"/>
                <w:b/>
                <w:bCs/>
                <w:noProof/>
                <w:sz w:val="18"/>
                <w:szCs w:val="18"/>
              </w:rPr>
              <w:pict>
                <v:shape id="_x0000_s1178" type="#_x0000_t202" style="position:absolute;left:0;text-align:left;margin-left:30.65pt;margin-top:.7pt;width:129.55pt;height:82.55pt;z-index:251670528;mso-position-horizontal-relative:text;mso-position-vertical-relative:text">
                  <v:textbox style="mso-next-textbox:#_x0000_s1178">
                    <w:txbxContent>
                      <w:p w:rsidR="00451669" w:rsidRPr="006B1320" w:rsidRDefault="00451669" w:rsidP="00A05CEF">
                        <w:pPr>
                          <w:rPr>
                            <w:sz w:val="20"/>
                          </w:rPr>
                        </w:pPr>
                        <w:r>
                          <w:rPr>
                            <w:sz w:val="20"/>
                          </w:rPr>
                          <w:t>This figure aligns with the amount Cash and Cash Equivalents in the Statement of Assets and Liabilities on Behalf of the Territory.</w:t>
                        </w:r>
                      </w:p>
                    </w:txbxContent>
                  </v:textbox>
                </v:shape>
              </w:pic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nil"/>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 xml:space="preserve">CASH AT </w:t>
            </w:r>
            <w:r w:rsidR="00A85305">
              <w:rPr>
                <w:rFonts w:cs="Calibri"/>
                <w:b/>
                <w:bCs/>
                <w:sz w:val="18"/>
                <w:szCs w:val="18"/>
              </w:rPr>
              <w:t xml:space="preserve">THE </w:t>
            </w:r>
            <w:r w:rsidRPr="00BF742F">
              <w:rPr>
                <w:rFonts w:cs="Calibri"/>
                <w:b/>
                <w:bCs/>
                <w:sz w:val="18"/>
                <w:szCs w:val="18"/>
              </w:rPr>
              <w:t xml:space="preserve">BEGINNING OF </w:t>
            </w:r>
            <w:r w:rsidR="00A85305">
              <w:rPr>
                <w:rFonts w:cs="Calibri"/>
                <w:b/>
                <w:bCs/>
                <w:sz w:val="18"/>
                <w:szCs w:val="18"/>
              </w:rPr>
              <w:t xml:space="preserve">THE </w:t>
            </w:r>
            <w:r w:rsidRPr="00BF742F">
              <w:rPr>
                <w:rFonts w:cs="Calibri"/>
                <w:b/>
                <w:bCs/>
                <w:sz w:val="18"/>
                <w:szCs w:val="18"/>
              </w:rPr>
              <w:t>REPORTING PERIOD</w:t>
            </w: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right w:val="nil"/>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119</w:t>
            </w:r>
          </w:p>
        </w:tc>
        <w:tc>
          <w:tcPr>
            <w:tcW w:w="446"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nil"/>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r w:rsidR="00A05CEF" w:rsidRPr="00BF742F" w:rsidTr="00A05CEF">
        <w:trPr>
          <w:cantSplit/>
        </w:trPr>
        <w:tc>
          <w:tcPr>
            <w:tcW w:w="1021"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42" w:type="dxa"/>
            <w:tcBorders>
              <w:top w:val="nil"/>
              <w:left w:val="nil"/>
              <w:bottom w:val="single" w:sz="4" w:space="0" w:color="auto"/>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p>
        </w:tc>
        <w:tc>
          <w:tcPr>
            <w:tcW w:w="2691" w:type="dxa"/>
            <w:tcBorders>
              <w:top w:val="nil"/>
              <w:left w:val="nil"/>
              <w:bottom w:val="single" w:sz="4" w:space="0" w:color="auto"/>
              <w:right w:val="nil"/>
            </w:tcBorders>
          </w:tcPr>
          <w:p w:rsidR="00A05CEF" w:rsidRPr="00BF742F" w:rsidRDefault="00A05CEF" w:rsidP="00A05CEF">
            <w:pPr>
              <w:pStyle w:val="PlainTex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ind w:left="113" w:hanging="113"/>
              <w:rPr>
                <w:rFonts w:cs="Calibri"/>
                <w:b/>
                <w:bCs/>
                <w:sz w:val="18"/>
                <w:szCs w:val="18"/>
              </w:rPr>
            </w:pPr>
            <w:r w:rsidRPr="00BF742F">
              <w:rPr>
                <w:rFonts w:cs="Calibri"/>
                <w:b/>
                <w:bCs/>
                <w:sz w:val="18"/>
                <w:szCs w:val="18"/>
              </w:rPr>
              <w:t>CASH AT THE END OF THE REPORTING PERIOD</w:t>
            </w:r>
          </w:p>
        </w:tc>
        <w:tc>
          <w:tcPr>
            <w:tcW w:w="108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single" w:sz="4" w:space="0" w:color="auto"/>
              <w:right w:val="single" w:sz="18" w:space="0" w:color="auto"/>
            </w:tcBorders>
            <w:vAlign w:val="center"/>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BF742F">
              <w:rPr>
                <w:rFonts w:cs="Calibri"/>
                <w:b/>
                <w:bCs/>
                <w:sz w:val="18"/>
                <w:szCs w:val="18"/>
              </w:rPr>
              <w:t>119</w:t>
            </w:r>
          </w:p>
        </w:tc>
        <w:tc>
          <w:tcPr>
            <w:tcW w:w="446" w:type="dxa"/>
            <w:tcBorders>
              <w:top w:val="nil"/>
              <w:left w:val="single" w:sz="18" w:space="0" w:color="auto"/>
              <w:bottom w:val="single" w:sz="4" w:space="0" w:color="auto"/>
              <w:right w:val="nil"/>
            </w:tcBorders>
          </w:tcPr>
          <w:p w:rsidR="00A05CEF" w:rsidRPr="00BF742F" w:rsidRDefault="00CD33AC"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r w:rsidRPr="00CD33AC">
              <w:rPr>
                <w:rFonts w:cs="Calibri"/>
                <w:b/>
                <w:bCs/>
                <w:noProof/>
                <w:sz w:val="18"/>
                <w:szCs w:val="18"/>
              </w:rPr>
              <w:pict>
                <v:line id="_x0000_s1180" style="position:absolute;left:0;text-align:left;z-index:251672576;mso-position-horizontal-relative:text;mso-position-vertical-relative:text" from="1.5pt,10pt" to="50.05pt,10pt">
                  <v:stroke startarrow="block"/>
                </v:line>
              </w:pict>
            </w:r>
          </w:p>
        </w:tc>
        <w:tc>
          <w:tcPr>
            <w:tcW w:w="108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c>
          <w:tcPr>
            <w:tcW w:w="1085" w:type="dxa"/>
            <w:tcBorders>
              <w:top w:val="nil"/>
              <w:left w:val="nil"/>
              <w:bottom w:val="single" w:sz="4" w:space="0" w:color="auto"/>
              <w:right w:val="nil"/>
            </w:tcBorders>
          </w:tcPr>
          <w:p w:rsidR="00A05CEF" w:rsidRPr="00BF742F" w:rsidRDefault="00A05CEF" w:rsidP="00A05CE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right"/>
              <w:rPr>
                <w:rFonts w:cs="Calibri"/>
                <w:b/>
                <w:bCs/>
                <w:sz w:val="18"/>
                <w:szCs w:val="18"/>
              </w:rPr>
            </w:pPr>
          </w:p>
        </w:tc>
      </w:tr>
    </w:tbl>
    <w:p w:rsidR="00A05CEF" w:rsidRDefault="00A05CEF" w:rsidP="00A05CEF"/>
    <w:p w:rsidR="00451669" w:rsidRDefault="00A05CEF" w:rsidP="00A05CEF">
      <w:pPr>
        <w:pStyle w:val="Heading3"/>
        <w:keepNext w:val="0"/>
      </w:pPr>
      <w:r>
        <w:br w:type="page"/>
      </w:r>
    </w:p>
    <w:p w:rsidR="00C65A4A" w:rsidRDefault="00C65A4A" w:rsidP="00A05CEF">
      <w:pPr>
        <w:pStyle w:val="Heading3"/>
        <w:keepNext w:val="0"/>
      </w:pPr>
      <w:r>
        <w:lastRenderedPageBreak/>
        <w:t>201</w:t>
      </w:r>
      <w:r w:rsidR="00C173DF">
        <w:t>2</w:t>
      </w:r>
      <w:r>
        <w:noBreakHyphen/>
        <w:t>1</w:t>
      </w:r>
      <w:r w:rsidR="00C173DF">
        <w:t>3</w:t>
      </w:r>
      <w:r>
        <w:t xml:space="preserve"> Comparative Figures </w:t>
      </w:r>
    </w:p>
    <w:p w:rsidR="00C65A4A" w:rsidRDefault="00C65A4A" w:rsidP="00C65A4A">
      <w:pPr>
        <w:pStyle w:val="BodyText"/>
      </w:pPr>
      <w:r>
        <w:t>The projected 201</w:t>
      </w:r>
      <w:r w:rsidR="00C173DF">
        <w:t>2</w:t>
      </w:r>
      <w:r>
        <w:noBreakHyphen/>
        <w:t>1</w:t>
      </w:r>
      <w:r w:rsidR="00C173DF">
        <w:t>3</w:t>
      </w:r>
      <w:r>
        <w:t xml:space="preserve"> results for agencies are presented in the Budget Papers on the same basis as they will appear in the 201</w:t>
      </w:r>
      <w:r w:rsidR="00C173DF">
        <w:t>2</w:t>
      </w:r>
      <w:r>
        <w:noBreakHyphen/>
        <w:t>1</w:t>
      </w:r>
      <w:r w:rsidR="00C173DF">
        <w:t>3</w:t>
      </w:r>
      <w:r>
        <w:t xml:space="preserve"> financial statements, which is consistent with Generally Accepted Accounting Principles</w:t>
      </w:r>
      <w:r w:rsidR="006C3544">
        <w:t xml:space="preserve"> (GAAP)</w:t>
      </w:r>
      <w:r>
        <w:t xml:space="preserve">. </w:t>
      </w:r>
    </w:p>
    <w:p w:rsidR="00C65A4A" w:rsidRDefault="00C65A4A" w:rsidP="00C65A4A">
      <w:pPr>
        <w:pStyle w:val="BodyText"/>
      </w:pPr>
      <w:r>
        <w:t xml:space="preserve">Subsections 27(2) and 63(2) of the </w:t>
      </w:r>
      <w:r>
        <w:rPr>
          <w:i/>
          <w:iCs/>
        </w:rPr>
        <w:t>Financial Management Act 1996</w:t>
      </w:r>
      <w:r>
        <w:t xml:space="preserve"> require the preparation of financial statements for agencies to be in accordance with GAAP and for their presentation to facilitate comparison with the Budget presentation. </w:t>
      </w:r>
    </w:p>
    <w:p w:rsidR="00C65A4A" w:rsidRDefault="00C65A4A" w:rsidP="00C65A4A">
      <w:pPr>
        <w:pStyle w:val="BodyText"/>
      </w:pPr>
      <w:r w:rsidRPr="00021552">
        <w:t>Where transfers of responsibilities have occurred during the 201</w:t>
      </w:r>
      <w:r w:rsidR="00C173DF">
        <w:t>2</w:t>
      </w:r>
      <w:r w:rsidRPr="00021552">
        <w:noBreakHyphen/>
        <w:t>1</w:t>
      </w:r>
      <w:r w:rsidR="00C173DF">
        <w:t>3</w:t>
      </w:r>
      <w:r w:rsidRPr="00021552">
        <w:t xml:space="preserve"> financial year, the relevant agencies reflect the impact of those transfers from the time of transfer and these are explained in variation notes in the Budget Papers where they are material.</w:t>
      </w:r>
      <w:r>
        <w:t xml:space="preserve"> </w:t>
      </w:r>
    </w:p>
    <w:p w:rsidR="00C65A4A" w:rsidRDefault="00C65A4A" w:rsidP="00C65A4A">
      <w:pPr>
        <w:pStyle w:val="Heading3"/>
      </w:pPr>
      <w:r>
        <w:t xml:space="preserve">Rounding </w:t>
      </w:r>
    </w:p>
    <w:p w:rsidR="00C65A4A" w:rsidRDefault="00C65A4A" w:rsidP="00C65A4A">
      <w:pPr>
        <w:pStyle w:val="BodyText"/>
      </w:pPr>
      <w:r>
        <w:t xml:space="preserve">Due to the rounding of decimal places, the sum of the figures in the financial tables presented in the Budget Papers may not balance. </w:t>
      </w:r>
    </w:p>
    <w:p w:rsidR="00C65A4A" w:rsidRDefault="00C65A4A" w:rsidP="00C65A4A">
      <w:pPr>
        <w:pStyle w:val="Heading3"/>
      </w:pPr>
      <w:r>
        <w:t>Notations</w:t>
      </w:r>
    </w:p>
    <w:p w:rsidR="00C65A4A" w:rsidRDefault="00C65A4A" w:rsidP="00C65A4A">
      <w:pPr>
        <w:pStyle w:val="BodyText"/>
      </w:pPr>
      <w:r>
        <w:t>The following notations are used in the variation column of the agency financial tables:</w:t>
      </w:r>
    </w:p>
    <w:p w:rsidR="00C65A4A" w:rsidRDefault="00C65A4A" w:rsidP="00C65A4A">
      <w:pPr>
        <w:pStyle w:val="BodyText"/>
        <w:tabs>
          <w:tab w:val="left" w:pos="851"/>
        </w:tabs>
        <w:spacing w:after="0"/>
        <w:ind w:left="567"/>
      </w:pPr>
      <w:r>
        <w:t>-</w:t>
      </w:r>
      <w:r>
        <w:tab/>
        <w:t xml:space="preserve">nil; </w:t>
      </w:r>
    </w:p>
    <w:p w:rsidR="00C65A4A" w:rsidRDefault="00C65A4A" w:rsidP="00C65A4A">
      <w:pPr>
        <w:pStyle w:val="BodyText"/>
        <w:tabs>
          <w:tab w:val="left" w:pos="851"/>
        </w:tabs>
        <w:spacing w:after="0"/>
        <w:ind w:left="567"/>
      </w:pPr>
      <w:r>
        <w:sym w:font="Wingdings" w:char="F09E"/>
      </w:r>
      <w:r>
        <w:sym w:font="Wingdings" w:char="F09E"/>
      </w:r>
      <w:r>
        <w:tab/>
        <w:t>not zero, but rounds to zero; and</w:t>
      </w:r>
    </w:p>
    <w:p w:rsidR="00C65A4A" w:rsidRDefault="00C65A4A" w:rsidP="00C65A4A">
      <w:pPr>
        <w:pStyle w:val="BodyText"/>
        <w:tabs>
          <w:tab w:val="left" w:pos="851"/>
        </w:tabs>
        <w:ind w:left="567"/>
      </w:pPr>
      <w:r>
        <w:t>#</w:t>
      </w:r>
      <w:r>
        <w:tab/>
        <w:t>the calculated variation is greater than 999%.</w:t>
      </w:r>
    </w:p>
    <w:p w:rsidR="00CD01B0" w:rsidRDefault="00CD01B0">
      <w:pPr>
        <w:rPr>
          <w:rFonts w:ascii="Arial" w:hAnsi="Arial" w:cs="Arial"/>
          <w:b/>
          <w:bCs/>
          <w:szCs w:val="26"/>
        </w:rPr>
      </w:pPr>
      <w:r>
        <w:br w:type="page"/>
      </w:r>
    </w:p>
    <w:sectPr w:rsidR="00CD01B0" w:rsidSect="00DC5F20">
      <w:footerReference w:type="default" r:id="rId8"/>
      <w:pgSz w:w="11906" w:h="16838" w:code="9"/>
      <w:pgMar w:top="1151" w:right="1440" w:bottom="1729" w:left="1440" w:header="720" w:footer="720" w:gutter="0"/>
      <w:pgNumType w:start="5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669" w:rsidRDefault="00451669" w:rsidP="0095590A">
      <w:r>
        <w:separator/>
      </w:r>
    </w:p>
  </w:endnote>
  <w:endnote w:type="continuationSeparator" w:id="0">
    <w:p w:rsidR="00451669" w:rsidRDefault="00451669" w:rsidP="009559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669" w:rsidRDefault="00451669" w:rsidP="0095590A">
    <w:pPr>
      <w:pStyle w:val="FooterBP"/>
    </w:pPr>
    <w:r>
      <w:t>2013-14 Budget Paper No. 4</w:t>
    </w:r>
    <w:r>
      <w:tab/>
    </w:r>
    <w:fldSimple w:instr=" PAGE   \* MERGEFORMAT ">
      <w:r w:rsidR="00E96E98">
        <w:rPr>
          <w:noProof/>
        </w:rPr>
        <w:t>546</w:t>
      </w:r>
    </w:fldSimple>
    <w:r>
      <w:tab/>
      <w:t>Appendix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669" w:rsidRDefault="00451669" w:rsidP="0095590A">
      <w:r>
        <w:separator/>
      </w:r>
    </w:p>
  </w:footnote>
  <w:footnote w:type="continuationSeparator" w:id="0">
    <w:p w:rsidR="00451669" w:rsidRDefault="00451669" w:rsidP="00955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B67673D"/>
    <w:multiLevelType w:val="hybridMultilevel"/>
    <w:tmpl w:val="93D6E570"/>
    <w:lvl w:ilvl="0" w:tplc="C0EEFC0A">
      <w:start w:val="2"/>
      <w:numFmt w:val="bullet"/>
      <w:lvlText w:val="-"/>
      <w:lvlJc w:val="left"/>
      <w:pPr>
        <w:ind w:left="3240" w:hanging="360"/>
      </w:pPr>
      <w:rPr>
        <w:rFonts w:ascii="Calibri" w:eastAsia="Times New Roman"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outline w:val="0"/>
        <w:shadow w:val="0"/>
        <w:emboss w:val="0"/>
        <w:imprint w:val="0"/>
        <w:vanish w:val="0"/>
        <w:color w:val="auto"/>
        <w:kern w:val="0"/>
        <w:sz w:val="24"/>
        <w:u w:val="none"/>
        <w:effect w:val="none"/>
        <w:vertAlign w:val="baseline"/>
      </w:rPr>
    </w:lvl>
    <w:lvl w:ilvl="1">
      <w:start w:val="1"/>
      <w:numFmt w:val="bullet"/>
      <w:lvlText w:val="–"/>
      <w:lvlJc w:val="left"/>
      <w:pPr>
        <w:tabs>
          <w:tab w:val="num" w:pos="851"/>
        </w:tabs>
        <w:ind w:left="851" w:hanging="426"/>
      </w:pPr>
      <w:rPr>
        <w:rFonts w:ascii="Times New Roman" w:hAnsi="Times New Roman" w:cs="Times New Roman" w:hint="default"/>
        <w:color w:val="auto"/>
      </w:rPr>
    </w:lvl>
    <w:lvl w:ilvl="2">
      <w:start w:val="1"/>
      <w:numFmt w:val="bullet"/>
      <w:lvlText w:val=":"/>
      <w:lvlJc w:val="left"/>
      <w:pPr>
        <w:tabs>
          <w:tab w:val="num" w:pos="1276"/>
        </w:tabs>
        <w:ind w:left="1276" w:hanging="425"/>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16">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57312AFE"/>
    <w:multiLevelType w:val="hybridMultilevel"/>
    <w:tmpl w:val="233E600C"/>
    <w:lvl w:ilvl="0" w:tplc="485AF4B6">
      <w:start w:val="2"/>
      <w:numFmt w:val="bullet"/>
      <w:lvlText w:val="-"/>
      <w:lvlJc w:val="left"/>
      <w:pPr>
        <w:ind w:left="3240" w:hanging="360"/>
      </w:pPr>
      <w:rPr>
        <w:rFonts w:ascii="Calibri" w:eastAsia="Times New Roman" w:hAnsi="Calibri" w:cs="Calibri" w:hint="default"/>
      </w:rPr>
    </w:lvl>
    <w:lvl w:ilvl="1" w:tplc="0C090019" w:tentative="1">
      <w:start w:val="1"/>
      <w:numFmt w:val="bullet"/>
      <w:lvlText w:val="o"/>
      <w:lvlJc w:val="left"/>
      <w:pPr>
        <w:ind w:left="3960" w:hanging="360"/>
      </w:pPr>
      <w:rPr>
        <w:rFonts w:ascii="Courier New" w:hAnsi="Courier New" w:cs="Courier New" w:hint="default"/>
      </w:rPr>
    </w:lvl>
    <w:lvl w:ilvl="2" w:tplc="0C09001B" w:tentative="1">
      <w:start w:val="1"/>
      <w:numFmt w:val="bullet"/>
      <w:lvlText w:val=""/>
      <w:lvlJc w:val="left"/>
      <w:pPr>
        <w:ind w:left="4680" w:hanging="360"/>
      </w:pPr>
      <w:rPr>
        <w:rFonts w:ascii="Wingdings" w:hAnsi="Wingdings" w:hint="default"/>
      </w:rPr>
    </w:lvl>
    <w:lvl w:ilvl="3" w:tplc="0C09000F" w:tentative="1">
      <w:start w:val="1"/>
      <w:numFmt w:val="bullet"/>
      <w:lvlText w:val=""/>
      <w:lvlJc w:val="left"/>
      <w:pPr>
        <w:ind w:left="5400" w:hanging="360"/>
      </w:pPr>
      <w:rPr>
        <w:rFonts w:ascii="Symbol" w:hAnsi="Symbol" w:hint="default"/>
      </w:rPr>
    </w:lvl>
    <w:lvl w:ilvl="4" w:tplc="0C090019" w:tentative="1">
      <w:start w:val="1"/>
      <w:numFmt w:val="bullet"/>
      <w:lvlText w:val="o"/>
      <w:lvlJc w:val="left"/>
      <w:pPr>
        <w:ind w:left="6120" w:hanging="360"/>
      </w:pPr>
      <w:rPr>
        <w:rFonts w:ascii="Courier New" w:hAnsi="Courier New" w:cs="Courier New" w:hint="default"/>
      </w:rPr>
    </w:lvl>
    <w:lvl w:ilvl="5" w:tplc="0C09001B" w:tentative="1">
      <w:start w:val="1"/>
      <w:numFmt w:val="bullet"/>
      <w:lvlText w:val=""/>
      <w:lvlJc w:val="left"/>
      <w:pPr>
        <w:ind w:left="6840" w:hanging="360"/>
      </w:pPr>
      <w:rPr>
        <w:rFonts w:ascii="Wingdings" w:hAnsi="Wingdings" w:hint="default"/>
      </w:rPr>
    </w:lvl>
    <w:lvl w:ilvl="6" w:tplc="0C09000F" w:tentative="1">
      <w:start w:val="1"/>
      <w:numFmt w:val="bullet"/>
      <w:lvlText w:val=""/>
      <w:lvlJc w:val="left"/>
      <w:pPr>
        <w:ind w:left="7560" w:hanging="360"/>
      </w:pPr>
      <w:rPr>
        <w:rFonts w:ascii="Symbol" w:hAnsi="Symbol" w:hint="default"/>
      </w:rPr>
    </w:lvl>
    <w:lvl w:ilvl="7" w:tplc="0C090019" w:tentative="1">
      <w:start w:val="1"/>
      <w:numFmt w:val="bullet"/>
      <w:lvlText w:val="o"/>
      <w:lvlJc w:val="left"/>
      <w:pPr>
        <w:ind w:left="8280" w:hanging="360"/>
      </w:pPr>
      <w:rPr>
        <w:rFonts w:ascii="Courier New" w:hAnsi="Courier New" w:cs="Courier New" w:hint="default"/>
      </w:rPr>
    </w:lvl>
    <w:lvl w:ilvl="8" w:tplc="0C09001B" w:tentative="1">
      <w:start w:val="1"/>
      <w:numFmt w:val="bullet"/>
      <w:lvlText w:val=""/>
      <w:lvlJc w:val="left"/>
      <w:pPr>
        <w:ind w:left="9000" w:hanging="360"/>
      </w:pPr>
      <w:rPr>
        <w:rFonts w:ascii="Wingdings" w:hAnsi="Wingdings" w:hint="default"/>
      </w:rPr>
    </w:lvl>
  </w:abstractNum>
  <w:abstractNum w:abstractNumId="18">
    <w:nsid w:val="5DE85D3C"/>
    <w:multiLevelType w:val="hybridMultilevel"/>
    <w:tmpl w:val="F6388278"/>
    <w:lvl w:ilvl="0" w:tplc="DAE08162">
      <w:start w:val="1"/>
      <w:numFmt w:val="decimal"/>
      <w:lvlText w:val="%1."/>
      <w:lvlJc w:val="left"/>
      <w:pPr>
        <w:tabs>
          <w:tab w:val="num" w:pos="360"/>
        </w:tabs>
        <w:ind w:left="360" w:hanging="360"/>
      </w:pPr>
    </w:lvl>
    <w:lvl w:ilvl="1" w:tplc="0C090003">
      <w:start w:val="1"/>
      <w:numFmt w:val="lowerLetter"/>
      <w:lvlText w:val="%2."/>
      <w:lvlJc w:val="left"/>
      <w:pPr>
        <w:tabs>
          <w:tab w:val="num" w:pos="1080"/>
        </w:tabs>
        <w:ind w:left="1080" w:hanging="360"/>
      </w:pPr>
    </w:lvl>
    <w:lvl w:ilvl="2" w:tplc="0C090005" w:tentative="1">
      <w:start w:val="1"/>
      <w:numFmt w:val="lowerRoman"/>
      <w:lvlText w:val="%3."/>
      <w:lvlJc w:val="right"/>
      <w:pPr>
        <w:tabs>
          <w:tab w:val="num" w:pos="1800"/>
        </w:tabs>
        <w:ind w:left="1800" w:hanging="180"/>
      </w:pPr>
    </w:lvl>
    <w:lvl w:ilvl="3" w:tplc="0C090001" w:tentative="1">
      <w:start w:val="1"/>
      <w:numFmt w:val="decimal"/>
      <w:lvlText w:val="%4."/>
      <w:lvlJc w:val="left"/>
      <w:pPr>
        <w:tabs>
          <w:tab w:val="num" w:pos="2520"/>
        </w:tabs>
        <w:ind w:left="2520" w:hanging="360"/>
      </w:pPr>
    </w:lvl>
    <w:lvl w:ilvl="4" w:tplc="0C090003" w:tentative="1">
      <w:start w:val="1"/>
      <w:numFmt w:val="lowerLetter"/>
      <w:lvlText w:val="%5."/>
      <w:lvlJc w:val="left"/>
      <w:pPr>
        <w:tabs>
          <w:tab w:val="num" w:pos="3240"/>
        </w:tabs>
        <w:ind w:left="3240" w:hanging="360"/>
      </w:pPr>
    </w:lvl>
    <w:lvl w:ilvl="5" w:tplc="0C090005" w:tentative="1">
      <w:start w:val="1"/>
      <w:numFmt w:val="lowerRoman"/>
      <w:lvlText w:val="%6."/>
      <w:lvlJc w:val="right"/>
      <w:pPr>
        <w:tabs>
          <w:tab w:val="num" w:pos="3960"/>
        </w:tabs>
        <w:ind w:left="3960" w:hanging="180"/>
      </w:pPr>
    </w:lvl>
    <w:lvl w:ilvl="6" w:tplc="0C090001" w:tentative="1">
      <w:start w:val="1"/>
      <w:numFmt w:val="decimal"/>
      <w:lvlText w:val="%7."/>
      <w:lvlJc w:val="left"/>
      <w:pPr>
        <w:tabs>
          <w:tab w:val="num" w:pos="4680"/>
        </w:tabs>
        <w:ind w:left="4680" w:hanging="360"/>
      </w:pPr>
    </w:lvl>
    <w:lvl w:ilvl="7" w:tplc="0C090003" w:tentative="1">
      <w:start w:val="1"/>
      <w:numFmt w:val="lowerLetter"/>
      <w:lvlText w:val="%8."/>
      <w:lvlJc w:val="left"/>
      <w:pPr>
        <w:tabs>
          <w:tab w:val="num" w:pos="5400"/>
        </w:tabs>
        <w:ind w:left="5400" w:hanging="360"/>
      </w:pPr>
    </w:lvl>
    <w:lvl w:ilvl="8" w:tplc="0C090005" w:tentative="1">
      <w:start w:val="1"/>
      <w:numFmt w:val="lowerRoman"/>
      <w:lvlText w:val="%9."/>
      <w:lvlJc w:val="right"/>
      <w:pPr>
        <w:tabs>
          <w:tab w:val="num" w:pos="6120"/>
        </w:tabs>
        <w:ind w:left="6120" w:hanging="180"/>
      </w:pPr>
    </w:lvl>
  </w:abstractNum>
  <w:abstractNum w:abstractNumId="19">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77AF57C7"/>
    <w:multiLevelType w:val="hybridMultilevel"/>
    <w:tmpl w:val="6024BE0E"/>
    <w:lvl w:ilvl="0" w:tplc="9D10118A">
      <w:start w:val="1"/>
      <w:numFmt w:val="decimal"/>
      <w:lvlText w:val="%1."/>
      <w:lvlJc w:val="left"/>
      <w:pPr>
        <w:tabs>
          <w:tab w:val="num" w:pos="360"/>
        </w:tabs>
        <w:ind w:left="360" w:hanging="360"/>
      </w:pPr>
      <w:rPr>
        <w:rFonts w:hint="default"/>
      </w:rPr>
    </w:lvl>
    <w:lvl w:ilvl="1" w:tplc="5C163636">
      <w:start w:val="1"/>
      <w:numFmt w:val="decimal"/>
      <w:lvlText w:val="%2."/>
      <w:lvlJc w:val="left"/>
      <w:pPr>
        <w:tabs>
          <w:tab w:val="num" w:pos="1440"/>
        </w:tabs>
        <w:ind w:left="1440" w:hanging="360"/>
      </w:pPr>
      <w:rPr>
        <w:rFonts w:hint="default"/>
      </w:rPr>
    </w:lvl>
    <w:lvl w:ilvl="2" w:tplc="40708EE6" w:tentative="1">
      <w:start w:val="1"/>
      <w:numFmt w:val="bullet"/>
      <w:lvlText w:val=""/>
      <w:lvlJc w:val="left"/>
      <w:pPr>
        <w:tabs>
          <w:tab w:val="num" w:pos="2160"/>
        </w:tabs>
        <w:ind w:left="2160" w:hanging="360"/>
      </w:pPr>
      <w:rPr>
        <w:rFonts w:ascii="Wingdings" w:hAnsi="Wingdings" w:hint="default"/>
      </w:rPr>
    </w:lvl>
    <w:lvl w:ilvl="3" w:tplc="7C9E2728" w:tentative="1">
      <w:start w:val="1"/>
      <w:numFmt w:val="bullet"/>
      <w:lvlText w:val=""/>
      <w:lvlJc w:val="left"/>
      <w:pPr>
        <w:tabs>
          <w:tab w:val="num" w:pos="2880"/>
        </w:tabs>
        <w:ind w:left="2880" w:hanging="360"/>
      </w:pPr>
      <w:rPr>
        <w:rFonts w:ascii="Symbol" w:hAnsi="Symbol" w:hint="default"/>
      </w:rPr>
    </w:lvl>
    <w:lvl w:ilvl="4" w:tplc="864A5B12" w:tentative="1">
      <w:start w:val="1"/>
      <w:numFmt w:val="bullet"/>
      <w:lvlText w:val="o"/>
      <w:lvlJc w:val="left"/>
      <w:pPr>
        <w:tabs>
          <w:tab w:val="num" w:pos="3600"/>
        </w:tabs>
        <w:ind w:left="3600" w:hanging="360"/>
      </w:pPr>
      <w:rPr>
        <w:rFonts w:ascii="Courier New" w:hAnsi="Courier New" w:cs="Courier New" w:hint="default"/>
      </w:rPr>
    </w:lvl>
    <w:lvl w:ilvl="5" w:tplc="5F522A54" w:tentative="1">
      <w:start w:val="1"/>
      <w:numFmt w:val="bullet"/>
      <w:lvlText w:val=""/>
      <w:lvlJc w:val="left"/>
      <w:pPr>
        <w:tabs>
          <w:tab w:val="num" w:pos="4320"/>
        </w:tabs>
        <w:ind w:left="4320" w:hanging="360"/>
      </w:pPr>
      <w:rPr>
        <w:rFonts w:ascii="Wingdings" w:hAnsi="Wingdings" w:hint="default"/>
      </w:rPr>
    </w:lvl>
    <w:lvl w:ilvl="6" w:tplc="54F25A90" w:tentative="1">
      <w:start w:val="1"/>
      <w:numFmt w:val="bullet"/>
      <w:lvlText w:val=""/>
      <w:lvlJc w:val="left"/>
      <w:pPr>
        <w:tabs>
          <w:tab w:val="num" w:pos="5040"/>
        </w:tabs>
        <w:ind w:left="5040" w:hanging="360"/>
      </w:pPr>
      <w:rPr>
        <w:rFonts w:ascii="Symbol" w:hAnsi="Symbol" w:hint="default"/>
      </w:rPr>
    </w:lvl>
    <w:lvl w:ilvl="7" w:tplc="B5A61F1E" w:tentative="1">
      <w:start w:val="1"/>
      <w:numFmt w:val="bullet"/>
      <w:lvlText w:val="o"/>
      <w:lvlJc w:val="left"/>
      <w:pPr>
        <w:tabs>
          <w:tab w:val="num" w:pos="5760"/>
        </w:tabs>
        <w:ind w:left="5760" w:hanging="360"/>
      </w:pPr>
      <w:rPr>
        <w:rFonts w:ascii="Courier New" w:hAnsi="Courier New" w:cs="Courier New" w:hint="default"/>
      </w:rPr>
    </w:lvl>
    <w:lvl w:ilvl="8" w:tplc="303A9F0C" w:tentative="1">
      <w:start w:val="1"/>
      <w:numFmt w:val="bullet"/>
      <w:lvlText w:val=""/>
      <w:lvlJc w:val="left"/>
      <w:pPr>
        <w:tabs>
          <w:tab w:val="num" w:pos="6480"/>
        </w:tabs>
        <w:ind w:left="6480" w:hanging="360"/>
      </w:pPr>
      <w:rPr>
        <w:rFonts w:ascii="Wingdings" w:hAnsi="Wingdings" w:hint="default"/>
      </w:rPr>
    </w:lvl>
  </w:abstractNum>
  <w:abstractNum w:abstractNumId="24">
    <w:nsid w:val="77B111A2"/>
    <w:multiLevelType w:val="hybridMultilevel"/>
    <w:tmpl w:val="6930B052"/>
    <w:lvl w:ilvl="0" w:tplc="0C09000F">
      <w:start w:val="1"/>
      <w:numFmt w:val="lowerLetter"/>
      <w:lvlText w:val="%1."/>
      <w:lvlJc w:val="left"/>
      <w:pPr>
        <w:tabs>
          <w:tab w:val="num" w:pos="360"/>
        </w:tabs>
        <w:ind w:left="357" w:hanging="357"/>
      </w:pPr>
      <w:rPr>
        <w:rFonts w:hint="default"/>
      </w:rPr>
    </w:lvl>
    <w:lvl w:ilvl="1" w:tplc="0C09000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23"/>
  </w:num>
  <w:num w:numId="3">
    <w:abstractNumId w:val="25"/>
  </w:num>
  <w:num w:numId="4">
    <w:abstractNumId w:val="19"/>
  </w:num>
  <w:num w:numId="5">
    <w:abstractNumId w:val="21"/>
  </w:num>
  <w:num w:numId="6">
    <w:abstractNumId w:val="22"/>
  </w:num>
  <w:num w:numId="7">
    <w:abstractNumId w:val="14"/>
  </w:num>
  <w:num w:numId="8">
    <w:abstractNumId w:val="10"/>
  </w:num>
  <w:num w:numId="9">
    <w:abstractNumId w:val="13"/>
  </w:num>
  <w:num w:numId="10">
    <w:abstractNumId w:val="1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6"/>
  </w:num>
  <w:num w:numId="24">
    <w:abstractNumId w:val="18"/>
  </w:num>
  <w:num w:numId="25">
    <w:abstractNumId w:val="24"/>
  </w:num>
  <w:num w:numId="26">
    <w:abstractNumId w:val="12"/>
  </w:num>
  <w:num w:numId="27">
    <w:abstractNumId w:val="17"/>
  </w:num>
  <w:num w:numId="28">
    <w:abstractNumId w:val="15"/>
  </w:num>
  <w:num w:numId="29">
    <w:abstractNumId w:val="14"/>
  </w:num>
  <w:num w:numId="30">
    <w:abstractNumId w:val="14"/>
  </w:num>
  <w:num w:numId="31">
    <w:abstractNumId w:val="1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defaultTabStop w:val="720"/>
  <w:characterSpacingControl w:val="doNotCompress"/>
  <w:footnotePr>
    <w:footnote w:id="-1"/>
    <w:footnote w:id="0"/>
  </w:footnotePr>
  <w:endnotePr>
    <w:endnote w:id="-1"/>
    <w:endnote w:id="0"/>
  </w:endnotePr>
  <w:compat/>
  <w:rsids>
    <w:rsidRoot w:val="00C65A4A"/>
    <w:rsid w:val="000142CD"/>
    <w:rsid w:val="00024D51"/>
    <w:rsid w:val="00036815"/>
    <w:rsid w:val="00080842"/>
    <w:rsid w:val="00095E45"/>
    <w:rsid w:val="000D4AC8"/>
    <w:rsid w:val="001061B4"/>
    <w:rsid w:val="00107AD1"/>
    <w:rsid w:val="001322A0"/>
    <w:rsid w:val="00165BF9"/>
    <w:rsid w:val="00187E26"/>
    <w:rsid w:val="00191BA6"/>
    <w:rsid w:val="001A0679"/>
    <w:rsid w:val="001E2480"/>
    <w:rsid w:val="001F3070"/>
    <w:rsid w:val="00221A69"/>
    <w:rsid w:val="002303EE"/>
    <w:rsid w:val="0023583F"/>
    <w:rsid w:val="00297149"/>
    <w:rsid w:val="002C0F7F"/>
    <w:rsid w:val="002C1063"/>
    <w:rsid w:val="002C1F3D"/>
    <w:rsid w:val="002F00E7"/>
    <w:rsid w:val="00300B6D"/>
    <w:rsid w:val="0034595D"/>
    <w:rsid w:val="003607CE"/>
    <w:rsid w:val="00362C0B"/>
    <w:rsid w:val="003825F4"/>
    <w:rsid w:val="003974FD"/>
    <w:rsid w:val="003A240B"/>
    <w:rsid w:val="003B5AFA"/>
    <w:rsid w:val="003C42EA"/>
    <w:rsid w:val="00401273"/>
    <w:rsid w:val="00404786"/>
    <w:rsid w:val="00407433"/>
    <w:rsid w:val="00451669"/>
    <w:rsid w:val="00452A06"/>
    <w:rsid w:val="00454B74"/>
    <w:rsid w:val="0048625C"/>
    <w:rsid w:val="0048661D"/>
    <w:rsid w:val="004C62E3"/>
    <w:rsid w:val="004E0705"/>
    <w:rsid w:val="00503731"/>
    <w:rsid w:val="00576051"/>
    <w:rsid w:val="00595567"/>
    <w:rsid w:val="005B12C1"/>
    <w:rsid w:val="006162D8"/>
    <w:rsid w:val="00644228"/>
    <w:rsid w:val="00653727"/>
    <w:rsid w:val="00655FAB"/>
    <w:rsid w:val="00661458"/>
    <w:rsid w:val="00696272"/>
    <w:rsid w:val="006C3544"/>
    <w:rsid w:val="006D4791"/>
    <w:rsid w:val="006E17F6"/>
    <w:rsid w:val="00703CF9"/>
    <w:rsid w:val="0072418E"/>
    <w:rsid w:val="0072573B"/>
    <w:rsid w:val="007321BE"/>
    <w:rsid w:val="00733CBF"/>
    <w:rsid w:val="00740544"/>
    <w:rsid w:val="0075261E"/>
    <w:rsid w:val="007B0C64"/>
    <w:rsid w:val="007C04B9"/>
    <w:rsid w:val="007E453E"/>
    <w:rsid w:val="008450D5"/>
    <w:rsid w:val="008527AC"/>
    <w:rsid w:val="008A6723"/>
    <w:rsid w:val="008B3F6D"/>
    <w:rsid w:val="008B4724"/>
    <w:rsid w:val="00923579"/>
    <w:rsid w:val="0095590A"/>
    <w:rsid w:val="009659D8"/>
    <w:rsid w:val="00965C38"/>
    <w:rsid w:val="0098635A"/>
    <w:rsid w:val="009B37C5"/>
    <w:rsid w:val="009C50F2"/>
    <w:rsid w:val="009D34E7"/>
    <w:rsid w:val="009E7C22"/>
    <w:rsid w:val="009E7C93"/>
    <w:rsid w:val="009F67B6"/>
    <w:rsid w:val="00A05CEF"/>
    <w:rsid w:val="00A1022C"/>
    <w:rsid w:val="00A27C2B"/>
    <w:rsid w:val="00A45EA3"/>
    <w:rsid w:val="00A47519"/>
    <w:rsid w:val="00A55302"/>
    <w:rsid w:val="00A85305"/>
    <w:rsid w:val="00A858CF"/>
    <w:rsid w:val="00A87195"/>
    <w:rsid w:val="00AC7547"/>
    <w:rsid w:val="00AE3891"/>
    <w:rsid w:val="00B00708"/>
    <w:rsid w:val="00B23157"/>
    <w:rsid w:val="00B33B05"/>
    <w:rsid w:val="00B5497A"/>
    <w:rsid w:val="00B572B8"/>
    <w:rsid w:val="00B666AA"/>
    <w:rsid w:val="00B77577"/>
    <w:rsid w:val="00B81393"/>
    <w:rsid w:val="00B8404F"/>
    <w:rsid w:val="00BB244D"/>
    <w:rsid w:val="00BB6411"/>
    <w:rsid w:val="00BD346E"/>
    <w:rsid w:val="00BE68FE"/>
    <w:rsid w:val="00BF7D5F"/>
    <w:rsid w:val="00C06804"/>
    <w:rsid w:val="00C173DF"/>
    <w:rsid w:val="00C212A7"/>
    <w:rsid w:val="00C303EC"/>
    <w:rsid w:val="00C55FF6"/>
    <w:rsid w:val="00C56222"/>
    <w:rsid w:val="00C65A4A"/>
    <w:rsid w:val="00CC0F20"/>
    <w:rsid w:val="00CC676E"/>
    <w:rsid w:val="00CD01B0"/>
    <w:rsid w:val="00CD0E64"/>
    <w:rsid w:val="00CD33AC"/>
    <w:rsid w:val="00CD390B"/>
    <w:rsid w:val="00CD42DC"/>
    <w:rsid w:val="00CE30E1"/>
    <w:rsid w:val="00D21BA6"/>
    <w:rsid w:val="00D266F6"/>
    <w:rsid w:val="00D446EF"/>
    <w:rsid w:val="00D5137E"/>
    <w:rsid w:val="00D640D7"/>
    <w:rsid w:val="00DA06D8"/>
    <w:rsid w:val="00DB3A0A"/>
    <w:rsid w:val="00DC5F20"/>
    <w:rsid w:val="00DF143F"/>
    <w:rsid w:val="00DF29CC"/>
    <w:rsid w:val="00E37DFF"/>
    <w:rsid w:val="00E4245B"/>
    <w:rsid w:val="00E47CF5"/>
    <w:rsid w:val="00E66FE0"/>
    <w:rsid w:val="00E825DE"/>
    <w:rsid w:val="00E96E98"/>
    <w:rsid w:val="00EC3D66"/>
    <w:rsid w:val="00EC5FFC"/>
    <w:rsid w:val="00EF459E"/>
    <w:rsid w:val="00F01B59"/>
    <w:rsid w:val="00F0720A"/>
    <w:rsid w:val="00F12905"/>
    <w:rsid w:val="00F22CB2"/>
    <w:rsid w:val="00F32A8E"/>
    <w:rsid w:val="00FB0743"/>
    <w:rsid w:val="00FB44B1"/>
    <w:rsid w:val="00FC1B98"/>
    <w:rsid w:val="00FE449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hapeDefaults>
    <o:shapedefaults v:ext="edit" spidmax="12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0A"/>
    <w:rPr>
      <w:rFonts w:ascii="Calibri" w:hAnsi="Calibri"/>
      <w:sz w:val="24"/>
      <w:lang w:eastAsia="en-US"/>
    </w:rPr>
  </w:style>
  <w:style w:type="paragraph" w:styleId="Heading1">
    <w:name w:val="heading 1"/>
    <w:basedOn w:val="Normal"/>
    <w:next w:val="BodyText"/>
    <w:link w:val="Heading1Char"/>
    <w:qFormat/>
    <w:rsid w:val="0095590A"/>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95590A"/>
    <w:pPr>
      <w:keepNext/>
      <w:spacing w:before="60" w:after="60"/>
      <w:jc w:val="center"/>
      <w:outlineLvl w:val="1"/>
    </w:pPr>
    <w:rPr>
      <w:b/>
      <w:snapToGrid w:val="0"/>
      <w:sz w:val="20"/>
    </w:rPr>
  </w:style>
  <w:style w:type="paragraph" w:styleId="Heading3">
    <w:name w:val="heading 3"/>
    <w:basedOn w:val="Normal"/>
    <w:next w:val="BodyText"/>
    <w:link w:val="Heading3Char"/>
    <w:qFormat/>
    <w:rsid w:val="0095590A"/>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95590A"/>
    <w:pPr>
      <w:keepNext/>
      <w:keepLines/>
      <w:spacing w:before="240" w:after="120"/>
      <w:outlineLvl w:val="3"/>
    </w:pPr>
    <w:rPr>
      <w:i/>
    </w:rPr>
  </w:style>
  <w:style w:type="paragraph" w:styleId="Heading5">
    <w:name w:val="heading 5"/>
    <w:basedOn w:val="Normal"/>
    <w:next w:val="Normal"/>
    <w:link w:val="Heading5Char"/>
    <w:autoRedefine/>
    <w:qFormat/>
    <w:rsid w:val="0095590A"/>
    <w:pPr>
      <w:keepNext/>
      <w:numPr>
        <w:ilvl w:val="4"/>
        <w:numId w:val="11"/>
      </w:numPr>
      <w:outlineLvl w:val="4"/>
    </w:pPr>
    <w:rPr>
      <w:b/>
      <w:i/>
      <w:sz w:val="20"/>
    </w:rPr>
  </w:style>
  <w:style w:type="paragraph" w:styleId="Heading6">
    <w:name w:val="heading 6"/>
    <w:basedOn w:val="Normal"/>
    <w:next w:val="Normal"/>
    <w:link w:val="Heading6Char"/>
    <w:qFormat/>
    <w:rsid w:val="0095590A"/>
    <w:pPr>
      <w:keepNext/>
      <w:jc w:val="right"/>
      <w:outlineLvl w:val="5"/>
    </w:pPr>
    <w:rPr>
      <w:b/>
      <w:sz w:val="20"/>
    </w:rPr>
  </w:style>
  <w:style w:type="paragraph" w:styleId="Heading7">
    <w:name w:val="heading 7"/>
    <w:basedOn w:val="Normal"/>
    <w:next w:val="Normal"/>
    <w:link w:val="Heading7Char"/>
    <w:qFormat/>
    <w:rsid w:val="0095590A"/>
    <w:pPr>
      <w:keepNext/>
      <w:ind w:left="159" w:hanging="159"/>
      <w:outlineLvl w:val="6"/>
    </w:pPr>
    <w:rPr>
      <w:b/>
      <w:sz w:val="20"/>
    </w:rPr>
  </w:style>
  <w:style w:type="paragraph" w:styleId="Heading8">
    <w:name w:val="heading 8"/>
    <w:basedOn w:val="Normal"/>
    <w:next w:val="Normal"/>
    <w:link w:val="Heading8Char"/>
    <w:qFormat/>
    <w:rsid w:val="0095590A"/>
    <w:pPr>
      <w:keepNext/>
      <w:numPr>
        <w:ilvl w:val="7"/>
        <w:numId w:val="11"/>
      </w:numPr>
      <w:outlineLvl w:val="7"/>
    </w:pPr>
    <w:rPr>
      <w:rFonts w:ascii="Arial" w:hAnsi="Arial"/>
      <w:b/>
      <w:snapToGrid w:val="0"/>
      <w:color w:val="000000"/>
      <w:sz w:val="20"/>
    </w:rPr>
  </w:style>
  <w:style w:type="paragraph" w:styleId="Heading9">
    <w:name w:val="heading 9"/>
    <w:basedOn w:val="Normal"/>
    <w:next w:val="Normal"/>
    <w:link w:val="Heading9Char"/>
    <w:qFormat/>
    <w:rsid w:val="0095590A"/>
    <w:pPr>
      <w:keepNext/>
      <w:numPr>
        <w:ilvl w:val="8"/>
        <w:numId w:val="11"/>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rsid w:val="0095590A"/>
    <w:rPr>
      <w:rFonts w:ascii="Arial" w:hAnsi="Arial" w:cs="Arial"/>
      <w:b/>
      <w:bCs/>
      <w:sz w:val="24"/>
      <w:szCs w:val="26"/>
      <w:lang w:val="en-AU" w:eastAsia="en-US" w:bidi="ar-SA"/>
    </w:rPr>
  </w:style>
  <w:style w:type="numbering" w:styleId="111111">
    <w:name w:val="Outline List 2"/>
    <w:basedOn w:val="NoList"/>
    <w:rsid w:val="0095590A"/>
    <w:pPr>
      <w:numPr>
        <w:numId w:val="3"/>
      </w:numPr>
    </w:pPr>
  </w:style>
  <w:style w:type="numbering" w:styleId="1ai">
    <w:name w:val="Outline List 1"/>
    <w:basedOn w:val="NoList"/>
    <w:rsid w:val="0095590A"/>
    <w:pPr>
      <w:numPr>
        <w:numId w:val="4"/>
      </w:numPr>
    </w:pPr>
  </w:style>
  <w:style w:type="paragraph" w:customStyle="1" w:styleId="n">
    <w:name w:val="n"/>
    <w:basedOn w:val="Normal"/>
    <w:semiHidden/>
    <w:rsid w:val="0095590A"/>
    <w:pPr>
      <w:jc w:val="both"/>
    </w:pPr>
    <w:rPr>
      <w:sz w:val="16"/>
      <w:szCs w:val="24"/>
    </w:rPr>
  </w:style>
  <w:style w:type="paragraph" w:customStyle="1" w:styleId="1n">
    <w:name w:val="1. n"/>
    <w:basedOn w:val="n"/>
    <w:rsid w:val="0095590A"/>
    <w:rPr>
      <w:iCs/>
      <w:szCs w:val="20"/>
    </w:rPr>
  </w:style>
  <w:style w:type="paragraph" w:customStyle="1" w:styleId="an">
    <w:name w:val="a. n"/>
    <w:basedOn w:val="n"/>
    <w:rsid w:val="0095590A"/>
    <w:rPr>
      <w:iCs/>
      <w:szCs w:val="20"/>
    </w:rPr>
  </w:style>
  <w:style w:type="paragraph" w:customStyle="1" w:styleId="AIblurb">
    <w:name w:val="AI blurb"/>
    <w:basedOn w:val="Normal"/>
    <w:rsid w:val="0095590A"/>
    <w:pPr>
      <w:spacing w:before="120" w:after="240"/>
      <w:ind w:left="380"/>
      <w:jc w:val="both"/>
    </w:pPr>
    <w:rPr>
      <w:sz w:val="20"/>
    </w:rPr>
  </w:style>
  <w:style w:type="paragraph" w:customStyle="1" w:styleId="AIIndent">
    <w:name w:val="AI Indent"/>
    <w:basedOn w:val="Normal"/>
    <w:rsid w:val="0095590A"/>
    <w:pPr>
      <w:tabs>
        <w:tab w:val="num" w:pos="360"/>
      </w:tabs>
      <w:ind w:left="357" w:hanging="357"/>
    </w:pPr>
    <w:rPr>
      <w:sz w:val="20"/>
    </w:rPr>
  </w:style>
  <w:style w:type="paragraph" w:customStyle="1" w:styleId="AINotes">
    <w:name w:val="AI Notes"/>
    <w:basedOn w:val="Normal"/>
    <w:rsid w:val="0095590A"/>
    <w:pPr>
      <w:numPr>
        <w:numId w:val="5"/>
      </w:numPr>
      <w:jc w:val="both"/>
    </w:pPr>
    <w:rPr>
      <w:sz w:val="16"/>
    </w:rPr>
  </w:style>
  <w:style w:type="paragraph" w:customStyle="1" w:styleId="AITableText">
    <w:name w:val="AI Table Text"/>
    <w:basedOn w:val="Normal"/>
    <w:link w:val="AITableTextChar"/>
    <w:rsid w:val="0095590A"/>
    <w:pPr>
      <w:jc w:val="right"/>
    </w:pPr>
    <w:rPr>
      <w:sz w:val="20"/>
      <w:szCs w:val="24"/>
    </w:rPr>
  </w:style>
  <w:style w:type="character" w:customStyle="1" w:styleId="Heading1Char">
    <w:name w:val="Heading 1 Char"/>
    <w:basedOn w:val="DefaultParagraphFont"/>
    <w:link w:val="Heading1"/>
    <w:rsid w:val="00B33B05"/>
    <w:rPr>
      <w:rFonts w:ascii="Arial" w:hAnsi="Arial"/>
      <w:b/>
      <w:caps/>
      <w:kern w:val="28"/>
      <w:sz w:val="28"/>
    </w:rPr>
  </w:style>
  <w:style w:type="character" w:customStyle="1" w:styleId="Heading2Char">
    <w:name w:val="Heading 2 Char"/>
    <w:basedOn w:val="DefaultParagraphFont"/>
    <w:link w:val="Heading2"/>
    <w:rsid w:val="00B33B05"/>
    <w:rPr>
      <w:rFonts w:ascii="Calibri" w:hAnsi="Calibri"/>
      <w:b/>
      <w:snapToGrid w:val="0"/>
    </w:rPr>
  </w:style>
  <w:style w:type="character" w:customStyle="1" w:styleId="Heading3Char">
    <w:name w:val="Heading 3 Char"/>
    <w:basedOn w:val="DefaultParagraphFont"/>
    <w:link w:val="Heading3"/>
    <w:rsid w:val="00B33B05"/>
    <w:rPr>
      <w:rFonts w:ascii="Arial" w:hAnsi="Arial" w:cs="Arial"/>
      <w:b/>
      <w:bCs/>
      <w:sz w:val="24"/>
      <w:szCs w:val="26"/>
    </w:rPr>
  </w:style>
  <w:style w:type="character" w:customStyle="1" w:styleId="Heading4Char">
    <w:name w:val="Heading 4 Char"/>
    <w:basedOn w:val="DefaultParagraphFont"/>
    <w:link w:val="Heading4"/>
    <w:rsid w:val="00B33B05"/>
    <w:rPr>
      <w:rFonts w:ascii="Calibri" w:hAnsi="Calibri"/>
      <w:i/>
      <w:sz w:val="24"/>
    </w:rPr>
  </w:style>
  <w:style w:type="character" w:customStyle="1" w:styleId="Heading5Char">
    <w:name w:val="Heading 5 Char"/>
    <w:basedOn w:val="DefaultParagraphFont"/>
    <w:link w:val="Heading5"/>
    <w:rsid w:val="00B33B05"/>
    <w:rPr>
      <w:rFonts w:ascii="Calibri" w:hAnsi="Calibri"/>
      <w:b/>
      <w:i/>
    </w:rPr>
  </w:style>
  <w:style w:type="character" w:customStyle="1" w:styleId="Heading6Char">
    <w:name w:val="Heading 6 Char"/>
    <w:basedOn w:val="DefaultParagraphFont"/>
    <w:link w:val="Heading6"/>
    <w:rsid w:val="00B33B05"/>
    <w:rPr>
      <w:rFonts w:ascii="Calibri" w:hAnsi="Calibri"/>
      <w:b/>
    </w:rPr>
  </w:style>
  <w:style w:type="character" w:customStyle="1" w:styleId="Heading7Char">
    <w:name w:val="Heading 7 Char"/>
    <w:basedOn w:val="DefaultParagraphFont"/>
    <w:link w:val="Heading7"/>
    <w:rsid w:val="00B33B05"/>
    <w:rPr>
      <w:rFonts w:ascii="Calibri" w:hAnsi="Calibri"/>
      <w:b/>
    </w:rPr>
  </w:style>
  <w:style w:type="character" w:customStyle="1" w:styleId="Heading8Char">
    <w:name w:val="Heading 8 Char"/>
    <w:basedOn w:val="DefaultParagraphFont"/>
    <w:link w:val="Heading8"/>
    <w:rsid w:val="00B33B05"/>
    <w:rPr>
      <w:rFonts w:ascii="Arial" w:hAnsi="Arial"/>
      <w:b/>
      <w:snapToGrid w:val="0"/>
      <w:color w:val="000000"/>
    </w:rPr>
  </w:style>
  <w:style w:type="character" w:customStyle="1" w:styleId="Heading9Char">
    <w:name w:val="Heading 9 Char"/>
    <w:basedOn w:val="DefaultParagraphFont"/>
    <w:link w:val="Heading9"/>
    <w:rsid w:val="00B33B05"/>
    <w:rPr>
      <w:rFonts w:ascii="Arial" w:hAnsi="Arial" w:cs="Arial"/>
      <w:b/>
      <w:snapToGrid w:val="0"/>
      <w:color w:val="000000"/>
      <w:sz w:val="18"/>
    </w:rPr>
  </w:style>
  <w:style w:type="numbering" w:styleId="ArticleSection">
    <w:name w:val="Outline List 3"/>
    <w:basedOn w:val="NoList"/>
    <w:rsid w:val="0095590A"/>
    <w:pPr>
      <w:numPr>
        <w:numId w:val="6"/>
      </w:numPr>
    </w:pPr>
  </w:style>
  <w:style w:type="paragraph" w:styleId="BalloonText">
    <w:name w:val="Balloon Text"/>
    <w:basedOn w:val="Normal"/>
    <w:link w:val="BalloonTextChar"/>
    <w:semiHidden/>
    <w:rsid w:val="0095590A"/>
    <w:rPr>
      <w:rFonts w:ascii="Tahoma" w:hAnsi="Tahoma" w:cs="Tahoma"/>
      <w:sz w:val="16"/>
      <w:szCs w:val="16"/>
    </w:rPr>
  </w:style>
  <w:style w:type="character" w:customStyle="1" w:styleId="BalloonTextChar">
    <w:name w:val="Balloon Text Char"/>
    <w:basedOn w:val="DefaultParagraphFont"/>
    <w:link w:val="BalloonText"/>
    <w:semiHidden/>
    <w:rsid w:val="00B33B05"/>
    <w:rPr>
      <w:rFonts w:ascii="Tahoma" w:hAnsi="Tahoma" w:cs="Tahoma"/>
      <w:sz w:val="16"/>
      <w:szCs w:val="16"/>
    </w:rPr>
  </w:style>
  <w:style w:type="paragraph" w:styleId="BlockText">
    <w:name w:val="Block Text"/>
    <w:basedOn w:val="Normal"/>
    <w:rsid w:val="0095590A"/>
    <w:pPr>
      <w:spacing w:after="120"/>
      <w:ind w:left="1440" w:right="1440"/>
    </w:pPr>
  </w:style>
  <w:style w:type="paragraph" w:styleId="BodyText">
    <w:name w:val="Body Text"/>
    <w:basedOn w:val="Normal"/>
    <w:link w:val="BodyTextChar"/>
    <w:rsid w:val="0095590A"/>
    <w:pPr>
      <w:keepNext/>
      <w:keepLines/>
      <w:spacing w:before="120" w:after="120"/>
      <w:jc w:val="both"/>
    </w:pPr>
  </w:style>
  <w:style w:type="character" w:customStyle="1" w:styleId="BodyTextChar">
    <w:name w:val="Body Text Char"/>
    <w:basedOn w:val="DefaultParagraphFont"/>
    <w:link w:val="BodyText"/>
    <w:uiPriority w:val="99"/>
    <w:rsid w:val="00B33B05"/>
    <w:rPr>
      <w:rFonts w:ascii="Calibri" w:hAnsi="Calibri"/>
      <w:sz w:val="24"/>
    </w:rPr>
  </w:style>
  <w:style w:type="paragraph" w:styleId="BodyText2">
    <w:name w:val="Body Text 2"/>
    <w:basedOn w:val="Normal"/>
    <w:link w:val="BodyText2Char"/>
    <w:rsid w:val="0095590A"/>
    <w:pPr>
      <w:spacing w:after="120" w:line="480" w:lineRule="auto"/>
    </w:pPr>
  </w:style>
  <w:style w:type="character" w:customStyle="1" w:styleId="BodyText2Char">
    <w:name w:val="Body Text 2 Char"/>
    <w:basedOn w:val="DefaultParagraphFont"/>
    <w:link w:val="BodyText2"/>
    <w:rsid w:val="00B33B05"/>
    <w:rPr>
      <w:rFonts w:ascii="Calibri" w:hAnsi="Calibri"/>
      <w:sz w:val="24"/>
    </w:rPr>
  </w:style>
  <w:style w:type="paragraph" w:styleId="BodyText3">
    <w:name w:val="Body Text 3"/>
    <w:basedOn w:val="Normal"/>
    <w:link w:val="BodyText3Char"/>
    <w:rsid w:val="0095590A"/>
    <w:pPr>
      <w:spacing w:after="120"/>
    </w:pPr>
    <w:rPr>
      <w:sz w:val="16"/>
      <w:szCs w:val="16"/>
    </w:rPr>
  </w:style>
  <w:style w:type="character" w:customStyle="1" w:styleId="BodyText3Char">
    <w:name w:val="Body Text 3 Char"/>
    <w:basedOn w:val="DefaultParagraphFont"/>
    <w:link w:val="BodyText3"/>
    <w:rsid w:val="00B33B05"/>
    <w:rPr>
      <w:rFonts w:ascii="Calibri" w:hAnsi="Calibri"/>
      <w:sz w:val="16"/>
      <w:szCs w:val="16"/>
    </w:rPr>
  </w:style>
  <w:style w:type="paragraph" w:styleId="BodyTextFirstIndent">
    <w:name w:val="Body Text First Indent"/>
    <w:basedOn w:val="BodyText"/>
    <w:link w:val="BodyTextFirstIndentChar"/>
    <w:rsid w:val="0095590A"/>
    <w:pPr>
      <w:spacing w:before="0"/>
      <w:ind w:firstLine="210"/>
      <w:jc w:val="left"/>
    </w:pPr>
  </w:style>
  <w:style w:type="character" w:customStyle="1" w:styleId="BodyTextFirstIndentChar">
    <w:name w:val="Body Text First Indent Char"/>
    <w:basedOn w:val="BodyTextChar"/>
    <w:link w:val="BodyTextFirstIndent"/>
    <w:rsid w:val="00B33B05"/>
  </w:style>
  <w:style w:type="paragraph" w:styleId="BodyTextIndent">
    <w:name w:val="Body Text Indent"/>
    <w:basedOn w:val="Normal"/>
    <w:next w:val="BodyText"/>
    <w:link w:val="BodyTextIndentChar"/>
    <w:rsid w:val="0095590A"/>
    <w:pPr>
      <w:keepNext/>
      <w:keepLines/>
      <w:numPr>
        <w:numId w:val="7"/>
      </w:numPr>
      <w:spacing w:after="120"/>
      <w:jc w:val="both"/>
    </w:pPr>
    <w:rPr>
      <w:szCs w:val="24"/>
    </w:rPr>
  </w:style>
  <w:style w:type="character" w:customStyle="1" w:styleId="BodyTextIndentChar">
    <w:name w:val="Body Text Indent Char"/>
    <w:basedOn w:val="DefaultParagraphFont"/>
    <w:link w:val="BodyTextIndent"/>
    <w:rsid w:val="00B33B05"/>
    <w:rPr>
      <w:rFonts w:ascii="Calibri" w:hAnsi="Calibri"/>
      <w:sz w:val="24"/>
      <w:szCs w:val="24"/>
      <w:lang w:eastAsia="en-US"/>
    </w:rPr>
  </w:style>
  <w:style w:type="paragraph" w:styleId="BodyTextFirstIndent2">
    <w:name w:val="Body Text First Indent 2"/>
    <w:basedOn w:val="BodyTextIndent"/>
    <w:link w:val="BodyTextFirstIndent2Char"/>
    <w:rsid w:val="0095590A"/>
    <w:pPr>
      <w:numPr>
        <w:numId w:val="0"/>
      </w:numPr>
      <w:ind w:left="283" w:firstLine="210"/>
      <w:jc w:val="left"/>
    </w:pPr>
  </w:style>
  <w:style w:type="character" w:customStyle="1" w:styleId="BodyTextFirstIndent2Char">
    <w:name w:val="Body Text First Indent 2 Char"/>
    <w:basedOn w:val="BodyTextIndentChar"/>
    <w:link w:val="BodyTextFirstIndent2"/>
    <w:rsid w:val="00B33B05"/>
  </w:style>
  <w:style w:type="paragraph" w:styleId="BodyTextIndent2">
    <w:name w:val="Body Text Indent 2"/>
    <w:basedOn w:val="Normal"/>
    <w:link w:val="BodyTextIndent2Char"/>
    <w:rsid w:val="0095590A"/>
    <w:pPr>
      <w:keepNext/>
      <w:keepLines/>
      <w:numPr>
        <w:numId w:val="8"/>
      </w:numPr>
      <w:spacing w:after="120"/>
      <w:jc w:val="both"/>
    </w:pPr>
  </w:style>
  <w:style w:type="character" w:customStyle="1" w:styleId="BodyTextIndent2Char">
    <w:name w:val="Body Text Indent 2 Char"/>
    <w:basedOn w:val="DefaultParagraphFont"/>
    <w:link w:val="BodyTextIndent2"/>
    <w:rsid w:val="00B33B05"/>
    <w:rPr>
      <w:rFonts w:ascii="Calibri" w:hAnsi="Calibri"/>
      <w:sz w:val="24"/>
    </w:rPr>
  </w:style>
  <w:style w:type="paragraph" w:styleId="BodyTextIndent3">
    <w:name w:val="Body Text Indent 3"/>
    <w:basedOn w:val="Normal"/>
    <w:link w:val="BodyTextIndent3Char"/>
    <w:rsid w:val="0095590A"/>
    <w:pPr>
      <w:keepNext/>
      <w:keepLines/>
      <w:numPr>
        <w:numId w:val="9"/>
      </w:numPr>
      <w:tabs>
        <w:tab w:val="left" w:pos="1134"/>
      </w:tabs>
      <w:spacing w:after="120"/>
      <w:jc w:val="both"/>
    </w:pPr>
    <w:rPr>
      <w:szCs w:val="24"/>
    </w:rPr>
  </w:style>
  <w:style w:type="character" w:customStyle="1" w:styleId="BodyTextIndent3Char">
    <w:name w:val="Body Text Indent 3 Char"/>
    <w:basedOn w:val="DefaultParagraphFont"/>
    <w:link w:val="BodyTextIndent3"/>
    <w:rsid w:val="00B33B05"/>
    <w:rPr>
      <w:rFonts w:ascii="Calibri" w:hAnsi="Calibri"/>
      <w:sz w:val="24"/>
      <w:szCs w:val="24"/>
    </w:rPr>
  </w:style>
  <w:style w:type="paragraph" w:customStyle="1" w:styleId="BodyTextIndent4">
    <w:name w:val="Body Text Indent 4"/>
    <w:basedOn w:val="BodyText"/>
    <w:next w:val="BodyText"/>
    <w:rsid w:val="0095590A"/>
    <w:pPr>
      <w:numPr>
        <w:numId w:val="10"/>
      </w:numPr>
      <w:spacing w:before="0"/>
    </w:pPr>
  </w:style>
  <w:style w:type="character" w:customStyle="1" w:styleId="CharChar">
    <w:name w:val="Char Char"/>
    <w:basedOn w:val="DefaultParagraphFont"/>
    <w:rsid w:val="0095590A"/>
    <w:rPr>
      <w:rFonts w:ascii="Calibri" w:hAnsi="Calibri"/>
      <w:sz w:val="24"/>
      <w:lang w:val="en-AU" w:eastAsia="en-US" w:bidi="ar-SA"/>
    </w:rPr>
  </w:style>
  <w:style w:type="paragraph" w:styleId="Closing">
    <w:name w:val="Closing"/>
    <w:basedOn w:val="Normal"/>
    <w:link w:val="ClosingChar"/>
    <w:rsid w:val="0095590A"/>
    <w:pPr>
      <w:ind w:left="4252"/>
    </w:pPr>
  </w:style>
  <w:style w:type="character" w:customStyle="1" w:styleId="ClosingChar">
    <w:name w:val="Closing Char"/>
    <w:basedOn w:val="DefaultParagraphFont"/>
    <w:link w:val="Closing"/>
    <w:rsid w:val="00B33B05"/>
    <w:rPr>
      <w:rFonts w:ascii="Calibri" w:hAnsi="Calibri"/>
      <w:sz w:val="24"/>
    </w:rPr>
  </w:style>
  <w:style w:type="table" w:styleId="ColorfulGrid-Accent2">
    <w:name w:val="Colorful Grid Accent 2"/>
    <w:basedOn w:val="TableNormal"/>
    <w:uiPriority w:val="73"/>
    <w:rsid w:val="0095590A"/>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5590A"/>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5590A"/>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5590A"/>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5590A"/>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95590A"/>
    <w:rPr>
      <w:rFonts w:ascii="Calibri" w:hAnsi="Calibri"/>
      <w:sz w:val="16"/>
      <w:szCs w:val="16"/>
    </w:rPr>
  </w:style>
  <w:style w:type="paragraph" w:styleId="CommentText">
    <w:name w:val="annotation text"/>
    <w:basedOn w:val="Normal"/>
    <w:link w:val="CommentTextChar"/>
    <w:rsid w:val="0095590A"/>
    <w:rPr>
      <w:sz w:val="20"/>
    </w:rPr>
  </w:style>
  <w:style w:type="character" w:customStyle="1" w:styleId="CommentTextChar">
    <w:name w:val="Comment Text Char"/>
    <w:basedOn w:val="DefaultParagraphFont"/>
    <w:link w:val="CommentText"/>
    <w:rsid w:val="00B33B05"/>
    <w:rPr>
      <w:rFonts w:ascii="Calibri" w:hAnsi="Calibri"/>
    </w:rPr>
  </w:style>
  <w:style w:type="paragraph" w:styleId="CommentSubject">
    <w:name w:val="annotation subject"/>
    <w:basedOn w:val="CommentText"/>
    <w:next w:val="CommentText"/>
    <w:link w:val="CommentSubjectChar"/>
    <w:rsid w:val="0095590A"/>
    <w:rPr>
      <w:b/>
      <w:bCs/>
    </w:rPr>
  </w:style>
  <w:style w:type="character" w:customStyle="1" w:styleId="CommentSubjectChar">
    <w:name w:val="Comment Subject Char"/>
    <w:basedOn w:val="CommentTextChar"/>
    <w:link w:val="CommentSubject"/>
    <w:rsid w:val="00B33B05"/>
    <w:rPr>
      <w:b/>
      <w:bCs/>
    </w:rPr>
  </w:style>
  <w:style w:type="paragraph" w:styleId="Date">
    <w:name w:val="Date"/>
    <w:basedOn w:val="Normal"/>
    <w:next w:val="Normal"/>
    <w:link w:val="DateChar"/>
    <w:rsid w:val="0095590A"/>
  </w:style>
  <w:style w:type="character" w:customStyle="1" w:styleId="DateChar">
    <w:name w:val="Date Char"/>
    <w:basedOn w:val="DefaultParagraphFont"/>
    <w:link w:val="Date"/>
    <w:rsid w:val="00B33B05"/>
    <w:rPr>
      <w:rFonts w:ascii="Calibri" w:hAnsi="Calibri"/>
      <w:sz w:val="24"/>
    </w:rPr>
  </w:style>
  <w:style w:type="paragraph" w:styleId="E-mailSignature">
    <w:name w:val="E-mail Signature"/>
    <w:basedOn w:val="Normal"/>
    <w:link w:val="E-mailSignatureChar"/>
    <w:rsid w:val="0095590A"/>
  </w:style>
  <w:style w:type="character" w:customStyle="1" w:styleId="E-mailSignatureChar">
    <w:name w:val="E-mail Signature Char"/>
    <w:basedOn w:val="DefaultParagraphFont"/>
    <w:link w:val="E-mailSignature"/>
    <w:rsid w:val="00B33B05"/>
    <w:rPr>
      <w:rFonts w:ascii="Calibri" w:hAnsi="Calibri"/>
      <w:sz w:val="24"/>
    </w:rPr>
  </w:style>
  <w:style w:type="character" w:styleId="Emphasis">
    <w:name w:val="Emphasis"/>
    <w:basedOn w:val="DefaultParagraphFont"/>
    <w:qFormat/>
    <w:rsid w:val="0095590A"/>
    <w:rPr>
      <w:rFonts w:ascii="Calibri" w:hAnsi="Calibri"/>
      <w:i/>
      <w:iCs/>
    </w:rPr>
  </w:style>
  <w:style w:type="character" w:styleId="EndnoteReference">
    <w:name w:val="endnote reference"/>
    <w:basedOn w:val="DefaultParagraphFont"/>
    <w:rsid w:val="0095590A"/>
    <w:rPr>
      <w:rFonts w:ascii="Calibri" w:hAnsi="Calibri"/>
      <w:vertAlign w:val="superscript"/>
    </w:rPr>
  </w:style>
  <w:style w:type="paragraph" w:styleId="EndnoteText">
    <w:name w:val="endnote text"/>
    <w:basedOn w:val="Normal"/>
    <w:link w:val="EndnoteTextChar"/>
    <w:rsid w:val="0095590A"/>
    <w:rPr>
      <w:sz w:val="20"/>
    </w:rPr>
  </w:style>
  <w:style w:type="character" w:customStyle="1" w:styleId="EndnoteTextChar">
    <w:name w:val="Endnote Text Char"/>
    <w:basedOn w:val="DefaultParagraphFont"/>
    <w:link w:val="EndnoteText"/>
    <w:rsid w:val="00B33B05"/>
    <w:rPr>
      <w:rFonts w:ascii="Calibri" w:hAnsi="Calibri"/>
    </w:rPr>
  </w:style>
  <w:style w:type="paragraph" w:styleId="EnvelopeAddress">
    <w:name w:val="envelope address"/>
    <w:basedOn w:val="Normal"/>
    <w:rsid w:val="0095590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95590A"/>
    <w:rPr>
      <w:rFonts w:ascii="Arial" w:hAnsi="Arial" w:cs="Arial"/>
      <w:sz w:val="20"/>
    </w:rPr>
  </w:style>
  <w:style w:type="character" w:styleId="FollowedHyperlink">
    <w:name w:val="FollowedHyperlink"/>
    <w:basedOn w:val="DefaultParagraphFont"/>
    <w:rsid w:val="0095590A"/>
    <w:rPr>
      <w:color w:val="800080"/>
      <w:u w:val="single"/>
    </w:rPr>
  </w:style>
  <w:style w:type="paragraph" w:styleId="Footer">
    <w:name w:val="footer"/>
    <w:basedOn w:val="Normal"/>
    <w:link w:val="FooterChar"/>
    <w:rsid w:val="0095590A"/>
    <w:pPr>
      <w:tabs>
        <w:tab w:val="center" w:pos="4153"/>
        <w:tab w:val="right" w:pos="8306"/>
      </w:tabs>
    </w:pPr>
  </w:style>
  <w:style w:type="character" w:customStyle="1" w:styleId="FooterChar">
    <w:name w:val="Footer Char"/>
    <w:basedOn w:val="DefaultParagraphFont"/>
    <w:link w:val="Footer"/>
    <w:rsid w:val="00B33B05"/>
    <w:rPr>
      <w:rFonts w:ascii="Calibri" w:hAnsi="Calibri"/>
      <w:sz w:val="24"/>
    </w:rPr>
  </w:style>
  <w:style w:type="paragraph" w:customStyle="1" w:styleId="FooterBP">
    <w:name w:val="Footer BP"/>
    <w:basedOn w:val="Normal"/>
    <w:next w:val="Normal"/>
    <w:rsid w:val="0095590A"/>
    <w:pPr>
      <w:pBdr>
        <w:top w:val="single" w:sz="4" w:space="1" w:color="auto"/>
      </w:pBdr>
      <w:tabs>
        <w:tab w:val="center" w:pos="4536"/>
        <w:tab w:val="right" w:pos="9356"/>
      </w:tabs>
      <w:ind w:left="-284" w:right="-329"/>
    </w:pPr>
    <w:rPr>
      <w:i/>
      <w:sz w:val="20"/>
    </w:rPr>
  </w:style>
  <w:style w:type="character" w:styleId="FootnoteReference">
    <w:name w:val="footnote reference"/>
    <w:basedOn w:val="DefaultParagraphFont"/>
    <w:rsid w:val="0095590A"/>
    <w:rPr>
      <w:rFonts w:ascii="Calibri" w:hAnsi="Calibri"/>
      <w:vertAlign w:val="superscript"/>
    </w:rPr>
  </w:style>
  <w:style w:type="paragraph" w:styleId="FootnoteText">
    <w:name w:val="footnote text"/>
    <w:basedOn w:val="Normal"/>
    <w:link w:val="FootnoteTextChar"/>
    <w:rsid w:val="0095590A"/>
    <w:rPr>
      <w:sz w:val="20"/>
    </w:rPr>
  </w:style>
  <w:style w:type="character" w:customStyle="1" w:styleId="FootnoteTextChar">
    <w:name w:val="Footnote Text Char"/>
    <w:basedOn w:val="DefaultParagraphFont"/>
    <w:link w:val="FootnoteText"/>
    <w:rsid w:val="00B33B05"/>
    <w:rPr>
      <w:rFonts w:ascii="Calibri" w:hAnsi="Calibri"/>
    </w:rPr>
  </w:style>
  <w:style w:type="paragraph" w:styleId="Header">
    <w:name w:val="header"/>
    <w:basedOn w:val="Normal"/>
    <w:link w:val="HeaderChar"/>
    <w:rsid w:val="0095590A"/>
    <w:pPr>
      <w:tabs>
        <w:tab w:val="center" w:pos="4153"/>
        <w:tab w:val="right" w:pos="8306"/>
      </w:tabs>
    </w:pPr>
  </w:style>
  <w:style w:type="character" w:customStyle="1" w:styleId="HeaderChar">
    <w:name w:val="Header Char"/>
    <w:basedOn w:val="DefaultParagraphFont"/>
    <w:link w:val="Header"/>
    <w:rsid w:val="00B33B05"/>
    <w:rPr>
      <w:rFonts w:ascii="Calibri" w:hAnsi="Calibri"/>
      <w:sz w:val="24"/>
    </w:rPr>
  </w:style>
  <w:style w:type="paragraph" w:customStyle="1" w:styleId="Heading3Centred">
    <w:name w:val="Heading 3 Centred"/>
    <w:basedOn w:val="Heading3"/>
    <w:next w:val="BodyText"/>
    <w:rsid w:val="0095590A"/>
    <w:pPr>
      <w:spacing w:before="0"/>
      <w:jc w:val="center"/>
    </w:pPr>
    <w:rPr>
      <w:rFonts w:cs="Times New Roman"/>
      <w:lang w:eastAsia="en-AU"/>
    </w:rPr>
  </w:style>
  <w:style w:type="paragraph" w:customStyle="1" w:styleId="Heading3TopofPage">
    <w:name w:val="Heading 3 Top of Page"/>
    <w:basedOn w:val="Heading3"/>
    <w:next w:val="BodyText"/>
    <w:rsid w:val="0095590A"/>
    <w:pPr>
      <w:spacing w:before="0"/>
    </w:pPr>
    <w:rPr>
      <w:rFonts w:cs="Times New Roman"/>
      <w:lang w:eastAsia="en-AU"/>
    </w:rPr>
  </w:style>
  <w:style w:type="character" w:styleId="HTMLAcronym">
    <w:name w:val="HTML Acronym"/>
    <w:basedOn w:val="DefaultParagraphFont"/>
    <w:rsid w:val="0095590A"/>
  </w:style>
  <w:style w:type="paragraph" w:styleId="HTMLAddress">
    <w:name w:val="HTML Address"/>
    <w:basedOn w:val="Normal"/>
    <w:link w:val="HTMLAddressChar"/>
    <w:rsid w:val="0095590A"/>
    <w:rPr>
      <w:i/>
      <w:iCs/>
    </w:rPr>
  </w:style>
  <w:style w:type="character" w:customStyle="1" w:styleId="HTMLAddressChar">
    <w:name w:val="HTML Address Char"/>
    <w:basedOn w:val="DefaultParagraphFont"/>
    <w:link w:val="HTMLAddress"/>
    <w:rsid w:val="00B33B05"/>
    <w:rPr>
      <w:rFonts w:ascii="Calibri" w:hAnsi="Calibri"/>
      <w:i/>
      <w:iCs/>
      <w:sz w:val="24"/>
    </w:rPr>
  </w:style>
  <w:style w:type="character" w:styleId="HTMLCite">
    <w:name w:val="HTML Cite"/>
    <w:basedOn w:val="DefaultParagraphFont"/>
    <w:rsid w:val="0095590A"/>
    <w:rPr>
      <w:i/>
      <w:iCs/>
    </w:rPr>
  </w:style>
  <w:style w:type="character" w:styleId="HTMLCode">
    <w:name w:val="HTML Code"/>
    <w:basedOn w:val="DefaultParagraphFont"/>
    <w:rsid w:val="0095590A"/>
    <w:rPr>
      <w:rFonts w:ascii="Courier New" w:hAnsi="Courier New" w:cs="Courier New"/>
      <w:sz w:val="20"/>
      <w:szCs w:val="20"/>
    </w:rPr>
  </w:style>
  <w:style w:type="character" w:styleId="HTMLDefinition">
    <w:name w:val="HTML Definition"/>
    <w:basedOn w:val="DefaultParagraphFont"/>
    <w:rsid w:val="0095590A"/>
    <w:rPr>
      <w:i/>
      <w:iCs/>
    </w:rPr>
  </w:style>
  <w:style w:type="character" w:styleId="HTMLKeyboard">
    <w:name w:val="HTML Keyboard"/>
    <w:basedOn w:val="DefaultParagraphFont"/>
    <w:rsid w:val="0095590A"/>
    <w:rPr>
      <w:rFonts w:ascii="Courier New" w:hAnsi="Courier New" w:cs="Courier New"/>
      <w:sz w:val="20"/>
      <w:szCs w:val="20"/>
    </w:rPr>
  </w:style>
  <w:style w:type="paragraph" w:styleId="HTMLPreformatted">
    <w:name w:val="HTML Preformatted"/>
    <w:basedOn w:val="Normal"/>
    <w:link w:val="HTMLPreformattedChar"/>
    <w:rsid w:val="0095590A"/>
    <w:rPr>
      <w:rFonts w:ascii="Courier New" w:hAnsi="Courier New" w:cs="Courier New"/>
      <w:sz w:val="20"/>
    </w:rPr>
  </w:style>
  <w:style w:type="character" w:customStyle="1" w:styleId="HTMLPreformattedChar">
    <w:name w:val="HTML Preformatted Char"/>
    <w:basedOn w:val="DefaultParagraphFont"/>
    <w:link w:val="HTMLPreformatted"/>
    <w:rsid w:val="00B33B05"/>
    <w:rPr>
      <w:rFonts w:ascii="Courier New" w:hAnsi="Courier New" w:cs="Courier New"/>
    </w:rPr>
  </w:style>
  <w:style w:type="character" w:styleId="HTMLSample">
    <w:name w:val="HTML Sample"/>
    <w:basedOn w:val="DefaultParagraphFont"/>
    <w:rsid w:val="0095590A"/>
    <w:rPr>
      <w:rFonts w:ascii="Courier New" w:hAnsi="Courier New" w:cs="Courier New"/>
    </w:rPr>
  </w:style>
  <w:style w:type="character" w:styleId="HTMLTypewriter">
    <w:name w:val="HTML Typewriter"/>
    <w:basedOn w:val="DefaultParagraphFont"/>
    <w:rsid w:val="0095590A"/>
    <w:rPr>
      <w:rFonts w:ascii="Courier New" w:hAnsi="Courier New" w:cs="Courier New"/>
      <w:sz w:val="20"/>
      <w:szCs w:val="20"/>
    </w:rPr>
  </w:style>
  <w:style w:type="character" w:styleId="HTMLVariable">
    <w:name w:val="HTML Variable"/>
    <w:basedOn w:val="DefaultParagraphFont"/>
    <w:rsid w:val="0095590A"/>
    <w:rPr>
      <w:i/>
      <w:iCs/>
    </w:rPr>
  </w:style>
  <w:style w:type="character" w:styleId="Hyperlink">
    <w:name w:val="Hyperlink"/>
    <w:basedOn w:val="DefaultParagraphFont"/>
    <w:rsid w:val="0095590A"/>
    <w:rPr>
      <w:color w:val="0000FF"/>
      <w:u w:val="single"/>
    </w:rPr>
  </w:style>
  <w:style w:type="paragraph" w:styleId="Index1">
    <w:name w:val="index 1"/>
    <w:basedOn w:val="Normal"/>
    <w:next w:val="Normal"/>
    <w:autoRedefine/>
    <w:rsid w:val="0095590A"/>
    <w:pPr>
      <w:ind w:left="240" w:hanging="240"/>
    </w:pPr>
  </w:style>
  <w:style w:type="paragraph" w:styleId="Index2">
    <w:name w:val="index 2"/>
    <w:basedOn w:val="Normal"/>
    <w:next w:val="Normal"/>
    <w:autoRedefine/>
    <w:rsid w:val="0095590A"/>
    <w:pPr>
      <w:ind w:left="480" w:hanging="240"/>
    </w:pPr>
  </w:style>
  <w:style w:type="paragraph" w:styleId="Index3">
    <w:name w:val="index 3"/>
    <w:basedOn w:val="Normal"/>
    <w:next w:val="Normal"/>
    <w:autoRedefine/>
    <w:rsid w:val="0095590A"/>
    <w:pPr>
      <w:ind w:left="720" w:hanging="240"/>
    </w:pPr>
  </w:style>
  <w:style w:type="paragraph" w:styleId="Index4">
    <w:name w:val="index 4"/>
    <w:basedOn w:val="Normal"/>
    <w:next w:val="Normal"/>
    <w:autoRedefine/>
    <w:rsid w:val="0095590A"/>
    <w:pPr>
      <w:ind w:left="960" w:hanging="240"/>
    </w:pPr>
  </w:style>
  <w:style w:type="paragraph" w:styleId="Index5">
    <w:name w:val="index 5"/>
    <w:basedOn w:val="Normal"/>
    <w:next w:val="Normal"/>
    <w:autoRedefine/>
    <w:rsid w:val="0095590A"/>
    <w:pPr>
      <w:ind w:left="1200" w:hanging="240"/>
    </w:pPr>
  </w:style>
  <w:style w:type="paragraph" w:styleId="Index6">
    <w:name w:val="index 6"/>
    <w:basedOn w:val="Normal"/>
    <w:next w:val="Normal"/>
    <w:autoRedefine/>
    <w:rsid w:val="0095590A"/>
    <w:pPr>
      <w:ind w:left="1440" w:hanging="240"/>
    </w:pPr>
  </w:style>
  <w:style w:type="paragraph" w:styleId="Index7">
    <w:name w:val="index 7"/>
    <w:basedOn w:val="Normal"/>
    <w:next w:val="Normal"/>
    <w:autoRedefine/>
    <w:rsid w:val="0095590A"/>
    <w:pPr>
      <w:ind w:left="1680" w:hanging="240"/>
    </w:pPr>
  </w:style>
  <w:style w:type="paragraph" w:styleId="Index8">
    <w:name w:val="index 8"/>
    <w:basedOn w:val="Normal"/>
    <w:next w:val="Normal"/>
    <w:autoRedefine/>
    <w:rsid w:val="0095590A"/>
    <w:pPr>
      <w:ind w:left="1920" w:hanging="240"/>
    </w:pPr>
  </w:style>
  <w:style w:type="paragraph" w:styleId="Index9">
    <w:name w:val="index 9"/>
    <w:basedOn w:val="Normal"/>
    <w:next w:val="Normal"/>
    <w:autoRedefine/>
    <w:rsid w:val="0095590A"/>
    <w:pPr>
      <w:ind w:left="2160" w:hanging="240"/>
    </w:pPr>
  </w:style>
  <w:style w:type="paragraph" w:styleId="IndexHeading">
    <w:name w:val="index heading"/>
    <w:basedOn w:val="Normal"/>
    <w:next w:val="Index1"/>
    <w:rsid w:val="0095590A"/>
    <w:rPr>
      <w:b/>
      <w:bCs/>
    </w:rPr>
  </w:style>
  <w:style w:type="character" w:styleId="LineNumber">
    <w:name w:val="line number"/>
    <w:basedOn w:val="DefaultParagraphFont"/>
    <w:rsid w:val="0095590A"/>
  </w:style>
  <w:style w:type="paragraph" w:styleId="List">
    <w:name w:val="List"/>
    <w:basedOn w:val="Normal"/>
    <w:rsid w:val="0095590A"/>
    <w:pPr>
      <w:ind w:left="283" w:hanging="283"/>
    </w:pPr>
  </w:style>
  <w:style w:type="paragraph" w:styleId="List2">
    <w:name w:val="List 2"/>
    <w:basedOn w:val="Normal"/>
    <w:rsid w:val="0095590A"/>
    <w:pPr>
      <w:ind w:left="566" w:hanging="283"/>
    </w:pPr>
  </w:style>
  <w:style w:type="paragraph" w:styleId="List3">
    <w:name w:val="List 3"/>
    <w:basedOn w:val="Normal"/>
    <w:rsid w:val="0095590A"/>
    <w:pPr>
      <w:ind w:left="849" w:hanging="283"/>
    </w:pPr>
  </w:style>
  <w:style w:type="paragraph" w:styleId="List4">
    <w:name w:val="List 4"/>
    <w:basedOn w:val="Normal"/>
    <w:rsid w:val="0095590A"/>
    <w:pPr>
      <w:ind w:left="1132" w:hanging="283"/>
    </w:pPr>
  </w:style>
  <w:style w:type="paragraph" w:styleId="List5">
    <w:name w:val="List 5"/>
    <w:basedOn w:val="Normal"/>
    <w:rsid w:val="0095590A"/>
    <w:pPr>
      <w:ind w:left="1415" w:hanging="283"/>
    </w:pPr>
  </w:style>
  <w:style w:type="paragraph" w:styleId="ListBullet">
    <w:name w:val="List Bullet"/>
    <w:basedOn w:val="Normal"/>
    <w:rsid w:val="0095590A"/>
    <w:pPr>
      <w:numPr>
        <w:numId w:val="12"/>
      </w:numPr>
    </w:pPr>
  </w:style>
  <w:style w:type="paragraph" w:styleId="ListBullet2">
    <w:name w:val="List Bullet 2"/>
    <w:basedOn w:val="Normal"/>
    <w:rsid w:val="0095590A"/>
    <w:pPr>
      <w:numPr>
        <w:numId w:val="13"/>
      </w:numPr>
    </w:pPr>
  </w:style>
  <w:style w:type="paragraph" w:styleId="ListBullet3">
    <w:name w:val="List Bullet 3"/>
    <w:basedOn w:val="Normal"/>
    <w:rsid w:val="0095590A"/>
    <w:pPr>
      <w:numPr>
        <w:numId w:val="14"/>
      </w:numPr>
    </w:pPr>
  </w:style>
  <w:style w:type="paragraph" w:styleId="ListBullet4">
    <w:name w:val="List Bullet 4"/>
    <w:basedOn w:val="Normal"/>
    <w:rsid w:val="0095590A"/>
    <w:pPr>
      <w:numPr>
        <w:numId w:val="15"/>
      </w:numPr>
    </w:pPr>
  </w:style>
  <w:style w:type="paragraph" w:styleId="ListBullet5">
    <w:name w:val="List Bullet 5"/>
    <w:basedOn w:val="Normal"/>
    <w:rsid w:val="0095590A"/>
    <w:pPr>
      <w:numPr>
        <w:numId w:val="16"/>
      </w:numPr>
    </w:pPr>
  </w:style>
  <w:style w:type="paragraph" w:styleId="ListContinue">
    <w:name w:val="List Continue"/>
    <w:basedOn w:val="Normal"/>
    <w:rsid w:val="0095590A"/>
    <w:pPr>
      <w:spacing w:after="120"/>
      <w:ind w:left="283"/>
    </w:pPr>
  </w:style>
  <w:style w:type="paragraph" w:styleId="ListContinue2">
    <w:name w:val="List Continue 2"/>
    <w:basedOn w:val="Normal"/>
    <w:rsid w:val="0095590A"/>
    <w:pPr>
      <w:spacing w:after="120"/>
      <w:ind w:left="566"/>
    </w:pPr>
  </w:style>
  <w:style w:type="paragraph" w:styleId="ListContinue3">
    <w:name w:val="List Continue 3"/>
    <w:basedOn w:val="Normal"/>
    <w:rsid w:val="0095590A"/>
    <w:pPr>
      <w:spacing w:after="120"/>
      <w:ind w:left="849"/>
    </w:pPr>
  </w:style>
  <w:style w:type="paragraph" w:styleId="ListContinue4">
    <w:name w:val="List Continue 4"/>
    <w:basedOn w:val="Normal"/>
    <w:rsid w:val="0095590A"/>
    <w:pPr>
      <w:spacing w:after="120"/>
      <w:ind w:left="1132"/>
    </w:pPr>
  </w:style>
  <w:style w:type="paragraph" w:styleId="ListContinue5">
    <w:name w:val="List Continue 5"/>
    <w:basedOn w:val="Normal"/>
    <w:rsid w:val="0095590A"/>
    <w:pPr>
      <w:spacing w:after="120"/>
      <w:ind w:left="1415"/>
    </w:pPr>
  </w:style>
  <w:style w:type="paragraph" w:styleId="ListNumber">
    <w:name w:val="List Number"/>
    <w:basedOn w:val="Normal"/>
    <w:rsid w:val="0095590A"/>
    <w:pPr>
      <w:numPr>
        <w:numId w:val="17"/>
      </w:numPr>
    </w:pPr>
  </w:style>
  <w:style w:type="paragraph" w:styleId="ListNumber2">
    <w:name w:val="List Number 2"/>
    <w:basedOn w:val="Normal"/>
    <w:semiHidden/>
    <w:rsid w:val="0095590A"/>
    <w:pPr>
      <w:numPr>
        <w:numId w:val="18"/>
      </w:numPr>
    </w:pPr>
  </w:style>
  <w:style w:type="paragraph" w:styleId="ListNumber3">
    <w:name w:val="List Number 3"/>
    <w:basedOn w:val="Normal"/>
    <w:rsid w:val="0095590A"/>
    <w:pPr>
      <w:numPr>
        <w:numId w:val="19"/>
      </w:numPr>
    </w:pPr>
  </w:style>
  <w:style w:type="paragraph" w:styleId="ListNumber4">
    <w:name w:val="List Number 4"/>
    <w:basedOn w:val="Normal"/>
    <w:rsid w:val="0095590A"/>
    <w:pPr>
      <w:numPr>
        <w:numId w:val="20"/>
      </w:numPr>
    </w:pPr>
  </w:style>
  <w:style w:type="paragraph" w:styleId="ListNumber5">
    <w:name w:val="List Number 5"/>
    <w:basedOn w:val="Normal"/>
    <w:rsid w:val="0095590A"/>
    <w:pPr>
      <w:numPr>
        <w:numId w:val="21"/>
      </w:numPr>
    </w:pPr>
  </w:style>
  <w:style w:type="paragraph" w:styleId="ListParagraph">
    <w:name w:val="List Paragraph"/>
    <w:basedOn w:val="Normal"/>
    <w:qFormat/>
    <w:rsid w:val="0095590A"/>
    <w:pPr>
      <w:ind w:left="720"/>
    </w:pPr>
    <w:rPr>
      <w:szCs w:val="24"/>
    </w:rPr>
  </w:style>
  <w:style w:type="paragraph" w:styleId="MessageHeader">
    <w:name w:val="Message Header"/>
    <w:basedOn w:val="Normal"/>
    <w:link w:val="MessageHeaderChar"/>
    <w:rsid w:val="009559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B33B05"/>
    <w:rPr>
      <w:rFonts w:ascii="Arial" w:hAnsi="Arial" w:cs="Arial"/>
      <w:sz w:val="24"/>
      <w:szCs w:val="24"/>
      <w:shd w:val="pct20" w:color="auto" w:fill="auto"/>
    </w:rPr>
  </w:style>
  <w:style w:type="paragraph" w:styleId="NormalWeb">
    <w:name w:val="Normal (Web)"/>
    <w:basedOn w:val="Normal"/>
    <w:uiPriority w:val="99"/>
    <w:rsid w:val="0095590A"/>
    <w:rPr>
      <w:szCs w:val="24"/>
    </w:rPr>
  </w:style>
  <w:style w:type="paragraph" w:styleId="NormalIndent">
    <w:name w:val="Normal Indent"/>
    <w:basedOn w:val="Normal"/>
    <w:rsid w:val="0095590A"/>
    <w:pPr>
      <w:ind w:left="720"/>
    </w:pPr>
  </w:style>
  <w:style w:type="paragraph" w:customStyle="1" w:styleId="Noteheading">
    <w:name w:val="Note heading"/>
    <w:basedOn w:val="Normal"/>
    <w:autoRedefine/>
    <w:rsid w:val="0095590A"/>
    <w:pPr>
      <w:spacing w:before="120"/>
      <w:ind w:left="28"/>
    </w:pPr>
    <w:rPr>
      <w:b/>
      <w:bCs/>
      <w:sz w:val="20"/>
    </w:rPr>
  </w:style>
  <w:style w:type="paragraph" w:styleId="NoteHeading0">
    <w:name w:val="Note Heading"/>
    <w:basedOn w:val="Normal"/>
    <w:next w:val="Normal"/>
    <w:link w:val="NoteHeadingChar"/>
    <w:rsid w:val="0095590A"/>
    <w:pPr>
      <w:spacing w:before="120"/>
    </w:pPr>
    <w:rPr>
      <w:b/>
      <w:sz w:val="16"/>
    </w:rPr>
  </w:style>
  <w:style w:type="character" w:customStyle="1" w:styleId="NoteHeadingChar">
    <w:name w:val="Note Heading Char"/>
    <w:basedOn w:val="DefaultParagraphFont"/>
    <w:link w:val="NoteHeading0"/>
    <w:rsid w:val="00B33B05"/>
    <w:rPr>
      <w:rFonts w:ascii="Calibri" w:hAnsi="Calibri"/>
      <w:b/>
      <w:sz w:val="16"/>
    </w:rPr>
  </w:style>
  <w:style w:type="paragraph" w:customStyle="1" w:styleId="NoteText">
    <w:name w:val="Note Text"/>
    <w:basedOn w:val="Normal"/>
    <w:link w:val="NoteTextChar"/>
    <w:rsid w:val="0095590A"/>
    <w:pPr>
      <w:jc w:val="both"/>
    </w:pPr>
    <w:rPr>
      <w:iCs/>
      <w:sz w:val="16"/>
    </w:rPr>
  </w:style>
  <w:style w:type="paragraph" w:customStyle="1" w:styleId="Notes">
    <w:name w:val="Notes"/>
    <w:basedOn w:val="Normal"/>
    <w:semiHidden/>
    <w:rsid w:val="0095590A"/>
    <w:pPr>
      <w:spacing w:before="120"/>
      <w:ind w:left="28"/>
    </w:pPr>
    <w:rPr>
      <w:b/>
      <w:sz w:val="20"/>
      <w:szCs w:val="24"/>
    </w:rPr>
  </w:style>
  <w:style w:type="character" w:styleId="PageNumber">
    <w:name w:val="page number"/>
    <w:basedOn w:val="DefaultParagraphFont"/>
    <w:rsid w:val="0095590A"/>
  </w:style>
  <w:style w:type="paragraph" w:styleId="PlainText">
    <w:name w:val="Plain Text"/>
    <w:basedOn w:val="Normal"/>
    <w:link w:val="PlainTextChar"/>
    <w:rsid w:val="0095590A"/>
    <w:rPr>
      <w:sz w:val="20"/>
      <w:lang w:val="en-US"/>
    </w:rPr>
  </w:style>
  <w:style w:type="character" w:customStyle="1" w:styleId="PlainTextChar">
    <w:name w:val="Plain Text Char"/>
    <w:basedOn w:val="DefaultParagraphFont"/>
    <w:link w:val="PlainText"/>
    <w:rsid w:val="00B33B05"/>
    <w:rPr>
      <w:rFonts w:ascii="Calibri" w:hAnsi="Calibri"/>
      <w:lang w:val="en-US"/>
    </w:rPr>
  </w:style>
  <w:style w:type="paragraph" w:styleId="Salutation">
    <w:name w:val="Salutation"/>
    <w:basedOn w:val="Normal"/>
    <w:next w:val="Normal"/>
    <w:link w:val="SalutationChar"/>
    <w:rsid w:val="0095590A"/>
  </w:style>
  <w:style w:type="character" w:customStyle="1" w:styleId="SalutationChar">
    <w:name w:val="Salutation Char"/>
    <w:basedOn w:val="DefaultParagraphFont"/>
    <w:link w:val="Salutation"/>
    <w:rsid w:val="00B33B05"/>
    <w:rPr>
      <w:rFonts w:ascii="Calibri" w:hAnsi="Calibri"/>
      <w:sz w:val="24"/>
    </w:rPr>
  </w:style>
  <w:style w:type="paragraph" w:customStyle="1" w:styleId="SIHeading1">
    <w:name w:val="SI Heading 1"/>
    <w:basedOn w:val="Normal"/>
    <w:next w:val="BodyText"/>
    <w:rsid w:val="0095590A"/>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95590A"/>
    <w:pPr>
      <w:keepNext/>
      <w:keepLines/>
      <w:spacing w:after="240"/>
      <w:jc w:val="center"/>
      <w:outlineLvl w:val="0"/>
    </w:pPr>
    <w:rPr>
      <w:rFonts w:ascii="Arial" w:hAnsi="Arial"/>
      <w:kern w:val="28"/>
      <w:sz w:val="20"/>
    </w:rPr>
  </w:style>
  <w:style w:type="paragraph" w:styleId="Signature">
    <w:name w:val="Signature"/>
    <w:basedOn w:val="Normal"/>
    <w:link w:val="SignatureChar"/>
    <w:rsid w:val="0095590A"/>
    <w:pPr>
      <w:ind w:left="4252"/>
    </w:pPr>
  </w:style>
  <w:style w:type="character" w:customStyle="1" w:styleId="SignatureChar">
    <w:name w:val="Signature Char"/>
    <w:basedOn w:val="DefaultParagraphFont"/>
    <w:link w:val="Signature"/>
    <w:rsid w:val="00B33B05"/>
    <w:rPr>
      <w:rFonts w:ascii="Calibri" w:hAnsi="Calibri"/>
      <w:sz w:val="24"/>
    </w:rPr>
  </w:style>
  <w:style w:type="paragraph" w:customStyle="1" w:styleId="SinglePara">
    <w:name w:val="Single Para"/>
    <w:basedOn w:val="Normal"/>
    <w:semiHidden/>
    <w:rsid w:val="0095590A"/>
  </w:style>
  <w:style w:type="character" w:styleId="Strong">
    <w:name w:val="Strong"/>
    <w:basedOn w:val="DefaultParagraphFont"/>
    <w:qFormat/>
    <w:rsid w:val="0095590A"/>
    <w:rPr>
      <w:b/>
      <w:bCs/>
    </w:rPr>
  </w:style>
  <w:style w:type="paragraph" w:customStyle="1" w:styleId="Sub-Heading">
    <w:name w:val="Sub-Heading"/>
    <w:basedOn w:val="Normal"/>
    <w:next w:val="BodyText"/>
    <w:rsid w:val="0095590A"/>
    <w:pPr>
      <w:keepNext/>
      <w:spacing w:before="240" w:after="120"/>
      <w:outlineLvl w:val="0"/>
    </w:pPr>
    <w:rPr>
      <w:rFonts w:ascii="Arial" w:hAnsi="Arial"/>
      <w:i/>
    </w:rPr>
  </w:style>
  <w:style w:type="paragraph" w:customStyle="1" w:styleId="Sub-Heading2">
    <w:name w:val="Sub-Heading 2"/>
    <w:basedOn w:val="BodyText"/>
    <w:semiHidden/>
    <w:rsid w:val="0095590A"/>
    <w:rPr>
      <w:i/>
    </w:rPr>
  </w:style>
  <w:style w:type="paragraph" w:styleId="Subtitle">
    <w:name w:val="Subtitle"/>
    <w:basedOn w:val="Normal"/>
    <w:link w:val="SubtitleChar"/>
    <w:qFormat/>
    <w:rsid w:val="0095590A"/>
    <w:pPr>
      <w:spacing w:after="60"/>
      <w:jc w:val="center"/>
      <w:outlineLvl w:val="1"/>
    </w:pPr>
    <w:rPr>
      <w:rFonts w:ascii="Arial" w:hAnsi="Arial" w:cs="Arial"/>
      <w:szCs w:val="24"/>
    </w:rPr>
  </w:style>
  <w:style w:type="character" w:customStyle="1" w:styleId="SubtitleChar">
    <w:name w:val="Subtitle Char"/>
    <w:basedOn w:val="DefaultParagraphFont"/>
    <w:link w:val="Subtitle"/>
    <w:rsid w:val="00B33B05"/>
    <w:rPr>
      <w:rFonts w:ascii="Arial" w:hAnsi="Arial" w:cs="Arial"/>
      <w:sz w:val="24"/>
      <w:szCs w:val="24"/>
    </w:rPr>
  </w:style>
  <w:style w:type="table" w:styleId="Table3Deffects1">
    <w:name w:val="Table 3D effects 1"/>
    <w:basedOn w:val="TableNormal"/>
    <w:rsid w:val="0095590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590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590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590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590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590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590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590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590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590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590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590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590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590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590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5590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590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55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5590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590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590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590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590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590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590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590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95590A"/>
    <w:pPr>
      <w:keepNext/>
      <w:jc w:val="center"/>
    </w:pPr>
    <w:rPr>
      <w:b/>
      <w:sz w:val="20"/>
    </w:rPr>
  </w:style>
  <w:style w:type="paragraph" w:customStyle="1" w:styleId="TableHeadingCentre-BP4">
    <w:name w:val="Table Heading Centre - BP4"/>
    <w:basedOn w:val="Normal"/>
    <w:rsid w:val="0095590A"/>
    <w:pPr>
      <w:keepNext/>
      <w:jc w:val="center"/>
    </w:pPr>
    <w:rPr>
      <w:b/>
      <w:sz w:val="18"/>
    </w:rPr>
  </w:style>
  <w:style w:type="paragraph" w:customStyle="1" w:styleId="TableHeadingCentre-BP3">
    <w:name w:val="Table Heading Centre - BP3"/>
    <w:basedOn w:val="TableHeadingCentre-BP4"/>
    <w:rsid w:val="0095590A"/>
    <w:rPr>
      <w:sz w:val="20"/>
    </w:rPr>
  </w:style>
  <w:style w:type="paragraph" w:customStyle="1" w:styleId="TableHeadingCentre-BP410pt">
    <w:name w:val="Table Heading Centre - BP4 10pt"/>
    <w:basedOn w:val="TableHeadingCentre-BP4"/>
    <w:rsid w:val="0095590A"/>
    <w:rPr>
      <w:sz w:val="20"/>
    </w:rPr>
  </w:style>
  <w:style w:type="paragraph" w:customStyle="1" w:styleId="TableHeadingLeft">
    <w:name w:val="Table Heading Left"/>
    <w:basedOn w:val="Normal"/>
    <w:rsid w:val="0095590A"/>
    <w:pPr>
      <w:keepNext/>
    </w:pPr>
    <w:rPr>
      <w:b/>
      <w:sz w:val="20"/>
      <w:lang w:eastAsia="en-AU"/>
    </w:rPr>
  </w:style>
  <w:style w:type="paragraph" w:customStyle="1" w:styleId="TableHeadingLeft-BP4">
    <w:name w:val="Table Heading Left - BP4"/>
    <w:basedOn w:val="Normal"/>
    <w:rsid w:val="0095590A"/>
    <w:pPr>
      <w:keepNext/>
    </w:pPr>
    <w:rPr>
      <w:b/>
      <w:sz w:val="18"/>
      <w:lang w:eastAsia="en-AU"/>
    </w:rPr>
  </w:style>
  <w:style w:type="paragraph" w:customStyle="1" w:styleId="TableHeadingLeft-BP3">
    <w:name w:val="Table Heading Left - BP3"/>
    <w:basedOn w:val="TableHeadingLeft-BP4"/>
    <w:rsid w:val="0095590A"/>
    <w:rPr>
      <w:sz w:val="20"/>
    </w:rPr>
  </w:style>
  <w:style w:type="paragraph" w:customStyle="1" w:styleId="TableHeadingLeft-BP410pt">
    <w:name w:val="Table Heading Left - BP4 10pt"/>
    <w:basedOn w:val="TableHeadingLeft-BP4"/>
    <w:rsid w:val="0095590A"/>
    <w:rPr>
      <w:sz w:val="20"/>
    </w:rPr>
  </w:style>
  <w:style w:type="paragraph" w:customStyle="1" w:styleId="TableHeadingRight">
    <w:name w:val="Table Heading Right"/>
    <w:basedOn w:val="Normal"/>
    <w:rsid w:val="0095590A"/>
    <w:pPr>
      <w:keepNext/>
      <w:jc w:val="right"/>
    </w:pPr>
    <w:rPr>
      <w:b/>
      <w:sz w:val="20"/>
      <w:szCs w:val="24"/>
    </w:rPr>
  </w:style>
  <w:style w:type="paragraph" w:customStyle="1" w:styleId="TableHeadingRight-BP4">
    <w:name w:val="Table Heading Right - BP4"/>
    <w:basedOn w:val="Normal"/>
    <w:rsid w:val="0095590A"/>
    <w:pPr>
      <w:keepNext/>
      <w:jc w:val="right"/>
    </w:pPr>
    <w:rPr>
      <w:b/>
      <w:sz w:val="18"/>
      <w:szCs w:val="24"/>
    </w:rPr>
  </w:style>
  <w:style w:type="paragraph" w:customStyle="1" w:styleId="TableHeadingRight-BP3">
    <w:name w:val="Table Heading Right - BP3"/>
    <w:basedOn w:val="TableHeadingRight-BP4"/>
    <w:rsid w:val="0095590A"/>
    <w:rPr>
      <w:sz w:val="20"/>
    </w:rPr>
  </w:style>
  <w:style w:type="paragraph" w:customStyle="1" w:styleId="TableHeadingRight-BP410pt">
    <w:name w:val="Table Heading Right - BP4 10pt"/>
    <w:basedOn w:val="TableHeadingRight-BP4"/>
    <w:rsid w:val="0095590A"/>
    <w:rPr>
      <w:sz w:val="20"/>
    </w:rPr>
  </w:style>
  <w:style w:type="table" w:styleId="TableList1">
    <w:name w:val="Table List 1"/>
    <w:basedOn w:val="TableNormal"/>
    <w:rsid w:val="0095590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590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590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590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590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590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590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590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ame">
    <w:name w:val="Table Name"/>
    <w:basedOn w:val="Normal"/>
    <w:rsid w:val="0095590A"/>
    <w:pPr>
      <w:keepNext/>
      <w:keepLines/>
      <w:spacing w:after="120"/>
      <w:jc w:val="center"/>
    </w:pPr>
    <w:rPr>
      <w:rFonts w:ascii="Arial" w:hAnsi="Arial"/>
      <w:b/>
      <w:sz w:val="20"/>
    </w:rPr>
  </w:style>
  <w:style w:type="paragraph" w:customStyle="1" w:styleId="TableNumber">
    <w:name w:val="Table Number"/>
    <w:basedOn w:val="TableName"/>
    <w:next w:val="TableName"/>
    <w:rsid w:val="0095590A"/>
    <w:pPr>
      <w:spacing w:before="60" w:after="0"/>
    </w:pPr>
  </w:style>
  <w:style w:type="paragraph" w:customStyle="1" w:styleId="TableNumbersRight">
    <w:name w:val="Table Numbers Right"/>
    <w:basedOn w:val="TableHeadingRight"/>
    <w:rsid w:val="0095590A"/>
    <w:rPr>
      <w:b w:val="0"/>
    </w:rPr>
  </w:style>
  <w:style w:type="paragraph" w:customStyle="1" w:styleId="TableNumbersRight-BP4">
    <w:name w:val="Table Numbers Right - BP4"/>
    <w:basedOn w:val="Normal"/>
    <w:rsid w:val="0095590A"/>
    <w:pPr>
      <w:jc w:val="right"/>
    </w:pPr>
    <w:rPr>
      <w:sz w:val="18"/>
    </w:rPr>
  </w:style>
  <w:style w:type="paragraph" w:customStyle="1" w:styleId="TableNumbersRight-BP3">
    <w:name w:val="Table Numbers Right - BP3"/>
    <w:basedOn w:val="TableNumbersRight-BP4"/>
    <w:rsid w:val="0095590A"/>
    <w:rPr>
      <w:sz w:val="20"/>
    </w:rPr>
  </w:style>
  <w:style w:type="paragraph" w:styleId="TableofAuthorities">
    <w:name w:val="table of authorities"/>
    <w:basedOn w:val="Normal"/>
    <w:next w:val="Normal"/>
    <w:rsid w:val="0095590A"/>
    <w:pPr>
      <w:ind w:left="240" w:hanging="240"/>
    </w:pPr>
  </w:style>
  <w:style w:type="paragraph" w:styleId="TableofFigures">
    <w:name w:val="table of figures"/>
    <w:basedOn w:val="Normal"/>
    <w:next w:val="Normal"/>
    <w:rsid w:val="0095590A"/>
  </w:style>
  <w:style w:type="table" w:styleId="TableProfessional">
    <w:name w:val="Table Professional"/>
    <w:basedOn w:val="TableNormal"/>
    <w:rsid w:val="0095590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5590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590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590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590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590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95590A"/>
    <w:pPr>
      <w:numPr>
        <w:numId w:val="22"/>
      </w:numPr>
      <w:spacing w:before="60"/>
    </w:pPr>
    <w:rPr>
      <w:rFonts w:ascii="Calibri" w:hAnsi="Calibri"/>
      <w:szCs w:val="24"/>
      <w:lang w:eastAsia="en-US"/>
    </w:rPr>
  </w:style>
  <w:style w:type="paragraph" w:customStyle="1" w:styleId="Tabletextindenta">
    <w:name w:val="Table text indent a"/>
    <w:aliases w:val="b,c...,c... BP3"/>
    <w:basedOn w:val="Normal"/>
    <w:autoRedefine/>
    <w:semiHidden/>
    <w:rsid w:val="0095590A"/>
    <w:pPr>
      <w:numPr>
        <w:numId w:val="23"/>
      </w:numPr>
      <w:spacing w:before="60"/>
    </w:pPr>
    <w:rPr>
      <w:kern w:val="16"/>
      <w:sz w:val="20"/>
      <w:szCs w:val="24"/>
    </w:rPr>
  </w:style>
  <w:style w:type="paragraph" w:customStyle="1" w:styleId="TableTextLeft">
    <w:name w:val="Table Text Left"/>
    <w:basedOn w:val="Normal"/>
    <w:rsid w:val="0095590A"/>
    <w:pPr>
      <w:ind w:left="357" w:hanging="357"/>
    </w:pPr>
    <w:rPr>
      <w:sz w:val="20"/>
      <w:szCs w:val="18"/>
    </w:rPr>
  </w:style>
  <w:style w:type="paragraph" w:customStyle="1" w:styleId="TableTextLeft-BP4">
    <w:name w:val="Table Text Left - BP4"/>
    <w:basedOn w:val="Normal"/>
    <w:rsid w:val="0095590A"/>
    <w:pPr>
      <w:ind w:left="142" w:hanging="142"/>
    </w:pPr>
    <w:rPr>
      <w:sz w:val="18"/>
      <w:szCs w:val="18"/>
    </w:rPr>
  </w:style>
  <w:style w:type="paragraph" w:customStyle="1" w:styleId="TableTextLeft-BP3">
    <w:name w:val="Table Text Left - BP3"/>
    <w:basedOn w:val="TableTextLeft-BP4"/>
    <w:rsid w:val="0095590A"/>
    <w:rPr>
      <w:sz w:val="20"/>
    </w:rPr>
  </w:style>
  <w:style w:type="paragraph" w:customStyle="1" w:styleId="TableTextLeft-BP410pt">
    <w:name w:val="Table Text Left - BP4 10pt"/>
    <w:basedOn w:val="TableTextLeft-BP4"/>
    <w:rsid w:val="0095590A"/>
    <w:rPr>
      <w:sz w:val="20"/>
    </w:rPr>
  </w:style>
  <w:style w:type="paragraph" w:customStyle="1" w:styleId="TableTextLeft-BP4FS">
    <w:name w:val="Table Text Left - BP4 FS"/>
    <w:basedOn w:val="TableTextLeft-BP4"/>
    <w:rsid w:val="0095590A"/>
    <w:pPr>
      <w:ind w:left="227"/>
    </w:pPr>
  </w:style>
  <w:style w:type="paragraph" w:customStyle="1" w:styleId="TableTextLeftBold">
    <w:name w:val="Table Text Left Bold"/>
    <w:basedOn w:val="Normal"/>
    <w:rsid w:val="0095590A"/>
    <w:pPr>
      <w:ind w:left="357" w:hanging="357"/>
    </w:pPr>
    <w:rPr>
      <w:b/>
      <w:sz w:val="20"/>
    </w:rPr>
  </w:style>
  <w:style w:type="paragraph" w:customStyle="1" w:styleId="TableTextLeftBold-BP4">
    <w:name w:val="Table Text Left Bold - BP4"/>
    <w:basedOn w:val="Normal"/>
    <w:rsid w:val="0095590A"/>
    <w:pPr>
      <w:ind w:left="142" w:hanging="142"/>
    </w:pPr>
    <w:rPr>
      <w:b/>
      <w:sz w:val="18"/>
    </w:rPr>
  </w:style>
  <w:style w:type="paragraph" w:customStyle="1" w:styleId="TableTextLeftBold-BP3">
    <w:name w:val="Table Text Left Bold - BP3"/>
    <w:basedOn w:val="TableTextLeftBold-BP4"/>
    <w:rsid w:val="0095590A"/>
    <w:rPr>
      <w:sz w:val="20"/>
    </w:rPr>
  </w:style>
  <w:style w:type="paragraph" w:customStyle="1" w:styleId="TableTextLeftBold-BP410pt">
    <w:name w:val="Table Text Left Bold - BP4 10pt"/>
    <w:basedOn w:val="TableTextLeftBold-BP4"/>
    <w:rsid w:val="0095590A"/>
    <w:rPr>
      <w:sz w:val="20"/>
    </w:rPr>
  </w:style>
  <w:style w:type="paragraph" w:customStyle="1" w:styleId="TableTextRight">
    <w:name w:val="Table Text Right"/>
    <w:basedOn w:val="Normal"/>
    <w:rsid w:val="0095590A"/>
    <w:pPr>
      <w:ind w:left="357" w:hanging="357"/>
      <w:jc w:val="right"/>
    </w:pPr>
    <w:rPr>
      <w:sz w:val="20"/>
    </w:rPr>
  </w:style>
  <w:style w:type="paragraph" w:customStyle="1" w:styleId="TableTextRight-BP4">
    <w:name w:val="Table Text Right - BP4"/>
    <w:basedOn w:val="Normal"/>
    <w:rsid w:val="0095590A"/>
    <w:pPr>
      <w:jc w:val="right"/>
    </w:pPr>
    <w:rPr>
      <w:sz w:val="18"/>
    </w:rPr>
  </w:style>
  <w:style w:type="paragraph" w:customStyle="1" w:styleId="TableTextRight-BP3">
    <w:name w:val="Table Text Right - BP3"/>
    <w:basedOn w:val="TableTextRight-BP4"/>
    <w:rsid w:val="0095590A"/>
    <w:rPr>
      <w:sz w:val="20"/>
    </w:rPr>
  </w:style>
  <w:style w:type="paragraph" w:customStyle="1" w:styleId="TableTextRight-BP410pt">
    <w:name w:val="Table Text Right - BP4 10pt"/>
    <w:basedOn w:val="TableTextRight-BP4"/>
    <w:rsid w:val="0095590A"/>
    <w:rPr>
      <w:sz w:val="20"/>
    </w:rPr>
  </w:style>
  <w:style w:type="paragraph" w:customStyle="1" w:styleId="TableTextRightBold">
    <w:name w:val="Table Text Right Bold"/>
    <w:basedOn w:val="Normal"/>
    <w:rsid w:val="0095590A"/>
    <w:pPr>
      <w:ind w:left="357" w:hanging="357"/>
      <w:jc w:val="right"/>
    </w:pPr>
    <w:rPr>
      <w:b/>
      <w:sz w:val="20"/>
    </w:rPr>
  </w:style>
  <w:style w:type="paragraph" w:customStyle="1" w:styleId="TableTextRightBold-BP4">
    <w:name w:val="Table Text Right Bold - BP4"/>
    <w:basedOn w:val="Normal"/>
    <w:rsid w:val="0095590A"/>
    <w:pPr>
      <w:jc w:val="right"/>
    </w:pPr>
    <w:rPr>
      <w:b/>
      <w:sz w:val="18"/>
    </w:rPr>
  </w:style>
  <w:style w:type="paragraph" w:customStyle="1" w:styleId="TableTextRightBold-BP3">
    <w:name w:val="Table Text Right Bold - BP3"/>
    <w:basedOn w:val="TableTextRightBold-BP4"/>
    <w:rsid w:val="0095590A"/>
  </w:style>
  <w:style w:type="paragraph" w:customStyle="1" w:styleId="TableTextRightBold-BP410pt">
    <w:name w:val="Table Text Right Bold - BP4 10pt"/>
    <w:basedOn w:val="TableTextRightBold-BP4"/>
    <w:rsid w:val="0095590A"/>
    <w:rPr>
      <w:sz w:val="20"/>
    </w:rPr>
  </w:style>
  <w:style w:type="table" w:styleId="TableTheme">
    <w:name w:val="Table Theme"/>
    <w:basedOn w:val="TableNormal"/>
    <w:rsid w:val="00955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5590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590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590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5590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33B05"/>
    <w:rPr>
      <w:rFonts w:ascii="Arial" w:hAnsi="Arial" w:cs="Arial"/>
      <w:b/>
      <w:bCs/>
      <w:kern w:val="28"/>
      <w:sz w:val="32"/>
      <w:szCs w:val="32"/>
    </w:rPr>
  </w:style>
  <w:style w:type="paragraph" w:styleId="TOAHeading">
    <w:name w:val="toa heading"/>
    <w:basedOn w:val="Normal"/>
    <w:next w:val="Normal"/>
    <w:rsid w:val="0095590A"/>
    <w:pPr>
      <w:spacing w:before="120"/>
    </w:pPr>
    <w:rPr>
      <w:b/>
      <w:bCs/>
      <w:szCs w:val="24"/>
    </w:rPr>
  </w:style>
  <w:style w:type="paragraph" w:styleId="TOC1">
    <w:name w:val="toc 1"/>
    <w:basedOn w:val="Normal"/>
    <w:next w:val="Normal"/>
    <w:autoRedefine/>
    <w:rsid w:val="0095590A"/>
  </w:style>
  <w:style w:type="paragraph" w:styleId="TOC2">
    <w:name w:val="toc 2"/>
    <w:basedOn w:val="Normal"/>
    <w:next w:val="Normal"/>
    <w:autoRedefine/>
    <w:rsid w:val="0095590A"/>
    <w:pPr>
      <w:ind w:left="240"/>
    </w:pPr>
  </w:style>
  <w:style w:type="paragraph" w:styleId="TOC3">
    <w:name w:val="toc 3"/>
    <w:basedOn w:val="Normal"/>
    <w:next w:val="Normal"/>
    <w:autoRedefine/>
    <w:rsid w:val="0095590A"/>
    <w:pPr>
      <w:ind w:left="480"/>
    </w:pPr>
  </w:style>
  <w:style w:type="paragraph" w:styleId="TOC4">
    <w:name w:val="toc 4"/>
    <w:basedOn w:val="Normal"/>
    <w:next w:val="Normal"/>
    <w:autoRedefine/>
    <w:rsid w:val="0095590A"/>
    <w:pPr>
      <w:ind w:left="720"/>
    </w:pPr>
  </w:style>
  <w:style w:type="paragraph" w:styleId="TOC5">
    <w:name w:val="toc 5"/>
    <w:basedOn w:val="Normal"/>
    <w:next w:val="Normal"/>
    <w:autoRedefine/>
    <w:rsid w:val="0095590A"/>
    <w:pPr>
      <w:ind w:left="960"/>
    </w:pPr>
  </w:style>
  <w:style w:type="paragraph" w:styleId="TOC6">
    <w:name w:val="toc 6"/>
    <w:basedOn w:val="Normal"/>
    <w:next w:val="Normal"/>
    <w:autoRedefine/>
    <w:rsid w:val="0095590A"/>
    <w:pPr>
      <w:ind w:left="1200"/>
    </w:pPr>
  </w:style>
  <w:style w:type="paragraph" w:styleId="TOC7">
    <w:name w:val="toc 7"/>
    <w:basedOn w:val="Normal"/>
    <w:next w:val="Normal"/>
    <w:autoRedefine/>
    <w:rsid w:val="0095590A"/>
    <w:pPr>
      <w:ind w:left="1440"/>
    </w:pPr>
  </w:style>
  <w:style w:type="paragraph" w:styleId="TOC8">
    <w:name w:val="toc 8"/>
    <w:basedOn w:val="Normal"/>
    <w:next w:val="Normal"/>
    <w:autoRedefine/>
    <w:rsid w:val="0095590A"/>
    <w:pPr>
      <w:ind w:left="1680"/>
    </w:pPr>
  </w:style>
  <w:style w:type="paragraph" w:styleId="TOC9">
    <w:name w:val="toc 9"/>
    <w:basedOn w:val="Normal"/>
    <w:next w:val="Normal"/>
    <w:autoRedefine/>
    <w:rsid w:val="0095590A"/>
    <w:pPr>
      <w:ind w:left="1920"/>
    </w:pPr>
  </w:style>
  <w:style w:type="paragraph" w:customStyle="1" w:styleId="xl25">
    <w:name w:val="xl25"/>
    <w:basedOn w:val="Normal"/>
    <w:semiHidden/>
    <w:rsid w:val="0095590A"/>
    <w:pPr>
      <w:spacing w:before="100" w:beforeAutospacing="1" w:after="100" w:afterAutospacing="1"/>
    </w:pPr>
    <w:rPr>
      <w:rFonts w:eastAsia="Arial Unicode MS"/>
      <w:sz w:val="18"/>
      <w:szCs w:val="18"/>
    </w:rPr>
  </w:style>
  <w:style w:type="paragraph" w:customStyle="1" w:styleId="Heading10">
    <w:name w:val="Heading 10"/>
    <w:basedOn w:val="Normal"/>
    <w:rsid w:val="001322A0"/>
    <w:rPr>
      <w:rFonts w:ascii="Arial Narrow" w:hAnsi="Arial Narrow"/>
      <w:b/>
      <w:caps/>
      <w:sz w:val="26"/>
    </w:rPr>
  </w:style>
  <w:style w:type="paragraph" w:customStyle="1" w:styleId="MajorHeading">
    <w:name w:val="Major Heading"/>
    <w:basedOn w:val="Normal"/>
    <w:rsid w:val="001322A0"/>
    <w:pPr>
      <w:spacing w:after="240"/>
    </w:pPr>
    <w:rPr>
      <w:rFonts w:ascii="Arial Bold" w:hAnsi="Arial Bold"/>
      <w:b/>
      <w:caps/>
      <w:sz w:val="28"/>
    </w:rPr>
  </w:style>
  <w:style w:type="paragraph" w:customStyle="1" w:styleId="Sub-Headings">
    <w:name w:val="Sub-Headings"/>
    <w:basedOn w:val="BodyText"/>
    <w:link w:val="Sub-HeadingsChar"/>
    <w:rsid w:val="001322A0"/>
    <w:pPr>
      <w:spacing w:before="240"/>
      <w:jc w:val="left"/>
      <w:outlineLvl w:val="0"/>
    </w:pPr>
    <w:rPr>
      <w:rFonts w:ascii="Arial" w:hAnsi="Arial"/>
      <w:i/>
    </w:rPr>
  </w:style>
  <w:style w:type="character" w:customStyle="1" w:styleId="Sub-HeadingsChar">
    <w:name w:val="Sub-Headings Char"/>
    <w:basedOn w:val="BodyTextChar"/>
    <w:link w:val="Sub-Headings"/>
    <w:rsid w:val="001322A0"/>
    <w:rPr>
      <w:rFonts w:ascii="Arial" w:hAnsi="Arial"/>
      <w:i/>
      <w:lang w:eastAsia="en-US"/>
    </w:rPr>
  </w:style>
  <w:style w:type="character" w:customStyle="1" w:styleId="NoteTextChar">
    <w:name w:val="Note Text Char"/>
    <w:basedOn w:val="DefaultParagraphFont"/>
    <w:link w:val="NoteText"/>
    <w:rsid w:val="001322A0"/>
    <w:rPr>
      <w:rFonts w:ascii="Calibri" w:hAnsi="Calibri"/>
      <w:iCs/>
      <w:sz w:val="16"/>
      <w:lang w:eastAsia="en-US"/>
    </w:rPr>
  </w:style>
  <w:style w:type="character" w:customStyle="1" w:styleId="AITableTextChar">
    <w:name w:val="AI Table Text Char"/>
    <w:basedOn w:val="DefaultParagraphFont"/>
    <w:link w:val="AITableText"/>
    <w:rsid w:val="001322A0"/>
    <w:rPr>
      <w:rFonts w:ascii="Calibri" w:hAnsi="Calibri"/>
      <w:szCs w:val="24"/>
      <w:lang w:eastAsia="en-US"/>
    </w:rPr>
  </w:style>
  <w:style w:type="paragraph" w:customStyle="1" w:styleId="TableTextHeading1">
    <w:name w:val="Table Text Heading 1"/>
    <w:basedOn w:val="Normal"/>
    <w:rsid w:val="001322A0"/>
    <w:pPr>
      <w:jc w:val="right"/>
    </w:pPr>
    <w:rPr>
      <w:b/>
      <w:sz w:val="18"/>
      <w:szCs w:val="24"/>
    </w:rPr>
  </w:style>
  <w:style w:type="paragraph" w:styleId="DocumentMap">
    <w:name w:val="Document Map"/>
    <w:basedOn w:val="Normal"/>
    <w:link w:val="DocumentMapChar"/>
    <w:semiHidden/>
    <w:rsid w:val="001322A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1322A0"/>
    <w:rPr>
      <w:rFonts w:ascii="Tahoma" w:hAnsi="Tahoma" w:cs="Tahoma"/>
      <w:shd w:val="clear" w:color="auto" w:fill="000080"/>
      <w:lang w:eastAsia="en-US"/>
    </w:rPr>
  </w:style>
  <w:style w:type="character" w:customStyle="1" w:styleId="CharChar15">
    <w:name w:val="Char Char15"/>
    <w:basedOn w:val="DefaultParagraphFont"/>
    <w:rsid w:val="001322A0"/>
    <w:rPr>
      <w:i/>
      <w:sz w:val="24"/>
      <w:szCs w:val="24"/>
      <w:lang w:eastAsia="en-US"/>
    </w:rPr>
  </w:style>
  <w:style w:type="paragraph" w:customStyle="1" w:styleId="Pa10">
    <w:name w:val="Pa10"/>
    <w:basedOn w:val="Normal"/>
    <w:next w:val="Normal"/>
    <w:uiPriority w:val="99"/>
    <w:rsid w:val="001322A0"/>
    <w:pPr>
      <w:autoSpaceDE w:val="0"/>
      <w:autoSpaceDN w:val="0"/>
      <w:adjustRightInd w:val="0"/>
      <w:spacing w:line="181" w:lineRule="atLeast"/>
    </w:pPr>
    <w:rPr>
      <w:rFonts w:ascii="Swiss 72 1 BT" w:hAnsi="Swiss 72 1 BT"/>
      <w:szCs w:val="24"/>
      <w:lang w:eastAsia="en-AU"/>
    </w:rPr>
  </w:style>
  <w:style w:type="paragraph" w:customStyle="1" w:styleId="Default">
    <w:name w:val="Default"/>
    <w:rsid w:val="001322A0"/>
    <w:pPr>
      <w:autoSpaceDE w:val="0"/>
      <w:autoSpaceDN w:val="0"/>
      <w:adjustRightInd w:val="0"/>
    </w:pPr>
    <w:rPr>
      <w:rFonts w:ascii="Calibri" w:hAnsi="Calibri" w:cs="Calibri"/>
      <w:color w:val="000000"/>
      <w:sz w:val="24"/>
      <w:szCs w:val="24"/>
    </w:rPr>
  </w:style>
  <w:style w:type="paragraph" w:customStyle="1" w:styleId="TSYBullets">
    <w:name w:val="TSY_Bullets"/>
    <w:basedOn w:val="Normal"/>
    <w:rsid w:val="001322A0"/>
    <w:pPr>
      <w:numPr>
        <w:numId w:val="28"/>
      </w:numPr>
      <w:spacing w:before="120" w:after="120"/>
    </w:pPr>
    <w:rPr>
      <w:rFonts w:ascii="Times New Roman" w:hAnsi="Times New Roman" w:cs="Calibri"/>
      <w:sz w:val="22"/>
      <w:szCs w:val="24"/>
      <w:lang w:eastAsia="en-AU"/>
    </w:rPr>
  </w:style>
  <w:style w:type="paragraph" w:customStyle="1" w:styleId="TableTextNumbers">
    <w:name w:val="Table Text Numbers"/>
    <w:basedOn w:val="Normal"/>
    <w:rsid w:val="00703CF9"/>
    <w:pPr>
      <w:spacing w:before="60" w:after="60"/>
      <w:jc w:val="right"/>
    </w:pPr>
    <w:rPr>
      <w:sz w:val="18"/>
      <w:szCs w:val="18"/>
    </w:rPr>
  </w:style>
</w:styles>
</file>

<file path=word/webSettings.xml><?xml version="1.0" encoding="utf-8"?>
<w:webSettings xmlns:r="http://schemas.openxmlformats.org/officeDocument/2006/relationships" xmlns:w="http://schemas.openxmlformats.org/wordprocessingml/2006/main">
  <w:divs>
    <w:div w:id="1283464218">
      <w:bodyDiv w:val="1"/>
      <w:marLeft w:val="0"/>
      <w:marRight w:val="0"/>
      <w:marTop w:val="0"/>
      <w:marBottom w:val="0"/>
      <w:divBdr>
        <w:top w:val="none" w:sz="0" w:space="0" w:color="auto"/>
        <w:left w:val="none" w:sz="0" w:space="0" w:color="auto"/>
        <w:bottom w:val="none" w:sz="0" w:space="0" w:color="auto"/>
        <w:right w:val="none" w:sz="0" w:space="0" w:color="auto"/>
      </w:divBdr>
    </w:div>
    <w:div w:id="14603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92541-441E-4965-A455-41B00015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6600</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Appendix A - Concepts Underlying 2013-14 Budget and Forward Estimates</dc:title>
  <dc:subject>Appendix A -  Concepts Underlying 2013-14 Budget and Forward Estimates</dc:subject>
  <dc:creator>Chief Minister and Treasury Directorate</dc:creator>
  <cp:lastModifiedBy>Keaton Paterson</cp:lastModifiedBy>
  <cp:revision>4</cp:revision>
  <cp:lastPrinted>2013-05-25T05:30:00Z</cp:lastPrinted>
  <dcterms:created xsi:type="dcterms:W3CDTF">2013-05-28T11:24:00Z</dcterms:created>
  <dcterms:modified xsi:type="dcterms:W3CDTF">2013-05-30T07:21:00Z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