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8D6" w:rsidRDefault="006E48D6" w:rsidP="000960D8">
      <w:pPr>
        <w:pStyle w:val="Heading1"/>
      </w:pPr>
      <w:r>
        <w:t>SUPERANNUATION PROVISION ACCOUNT</w:t>
      </w:r>
    </w:p>
    <w:p w:rsidR="006E48D6" w:rsidRDefault="00885F1A" w:rsidP="000979F3">
      <w:pPr>
        <w:pStyle w:val="Heading3"/>
        <w:spacing w:after="120"/>
      </w:pPr>
      <w:r>
        <w:t>Purpose</w:t>
      </w:r>
    </w:p>
    <w:p w:rsidR="004444DF" w:rsidRPr="004B1F76" w:rsidRDefault="004444DF" w:rsidP="004444DF">
      <w:pPr>
        <w:pStyle w:val="BodyText"/>
      </w:pPr>
      <w:r w:rsidRPr="004B1F76">
        <w:t xml:space="preserve">The Superannuation Provision Account (SPA) </w:t>
      </w:r>
      <w:r w:rsidR="004E33F5">
        <w:t>i</w:t>
      </w:r>
      <w:r w:rsidRPr="004B1F76">
        <w:t>s established to recognise the investment assets and defined benefit employer superannuation liabilities of the Territory.</w:t>
      </w:r>
    </w:p>
    <w:p w:rsidR="006E48D6" w:rsidRPr="004B1F76" w:rsidRDefault="00FD4500" w:rsidP="000960D8">
      <w:pPr>
        <w:pStyle w:val="BodyText"/>
      </w:pPr>
      <w:r>
        <w:t xml:space="preserve">The </w:t>
      </w:r>
      <w:r w:rsidR="007B2496">
        <w:t>Chief Minister and Treasury Directorate</w:t>
      </w:r>
      <w:r w:rsidR="00697012">
        <w:t xml:space="preserve"> (CMTD)</w:t>
      </w:r>
      <w:r w:rsidR="007A3A0F">
        <w:t xml:space="preserve">, through the financial operations of the SPA, </w:t>
      </w:r>
      <w:proofErr w:type="gramStart"/>
      <w:r w:rsidR="006E48D6" w:rsidRPr="004B1F76">
        <w:t>assists</w:t>
      </w:r>
      <w:proofErr w:type="gramEnd"/>
      <w:r w:rsidR="006E48D6" w:rsidRPr="004B1F76">
        <w:t xml:space="preserve"> the Government to effectively manage the defined benefit employer superannuation liabilities of the Territory</w:t>
      </w:r>
      <w:r w:rsidR="00470309" w:rsidRPr="004B1F76">
        <w:t xml:space="preserve">.  </w:t>
      </w:r>
      <w:r w:rsidR="006E48D6" w:rsidRPr="004B1F76">
        <w:t xml:space="preserve">This includes the responsibility for the management of the investment funds set aside to meet </w:t>
      </w:r>
      <w:r w:rsidR="004444DF">
        <w:t>those</w:t>
      </w:r>
      <w:r w:rsidR="00890CE2" w:rsidRPr="004B1F76">
        <w:t xml:space="preserve"> </w:t>
      </w:r>
      <w:r w:rsidR="006E48D6" w:rsidRPr="004B1F76">
        <w:t>liabilities</w:t>
      </w:r>
      <w:r w:rsidR="004444DF">
        <w:t xml:space="preserve">.  </w:t>
      </w:r>
    </w:p>
    <w:p w:rsidR="006E48D6" w:rsidRDefault="006E48D6" w:rsidP="000960D8">
      <w:pPr>
        <w:pStyle w:val="BodyText"/>
      </w:pPr>
      <w:r w:rsidRPr="004B1F76">
        <w:t>The SPA also recognises the unfunded superannuation liabilities for the superannuation benefits for the Members of the Legislative Assembly.</w:t>
      </w:r>
    </w:p>
    <w:p w:rsidR="006E48D6" w:rsidRPr="004B1F76" w:rsidRDefault="006E48D6" w:rsidP="000979F3">
      <w:pPr>
        <w:pStyle w:val="Heading3"/>
        <w:spacing w:after="120"/>
      </w:pPr>
      <w:r w:rsidRPr="004B1F76">
        <w:t>201</w:t>
      </w:r>
      <w:r w:rsidR="004639CB">
        <w:t>3</w:t>
      </w:r>
      <w:r w:rsidRPr="004B1F76">
        <w:noBreakHyphen/>
        <w:t>1</w:t>
      </w:r>
      <w:r w:rsidR="004639CB">
        <w:t>4</w:t>
      </w:r>
      <w:r w:rsidRPr="004B1F76">
        <w:t xml:space="preserve"> Priorities</w:t>
      </w:r>
    </w:p>
    <w:p w:rsidR="006E48D6" w:rsidRPr="004B1F76" w:rsidRDefault="006E48D6" w:rsidP="000960D8">
      <w:pPr>
        <w:pStyle w:val="BodyText"/>
      </w:pPr>
      <w:r w:rsidRPr="004B1F76">
        <w:t>Strategic and operational issues to be pursued in 201</w:t>
      </w:r>
      <w:r w:rsidR="004639CB">
        <w:t>3</w:t>
      </w:r>
      <w:r w:rsidRPr="004B1F76">
        <w:noBreakHyphen/>
        <w:t>1</w:t>
      </w:r>
      <w:r w:rsidR="004639CB">
        <w:t>4</w:t>
      </w:r>
      <w:r w:rsidRPr="004B1F76">
        <w:t>:</w:t>
      </w:r>
    </w:p>
    <w:p w:rsidR="006E48D6" w:rsidRPr="004B1F76" w:rsidRDefault="006E48D6" w:rsidP="000960D8">
      <w:pPr>
        <w:pStyle w:val="BodyTextIndent"/>
        <w:ind w:left="357" w:hanging="357"/>
        <w:outlineLvl w:val="0"/>
      </w:pPr>
      <w:r w:rsidRPr="004B1F76">
        <w:t>managing, monitoring and reviewing, as necessary, the SPA investment portfolio in accordance with established investment policies;</w:t>
      </w:r>
    </w:p>
    <w:p w:rsidR="007A3A0F" w:rsidRDefault="00D30803" w:rsidP="000960D8">
      <w:pPr>
        <w:pStyle w:val="BodyTextIndent"/>
        <w:ind w:left="357" w:hanging="357"/>
        <w:outlineLvl w:val="0"/>
      </w:pPr>
      <w:r w:rsidRPr="000271EC">
        <w:t>implement</w:t>
      </w:r>
      <w:r w:rsidR="00C443B0">
        <w:t>ing</w:t>
      </w:r>
      <w:r w:rsidR="00465263">
        <w:t xml:space="preserve"> </w:t>
      </w:r>
      <w:r w:rsidR="004639CB">
        <w:t xml:space="preserve">the </w:t>
      </w:r>
      <w:r w:rsidR="007A3A0F">
        <w:t xml:space="preserve">operational requirements of the </w:t>
      </w:r>
      <w:r w:rsidR="00C77501" w:rsidRPr="000271EC">
        <w:t>Responsible Investment Policy</w:t>
      </w:r>
      <w:r w:rsidR="007A3A0F">
        <w:t>; and</w:t>
      </w:r>
    </w:p>
    <w:p w:rsidR="00840778" w:rsidRPr="000271EC" w:rsidRDefault="007A3A0F" w:rsidP="000960D8">
      <w:pPr>
        <w:pStyle w:val="BodyTextIndent"/>
        <w:ind w:left="357" w:hanging="357"/>
        <w:outlineLvl w:val="0"/>
      </w:pPr>
      <w:proofErr w:type="gramStart"/>
      <w:r>
        <w:t>procur</w:t>
      </w:r>
      <w:r w:rsidR="00C443B0">
        <w:t>ing</w:t>
      </w:r>
      <w:proofErr w:type="gramEnd"/>
      <w:r>
        <w:t xml:space="preserve"> required external services </w:t>
      </w:r>
      <w:r w:rsidR="00BD4D9C">
        <w:t>including</w:t>
      </w:r>
      <w:r>
        <w:t xml:space="preserve"> actuarial</w:t>
      </w:r>
      <w:r w:rsidR="00BD4D9C">
        <w:t>, investment asset custody,</w:t>
      </w:r>
      <w:r>
        <w:t xml:space="preserve"> investment management</w:t>
      </w:r>
      <w:r w:rsidR="00BD4D9C">
        <w:t>, environmental social and governance research, and investment advi</w:t>
      </w:r>
      <w:r w:rsidR="00167A04">
        <w:t>ce</w:t>
      </w:r>
      <w:r w:rsidR="00BD4D9C">
        <w:t>.</w:t>
      </w:r>
    </w:p>
    <w:p w:rsidR="006E48D6" w:rsidRPr="004B1F76" w:rsidRDefault="006E48D6" w:rsidP="000979F3">
      <w:pPr>
        <w:pStyle w:val="Heading3"/>
      </w:pPr>
      <w:r w:rsidRPr="004B1F76">
        <w:t>Estimated Employment Level</w:t>
      </w:r>
    </w:p>
    <w:tbl>
      <w:tblPr>
        <w:tblW w:w="9356" w:type="dxa"/>
        <w:tblLayout w:type="fixed"/>
        <w:tblCellMar>
          <w:left w:w="0" w:type="dxa"/>
          <w:right w:w="0" w:type="dxa"/>
        </w:tblCellMar>
        <w:tblLook w:val="0000"/>
      </w:tblPr>
      <w:tblGrid>
        <w:gridCol w:w="1685"/>
        <w:gridCol w:w="2616"/>
        <w:gridCol w:w="1685"/>
        <w:gridCol w:w="1685"/>
        <w:gridCol w:w="1685"/>
      </w:tblGrid>
      <w:tr w:rsidR="006E48D6" w:rsidRPr="00427B57" w:rsidTr="000979F3">
        <w:trPr>
          <w:trHeight w:hRule="exact" w:val="510"/>
        </w:trPr>
        <w:tc>
          <w:tcPr>
            <w:tcW w:w="1644" w:type="dxa"/>
            <w:tcBorders>
              <w:top w:val="single" w:sz="4" w:space="0" w:color="auto"/>
              <w:left w:val="nil"/>
              <w:bottom w:val="single" w:sz="4" w:space="0" w:color="auto"/>
              <w:right w:val="nil"/>
            </w:tcBorders>
            <w:vAlign w:val="center"/>
          </w:tcPr>
          <w:p w:rsidR="006E48D6" w:rsidRPr="00427B57" w:rsidRDefault="00102429" w:rsidP="000979F3">
            <w:pPr>
              <w:pStyle w:val="TableTextRightBold-BP410pt"/>
            </w:pPr>
            <w:r w:rsidRPr="00427B57">
              <w:t>201</w:t>
            </w:r>
            <w:r w:rsidR="004639CB" w:rsidRPr="00427B57">
              <w:t>1</w:t>
            </w:r>
            <w:r w:rsidR="00075321" w:rsidRPr="00427B57">
              <w:noBreakHyphen/>
            </w:r>
            <w:r w:rsidRPr="00427B57">
              <w:t>1</w:t>
            </w:r>
            <w:r w:rsidR="004639CB" w:rsidRPr="00427B57">
              <w:t>2</w:t>
            </w:r>
          </w:p>
          <w:p w:rsidR="006E48D6" w:rsidRPr="00427B57" w:rsidRDefault="006E48D6" w:rsidP="000979F3">
            <w:pPr>
              <w:pStyle w:val="TableTextRightBold-BP410pt"/>
            </w:pPr>
            <w:r w:rsidRPr="00427B57">
              <w:t>Actual Outcome</w:t>
            </w:r>
          </w:p>
        </w:tc>
        <w:tc>
          <w:tcPr>
            <w:tcW w:w="2552" w:type="dxa"/>
            <w:tcBorders>
              <w:top w:val="single" w:sz="4" w:space="0" w:color="auto"/>
              <w:left w:val="nil"/>
              <w:bottom w:val="single" w:sz="4" w:space="0" w:color="auto"/>
              <w:right w:val="nil"/>
            </w:tcBorders>
            <w:noWrap/>
            <w:tcMar>
              <w:top w:w="18" w:type="dxa"/>
              <w:left w:w="18" w:type="dxa"/>
              <w:bottom w:w="0" w:type="dxa"/>
              <w:right w:w="18" w:type="dxa"/>
            </w:tcMar>
            <w:vAlign w:val="center"/>
          </w:tcPr>
          <w:p w:rsidR="006E48D6" w:rsidRPr="00427B57" w:rsidRDefault="006E48D6" w:rsidP="000979F3">
            <w:pPr>
              <w:pStyle w:val="TableTextRightBold-BP410pt"/>
              <w:jc w:val="left"/>
              <w:rPr>
                <w:rFonts w:cs="Arial"/>
                <w:bCs/>
              </w:rPr>
            </w:pPr>
          </w:p>
        </w:tc>
        <w:tc>
          <w:tcPr>
            <w:tcW w:w="1644" w:type="dxa"/>
            <w:tcBorders>
              <w:top w:val="single" w:sz="4" w:space="0" w:color="auto"/>
              <w:left w:val="nil"/>
              <w:bottom w:val="single" w:sz="4" w:space="0" w:color="auto"/>
              <w:right w:val="nil"/>
            </w:tcBorders>
            <w:vAlign w:val="center"/>
          </w:tcPr>
          <w:p w:rsidR="006E48D6" w:rsidRPr="00427B57" w:rsidRDefault="00102429" w:rsidP="000979F3">
            <w:pPr>
              <w:pStyle w:val="TableTextRightBold-BP410pt"/>
            </w:pPr>
            <w:r w:rsidRPr="00427B57">
              <w:t>201</w:t>
            </w:r>
            <w:r w:rsidR="004639CB" w:rsidRPr="00427B57">
              <w:t>2</w:t>
            </w:r>
            <w:r w:rsidR="00075321" w:rsidRPr="00427B57">
              <w:noBreakHyphen/>
            </w:r>
            <w:r w:rsidRPr="00427B57">
              <w:t>1</w:t>
            </w:r>
            <w:r w:rsidR="004639CB" w:rsidRPr="00427B57">
              <w:t>3</w:t>
            </w:r>
          </w:p>
          <w:p w:rsidR="006E48D6" w:rsidRPr="00427B57" w:rsidRDefault="006E48D6" w:rsidP="000979F3">
            <w:pPr>
              <w:pStyle w:val="TableTextRightBold-BP410pt"/>
            </w:pPr>
            <w:r w:rsidRPr="00427B57">
              <w:t>Budget</w:t>
            </w:r>
          </w:p>
          <w:p w:rsidR="006E48D6" w:rsidRPr="00427B57" w:rsidRDefault="006E48D6" w:rsidP="000979F3">
            <w:pPr>
              <w:pStyle w:val="TableTextRightBold-BP410pt"/>
            </w:pPr>
          </w:p>
        </w:tc>
        <w:tc>
          <w:tcPr>
            <w:tcW w:w="1644" w:type="dxa"/>
            <w:tcBorders>
              <w:top w:val="single" w:sz="4" w:space="0" w:color="auto"/>
              <w:left w:val="nil"/>
              <w:bottom w:val="single" w:sz="4" w:space="0" w:color="auto"/>
              <w:right w:val="nil"/>
            </w:tcBorders>
            <w:vAlign w:val="center"/>
          </w:tcPr>
          <w:p w:rsidR="006E48D6" w:rsidRPr="00427B57" w:rsidRDefault="00102429" w:rsidP="000979F3">
            <w:pPr>
              <w:pStyle w:val="TableTextRightBold-BP410pt"/>
            </w:pPr>
            <w:r w:rsidRPr="00427B57">
              <w:t>201</w:t>
            </w:r>
            <w:r w:rsidR="004639CB" w:rsidRPr="00427B57">
              <w:t>2</w:t>
            </w:r>
            <w:r w:rsidR="00075321" w:rsidRPr="00427B57">
              <w:noBreakHyphen/>
            </w:r>
            <w:r w:rsidRPr="00427B57">
              <w:t>1</w:t>
            </w:r>
            <w:r w:rsidR="004639CB" w:rsidRPr="00427B57">
              <w:t>3</w:t>
            </w:r>
          </w:p>
          <w:p w:rsidR="006E48D6" w:rsidRPr="00427B57" w:rsidRDefault="006E48D6" w:rsidP="000979F3">
            <w:pPr>
              <w:pStyle w:val="TableTextRightBold-BP410pt"/>
            </w:pPr>
            <w:r w:rsidRPr="00427B57">
              <w:t>Est</w:t>
            </w:r>
            <w:r w:rsidR="00470309" w:rsidRPr="00427B57">
              <w:t xml:space="preserve">.  </w:t>
            </w:r>
            <w:r w:rsidRPr="00427B57">
              <w:t>Outcome</w:t>
            </w:r>
          </w:p>
        </w:tc>
        <w:tc>
          <w:tcPr>
            <w:tcW w:w="1644" w:type="dxa"/>
            <w:tcBorders>
              <w:top w:val="single" w:sz="4" w:space="0" w:color="auto"/>
              <w:left w:val="nil"/>
              <w:bottom w:val="single" w:sz="4" w:space="0" w:color="auto"/>
              <w:right w:val="nil"/>
            </w:tcBorders>
            <w:noWrap/>
            <w:tcMar>
              <w:top w:w="18" w:type="dxa"/>
              <w:left w:w="18" w:type="dxa"/>
              <w:bottom w:w="0" w:type="dxa"/>
              <w:right w:w="18" w:type="dxa"/>
            </w:tcMar>
            <w:vAlign w:val="center"/>
          </w:tcPr>
          <w:p w:rsidR="006E48D6" w:rsidRPr="00427B57" w:rsidRDefault="00102429" w:rsidP="000979F3">
            <w:pPr>
              <w:pStyle w:val="TableTextRightBold-BP410pt"/>
            </w:pPr>
            <w:r w:rsidRPr="00427B57">
              <w:t>201</w:t>
            </w:r>
            <w:r w:rsidR="004639CB" w:rsidRPr="00427B57">
              <w:t>3</w:t>
            </w:r>
            <w:r w:rsidR="00075321" w:rsidRPr="00427B57">
              <w:noBreakHyphen/>
            </w:r>
            <w:r w:rsidRPr="00427B57">
              <w:t>1</w:t>
            </w:r>
            <w:r w:rsidR="004639CB" w:rsidRPr="00427B57">
              <w:t>4</w:t>
            </w:r>
          </w:p>
          <w:p w:rsidR="006E48D6" w:rsidRPr="00427B57" w:rsidRDefault="006E48D6" w:rsidP="000979F3">
            <w:pPr>
              <w:pStyle w:val="TableTextRightBold-BP410pt"/>
            </w:pPr>
            <w:r w:rsidRPr="00427B57">
              <w:t>Budget</w:t>
            </w:r>
          </w:p>
          <w:p w:rsidR="006E48D6" w:rsidRPr="00427B57" w:rsidRDefault="006E48D6" w:rsidP="000979F3">
            <w:pPr>
              <w:pStyle w:val="TableTextRightBold-BP410pt"/>
            </w:pPr>
          </w:p>
        </w:tc>
      </w:tr>
      <w:tr w:rsidR="006E48D6" w:rsidRPr="00427B57" w:rsidTr="000979F3">
        <w:trPr>
          <w:trHeight w:val="392"/>
        </w:trPr>
        <w:tc>
          <w:tcPr>
            <w:tcW w:w="1644" w:type="dxa"/>
            <w:tcBorders>
              <w:top w:val="single" w:sz="4" w:space="0" w:color="auto"/>
              <w:left w:val="nil"/>
              <w:bottom w:val="single" w:sz="4" w:space="0" w:color="auto"/>
              <w:right w:val="nil"/>
            </w:tcBorders>
            <w:vAlign w:val="center"/>
          </w:tcPr>
          <w:p w:rsidR="006E48D6" w:rsidRPr="00427B57" w:rsidRDefault="004639CB" w:rsidP="000979F3">
            <w:pPr>
              <w:pStyle w:val="TableTextRight-BP410pt"/>
            </w:pPr>
            <w:r w:rsidRPr="00427B57">
              <w:t>8</w:t>
            </w:r>
          </w:p>
        </w:tc>
        <w:tc>
          <w:tcPr>
            <w:tcW w:w="2552" w:type="dxa"/>
            <w:tcBorders>
              <w:top w:val="single" w:sz="4" w:space="0" w:color="auto"/>
              <w:left w:val="nil"/>
              <w:bottom w:val="single" w:sz="4" w:space="0" w:color="auto"/>
              <w:right w:val="nil"/>
            </w:tcBorders>
            <w:tcMar>
              <w:top w:w="18" w:type="dxa"/>
              <w:left w:w="421" w:type="dxa"/>
              <w:bottom w:w="0" w:type="dxa"/>
              <w:right w:w="18" w:type="dxa"/>
            </w:tcMar>
            <w:vAlign w:val="center"/>
          </w:tcPr>
          <w:p w:rsidR="006E48D6" w:rsidRPr="00427B57" w:rsidRDefault="006E48D6" w:rsidP="000979F3">
            <w:pPr>
              <w:pStyle w:val="TableTextLeftBold-BP410pt"/>
              <w:ind w:hanging="358"/>
            </w:pPr>
            <w:r w:rsidRPr="00427B57">
              <w:t>Staffing (FTE)</w:t>
            </w:r>
            <w:r w:rsidRPr="00427B57">
              <w:rPr>
                <w:vertAlign w:val="superscript"/>
              </w:rPr>
              <w:t>1</w:t>
            </w:r>
          </w:p>
        </w:tc>
        <w:tc>
          <w:tcPr>
            <w:tcW w:w="1644" w:type="dxa"/>
            <w:tcBorders>
              <w:top w:val="single" w:sz="4" w:space="0" w:color="auto"/>
              <w:left w:val="nil"/>
              <w:bottom w:val="single" w:sz="4" w:space="0" w:color="auto"/>
              <w:right w:val="nil"/>
            </w:tcBorders>
            <w:vAlign w:val="center"/>
          </w:tcPr>
          <w:p w:rsidR="006E48D6" w:rsidRPr="00427B57" w:rsidRDefault="006E48D6" w:rsidP="000979F3">
            <w:pPr>
              <w:pStyle w:val="TableTextRight-BP410pt"/>
            </w:pPr>
            <w:r w:rsidRPr="00427B57">
              <w:t>9</w:t>
            </w:r>
          </w:p>
        </w:tc>
        <w:tc>
          <w:tcPr>
            <w:tcW w:w="1644" w:type="dxa"/>
            <w:tcBorders>
              <w:top w:val="single" w:sz="4" w:space="0" w:color="auto"/>
              <w:left w:val="nil"/>
              <w:bottom w:val="single" w:sz="4" w:space="0" w:color="auto"/>
              <w:right w:val="nil"/>
            </w:tcBorders>
            <w:vAlign w:val="center"/>
          </w:tcPr>
          <w:p w:rsidR="006E48D6" w:rsidRPr="00427B57" w:rsidRDefault="006E48D6" w:rsidP="000979F3">
            <w:pPr>
              <w:pStyle w:val="TableTextRight-BP410pt"/>
            </w:pPr>
            <w:r w:rsidRPr="00427B57">
              <w:t>9</w:t>
            </w:r>
          </w:p>
        </w:tc>
        <w:tc>
          <w:tcPr>
            <w:tcW w:w="1644" w:type="dxa"/>
            <w:tcBorders>
              <w:top w:val="single" w:sz="4" w:space="0" w:color="auto"/>
              <w:left w:val="nil"/>
              <w:bottom w:val="single" w:sz="4" w:space="0" w:color="auto"/>
              <w:right w:val="nil"/>
            </w:tcBorders>
            <w:noWrap/>
            <w:tcMar>
              <w:top w:w="18" w:type="dxa"/>
              <w:left w:w="18" w:type="dxa"/>
              <w:bottom w:w="0" w:type="dxa"/>
              <w:right w:w="18" w:type="dxa"/>
            </w:tcMar>
            <w:vAlign w:val="center"/>
          </w:tcPr>
          <w:p w:rsidR="006E48D6" w:rsidRPr="00427B57" w:rsidRDefault="006E48D6" w:rsidP="000979F3">
            <w:pPr>
              <w:pStyle w:val="TableTextRight-BP410pt"/>
            </w:pPr>
            <w:r w:rsidRPr="00427B57">
              <w:t>9</w:t>
            </w:r>
          </w:p>
        </w:tc>
      </w:tr>
    </w:tbl>
    <w:p w:rsidR="006E48D6" w:rsidRPr="001A64EF" w:rsidRDefault="006E48D6" w:rsidP="000960D8">
      <w:pPr>
        <w:pStyle w:val="NoteHeading0"/>
      </w:pPr>
      <w:r w:rsidRPr="001A64EF">
        <w:t>Note:</w:t>
      </w:r>
    </w:p>
    <w:p w:rsidR="00BD4D9C" w:rsidRDefault="000B53C5" w:rsidP="007E1564">
      <w:pPr>
        <w:pStyle w:val="Heading3TopofPage"/>
        <w:tabs>
          <w:tab w:val="left" w:pos="426"/>
        </w:tabs>
        <w:ind w:left="357" w:hanging="357"/>
        <w:jc w:val="both"/>
        <w:outlineLvl w:val="9"/>
        <w:rPr>
          <w:rStyle w:val="AINotesChar"/>
          <w:b w:val="0"/>
        </w:rPr>
      </w:pPr>
      <w:r w:rsidRPr="004B1F76">
        <w:rPr>
          <w:rStyle w:val="AINotesChar"/>
          <w:b w:val="0"/>
        </w:rPr>
        <w:t>1.</w:t>
      </w:r>
      <w:r w:rsidRPr="004B1F76">
        <w:rPr>
          <w:rStyle w:val="AINotesChar"/>
        </w:rPr>
        <w:t xml:space="preserve"> </w:t>
      </w:r>
      <w:r w:rsidRPr="004B1F76">
        <w:rPr>
          <w:rStyle w:val="AINotesChar"/>
          <w:b w:val="0"/>
        </w:rPr>
        <w:tab/>
        <w:t xml:space="preserve">This includes </w:t>
      </w:r>
      <w:r w:rsidR="004639CB">
        <w:rPr>
          <w:rStyle w:val="AINotesChar"/>
          <w:b w:val="0"/>
        </w:rPr>
        <w:t>5</w:t>
      </w:r>
      <w:r w:rsidR="00075321">
        <w:rPr>
          <w:rStyle w:val="AINotesChar"/>
          <w:b w:val="0"/>
        </w:rPr>
        <w:t> </w:t>
      </w:r>
      <w:r w:rsidRPr="004B1F76">
        <w:rPr>
          <w:rStyle w:val="AINotesChar"/>
          <w:b w:val="0"/>
        </w:rPr>
        <w:t>FTE associated with the ‘employee superannuation entitlements’ project</w:t>
      </w:r>
      <w:r w:rsidR="006E48D6" w:rsidRPr="004B1F76">
        <w:rPr>
          <w:rStyle w:val="AINotesChar"/>
          <w:b w:val="0"/>
        </w:rPr>
        <w:t>.</w:t>
      </w:r>
    </w:p>
    <w:p w:rsidR="006E0284" w:rsidRDefault="006E48D6" w:rsidP="000979F3">
      <w:pPr>
        <w:pStyle w:val="Heading3TopofPage"/>
        <w:tabs>
          <w:tab w:val="left" w:pos="426"/>
        </w:tabs>
      </w:pPr>
      <w:r>
        <w:br w:type="page"/>
      </w:r>
    </w:p>
    <w:p w:rsidR="006E48D6" w:rsidRPr="00FE176F" w:rsidRDefault="006E48D6" w:rsidP="000979F3">
      <w:pPr>
        <w:pStyle w:val="Heading3TopofPage"/>
        <w:tabs>
          <w:tab w:val="left" w:pos="426"/>
        </w:tabs>
        <w:rPr>
          <w:rStyle w:val="Heading3Char"/>
          <w:rFonts w:cs="Times New Roman"/>
          <w:b/>
          <w:bCs/>
          <w:lang w:eastAsia="en-AU"/>
        </w:rPr>
      </w:pPr>
      <w:r w:rsidRPr="00D6679D">
        <w:rPr>
          <w:rStyle w:val="Heading3Char"/>
          <w:b/>
        </w:rPr>
        <w:lastRenderedPageBreak/>
        <w:t xml:space="preserve">Strategic </w:t>
      </w:r>
      <w:r w:rsidR="00885F1A" w:rsidRPr="00D6679D">
        <w:rPr>
          <w:rStyle w:val="Heading3Char"/>
          <w:b/>
        </w:rPr>
        <w:t xml:space="preserve">Objectives and </w:t>
      </w:r>
      <w:r w:rsidRPr="00D6679D">
        <w:rPr>
          <w:rStyle w:val="Heading3Char"/>
          <w:b/>
        </w:rPr>
        <w:t>Indicators</w:t>
      </w:r>
    </w:p>
    <w:p w:rsidR="006E48D6" w:rsidRPr="004B1F76" w:rsidRDefault="006E48D6" w:rsidP="00F9456F">
      <w:pPr>
        <w:pStyle w:val="SIHeading1"/>
        <w:spacing w:before="200"/>
      </w:pPr>
      <w:r w:rsidRPr="004B1F76">
        <w:t xml:space="preserve">Strategic </w:t>
      </w:r>
      <w:r w:rsidR="00DE0D3F" w:rsidRPr="004B1F76">
        <w:t>Objective</w:t>
      </w:r>
      <w:r w:rsidR="00885F1A" w:rsidRPr="004B1F76">
        <w:t xml:space="preserve"> </w:t>
      </w:r>
      <w:r w:rsidRPr="004B1F76">
        <w:t>1</w:t>
      </w:r>
    </w:p>
    <w:p w:rsidR="006E48D6" w:rsidRPr="004B1F76" w:rsidRDefault="006E48D6" w:rsidP="00CF024B">
      <w:pPr>
        <w:pStyle w:val="SIHeading2"/>
        <w:spacing w:after="60"/>
      </w:pPr>
      <w:r w:rsidRPr="004B1F76">
        <w:t>Achievement of Investment Return</w:t>
      </w:r>
      <w:r w:rsidR="0089398F">
        <w:t xml:space="preserve"> Objective</w:t>
      </w:r>
    </w:p>
    <w:p w:rsidR="006E48D6" w:rsidRDefault="009627D0" w:rsidP="00F9456F">
      <w:pPr>
        <w:pStyle w:val="BodyText"/>
        <w:spacing w:before="200" w:after="60"/>
        <w:jc w:val="left"/>
      </w:pPr>
      <w:r w:rsidRPr="00F9456F">
        <w:rPr>
          <w:rFonts w:ascii="Arial" w:hAnsi="Arial" w:cs="Arial"/>
          <w:b/>
          <w:sz w:val="20"/>
        </w:rPr>
        <w:t>Strategic Indicator 1</w:t>
      </w:r>
      <w:r>
        <w:t xml:space="preserve">: </w:t>
      </w:r>
      <w:r w:rsidR="0028326A">
        <w:t xml:space="preserve"> </w:t>
      </w:r>
      <w:r w:rsidR="006E48D6" w:rsidRPr="00F9456F">
        <w:rPr>
          <w:rFonts w:ascii="Arial" w:hAnsi="Arial" w:cs="Arial"/>
          <w:sz w:val="20"/>
        </w:rPr>
        <w:t xml:space="preserve">To </w:t>
      </w:r>
      <w:r w:rsidR="00F9456F">
        <w:rPr>
          <w:rFonts w:ascii="Arial" w:hAnsi="Arial" w:cs="Arial"/>
          <w:sz w:val="20"/>
        </w:rPr>
        <w:t>Achieve a Long-Term A</w:t>
      </w:r>
      <w:r w:rsidR="0089398F" w:rsidRPr="00F9456F">
        <w:rPr>
          <w:rFonts w:ascii="Arial" w:hAnsi="Arial" w:cs="Arial"/>
          <w:sz w:val="20"/>
        </w:rPr>
        <w:t>nnualis</w:t>
      </w:r>
      <w:r w:rsidR="00F9456F">
        <w:rPr>
          <w:rFonts w:ascii="Arial" w:hAnsi="Arial" w:cs="Arial"/>
          <w:sz w:val="20"/>
        </w:rPr>
        <w:t>ed R</w:t>
      </w:r>
      <w:r w:rsidR="0089398F" w:rsidRPr="00F9456F">
        <w:rPr>
          <w:rFonts w:ascii="Arial" w:hAnsi="Arial" w:cs="Arial"/>
          <w:sz w:val="20"/>
        </w:rPr>
        <w:t xml:space="preserve">eturn of CPI + </w:t>
      </w:r>
      <w:r w:rsidR="00F9456F">
        <w:rPr>
          <w:rFonts w:ascii="Arial" w:hAnsi="Arial" w:cs="Arial"/>
          <w:sz w:val="20"/>
        </w:rPr>
        <w:t>F</w:t>
      </w:r>
      <w:r w:rsidR="00FD4500" w:rsidRPr="00F9456F">
        <w:rPr>
          <w:rFonts w:ascii="Arial" w:hAnsi="Arial" w:cs="Arial"/>
          <w:sz w:val="20"/>
        </w:rPr>
        <w:t>ive </w:t>
      </w:r>
      <w:r w:rsidR="0089398F" w:rsidRPr="00F9456F">
        <w:rPr>
          <w:rFonts w:ascii="Arial" w:hAnsi="Arial" w:cs="Arial"/>
          <w:sz w:val="20"/>
        </w:rPr>
        <w:t>per</w:t>
      </w:r>
      <w:r w:rsidR="00FD4500" w:rsidRPr="00F9456F">
        <w:rPr>
          <w:rFonts w:ascii="Arial" w:hAnsi="Arial" w:cs="Arial"/>
          <w:sz w:val="20"/>
        </w:rPr>
        <w:t> </w:t>
      </w:r>
      <w:r w:rsidR="0089398F" w:rsidRPr="00F9456F">
        <w:rPr>
          <w:rFonts w:ascii="Arial" w:hAnsi="Arial" w:cs="Arial"/>
          <w:sz w:val="20"/>
        </w:rPr>
        <w:t>cent (net of fees</w:t>
      </w:r>
      <w:proofErr w:type="gramStart"/>
      <w:r w:rsidR="0089398F" w:rsidRPr="00F9456F">
        <w:rPr>
          <w:rFonts w:ascii="Arial" w:hAnsi="Arial" w:cs="Arial"/>
          <w:sz w:val="20"/>
        </w:rPr>
        <w:t>)</w:t>
      </w:r>
      <w:r w:rsidRPr="009627D0">
        <w:rPr>
          <w:vertAlign w:val="superscript"/>
        </w:rPr>
        <w:t>1</w:t>
      </w:r>
      <w:proofErr w:type="gramEnd"/>
    </w:p>
    <w:p w:rsidR="00A84C4F" w:rsidRDefault="00BE4B56" w:rsidP="00C77C47">
      <w:pPr>
        <w:pStyle w:val="BodyText"/>
        <w:tabs>
          <w:tab w:val="left" w:pos="993"/>
          <w:tab w:val="left" w:pos="8080"/>
        </w:tabs>
        <w:spacing w:after="60"/>
        <w:jc w:val="center"/>
      </w:pPr>
      <w:r>
        <w:rPr>
          <w:noProof/>
          <w:lang w:eastAsia="en-AU"/>
        </w:rPr>
        <w:drawing>
          <wp:inline distT="0" distB="0" distL="0" distR="0">
            <wp:extent cx="4519100" cy="2489423"/>
            <wp:effectExtent l="19050" t="0" r="14800" b="6127"/>
            <wp:docPr id="1" name="Chart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9398F" w:rsidRPr="000960D8" w:rsidRDefault="0089398F" w:rsidP="00FE176F">
      <w:pPr>
        <w:pStyle w:val="NoteHeading0"/>
        <w:rPr>
          <w:szCs w:val="16"/>
        </w:rPr>
      </w:pPr>
      <w:r w:rsidRPr="000960D8">
        <w:rPr>
          <w:szCs w:val="16"/>
        </w:rPr>
        <w:t>Note:</w:t>
      </w:r>
    </w:p>
    <w:p w:rsidR="0089398F" w:rsidRPr="00167A04" w:rsidRDefault="0089398F" w:rsidP="00167A04">
      <w:pPr>
        <w:pStyle w:val="AINotes"/>
        <w:numPr>
          <w:ilvl w:val="0"/>
          <w:numId w:val="5"/>
        </w:numPr>
        <w:spacing w:after="60"/>
        <w:rPr>
          <w:szCs w:val="16"/>
        </w:rPr>
      </w:pPr>
      <w:r w:rsidRPr="00167A04">
        <w:rPr>
          <w:szCs w:val="16"/>
        </w:rPr>
        <w:t>This indicator is the SPA investment portfolio return since the base performance year of 1996</w:t>
      </w:r>
      <w:r w:rsidR="00075321" w:rsidRPr="00167A04">
        <w:rPr>
          <w:szCs w:val="16"/>
        </w:rPr>
        <w:noBreakHyphen/>
      </w:r>
      <w:r w:rsidRPr="00167A04">
        <w:rPr>
          <w:szCs w:val="16"/>
        </w:rPr>
        <w:t>97.  The aim is to maintain the annualised portfolio return at or above CPI + 5</w:t>
      </w:r>
      <w:r w:rsidR="00075321" w:rsidRPr="00167A04">
        <w:rPr>
          <w:szCs w:val="16"/>
        </w:rPr>
        <w:t> </w:t>
      </w:r>
      <w:r w:rsidR="00465263" w:rsidRPr="00167A04">
        <w:rPr>
          <w:szCs w:val="16"/>
        </w:rPr>
        <w:t>per</w:t>
      </w:r>
      <w:r w:rsidR="00075321" w:rsidRPr="00167A04">
        <w:rPr>
          <w:szCs w:val="16"/>
        </w:rPr>
        <w:t> </w:t>
      </w:r>
      <w:r w:rsidR="00465263" w:rsidRPr="00167A04">
        <w:rPr>
          <w:szCs w:val="16"/>
        </w:rPr>
        <w:t>cent</w:t>
      </w:r>
      <w:r w:rsidRPr="00167A04">
        <w:rPr>
          <w:szCs w:val="16"/>
        </w:rPr>
        <w:t xml:space="preserve"> (net of fees) over the long term, calculated since the base year.  The portfolio return is calculated as the annualised performance of each individual financial year return.</w:t>
      </w:r>
    </w:p>
    <w:p w:rsidR="006E48D6" w:rsidRPr="004B1F76" w:rsidRDefault="006E48D6" w:rsidP="005571FC">
      <w:pPr>
        <w:pStyle w:val="SIHeading1"/>
      </w:pPr>
      <w:r w:rsidRPr="004B1F76">
        <w:t xml:space="preserve">Strategic </w:t>
      </w:r>
      <w:r w:rsidR="00885F1A" w:rsidRPr="004B1F76">
        <w:t>Objective</w:t>
      </w:r>
      <w:r w:rsidR="00885F1A" w:rsidRPr="004B1F76" w:rsidDel="00885F1A">
        <w:t xml:space="preserve"> </w:t>
      </w:r>
      <w:r w:rsidRPr="004B1F76">
        <w:t>2</w:t>
      </w:r>
    </w:p>
    <w:p w:rsidR="006E48D6" w:rsidRPr="004B1F76" w:rsidRDefault="0089398F" w:rsidP="00CF024B">
      <w:pPr>
        <w:pStyle w:val="SIHeading2"/>
        <w:spacing w:after="120"/>
      </w:pPr>
      <w:r>
        <w:t>Funding Defined Benefit Superannuation Liabilities</w:t>
      </w:r>
    </w:p>
    <w:p w:rsidR="006E48D6" w:rsidRPr="00F9456F" w:rsidRDefault="009627D0" w:rsidP="00F9456F">
      <w:pPr>
        <w:pStyle w:val="BodyText"/>
        <w:spacing w:before="200" w:after="60"/>
        <w:jc w:val="left"/>
        <w:rPr>
          <w:rFonts w:ascii="Arial" w:hAnsi="Arial" w:cs="Arial"/>
          <w:sz w:val="20"/>
        </w:rPr>
      </w:pPr>
      <w:r w:rsidRPr="00F9456F">
        <w:rPr>
          <w:rFonts w:ascii="Arial" w:hAnsi="Arial" w:cs="Arial"/>
          <w:b/>
          <w:sz w:val="20"/>
        </w:rPr>
        <w:t>Strategic Indic</w:t>
      </w:r>
      <w:r w:rsidR="007B70E8" w:rsidRPr="00F9456F">
        <w:rPr>
          <w:rFonts w:ascii="Arial" w:hAnsi="Arial" w:cs="Arial"/>
          <w:b/>
          <w:sz w:val="20"/>
        </w:rPr>
        <w:t>a</w:t>
      </w:r>
      <w:r w:rsidRPr="00F9456F">
        <w:rPr>
          <w:rFonts w:ascii="Arial" w:hAnsi="Arial" w:cs="Arial"/>
          <w:b/>
          <w:sz w:val="20"/>
        </w:rPr>
        <w:t>tor 2:</w:t>
      </w:r>
      <w:r>
        <w:t xml:space="preserve"> </w:t>
      </w:r>
      <w:r w:rsidR="006E48D6" w:rsidRPr="00F9456F">
        <w:rPr>
          <w:rFonts w:ascii="Arial" w:hAnsi="Arial" w:cs="Arial"/>
          <w:sz w:val="20"/>
        </w:rPr>
        <w:t xml:space="preserve">To </w:t>
      </w:r>
      <w:r w:rsidR="00F11534">
        <w:rPr>
          <w:rFonts w:ascii="Arial" w:hAnsi="Arial" w:cs="Arial"/>
          <w:sz w:val="20"/>
        </w:rPr>
        <w:t>Fully Fund the Defined Benefit Superannuation L</w:t>
      </w:r>
      <w:r w:rsidR="0089398F" w:rsidRPr="00F9456F">
        <w:rPr>
          <w:rFonts w:ascii="Arial" w:hAnsi="Arial" w:cs="Arial"/>
          <w:sz w:val="20"/>
        </w:rPr>
        <w:t>iabilities by 30</w:t>
      </w:r>
      <w:r w:rsidR="00075321" w:rsidRPr="00F9456F">
        <w:rPr>
          <w:rFonts w:ascii="Arial" w:hAnsi="Arial" w:cs="Arial"/>
          <w:sz w:val="20"/>
        </w:rPr>
        <w:t> </w:t>
      </w:r>
      <w:r w:rsidR="0089398F" w:rsidRPr="00F9456F">
        <w:rPr>
          <w:rFonts w:ascii="Arial" w:hAnsi="Arial" w:cs="Arial"/>
          <w:sz w:val="20"/>
        </w:rPr>
        <w:t>June</w:t>
      </w:r>
      <w:r w:rsidR="00075321" w:rsidRPr="00F9456F">
        <w:rPr>
          <w:rFonts w:ascii="Arial" w:hAnsi="Arial" w:cs="Arial"/>
          <w:sz w:val="20"/>
        </w:rPr>
        <w:t> </w:t>
      </w:r>
      <w:r w:rsidR="0089398F" w:rsidRPr="00F9456F">
        <w:rPr>
          <w:rFonts w:ascii="Arial" w:hAnsi="Arial" w:cs="Arial"/>
          <w:sz w:val="20"/>
        </w:rPr>
        <w:t>2030</w:t>
      </w:r>
      <w:r w:rsidRPr="00F9456F">
        <w:rPr>
          <w:rFonts w:ascii="Arial" w:hAnsi="Arial" w:cs="Arial"/>
          <w:sz w:val="20"/>
          <w:vertAlign w:val="superscript"/>
        </w:rPr>
        <w:t>1</w:t>
      </w:r>
    </w:p>
    <w:p w:rsidR="009627D0" w:rsidRDefault="00BE4B56" w:rsidP="00C77C47">
      <w:pPr>
        <w:tabs>
          <w:tab w:val="left" w:pos="284"/>
          <w:tab w:val="left" w:pos="426"/>
          <w:tab w:val="left" w:pos="851"/>
          <w:tab w:val="left" w:pos="993"/>
          <w:tab w:val="left" w:pos="8080"/>
          <w:tab w:val="left" w:pos="8222"/>
          <w:tab w:val="left" w:pos="8647"/>
        </w:tabs>
        <w:spacing w:after="60"/>
        <w:jc w:val="center"/>
      </w:pPr>
      <w:r>
        <w:rPr>
          <w:noProof/>
          <w:lang w:eastAsia="en-AU"/>
        </w:rPr>
        <w:drawing>
          <wp:inline distT="0" distB="0" distL="0" distR="0">
            <wp:extent cx="4519102" cy="2823941"/>
            <wp:effectExtent l="10295" t="4984" r="4503" b="0"/>
            <wp:docPr id="2" name="Chart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9398F" w:rsidRPr="000960D8" w:rsidRDefault="0089398F" w:rsidP="00FE176F">
      <w:pPr>
        <w:pStyle w:val="NoteHeading0"/>
        <w:rPr>
          <w:szCs w:val="16"/>
        </w:rPr>
      </w:pPr>
      <w:r w:rsidRPr="000960D8">
        <w:rPr>
          <w:szCs w:val="16"/>
        </w:rPr>
        <w:t>Note:</w:t>
      </w:r>
    </w:p>
    <w:p w:rsidR="0089398F" w:rsidRPr="00CF024B" w:rsidRDefault="0089398F" w:rsidP="00DB27AD">
      <w:pPr>
        <w:pStyle w:val="AINotes"/>
        <w:numPr>
          <w:ilvl w:val="0"/>
          <w:numId w:val="27"/>
        </w:numPr>
        <w:spacing w:after="60"/>
        <w:rPr>
          <w:szCs w:val="16"/>
        </w:rPr>
      </w:pPr>
      <w:r w:rsidRPr="00CF024B">
        <w:rPr>
          <w:szCs w:val="16"/>
        </w:rPr>
        <w:t>This indicator measures the level of superannuation liability funded by financial investment assets.  The objective is to increase the liability funding percentage over time and to reach a 100</w:t>
      </w:r>
      <w:r w:rsidR="00075321" w:rsidRPr="00CF024B">
        <w:rPr>
          <w:szCs w:val="16"/>
        </w:rPr>
        <w:t> per cent</w:t>
      </w:r>
      <w:r w:rsidRPr="00CF024B">
        <w:rPr>
          <w:szCs w:val="16"/>
        </w:rPr>
        <w:t xml:space="preserve"> liability funding level by 30 June 2030.</w:t>
      </w:r>
      <w:r w:rsidR="009627D0" w:rsidRPr="00CF024B">
        <w:rPr>
          <w:szCs w:val="16"/>
        </w:rPr>
        <w:t xml:space="preserve">  T</w:t>
      </w:r>
      <w:r w:rsidRPr="00CF024B">
        <w:rPr>
          <w:szCs w:val="16"/>
        </w:rPr>
        <w:t xml:space="preserve">he liability funding percentage is calculated by comparing the </w:t>
      </w:r>
      <w:r w:rsidR="00465263" w:rsidRPr="00CF024B">
        <w:rPr>
          <w:szCs w:val="16"/>
        </w:rPr>
        <w:t xml:space="preserve">actual </w:t>
      </w:r>
      <w:r w:rsidRPr="00CF024B">
        <w:rPr>
          <w:szCs w:val="16"/>
        </w:rPr>
        <w:t xml:space="preserve">end of year valuation of financial investment assets with the </w:t>
      </w:r>
      <w:r w:rsidR="00465263" w:rsidRPr="00CF024B">
        <w:rPr>
          <w:szCs w:val="16"/>
        </w:rPr>
        <w:t xml:space="preserve">actual </w:t>
      </w:r>
      <w:r w:rsidR="00C443B0" w:rsidRPr="00CF024B">
        <w:rPr>
          <w:szCs w:val="16"/>
        </w:rPr>
        <w:t xml:space="preserve">actuarial </w:t>
      </w:r>
      <w:r w:rsidRPr="00CF024B">
        <w:rPr>
          <w:szCs w:val="16"/>
        </w:rPr>
        <w:t>valuation of defined benefit superannuation liabilities.</w:t>
      </w:r>
      <w:r w:rsidR="00A92CF8" w:rsidRPr="00CF024B">
        <w:rPr>
          <w:szCs w:val="16"/>
        </w:rPr>
        <w:t xml:space="preserve">  The 2012</w:t>
      </w:r>
      <w:r w:rsidR="00075321" w:rsidRPr="00CF024B">
        <w:rPr>
          <w:szCs w:val="16"/>
        </w:rPr>
        <w:noBreakHyphen/>
      </w:r>
      <w:r w:rsidR="00A92CF8" w:rsidRPr="00CF024B">
        <w:rPr>
          <w:szCs w:val="16"/>
        </w:rPr>
        <w:t xml:space="preserve">13 and the forward year </w:t>
      </w:r>
      <w:r w:rsidR="00465263" w:rsidRPr="00CF024B">
        <w:rPr>
          <w:szCs w:val="16"/>
        </w:rPr>
        <w:t xml:space="preserve">liability valuation </w:t>
      </w:r>
      <w:r w:rsidR="00A92CF8" w:rsidRPr="00CF024B">
        <w:rPr>
          <w:szCs w:val="16"/>
        </w:rPr>
        <w:t xml:space="preserve">estimates </w:t>
      </w:r>
      <w:r w:rsidR="00465263" w:rsidRPr="00CF024B">
        <w:rPr>
          <w:szCs w:val="16"/>
        </w:rPr>
        <w:t xml:space="preserve">utilise </w:t>
      </w:r>
      <w:r w:rsidR="00A92CF8" w:rsidRPr="00CF024B">
        <w:rPr>
          <w:szCs w:val="16"/>
        </w:rPr>
        <w:t xml:space="preserve">a discount rate of </w:t>
      </w:r>
      <w:r w:rsidR="00FD4500" w:rsidRPr="00CF024B">
        <w:rPr>
          <w:szCs w:val="16"/>
        </w:rPr>
        <w:t>six</w:t>
      </w:r>
      <w:r w:rsidR="00075321" w:rsidRPr="00CF024B">
        <w:rPr>
          <w:szCs w:val="16"/>
        </w:rPr>
        <w:t> </w:t>
      </w:r>
      <w:r w:rsidR="00A92CF8" w:rsidRPr="00CF024B">
        <w:rPr>
          <w:szCs w:val="16"/>
        </w:rPr>
        <w:t>per</w:t>
      </w:r>
      <w:r w:rsidR="00075321" w:rsidRPr="00CF024B">
        <w:rPr>
          <w:szCs w:val="16"/>
        </w:rPr>
        <w:t> </w:t>
      </w:r>
      <w:r w:rsidR="00A92CF8" w:rsidRPr="00CF024B">
        <w:rPr>
          <w:szCs w:val="16"/>
        </w:rPr>
        <w:t>cent.</w:t>
      </w:r>
    </w:p>
    <w:p w:rsidR="006E48D6" w:rsidRPr="009627D0" w:rsidRDefault="00DE0D3F" w:rsidP="004B1F76">
      <w:pPr>
        <w:pStyle w:val="Heading3"/>
        <w:rPr>
          <w:szCs w:val="16"/>
        </w:rPr>
      </w:pPr>
      <w:r w:rsidRPr="009627D0">
        <w:rPr>
          <w:szCs w:val="16"/>
        </w:rPr>
        <w:lastRenderedPageBreak/>
        <w:t>Output Classes</w:t>
      </w:r>
    </w:p>
    <w:tbl>
      <w:tblPr>
        <w:tblW w:w="9100" w:type="dxa"/>
        <w:tblLook w:val="0000"/>
      </w:tblPr>
      <w:tblGrid>
        <w:gridCol w:w="3588"/>
        <w:gridCol w:w="1378"/>
        <w:gridCol w:w="1378"/>
        <w:gridCol w:w="1378"/>
        <w:gridCol w:w="1378"/>
      </w:tblGrid>
      <w:tr w:rsidR="006E48D6" w:rsidRPr="009627D0" w:rsidTr="00427B57">
        <w:tc>
          <w:tcPr>
            <w:tcW w:w="3544" w:type="dxa"/>
            <w:tcBorders>
              <w:top w:val="single" w:sz="4" w:space="0" w:color="auto"/>
            </w:tcBorders>
          </w:tcPr>
          <w:p w:rsidR="006E48D6" w:rsidRPr="009627D0" w:rsidRDefault="006E48D6">
            <w:pPr>
              <w:pStyle w:val="Heading2"/>
              <w:spacing w:before="40" w:after="0"/>
              <w:ind w:left="357"/>
              <w:jc w:val="right"/>
              <w:rPr>
                <w:b w:val="0"/>
                <w:bCs/>
                <w:i/>
                <w:iCs/>
                <w:szCs w:val="16"/>
              </w:rPr>
            </w:pPr>
          </w:p>
        </w:tc>
        <w:tc>
          <w:tcPr>
            <w:tcW w:w="1361" w:type="dxa"/>
            <w:gridSpan w:val="2"/>
            <w:tcBorders>
              <w:top w:val="single" w:sz="4" w:space="0" w:color="auto"/>
              <w:bottom w:val="single" w:sz="4" w:space="0" w:color="auto"/>
            </w:tcBorders>
          </w:tcPr>
          <w:p w:rsidR="006E48D6" w:rsidRPr="009627D0" w:rsidRDefault="006E48D6">
            <w:pPr>
              <w:pStyle w:val="Heading2"/>
              <w:rPr>
                <w:szCs w:val="16"/>
              </w:rPr>
            </w:pPr>
            <w:r w:rsidRPr="009627D0">
              <w:rPr>
                <w:szCs w:val="16"/>
              </w:rPr>
              <w:t>Total Cost</w:t>
            </w:r>
          </w:p>
        </w:tc>
        <w:tc>
          <w:tcPr>
            <w:tcW w:w="1361" w:type="dxa"/>
            <w:gridSpan w:val="2"/>
            <w:tcBorders>
              <w:top w:val="single" w:sz="4" w:space="0" w:color="auto"/>
              <w:bottom w:val="single" w:sz="4" w:space="0" w:color="auto"/>
            </w:tcBorders>
          </w:tcPr>
          <w:p w:rsidR="006E48D6" w:rsidRPr="009627D0" w:rsidRDefault="006E48D6">
            <w:pPr>
              <w:pStyle w:val="Heading2"/>
              <w:rPr>
                <w:szCs w:val="16"/>
              </w:rPr>
            </w:pPr>
            <w:r w:rsidRPr="009627D0">
              <w:rPr>
                <w:szCs w:val="16"/>
              </w:rPr>
              <w:t>Payment for Expenses on Behalf of the Territory</w:t>
            </w:r>
          </w:p>
        </w:tc>
      </w:tr>
      <w:tr w:rsidR="006E48D6" w:rsidRPr="009627D0" w:rsidTr="000979F3">
        <w:tc>
          <w:tcPr>
            <w:tcW w:w="3544" w:type="dxa"/>
            <w:tcBorders>
              <w:bottom w:val="single" w:sz="4" w:space="0" w:color="auto"/>
            </w:tcBorders>
            <w:vAlign w:val="center"/>
          </w:tcPr>
          <w:p w:rsidR="006E48D6" w:rsidRPr="009627D0" w:rsidRDefault="006E48D6" w:rsidP="000979F3">
            <w:pPr>
              <w:pStyle w:val="SinglePara"/>
              <w:rPr>
                <w:b/>
                <w:bCs/>
                <w:sz w:val="22"/>
                <w:szCs w:val="16"/>
              </w:rPr>
            </w:pPr>
          </w:p>
        </w:tc>
        <w:tc>
          <w:tcPr>
            <w:tcW w:w="1361" w:type="dxa"/>
            <w:tcBorders>
              <w:top w:val="single" w:sz="4" w:space="0" w:color="auto"/>
              <w:bottom w:val="single" w:sz="4" w:space="0" w:color="auto"/>
            </w:tcBorders>
            <w:vAlign w:val="center"/>
          </w:tcPr>
          <w:p w:rsidR="006E48D6" w:rsidRPr="009627D0" w:rsidRDefault="006E48D6" w:rsidP="000979F3">
            <w:pPr>
              <w:pStyle w:val="TableTextRightBold-BP410pt"/>
              <w:rPr>
                <w:szCs w:val="16"/>
              </w:rPr>
            </w:pPr>
            <w:r w:rsidRPr="009627D0">
              <w:rPr>
                <w:szCs w:val="16"/>
              </w:rPr>
              <w:t>20</w:t>
            </w:r>
            <w:r w:rsidR="000D1A4B" w:rsidRPr="009627D0">
              <w:rPr>
                <w:szCs w:val="16"/>
              </w:rPr>
              <w:t>1</w:t>
            </w:r>
            <w:r w:rsidR="0089398F" w:rsidRPr="009627D0">
              <w:rPr>
                <w:szCs w:val="16"/>
              </w:rPr>
              <w:t>2</w:t>
            </w:r>
            <w:r w:rsidRPr="009627D0">
              <w:rPr>
                <w:szCs w:val="16"/>
              </w:rPr>
              <w:noBreakHyphen/>
              <w:t>1</w:t>
            </w:r>
            <w:r w:rsidR="0089398F" w:rsidRPr="009627D0">
              <w:rPr>
                <w:szCs w:val="16"/>
              </w:rPr>
              <w:t>3</w:t>
            </w:r>
          </w:p>
          <w:p w:rsidR="006E48D6" w:rsidRPr="009627D0" w:rsidRDefault="00CF024B" w:rsidP="000979F3">
            <w:pPr>
              <w:pStyle w:val="TableTextRightBold-BP410pt"/>
              <w:rPr>
                <w:szCs w:val="16"/>
              </w:rPr>
            </w:pPr>
            <w:r>
              <w:rPr>
                <w:szCs w:val="16"/>
              </w:rPr>
              <w:t xml:space="preserve"> </w:t>
            </w:r>
            <w:r w:rsidR="006E48D6" w:rsidRPr="009627D0">
              <w:rPr>
                <w:szCs w:val="16"/>
              </w:rPr>
              <w:t>Est</w:t>
            </w:r>
            <w:r w:rsidR="00F5181F" w:rsidRPr="009627D0">
              <w:rPr>
                <w:szCs w:val="16"/>
              </w:rPr>
              <w:t>. O</w:t>
            </w:r>
            <w:r w:rsidR="006E48D6" w:rsidRPr="009627D0">
              <w:rPr>
                <w:szCs w:val="16"/>
              </w:rPr>
              <w:t>utcome</w:t>
            </w:r>
          </w:p>
          <w:p w:rsidR="006E48D6" w:rsidRPr="009627D0" w:rsidRDefault="006E48D6" w:rsidP="000979F3">
            <w:pPr>
              <w:pStyle w:val="TableTextRightBold-BP410pt"/>
              <w:rPr>
                <w:szCs w:val="16"/>
              </w:rPr>
            </w:pPr>
            <w:r w:rsidRPr="009627D0">
              <w:rPr>
                <w:szCs w:val="16"/>
              </w:rPr>
              <w:t>$’000</w:t>
            </w:r>
          </w:p>
        </w:tc>
        <w:tc>
          <w:tcPr>
            <w:tcW w:w="1361" w:type="dxa"/>
            <w:tcBorders>
              <w:top w:val="single" w:sz="4" w:space="0" w:color="auto"/>
              <w:bottom w:val="single" w:sz="4" w:space="0" w:color="auto"/>
            </w:tcBorders>
            <w:vAlign w:val="center"/>
          </w:tcPr>
          <w:p w:rsidR="006E48D6" w:rsidRPr="009627D0" w:rsidRDefault="006E48D6" w:rsidP="000979F3">
            <w:pPr>
              <w:pStyle w:val="TableTextRightBold-BP410pt"/>
              <w:rPr>
                <w:szCs w:val="16"/>
              </w:rPr>
            </w:pPr>
            <w:r w:rsidRPr="009627D0">
              <w:rPr>
                <w:szCs w:val="16"/>
              </w:rPr>
              <w:t>201</w:t>
            </w:r>
            <w:r w:rsidR="0089398F" w:rsidRPr="009627D0">
              <w:rPr>
                <w:szCs w:val="16"/>
              </w:rPr>
              <w:t>3</w:t>
            </w:r>
            <w:r w:rsidRPr="009627D0">
              <w:rPr>
                <w:szCs w:val="16"/>
              </w:rPr>
              <w:noBreakHyphen/>
              <w:t>1</w:t>
            </w:r>
            <w:r w:rsidR="0089398F" w:rsidRPr="009627D0">
              <w:rPr>
                <w:szCs w:val="16"/>
              </w:rPr>
              <w:t>4</w:t>
            </w:r>
          </w:p>
          <w:p w:rsidR="006E48D6" w:rsidRPr="009627D0" w:rsidRDefault="006E48D6" w:rsidP="000979F3">
            <w:pPr>
              <w:pStyle w:val="TableTextRightBold-BP410pt"/>
              <w:rPr>
                <w:szCs w:val="16"/>
              </w:rPr>
            </w:pPr>
            <w:r w:rsidRPr="009627D0">
              <w:rPr>
                <w:szCs w:val="16"/>
              </w:rPr>
              <w:t>Budget</w:t>
            </w:r>
          </w:p>
          <w:p w:rsidR="006E48D6" w:rsidRPr="009627D0" w:rsidRDefault="006E48D6" w:rsidP="000979F3">
            <w:pPr>
              <w:pStyle w:val="TableTextRightBold-BP410pt"/>
              <w:rPr>
                <w:i/>
                <w:iCs/>
                <w:szCs w:val="16"/>
              </w:rPr>
            </w:pPr>
            <w:r w:rsidRPr="009627D0">
              <w:rPr>
                <w:szCs w:val="16"/>
              </w:rPr>
              <w:t>$’000</w:t>
            </w:r>
          </w:p>
        </w:tc>
        <w:tc>
          <w:tcPr>
            <w:tcW w:w="1361" w:type="dxa"/>
            <w:tcBorders>
              <w:top w:val="single" w:sz="4" w:space="0" w:color="auto"/>
              <w:bottom w:val="single" w:sz="4" w:space="0" w:color="auto"/>
            </w:tcBorders>
            <w:vAlign w:val="center"/>
          </w:tcPr>
          <w:p w:rsidR="006E48D6" w:rsidRPr="009627D0" w:rsidRDefault="006E48D6" w:rsidP="000979F3">
            <w:pPr>
              <w:pStyle w:val="TableTextRightBold-BP410pt"/>
              <w:rPr>
                <w:szCs w:val="16"/>
              </w:rPr>
            </w:pPr>
            <w:r w:rsidRPr="009627D0">
              <w:rPr>
                <w:szCs w:val="16"/>
              </w:rPr>
              <w:t>20</w:t>
            </w:r>
            <w:r w:rsidR="000D1A4B" w:rsidRPr="009627D0">
              <w:rPr>
                <w:szCs w:val="16"/>
              </w:rPr>
              <w:t>1</w:t>
            </w:r>
            <w:r w:rsidR="0089398F" w:rsidRPr="009627D0">
              <w:rPr>
                <w:szCs w:val="16"/>
              </w:rPr>
              <w:t>2</w:t>
            </w:r>
            <w:r w:rsidRPr="009627D0">
              <w:rPr>
                <w:szCs w:val="16"/>
              </w:rPr>
              <w:noBreakHyphen/>
              <w:t>1</w:t>
            </w:r>
            <w:r w:rsidR="0089398F" w:rsidRPr="009627D0">
              <w:rPr>
                <w:szCs w:val="16"/>
              </w:rPr>
              <w:t>3</w:t>
            </w:r>
          </w:p>
          <w:p w:rsidR="006E48D6" w:rsidRPr="009627D0" w:rsidRDefault="00CF024B" w:rsidP="000979F3">
            <w:pPr>
              <w:pStyle w:val="TableTextRightBold-BP410pt"/>
              <w:rPr>
                <w:szCs w:val="16"/>
              </w:rPr>
            </w:pPr>
            <w:r>
              <w:rPr>
                <w:szCs w:val="16"/>
              </w:rPr>
              <w:t xml:space="preserve"> </w:t>
            </w:r>
            <w:r w:rsidR="006E48D6" w:rsidRPr="009627D0">
              <w:rPr>
                <w:szCs w:val="16"/>
              </w:rPr>
              <w:t>Est</w:t>
            </w:r>
            <w:r w:rsidR="00470309" w:rsidRPr="009627D0">
              <w:rPr>
                <w:szCs w:val="16"/>
              </w:rPr>
              <w:t xml:space="preserve">. </w:t>
            </w:r>
            <w:r w:rsidR="00F5181F" w:rsidRPr="009627D0">
              <w:rPr>
                <w:szCs w:val="16"/>
              </w:rPr>
              <w:t>O</w:t>
            </w:r>
            <w:r w:rsidR="006E48D6" w:rsidRPr="009627D0">
              <w:rPr>
                <w:szCs w:val="16"/>
              </w:rPr>
              <w:t>utcome</w:t>
            </w:r>
          </w:p>
          <w:p w:rsidR="006E48D6" w:rsidRPr="009627D0" w:rsidRDefault="006E48D6" w:rsidP="000979F3">
            <w:pPr>
              <w:pStyle w:val="TableTextRightBold-BP410pt"/>
              <w:rPr>
                <w:i/>
                <w:iCs/>
                <w:szCs w:val="16"/>
              </w:rPr>
            </w:pPr>
            <w:r w:rsidRPr="009627D0">
              <w:rPr>
                <w:szCs w:val="16"/>
              </w:rPr>
              <w:t>$’000</w:t>
            </w:r>
          </w:p>
        </w:tc>
        <w:tc>
          <w:tcPr>
            <w:tcW w:w="1361" w:type="dxa"/>
            <w:tcBorders>
              <w:top w:val="single" w:sz="4" w:space="0" w:color="auto"/>
              <w:bottom w:val="single" w:sz="4" w:space="0" w:color="auto"/>
            </w:tcBorders>
            <w:vAlign w:val="center"/>
          </w:tcPr>
          <w:p w:rsidR="006E48D6" w:rsidRPr="009627D0" w:rsidRDefault="006E48D6" w:rsidP="000979F3">
            <w:pPr>
              <w:pStyle w:val="TableTextRightBold-BP410pt"/>
              <w:rPr>
                <w:szCs w:val="16"/>
              </w:rPr>
            </w:pPr>
            <w:r w:rsidRPr="009627D0">
              <w:rPr>
                <w:szCs w:val="16"/>
              </w:rPr>
              <w:t>201</w:t>
            </w:r>
            <w:r w:rsidR="0089398F" w:rsidRPr="009627D0">
              <w:rPr>
                <w:szCs w:val="16"/>
              </w:rPr>
              <w:t>3</w:t>
            </w:r>
            <w:r w:rsidRPr="009627D0">
              <w:rPr>
                <w:szCs w:val="16"/>
              </w:rPr>
              <w:noBreakHyphen/>
              <w:t>1</w:t>
            </w:r>
            <w:r w:rsidR="0089398F" w:rsidRPr="009627D0">
              <w:rPr>
                <w:szCs w:val="16"/>
              </w:rPr>
              <w:t>4</w:t>
            </w:r>
          </w:p>
          <w:p w:rsidR="006E48D6" w:rsidRPr="009627D0" w:rsidRDefault="006E48D6" w:rsidP="000979F3">
            <w:pPr>
              <w:pStyle w:val="TableTextRightBold-BP410pt"/>
              <w:rPr>
                <w:szCs w:val="16"/>
              </w:rPr>
            </w:pPr>
            <w:r w:rsidRPr="009627D0">
              <w:rPr>
                <w:szCs w:val="16"/>
              </w:rPr>
              <w:t>Budget</w:t>
            </w:r>
          </w:p>
          <w:p w:rsidR="006E48D6" w:rsidRPr="009627D0" w:rsidRDefault="006E48D6" w:rsidP="000979F3">
            <w:pPr>
              <w:pStyle w:val="TableTextRightBold-BP410pt"/>
              <w:rPr>
                <w:szCs w:val="16"/>
              </w:rPr>
            </w:pPr>
            <w:r w:rsidRPr="009627D0">
              <w:rPr>
                <w:szCs w:val="16"/>
              </w:rPr>
              <w:t>$’000</w:t>
            </w:r>
          </w:p>
        </w:tc>
      </w:tr>
      <w:tr w:rsidR="006E48D6" w:rsidRPr="009627D0" w:rsidTr="000979F3">
        <w:tc>
          <w:tcPr>
            <w:tcW w:w="3544" w:type="dxa"/>
            <w:tcBorders>
              <w:top w:val="single" w:sz="4" w:space="0" w:color="auto"/>
              <w:bottom w:val="single" w:sz="4" w:space="0" w:color="auto"/>
            </w:tcBorders>
            <w:vAlign w:val="center"/>
          </w:tcPr>
          <w:p w:rsidR="006E48D6" w:rsidRPr="009627D0" w:rsidRDefault="006E48D6" w:rsidP="000979F3">
            <w:pPr>
              <w:pStyle w:val="TableTextLeftBold-BP410pt"/>
              <w:rPr>
                <w:szCs w:val="16"/>
              </w:rPr>
            </w:pPr>
            <w:r w:rsidRPr="009627D0">
              <w:rPr>
                <w:szCs w:val="16"/>
              </w:rPr>
              <w:t>EBT Class 1:</w:t>
            </w:r>
          </w:p>
          <w:p w:rsidR="006E48D6" w:rsidRPr="009627D0" w:rsidRDefault="006E48D6" w:rsidP="000979F3">
            <w:pPr>
              <w:pStyle w:val="TableTextLeftBold-BP410pt"/>
              <w:rPr>
                <w:szCs w:val="16"/>
              </w:rPr>
            </w:pPr>
            <w:r w:rsidRPr="009627D0">
              <w:rPr>
                <w:szCs w:val="16"/>
              </w:rPr>
              <w:t>Superannuation Provision Account</w:t>
            </w:r>
          </w:p>
        </w:tc>
        <w:tc>
          <w:tcPr>
            <w:tcW w:w="1361" w:type="dxa"/>
            <w:tcBorders>
              <w:top w:val="single" w:sz="4" w:space="0" w:color="auto"/>
              <w:bottom w:val="single" w:sz="4" w:space="0" w:color="auto"/>
            </w:tcBorders>
            <w:vAlign w:val="center"/>
          </w:tcPr>
          <w:p w:rsidR="006E48D6" w:rsidRPr="009627D0" w:rsidRDefault="009627D0" w:rsidP="000979F3">
            <w:pPr>
              <w:pStyle w:val="TableTextRight-BP410pt"/>
              <w:rPr>
                <w:szCs w:val="16"/>
                <w:highlight w:val="yellow"/>
              </w:rPr>
            </w:pPr>
            <w:r>
              <w:rPr>
                <w:szCs w:val="16"/>
              </w:rPr>
              <w:t>548,748</w:t>
            </w:r>
          </w:p>
        </w:tc>
        <w:tc>
          <w:tcPr>
            <w:tcW w:w="1361" w:type="dxa"/>
            <w:tcBorders>
              <w:top w:val="single" w:sz="4" w:space="0" w:color="auto"/>
              <w:bottom w:val="single" w:sz="4" w:space="0" w:color="auto"/>
            </w:tcBorders>
            <w:vAlign w:val="center"/>
          </w:tcPr>
          <w:p w:rsidR="006E48D6" w:rsidRPr="009627D0" w:rsidRDefault="009627D0" w:rsidP="000979F3">
            <w:pPr>
              <w:pStyle w:val="TableTextRight-BP410pt"/>
              <w:rPr>
                <w:szCs w:val="16"/>
                <w:highlight w:val="yellow"/>
              </w:rPr>
            </w:pPr>
            <w:r>
              <w:rPr>
                <w:szCs w:val="16"/>
              </w:rPr>
              <w:t>462,495</w:t>
            </w:r>
          </w:p>
        </w:tc>
        <w:tc>
          <w:tcPr>
            <w:tcW w:w="1361" w:type="dxa"/>
            <w:tcBorders>
              <w:top w:val="single" w:sz="4" w:space="0" w:color="auto"/>
              <w:bottom w:val="single" w:sz="4" w:space="0" w:color="auto"/>
            </w:tcBorders>
            <w:vAlign w:val="center"/>
          </w:tcPr>
          <w:p w:rsidR="006E48D6" w:rsidRPr="00A27A54" w:rsidRDefault="00A27A54" w:rsidP="000979F3">
            <w:pPr>
              <w:pStyle w:val="TableTextRight-BP410pt"/>
              <w:rPr>
                <w:szCs w:val="16"/>
              </w:rPr>
            </w:pPr>
            <w:r w:rsidRPr="00A27A54">
              <w:rPr>
                <w:szCs w:val="16"/>
              </w:rPr>
              <w:t>N/A</w:t>
            </w:r>
          </w:p>
        </w:tc>
        <w:tc>
          <w:tcPr>
            <w:tcW w:w="1361" w:type="dxa"/>
            <w:tcBorders>
              <w:top w:val="single" w:sz="4" w:space="0" w:color="auto"/>
              <w:bottom w:val="single" w:sz="4" w:space="0" w:color="auto"/>
            </w:tcBorders>
            <w:vAlign w:val="center"/>
          </w:tcPr>
          <w:p w:rsidR="006E48D6" w:rsidRPr="00A27A54" w:rsidRDefault="00A27A54" w:rsidP="000979F3">
            <w:pPr>
              <w:pStyle w:val="TableTextRight-BP410pt"/>
              <w:rPr>
                <w:szCs w:val="16"/>
              </w:rPr>
            </w:pPr>
            <w:r w:rsidRPr="00A27A54">
              <w:rPr>
                <w:szCs w:val="16"/>
              </w:rPr>
              <w:t>N/A</w:t>
            </w:r>
          </w:p>
        </w:tc>
      </w:tr>
      <w:tr w:rsidR="006E48D6" w:rsidTr="000979F3">
        <w:tc>
          <w:tcPr>
            <w:tcW w:w="3544" w:type="dxa"/>
            <w:tcBorders>
              <w:top w:val="single" w:sz="4" w:space="0" w:color="auto"/>
              <w:bottom w:val="single" w:sz="4" w:space="0" w:color="auto"/>
            </w:tcBorders>
            <w:vAlign w:val="center"/>
          </w:tcPr>
          <w:p w:rsidR="006E48D6" w:rsidRDefault="006E48D6" w:rsidP="000979F3">
            <w:pPr>
              <w:pStyle w:val="TableTextLeftBold-BP410pt"/>
              <w:ind w:left="0" w:firstLine="0"/>
            </w:pPr>
            <w:r w:rsidRPr="009627D0">
              <w:rPr>
                <w:szCs w:val="16"/>
              </w:rPr>
              <w:t xml:space="preserve">EBT </w:t>
            </w:r>
            <w:r>
              <w:t>1</w:t>
            </w:r>
            <w:r w:rsidR="00D6679D">
              <w:t>.1</w:t>
            </w:r>
            <w:r w:rsidR="00470309">
              <w:t xml:space="preserve">:  </w:t>
            </w:r>
            <w:r>
              <w:t>Superannuation Provision Account</w:t>
            </w:r>
          </w:p>
        </w:tc>
        <w:tc>
          <w:tcPr>
            <w:tcW w:w="1361" w:type="dxa"/>
            <w:tcBorders>
              <w:top w:val="single" w:sz="4" w:space="0" w:color="auto"/>
              <w:bottom w:val="single" w:sz="4" w:space="0" w:color="auto"/>
            </w:tcBorders>
            <w:vAlign w:val="center"/>
          </w:tcPr>
          <w:p w:rsidR="006E48D6" w:rsidRPr="00986655" w:rsidRDefault="009627D0" w:rsidP="000979F3">
            <w:pPr>
              <w:pStyle w:val="TableTextRight-BP410pt"/>
            </w:pPr>
            <w:r w:rsidRPr="00986655">
              <w:t>548,748</w:t>
            </w:r>
          </w:p>
        </w:tc>
        <w:tc>
          <w:tcPr>
            <w:tcW w:w="1361" w:type="dxa"/>
            <w:tcBorders>
              <w:top w:val="single" w:sz="4" w:space="0" w:color="auto"/>
              <w:bottom w:val="single" w:sz="4" w:space="0" w:color="auto"/>
            </w:tcBorders>
            <w:vAlign w:val="center"/>
          </w:tcPr>
          <w:p w:rsidR="006E48D6" w:rsidRPr="00986655" w:rsidRDefault="009627D0" w:rsidP="000979F3">
            <w:pPr>
              <w:pStyle w:val="TableTextRight-BP410pt"/>
            </w:pPr>
            <w:r w:rsidRPr="00986655">
              <w:t>462,495</w:t>
            </w:r>
          </w:p>
        </w:tc>
        <w:tc>
          <w:tcPr>
            <w:tcW w:w="1361" w:type="dxa"/>
            <w:tcBorders>
              <w:top w:val="single" w:sz="4" w:space="0" w:color="auto"/>
              <w:bottom w:val="single" w:sz="4" w:space="0" w:color="auto"/>
            </w:tcBorders>
            <w:vAlign w:val="center"/>
          </w:tcPr>
          <w:p w:rsidR="006E48D6" w:rsidRPr="00A27A54" w:rsidRDefault="00A27A54" w:rsidP="000979F3">
            <w:pPr>
              <w:pStyle w:val="TableTextRight-BP410pt"/>
            </w:pPr>
            <w:r w:rsidRPr="00A27A54">
              <w:t>N/A</w:t>
            </w:r>
          </w:p>
        </w:tc>
        <w:tc>
          <w:tcPr>
            <w:tcW w:w="1361" w:type="dxa"/>
            <w:tcBorders>
              <w:top w:val="single" w:sz="4" w:space="0" w:color="auto"/>
              <w:bottom w:val="single" w:sz="4" w:space="0" w:color="auto"/>
            </w:tcBorders>
            <w:vAlign w:val="center"/>
          </w:tcPr>
          <w:p w:rsidR="006E48D6" w:rsidRPr="00A27A54" w:rsidRDefault="00A27A54" w:rsidP="000979F3">
            <w:pPr>
              <w:pStyle w:val="TableTextRight-BP410pt"/>
            </w:pPr>
            <w:r w:rsidRPr="00A27A54">
              <w:t>N/A</w:t>
            </w:r>
          </w:p>
        </w:tc>
      </w:tr>
    </w:tbl>
    <w:p w:rsidR="006E48D6" w:rsidRPr="004B1F76" w:rsidRDefault="006E48D6" w:rsidP="000979F3">
      <w:pPr>
        <w:pStyle w:val="Heading4"/>
      </w:pPr>
      <w:r w:rsidRPr="004B1F76">
        <w:t>Output Description</w:t>
      </w:r>
    </w:p>
    <w:p w:rsidR="006E48D6" w:rsidRPr="004B1F76" w:rsidRDefault="006E48D6" w:rsidP="000960D8">
      <w:pPr>
        <w:pStyle w:val="BodyText"/>
      </w:pPr>
      <w:r w:rsidRPr="004B1F76">
        <w:t xml:space="preserve">This output involves the management of the Territory’s defined benefit employer superannuation liabilities and </w:t>
      </w:r>
      <w:r w:rsidR="0089398F">
        <w:t xml:space="preserve">financial </w:t>
      </w:r>
      <w:r w:rsidRPr="004B1F76">
        <w:t>investment assets.</w:t>
      </w:r>
    </w:p>
    <w:p w:rsidR="006E48D6" w:rsidRPr="004B1F76" w:rsidRDefault="006E48D6" w:rsidP="000960D8">
      <w:pPr>
        <w:pStyle w:val="BodyText"/>
      </w:pPr>
      <w:r w:rsidRPr="004B1F76">
        <w:t>The key outputs to be delivered in 201</w:t>
      </w:r>
      <w:r w:rsidR="0089398F">
        <w:t>3</w:t>
      </w:r>
      <w:r w:rsidRPr="004B1F76">
        <w:noBreakHyphen/>
        <w:t>1</w:t>
      </w:r>
      <w:r w:rsidR="0089398F">
        <w:t>4</w:t>
      </w:r>
      <w:r w:rsidRPr="004B1F76">
        <w:t xml:space="preserve"> include:</w:t>
      </w:r>
    </w:p>
    <w:p w:rsidR="006E48D6" w:rsidRPr="004B1F76" w:rsidRDefault="007A3A0F" w:rsidP="000960D8">
      <w:pPr>
        <w:pStyle w:val="BodyTextIndent"/>
        <w:ind w:left="357" w:hanging="357"/>
        <w:outlineLvl w:val="0"/>
      </w:pPr>
      <w:r>
        <w:t xml:space="preserve">managing the investment strategy </w:t>
      </w:r>
      <w:r w:rsidR="00C12D06" w:rsidRPr="004B1F76">
        <w:t xml:space="preserve">and reporting on </w:t>
      </w:r>
      <w:r w:rsidR="006E48D6" w:rsidRPr="004B1F76">
        <w:t xml:space="preserve">the </w:t>
      </w:r>
      <w:r w:rsidR="0089398F">
        <w:t xml:space="preserve">financial </w:t>
      </w:r>
      <w:r w:rsidR="006E48D6" w:rsidRPr="004B1F76">
        <w:t>investment assets set aside to meet the CSS/PSS defined benefit employer superannuation liabilities of the Territory;</w:t>
      </w:r>
    </w:p>
    <w:p w:rsidR="000D1A4B" w:rsidRPr="004B1F76" w:rsidRDefault="006E48D6" w:rsidP="000960D8">
      <w:pPr>
        <w:pStyle w:val="BodyTextIndent"/>
        <w:ind w:left="357" w:hanging="357"/>
        <w:outlineLvl w:val="0"/>
      </w:pPr>
      <w:r w:rsidRPr="004B1F76">
        <w:t xml:space="preserve">undertaking the </w:t>
      </w:r>
      <w:r w:rsidR="00770055" w:rsidRPr="004B1F76">
        <w:t>annual</w:t>
      </w:r>
      <w:r w:rsidR="000D1A4B" w:rsidRPr="004B1F76">
        <w:t xml:space="preserve"> </w:t>
      </w:r>
      <w:r w:rsidRPr="004B1F76">
        <w:t>actuarial review of the Territory’s CSS/PSS defined benefit employer superannuation liabilities;</w:t>
      </w:r>
    </w:p>
    <w:p w:rsidR="00320C11" w:rsidRPr="004B1F76" w:rsidRDefault="00ED391E" w:rsidP="000960D8">
      <w:pPr>
        <w:pStyle w:val="BodyTextIndent"/>
        <w:ind w:left="357" w:hanging="357"/>
        <w:outlineLvl w:val="0"/>
      </w:pPr>
      <w:r w:rsidRPr="004B1F76">
        <w:t>implement</w:t>
      </w:r>
      <w:r w:rsidR="00D6679D">
        <w:t>ing</w:t>
      </w:r>
      <w:r w:rsidRPr="004B1F76">
        <w:t xml:space="preserve"> </w:t>
      </w:r>
      <w:r w:rsidR="007A3A0F">
        <w:t>the</w:t>
      </w:r>
      <w:r w:rsidR="00770055" w:rsidRPr="004B1F76">
        <w:t xml:space="preserve"> Responsibl</w:t>
      </w:r>
      <w:r w:rsidRPr="004B1F76">
        <w:t>e Investment Policy</w:t>
      </w:r>
      <w:r w:rsidR="007A3A0F">
        <w:t>, including share voting, prohibited investments, and application of the Principles for Responsible Investment;</w:t>
      </w:r>
    </w:p>
    <w:p w:rsidR="006E48D6" w:rsidRPr="004B1F76" w:rsidRDefault="00320C11" w:rsidP="000960D8">
      <w:pPr>
        <w:pStyle w:val="BodyTextIndent"/>
        <w:ind w:left="357" w:hanging="357"/>
        <w:outlineLvl w:val="0"/>
      </w:pPr>
      <w:r w:rsidRPr="004B1F76">
        <w:t>managing</w:t>
      </w:r>
      <w:r w:rsidR="000D1A4B" w:rsidRPr="004B1F76">
        <w:t xml:space="preserve"> the superannuation funding plan</w:t>
      </w:r>
      <w:r w:rsidRPr="004B1F76">
        <w:t xml:space="preserve"> and payment of </w:t>
      </w:r>
      <w:r w:rsidR="007A3A0F">
        <w:t xml:space="preserve">employer </w:t>
      </w:r>
      <w:r w:rsidRPr="004B1F76">
        <w:t xml:space="preserve">benefits to </w:t>
      </w:r>
      <w:proofErr w:type="spellStart"/>
      <w:r w:rsidRPr="004B1F76">
        <w:t>ComSuper</w:t>
      </w:r>
      <w:proofErr w:type="spellEnd"/>
      <w:r w:rsidR="000D1A4B" w:rsidRPr="004B1F76">
        <w:t>;</w:t>
      </w:r>
    </w:p>
    <w:p w:rsidR="006E48D6" w:rsidRDefault="006E48D6" w:rsidP="000960D8">
      <w:pPr>
        <w:pStyle w:val="BodyTextIndent"/>
        <w:ind w:left="357" w:hanging="357"/>
        <w:outlineLvl w:val="0"/>
      </w:pPr>
      <w:r w:rsidRPr="004B1F76">
        <w:t>prepar</w:t>
      </w:r>
      <w:r w:rsidR="00C443B0">
        <w:t>ing</w:t>
      </w:r>
      <w:r w:rsidRPr="004B1F76">
        <w:t xml:space="preserve"> annual Member Information Statements for the Members of the Legislative</w:t>
      </w:r>
      <w:r w:rsidR="0089398F">
        <w:t xml:space="preserve"> Assembly Superannuation Scheme</w:t>
      </w:r>
      <w:r w:rsidR="004568BD">
        <w:t>,</w:t>
      </w:r>
      <w:r w:rsidR="0089398F">
        <w:t xml:space="preserve"> </w:t>
      </w:r>
      <w:r w:rsidR="007A3A0F">
        <w:t>with</w:t>
      </w:r>
      <w:r w:rsidR="0089398F">
        <w:t xml:space="preserve"> </w:t>
      </w:r>
      <w:r w:rsidR="007A3A0F">
        <w:t xml:space="preserve">calculation and </w:t>
      </w:r>
      <w:r w:rsidR="0089398F">
        <w:t>settlement of benefit</w:t>
      </w:r>
      <w:r w:rsidR="007A3A0F">
        <w:t xml:space="preserve"> determinations as required; and</w:t>
      </w:r>
    </w:p>
    <w:p w:rsidR="00AE097C" w:rsidRDefault="007A3A0F" w:rsidP="000960D8">
      <w:pPr>
        <w:pStyle w:val="BodyTextIndent"/>
        <w:ind w:left="357" w:hanging="357"/>
        <w:outlineLvl w:val="0"/>
      </w:pPr>
      <w:proofErr w:type="gramStart"/>
      <w:r>
        <w:t>managing</w:t>
      </w:r>
      <w:proofErr w:type="gramEnd"/>
      <w:r>
        <w:t xml:space="preserve"> and reporting on the financial operations of the SPA.</w:t>
      </w:r>
    </w:p>
    <w:p w:rsidR="006E0284" w:rsidRDefault="00AE097C" w:rsidP="00AE097C">
      <w:pPr>
        <w:pStyle w:val="Heading3"/>
      </w:pPr>
      <w:r>
        <w:br w:type="page"/>
      </w:r>
    </w:p>
    <w:p w:rsidR="006E48D6" w:rsidRDefault="006E48D6" w:rsidP="00AE097C">
      <w:pPr>
        <w:pStyle w:val="Heading3"/>
      </w:pPr>
      <w:r w:rsidRPr="00AE097C">
        <w:rPr>
          <w:szCs w:val="16"/>
        </w:rPr>
        <w:lastRenderedPageBreak/>
        <w:t>Accountability Indicators</w:t>
      </w:r>
    </w:p>
    <w:tbl>
      <w:tblPr>
        <w:tblW w:w="9356" w:type="dxa"/>
        <w:tblLayout w:type="fixed"/>
        <w:tblLook w:val="0000"/>
      </w:tblPr>
      <w:tblGrid>
        <w:gridCol w:w="5046"/>
        <w:gridCol w:w="1424"/>
        <w:gridCol w:w="1424"/>
        <w:gridCol w:w="1462"/>
      </w:tblGrid>
      <w:tr w:rsidR="006E48D6" w:rsidTr="00681DFA">
        <w:tc>
          <w:tcPr>
            <w:tcW w:w="5046" w:type="dxa"/>
            <w:tcBorders>
              <w:top w:val="single" w:sz="4" w:space="0" w:color="auto"/>
              <w:left w:val="nil"/>
              <w:bottom w:val="single" w:sz="4" w:space="0" w:color="auto"/>
              <w:right w:val="nil"/>
            </w:tcBorders>
          </w:tcPr>
          <w:p w:rsidR="006E48D6" w:rsidRDefault="006E48D6">
            <w:pPr>
              <w:pStyle w:val="Heading2"/>
            </w:pPr>
          </w:p>
        </w:tc>
        <w:tc>
          <w:tcPr>
            <w:tcW w:w="1424" w:type="dxa"/>
            <w:tcBorders>
              <w:top w:val="single" w:sz="4" w:space="0" w:color="auto"/>
              <w:left w:val="nil"/>
              <w:bottom w:val="single" w:sz="4" w:space="0" w:color="auto"/>
              <w:right w:val="nil"/>
            </w:tcBorders>
          </w:tcPr>
          <w:p w:rsidR="006E48D6" w:rsidRDefault="006E48D6" w:rsidP="0089398F">
            <w:pPr>
              <w:pStyle w:val="Heading6"/>
            </w:pPr>
            <w:r>
              <w:t>20</w:t>
            </w:r>
            <w:r w:rsidR="000D1A4B">
              <w:t>1</w:t>
            </w:r>
            <w:r w:rsidR="0089398F">
              <w:t>2</w:t>
            </w:r>
            <w:r>
              <w:noBreakHyphen/>
              <w:t>1</w:t>
            </w:r>
            <w:r w:rsidR="0089398F">
              <w:t>3</w:t>
            </w:r>
            <w:r>
              <w:br/>
              <w:t>Targets</w:t>
            </w:r>
          </w:p>
        </w:tc>
        <w:tc>
          <w:tcPr>
            <w:tcW w:w="1424" w:type="dxa"/>
            <w:tcBorders>
              <w:top w:val="single" w:sz="4" w:space="0" w:color="auto"/>
              <w:left w:val="nil"/>
              <w:bottom w:val="single" w:sz="4" w:space="0" w:color="auto"/>
              <w:right w:val="nil"/>
            </w:tcBorders>
          </w:tcPr>
          <w:p w:rsidR="006E48D6" w:rsidRDefault="006E48D6" w:rsidP="0089398F">
            <w:pPr>
              <w:pStyle w:val="Heading6"/>
            </w:pPr>
            <w:r>
              <w:t>20</w:t>
            </w:r>
            <w:r w:rsidR="000D1A4B">
              <w:t>1</w:t>
            </w:r>
            <w:r w:rsidR="0089398F">
              <w:t>2</w:t>
            </w:r>
            <w:r>
              <w:noBreakHyphen/>
              <w:t>1</w:t>
            </w:r>
            <w:r w:rsidR="0089398F">
              <w:t>3</w:t>
            </w:r>
            <w:r>
              <w:br/>
              <w:t>Est</w:t>
            </w:r>
            <w:r w:rsidR="00470309">
              <w:t xml:space="preserve">. </w:t>
            </w:r>
            <w:r>
              <w:t>Outcome</w:t>
            </w:r>
          </w:p>
        </w:tc>
        <w:tc>
          <w:tcPr>
            <w:tcW w:w="1462" w:type="dxa"/>
            <w:tcBorders>
              <w:top w:val="single" w:sz="4" w:space="0" w:color="auto"/>
              <w:left w:val="nil"/>
              <w:bottom w:val="single" w:sz="4" w:space="0" w:color="auto"/>
              <w:right w:val="nil"/>
            </w:tcBorders>
          </w:tcPr>
          <w:p w:rsidR="006E48D6" w:rsidRDefault="006E48D6" w:rsidP="0089398F">
            <w:pPr>
              <w:pStyle w:val="Heading6"/>
            </w:pPr>
            <w:r>
              <w:t>201</w:t>
            </w:r>
            <w:r w:rsidR="0089398F">
              <w:t>3</w:t>
            </w:r>
            <w:r>
              <w:noBreakHyphen/>
              <w:t>1</w:t>
            </w:r>
            <w:r w:rsidR="0089398F">
              <w:t>4</w:t>
            </w:r>
            <w:r>
              <w:br/>
              <w:t>Targets</w:t>
            </w:r>
          </w:p>
        </w:tc>
      </w:tr>
      <w:tr w:rsidR="006E48D6" w:rsidTr="00681DFA">
        <w:tc>
          <w:tcPr>
            <w:tcW w:w="9356" w:type="dxa"/>
            <w:gridSpan w:val="4"/>
            <w:tcBorders>
              <w:top w:val="single" w:sz="4" w:space="0" w:color="auto"/>
              <w:left w:val="nil"/>
              <w:bottom w:val="single" w:sz="4" w:space="0" w:color="auto"/>
              <w:right w:val="nil"/>
            </w:tcBorders>
          </w:tcPr>
          <w:p w:rsidR="006E48D6" w:rsidRDefault="006E48D6">
            <w:pPr>
              <w:pStyle w:val="Heading7"/>
            </w:pPr>
            <w:r>
              <w:t>1.1 Superannuation Provision Account</w:t>
            </w:r>
          </w:p>
        </w:tc>
      </w:tr>
      <w:tr w:rsidR="006E48D6" w:rsidTr="00681DFA">
        <w:tc>
          <w:tcPr>
            <w:tcW w:w="5046" w:type="dxa"/>
            <w:tcBorders>
              <w:top w:val="nil"/>
              <w:left w:val="nil"/>
              <w:bottom w:val="nil"/>
              <w:right w:val="nil"/>
            </w:tcBorders>
            <w:vAlign w:val="center"/>
          </w:tcPr>
          <w:p w:rsidR="006E48D6" w:rsidRDefault="006E48D6" w:rsidP="00681DFA">
            <w:pPr>
              <w:pStyle w:val="AIIndent"/>
              <w:numPr>
                <w:ilvl w:val="0"/>
                <w:numId w:val="1"/>
              </w:numPr>
              <w:spacing w:before="120" w:after="40"/>
            </w:pPr>
            <w:r>
              <w:t xml:space="preserve">Difference between the net investment earnings rate and the benchmark is to be </w:t>
            </w:r>
            <w:r>
              <w:rPr>
                <w:u w:val="single"/>
              </w:rPr>
              <w:t>&gt;</w:t>
            </w:r>
            <w:r>
              <w:t xml:space="preserve"> 0</w:t>
            </w:r>
            <w:r w:rsidR="0081442B">
              <w:t xml:space="preserve"> </w:t>
            </w:r>
            <w:r w:rsidR="003B367D" w:rsidRPr="003B367D">
              <w:rPr>
                <w:vertAlign w:val="superscript"/>
              </w:rPr>
              <w:t>1</w:t>
            </w:r>
          </w:p>
        </w:tc>
        <w:tc>
          <w:tcPr>
            <w:tcW w:w="1424" w:type="dxa"/>
            <w:tcBorders>
              <w:top w:val="nil"/>
              <w:left w:val="nil"/>
              <w:bottom w:val="nil"/>
              <w:right w:val="nil"/>
            </w:tcBorders>
            <w:vAlign w:val="center"/>
          </w:tcPr>
          <w:p w:rsidR="006E48D6" w:rsidRDefault="006E48D6" w:rsidP="00681DFA">
            <w:pPr>
              <w:pStyle w:val="AITableText"/>
              <w:spacing w:before="120" w:after="40"/>
            </w:pPr>
            <w:r>
              <w:rPr>
                <w:u w:val="single"/>
              </w:rPr>
              <w:t>&gt;</w:t>
            </w:r>
            <w:r>
              <w:t xml:space="preserve"> 0</w:t>
            </w:r>
          </w:p>
        </w:tc>
        <w:tc>
          <w:tcPr>
            <w:tcW w:w="1424" w:type="dxa"/>
            <w:tcBorders>
              <w:top w:val="nil"/>
              <w:left w:val="nil"/>
              <w:bottom w:val="nil"/>
              <w:right w:val="nil"/>
            </w:tcBorders>
            <w:vAlign w:val="center"/>
          </w:tcPr>
          <w:p w:rsidR="006E48D6" w:rsidRPr="00CE39CD" w:rsidRDefault="006E48D6" w:rsidP="00681DFA">
            <w:pPr>
              <w:pStyle w:val="AITableText"/>
              <w:spacing w:before="120" w:after="40"/>
            </w:pPr>
            <w:r w:rsidRPr="00CE39CD">
              <w:rPr>
                <w:u w:val="single"/>
              </w:rPr>
              <w:t>&gt;</w:t>
            </w:r>
            <w:r w:rsidRPr="00CE39CD">
              <w:t xml:space="preserve"> 0</w:t>
            </w:r>
          </w:p>
        </w:tc>
        <w:tc>
          <w:tcPr>
            <w:tcW w:w="1462" w:type="dxa"/>
            <w:tcBorders>
              <w:top w:val="nil"/>
              <w:left w:val="nil"/>
              <w:bottom w:val="nil"/>
              <w:right w:val="nil"/>
            </w:tcBorders>
            <w:vAlign w:val="center"/>
          </w:tcPr>
          <w:p w:rsidR="006E48D6" w:rsidRPr="00CE39CD" w:rsidRDefault="006E48D6" w:rsidP="00681DFA">
            <w:pPr>
              <w:pStyle w:val="AITableText"/>
              <w:spacing w:before="120" w:after="40"/>
            </w:pPr>
            <w:r w:rsidRPr="00CE39CD">
              <w:rPr>
                <w:u w:val="single"/>
              </w:rPr>
              <w:t>&gt;</w:t>
            </w:r>
            <w:r w:rsidRPr="00CE39CD">
              <w:t xml:space="preserve"> 0</w:t>
            </w:r>
          </w:p>
        </w:tc>
      </w:tr>
      <w:tr w:rsidR="00F60A88" w:rsidTr="00681DFA">
        <w:tc>
          <w:tcPr>
            <w:tcW w:w="5046" w:type="dxa"/>
            <w:tcBorders>
              <w:top w:val="nil"/>
              <w:left w:val="nil"/>
              <w:right w:val="nil"/>
            </w:tcBorders>
            <w:vAlign w:val="center"/>
          </w:tcPr>
          <w:p w:rsidR="00F60A88" w:rsidRDefault="00F60A88" w:rsidP="000979F3">
            <w:pPr>
              <w:pStyle w:val="AIIndent"/>
              <w:numPr>
                <w:ilvl w:val="0"/>
                <w:numId w:val="1"/>
              </w:numPr>
              <w:spacing w:before="40" w:after="40"/>
            </w:pPr>
            <w:r>
              <w:t xml:space="preserve">Exposure to directly-owned share investments related to the manufacture of Tobacco, Cluster Munitions and Land Mines </w:t>
            </w:r>
            <w:r>
              <w:rPr>
                <w:vertAlign w:val="superscript"/>
              </w:rPr>
              <w:t>2</w:t>
            </w:r>
            <w:r w:rsidR="0027445B">
              <w:rPr>
                <w:vertAlign w:val="superscript"/>
              </w:rPr>
              <w:t>, 3</w:t>
            </w:r>
          </w:p>
        </w:tc>
        <w:tc>
          <w:tcPr>
            <w:tcW w:w="1424" w:type="dxa"/>
            <w:tcBorders>
              <w:top w:val="nil"/>
              <w:left w:val="nil"/>
              <w:right w:val="nil"/>
            </w:tcBorders>
            <w:vAlign w:val="center"/>
          </w:tcPr>
          <w:p w:rsidR="00F60A88" w:rsidRDefault="00F60A88" w:rsidP="000979F3">
            <w:pPr>
              <w:pStyle w:val="AITableText"/>
              <w:spacing w:before="40" w:after="40"/>
            </w:pPr>
            <w:r>
              <w:t>n/a</w:t>
            </w:r>
          </w:p>
        </w:tc>
        <w:tc>
          <w:tcPr>
            <w:tcW w:w="1424" w:type="dxa"/>
            <w:tcBorders>
              <w:top w:val="nil"/>
              <w:left w:val="nil"/>
              <w:right w:val="nil"/>
            </w:tcBorders>
            <w:vAlign w:val="center"/>
          </w:tcPr>
          <w:p w:rsidR="00F60A88" w:rsidRPr="00CE39CD" w:rsidRDefault="00F60A88" w:rsidP="000979F3">
            <w:pPr>
              <w:pStyle w:val="AITableText"/>
              <w:spacing w:before="40" w:after="40"/>
            </w:pPr>
            <w:r>
              <w:t>n/a</w:t>
            </w:r>
          </w:p>
        </w:tc>
        <w:tc>
          <w:tcPr>
            <w:tcW w:w="1462" w:type="dxa"/>
            <w:tcBorders>
              <w:top w:val="nil"/>
              <w:left w:val="nil"/>
              <w:right w:val="nil"/>
            </w:tcBorders>
            <w:vAlign w:val="center"/>
          </w:tcPr>
          <w:p w:rsidR="00F60A88" w:rsidRPr="00CE39CD" w:rsidRDefault="0027445B" w:rsidP="000979F3">
            <w:pPr>
              <w:pStyle w:val="AITableText"/>
              <w:spacing w:before="40" w:after="40"/>
            </w:pPr>
            <w:r>
              <w:t>0%</w:t>
            </w:r>
          </w:p>
        </w:tc>
      </w:tr>
      <w:tr w:rsidR="00F60A88" w:rsidTr="00681DFA">
        <w:tc>
          <w:tcPr>
            <w:tcW w:w="5046" w:type="dxa"/>
            <w:tcBorders>
              <w:top w:val="nil"/>
              <w:left w:val="nil"/>
              <w:right w:val="nil"/>
            </w:tcBorders>
            <w:vAlign w:val="center"/>
          </w:tcPr>
          <w:p w:rsidR="00F60A88" w:rsidRDefault="00F60A88" w:rsidP="000979F3">
            <w:pPr>
              <w:pStyle w:val="AIIndent"/>
              <w:numPr>
                <w:ilvl w:val="0"/>
                <w:numId w:val="1"/>
              </w:numPr>
              <w:spacing w:before="40" w:after="40"/>
            </w:pPr>
            <w:r w:rsidRPr="005C2941">
              <w:t>The exercising of ownership voting rights for directly</w:t>
            </w:r>
            <w:r w:rsidR="00874EC8">
              <w:noBreakHyphen/>
            </w:r>
            <w:proofErr w:type="spellStart"/>
            <w:r w:rsidRPr="005C2941">
              <w:t>owned</w:t>
            </w:r>
            <w:proofErr w:type="spellEnd"/>
            <w:r w:rsidRPr="005C2941">
              <w:t xml:space="preserve"> shares</w:t>
            </w:r>
            <w:r>
              <w:t xml:space="preserve"> </w:t>
            </w:r>
            <w:r>
              <w:rPr>
                <w:vertAlign w:val="superscript"/>
              </w:rPr>
              <w:t>2</w:t>
            </w:r>
            <w:r w:rsidR="0027445B">
              <w:rPr>
                <w:vertAlign w:val="superscript"/>
              </w:rPr>
              <w:t>, 4</w:t>
            </w:r>
          </w:p>
        </w:tc>
        <w:tc>
          <w:tcPr>
            <w:tcW w:w="1424" w:type="dxa"/>
            <w:tcBorders>
              <w:top w:val="nil"/>
              <w:left w:val="nil"/>
              <w:right w:val="nil"/>
            </w:tcBorders>
            <w:vAlign w:val="center"/>
          </w:tcPr>
          <w:p w:rsidR="00F60A88" w:rsidRDefault="00F60A88" w:rsidP="000979F3">
            <w:pPr>
              <w:pStyle w:val="AITableText"/>
              <w:spacing w:before="40" w:after="40"/>
            </w:pPr>
            <w:r>
              <w:t>n/a</w:t>
            </w:r>
          </w:p>
        </w:tc>
        <w:tc>
          <w:tcPr>
            <w:tcW w:w="1424" w:type="dxa"/>
            <w:tcBorders>
              <w:top w:val="nil"/>
              <w:left w:val="nil"/>
              <w:right w:val="nil"/>
            </w:tcBorders>
            <w:vAlign w:val="center"/>
          </w:tcPr>
          <w:p w:rsidR="00F60A88" w:rsidRPr="00CE39CD" w:rsidRDefault="00F60A88" w:rsidP="000979F3">
            <w:pPr>
              <w:pStyle w:val="AITableText"/>
              <w:spacing w:before="40" w:after="40"/>
            </w:pPr>
            <w:r>
              <w:t>n/a</w:t>
            </w:r>
          </w:p>
        </w:tc>
        <w:tc>
          <w:tcPr>
            <w:tcW w:w="1462" w:type="dxa"/>
            <w:tcBorders>
              <w:top w:val="nil"/>
              <w:left w:val="nil"/>
              <w:right w:val="nil"/>
            </w:tcBorders>
            <w:vAlign w:val="center"/>
          </w:tcPr>
          <w:p w:rsidR="00F60A88" w:rsidRPr="00CE39CD" w:rsidRDefault="0027445B" w:rsidP="000979F3">
            <w:pPr>
              <w:pStyle w:val="AITableText"/>
              <w:spacing w:before="40" w:after="40"/>
            </w:pPr>
            <w:r>
              <w:t>&gt;95%</w:t>
            </w:r>
          </w:p>
        </w:tc>
      </w:tr>
      <w:tr w:rsidR="00F60A88" w:rsidTr="00681DFA">
        <w:tc>
          <w:tcPr>
            <w:tcW w:w="5046" w:type="dxa"/>
            <w:tcBorders>
              <w:top w:val="nil"/>
              <w:left w:val="nil"/>
              <w:right w:val="nil"/>
            </w:tcBorders>
            <w:vAlign w:val="center"/>
          </w:tcPr>
          <w:p w:rsidR="00F60A88" w:rsidRDefault="00F60A88" w:rsidP="000979F3">
            <w:pPr>
              <w:pStyle w:val="AIIndent"/>
              <w:numPr>
                <w:ilvl w:val="0"/>
                <w:numId w:val="1"/>
              </w:numPr>
              <w:spacing w:before="40" w:after="40"/>
            </w:pPr>
            <w:r>
              <w:t xml:space="preserve">Completion of Annual Actuarial Review </w:t>
            </w:r>
            <w:r>
              <w:rPr>
                <w:vertAlign w:val="superscript"/>
              </w:rPr>
              <w:t>2</w:t>
            </w:r>
            <w:r w:rsidR="0027445B">
              <w:rPr>
                <w:vertAlign w:val="superscript"/>
              </w:rPr>
              <w:t>, 5</w:t>
            </w:r>
          </w:p>
        </w:tc>
        <w:tc>
          <w:tcPr>
            <w:tcW w:w="1424" w:type="dxa"/>
            <w:tcBorders>
              <w:top w:val="nil"/>
              <w:left w:val="nil"/>
              <w:right w:val="nil"/>
            </w:tcBorders>
            <w:vAlign w:val="center"/>
          </w:tcPr>
          <w:p w:rsidR="00F60A88" w:rsidRDefault="00F60A88" w:rsidP="000979F3">
            <w:pPr>
              <w:pStyle w:val="AITableText"/>
              <w:spacing w:before="40" w:after="40"/>
            </w:pPr>
            <w:r>
              <w:t>n/a</w:t>
            </w:r>
          </w:p>
        </w:tc>
        <w:tc>
          <w:tcPr>
            <w:tcW w:w="1424" w:type="dxa"/>
            <w:tcBorders>
              <w:top w:val="nil"/>
              <w:left w:val="nil"/>
              <w:right w:val="nil"/>
            </w:tcBorders>
            <w:vAlign w:val="center"/>
          </w:tcPr>
          <w:p w:rsidR="00F60A88" w:rsidRPr="00CE39CD" w:rsidRDefault="00F60A88" w:rsidP="000979F3">
            <w:pPr>
              <w:pStyle w:val="AITableText"/>
              <w:spacing w:before="40" w:after="40"/>
            </w:pPr>
            <w:r>
              <w:t>n/a</w:t>
            </w:r>
          </w:p>
        </w:tc>
        <w:tc>
          <w:tcPr>
            <w:tcW w:w="1462" w:type="dxa"/>
            <w:tcBorders>
              <w:top w:val="nil"/>
              <w:left w:val="nil"/>
              <w:right w:val="nil"/>
            </w:tcBorders>
            <w:vAlign w:val="center"/>
          </w:tcPr>
          <w:p w:rsidR="00F60A88" w:rsidRPr="00CE39CD" w:rsidRDefault="0027445B" w:rsidP="000979F3">
            <w:pPr>
              <w:pStyle w:val="AITableText"/>
              <w:spacing w:before="40" w:after="40"/>
            </w:pPr>
            <w:r>
              <w:t>1</w:t>
            </w:r>
          </w:p>
        </w:tc>
      </w:tr>
      <w:tr w:rsidR="00F60A88" w:rsidTr="00681DFA">
        <w:tc>
          <w:tcPr>
            <w:tcW w:w="5046" w:type="dxa"/>
            <w:tcBorders>
              <w:top w:val="nil"/>
              <w:left w:val="nil"/>
              <w:right w:val="nil"/>
            </w:tcBorders>
            <w:vAlign w:val="center"/>
          </w:tcPr>
          <w:p w:rsidR="00F60A88" w:rsidRDefault="00F60A88" w:rsidP="000979F3">
            <w:pPr>
              <w:pStyle w:val="AIIndent"/>
              <w:numPr>
                <w:ilvl w:val="0"/>
                <w:numId w:val="1"/>
              </w:numPr>
              <w:spacing w:before="40" w:after="40"/>
            </w:pPr>
            <w:r>
              <w:t xml:space="preserve">Completion and delivery of Monthly Financial Reporting </w:t>
            </w:r>
            <w:r>
              <w:rPr>
                <w:vertAlign w:val="superscript"/>
              </w:rPr>
              <w:t>2</w:t>
            </w:r>
            <w:r w:rsidR="0027445B">
              <w:rPr>
                <w:vertAlign w:val="superscript"/>
              </w:rPr>
              <w:t>, 6</w:t>
            </w:r>
          </w:p>
        </w:tc>
        <w:tc>
          <w:tcPr>
            <w:tcW w:w="1424" w:type="dxa"/>
            <w:tcBorders>
              <w:top w:val="nil"/>
              <w:left w:val="nil"/>
              <w:right w:val="nil"/>
            </w:tcBorders>
            <w:vAlign w:val="center"/>
          </w:tcPr>
          <w:p w:rsidR="00F60A88" w:rsidRDefault="00F60A88" w:rsidP="000979F3">
            <w:pPr>
              <w:pStyle w:val="AITableText"/>
              <w:spacing w:before="40" w:after="40"/>
            </w:pPr>
            <w:r>
              <w:t>n/a</w:t>
            </w:r>
          </w:p>
        </w:tc>
        <w:tc>
          <w:tcPr>
            <w:tcW w:w="1424" w:type="dxa"/>
            <w:tcBorders>
              <w:top w:val="nil"/>
              <w:left w:val="nil"/>
              <w:right w:val="nil"/>
            </w:tcBorders>
            <w:vAlign w:val="center"/>
          </w:tcPr>
          <w:p w:rsidR="00F60A88" w:rsidRPr="00CE39CD" w:rsidRDefault="00F60A88" w:rsidP="000979F3">
            <w:pPr>
              <w:pStyle w:val="AITableText"/>
              <w:spacing w:before="40" w:after="40"/>
            </w:pPr>
            <w:r>
              <w:t>n/a</w:t>
            </w:r>
          </w:p>
        </w:tc>
        <w:tc>
          <w:tcPr>
            <w:tcW w:w="1462" w:type="dxa"/>
            <w:tcBorders>
              <w:top w:val="nil"/>
              <w:left w:val="nil"/>
              <w:right w:val="nil"/>
            </w:tcBorders>
            <w:vAlign w:val="center"/>
          </w:tcPr>
          <w:p w:rsidR="00F60A88" w:rsidRPr="00CE39CD" w:rsidRDefault="0027445B" w:rsidP="000979F3">
            <w:pPr>
              <w:pStyle w:val="AITableText"/>
              <w:spacing w:before="40" w:after="40"/>
            </w:pPr>
            <w:r>
              <w:t>11</w:t>
            </w:r>
          </w:p>
        </w:tc>
      </w:tr>
      <w:tr w:rsidR="00F60A88" w:rsidTr="00681DFA">
        <w:tc>
          <w:tcPr>
            <w:tcW w:w="5046" w:type="dxa"/>
            <w:tcBorders>
              <w:top w:val="nil"/>
              <w:left w:val="nil"/>
              <w:right w:val="nil"/>
            </w:tcBorders>
            <w:vAlign w:val="center"/>
          </w:tcPr>
          <w:p w:rsidR="00F60A88" w:rsidRDefault="00F60A88" w:rsidP="000979F3">
            <w:pPr>
              <w:pStyle w:val="AIIndent"/>
              <w:numPr>
                <w:ilvl w:val="0"/>
                <w:numId w:val="1"/>
              </w:numPr>
              <w:spacing w:before="40" w:after="40"/>
            </w:pPr>
            <w:r>
              <w:t xml:space="preserve">Completion and delivery of unqualified Annual Financial Statements </w:t>
            </w:r>
            <w:r>
              <w:rPr>
                <w:vertAlign w:val="superscript"/>
              </w:rPr>
              <w:t>2</w:t>
            </w:r>
            <w:r w:rsidR="0027445B">
              <w:rPr>
                <w:vertAlign w:val="superscript"/>
              </w:rPr>
              <w:t>, 7</w:t>
            </w:r>
          </w:p>
        </w:tc>
        <w:tc>
          <w:tcPr>
            <w:tcW w:w="1424" w:type="dxa"/>
            <w:tcBorders>
              <w:top w:val="nil"/>
              <w:left w:val="nil"/>
              <w:right w:val="nil"/>
            </w:tcBorders>
            <w:vAlign w:val="center"/>
          </w:tcPr>
          <w:p w:rsidR="00F60A88" w:rsidRDefault="00F60A88" w:rsidP="000979F3">
            <w:pPr>
              <w:pStyle w:val="AITableText"/>
              <w:spacing w:before="40" w:after="40"/>
            </w:pPr>
            <w:r>
              <w:t>n/a</w:t>
            </w:r>
          </w:p>
        </w:tc>
        <w:tc>
          <w:tcPr>
            <w:tcW w:w="1424" w:type="dxa"/>
            <w:tcBorders>
              <w:top w:val="nil"/>
              <w:left w:val="nil"/>
              <w:right w:val="nil"/>
            </w:tcBorders>
            <w:vAlign w:val="center"/>
          </w:tcPr>
          <w:p w:rsidR="00F60A88" w:rsidRPr="00CE39CD" w:rsidRDefault="00F60A88" w:rsidP="000979F3">
            <w:pPr>
              <w:pStyle w:val="AITableText"/>
              <w:spacing w:before="40" w:after="40"/>
            </w:pPr>
            <w:r>
              <w:t>n/a</w:t>
            </w:r>
          </w:p>
        </w:tc>
        <w:tc>
          <w:tcPr>
            <w:tcW w:w="1462" w:type="dxa"/>
            <w:tcBorders>
              <w:top w:val="nil"/>
              <w:left w:val="nil"/>
              <w:right w:val="nil"/>
            </w:tcBorders>
            <w:vAlign w:val="center"/>
          </w:tcPr>
          <w:p w:rsidR="00F60A88" w:rsidRPr="00CE39CD" w:rsidRDefault="0027445B" w:rsidP="000979F3">
            <w:pPr>
              <w:pStyle w:val="AITableText"/>
              <w:spacing w:before="40" w:after="40"/>
            </w:pPr>
            <w:r>
              <w:t>1</w:t>
            </w:r>
          </w:p>
        </w:tc>
      </w:tr>
      <w:tr w:rsidR="00F60A88" w:rsidTr="00681DFA">
        <w:tc>
          <w:tcPr>
            <w:tcW w:w="5046" w:type="dxa"/>
            <w:tcBorders>
              <w:top w:val="nil"/>
              <w:left w:val="nil"/>
              <w:right w:val="nil"/>
            </w:tcBorders>
            <w:vAlign w:val="center"/>
          </w:tcPr>
          <w:p w:rsidR="00F60A88" w:rsidRDefault="00F60A88" w:rsidP="000979F3">
            <w:pPr>
              <w:pStyle w:val="AIIndent"/>
              <w:numPr>
                <w:ilvl w:val="0"/>
                <w:numId w:val="1"/>
              </w:numPr>
              <w:spacing w:before="40" w:after="40"/>
            </w:pPr>
            <w:r>
              <w:t xml:space="preserve">Preparation of MLA Member Superannuation Statements </w:t>
            </w:r>
            <w:r>
              <w:rPr>
                <w:vertAlign w:val="superscript"/>
              </w:rPr>
              <w:t>2</w:t>
            </w:r>
            <w:r w:rsidR="0027445B">
              <w:rPr>
                <w:vertAlign w:val="superscript"/>
              </w:rPr>
              <w:t>, 8</w:t>
            </w:r>
          </w:p>
        </w:tc>
        <w:tc>
          <w:tcPr>
            <w:tcW w:w="1424" w:type="dxa"/>
            <w:tcBorders>
              <w:top w:val="nil"/>
              <w:left w:val="nil"/>
              <w:right w:val="nil"/>
            </w:tcBorders>
            <w:vAlign w:val="center"/>
          </w:tcPr>
          <w:p w:rsidR="00F60A88" w:rsidRDefault="00F60A88" w:rsidP="000979F3">
            <w:pPr>
              <w:pStyle w:val="AITableText"/>
              <w:spacing w:before="40" w:after="40"/>
            </w:pPr>
            <w:r>
              <w:t>n/a</w:t>
            </w:r>
          </w:p>
        </w:tc>
        <w:tc>
          <w:tcPr>
            <w:tcW w:w="1424" w:type="dxa"/>
            <w:tcBorders>
              <w:top w:val="nil"/>
              <w:left w:val="nil"/>
              <w:right w:val="nil"/>
            </w:tcBorders>
            <w:vAlign w:val="center"/>
          </w:tcPr>
          <w:p w:rsidR="00F60A88" w:rsidRPr="00CE39CD" w:rsidRDefault="00F60A88" w:rsidP="000979F3">
            <w:pPr>
              <w:pStyle w:val="AITableText"/>
              <w:spacing w:before="40" w:after="40"/>
            </w:pPr>
            <w:r>
              <w:t>n/a</w:t>
            </w:r>
          </w:p>
        </w:tc>
        <w:tc>
          <w:tcPr>
            <w:tcW w:w="1462" w:type="dxa"/>
            <w:tcBorders>
              <w:top w:val="nil"/>
              <w:left w:val="nil"/>
              <w:right w:val="nil"/>
            </w:tcBorders>
            <w:vAlign w:val="center"/>
          </w:tcPr>
          <w:p w:rsidR="00F60A88" w:rsidRPr="00CE39CD" w:rsidRDefault="0027445B" w:rsidP="000979F3">
            <w:pPr>
              <w:pStyle w:val="AITableText"/>
              <w:spacing w:before="40" w:after="40"/>
            </w:pPr>
            <w:r>
              <w:t>7</w:t>
            </w:r>
          </w:p>
        </w:tc>
      </w:tr>
      <w:tr w:rsidR="006E48D6" w:rsidTr="00681DFA">
        <w:tc>
          <w:tcPr>
            <w:tcW w:w="5046" w:type="dxa"/>
            <w:tcBorders>
              <w:top w:val="nil"/>
              <w:left w:val="nil"/>
              <w:right w:val="nil"/>
            </w:tcBorders>
            <w:vAlign w:val="center"/>
          </w:tcPr>
          <w:p w:rsidR="006E48D6" w:rsidRDefault="006E48D6" w:rsidP="000979F3">
            <w:pPr>
              <w:pStyle w:val="AIIndent"/>
              <w:numPr>
                <w:ilvl w:val="0"/>
                <w:numId w:val="1"/>
              </w:numPr>
              <w:spacing w:before="40" w:after="40"/>
            </w:pPr>
            <w:r>
              <w:t>Annualised long-term return of 5 per cent real</w:t>
            </w:r>
            <w:r w:rsidR="0027445B">
              <w:rPr>
                <w:vertAlign w:val="superscript"/>
              </w:rPr>
              <w:t xml:space="preserve"> 9</w:t>
            </w:r>
          </w:p>
        </w:tc>
        <w:tc>
          <w:tcPr>
            <w:tcW w:w="1424" w:type="dxa"/>
            <w:tcBorders>
              <w:top w:val="nil"/>
              <w:left w:val="nil"/>
              <w:right w:val="nil"/>
            </w:tcBorders>
            <w:vAlign w:val="center"/>
          </w:tcPr>
          <w:p w:rsidR="006E48D6" w:rsidRDefault="006E48D6" w:rsidP="000979F3">
            <w:pPr>
              <w:pStyle w:val="AITableText"/>
              <w:spacing w:before="40" w:after="40"/>
            </w:pPr>
            <w:r>
              <w:t>&gt;5%</w:t>
            </w:r>
          </w:p>
        </w:tc>
        <w:tc>
          <w:tcPr>
            <w:tcW w:w="1424" w:type="dxa"/>
            <w:tcBorders>
              <w:top w:val="nil"/>
              <w:left w:val="nil"/>
              <w:right w:val="nil"/>
            </w:tcBorders>
            <w:vAlign w:val="center"/>
          </w:tcPr>
          <w:p w:rsidR="006E48D6" w:rsidRPr="00986655" w:rsidRDefault="009627D0" w:rsidP="000979F3">
            <w:pPr>
              <w:pStyle w:val="AITableText"/>
              <w:spacing w:before="40" w:after="40"/>
            </w:pPr>
            <w:r w:rsidRPr="00986655">
              <w:t>4.5</w:t>
            </w:r>
            <w:r w:rsidR="0027445B" w:rsidRPr="00986655">
              <w:t>%</w:t>
            </w:r>
          </w:p>
        </w:tc>
        <w:tc>
          <w:tcPr>
            <w:tcW w:w="1462" w:type="dxa"/>
            <w:tcBorders>
              <w:top w:val="nil"/>
              <w:left w:val="nil"/>
              <w:right w:val="nil"/>
            </w:tcBorders>
            <w:vAlign w:val="center"/>
          </w:tcPr>
          <w:p w:rsidR="006E48D6" w:rsidRPr="00CE39CD" w:rsidRDefault="0027445B" w:rsidP="000979F3">
            <w:pPr>
              <w:pStyle w:val="AITableText"/>
              <w:spacing w:before="40" w:after="40"/>
            </w:pPr>
            <w:r>
              <w:t>n/a</w:t>
            </w:r>
          </w:p>
        </w:tc>
      </w:tr>
      <w:tr w:rsidR="006E48D6" w:rsidTr="00681DFA">
        <w:tc>
          <w:tcPr>
            <w:tcW w:w="5046" w:type="dxa"/>
            <w:tcBorders>
              <w:top w:val="nil"/>
              <w:left w:val="nil"/>
              <w:bottom w:val="single" w:sz="4" w:space="0" w:color="auto"/>
              <w:right w:val="nil"/>
            </w:tcBorders>
            <w:vAlign w:val="center"/>
          </w:tcPr>
          <w:p w:rsidR="006E48D6" w:rsidRDefault="006E48D6" w:rsidP="00681DFA">
            <w:pPr>
              <w:pStyle w:val="AIIndent"/>
              <w:numPr>
                <w:ilvl w:val="0"/>
                <w:numId w:val="1"/>
              </w:numPr>
              <w:spacing w:before="40" w:after="120"/>
            </w:pPr>
            <w:r>
              <w:t>Liability funding percentage</w:t>
            </w:r>
            <w:r w:rsidR="0027445B">
              <w:rPr>
                <w:vertAlign w:val="superscript"/>
              </w:rPr>
              <w:t xml:space="preserve"> 9</w:t>
            </w:r>
          </w:p>
        </w:tc>
        <w:tc>
          <w:tcPr>
            <w:tcW w:w="1424" w:type="dxa"/>
            <w:tcBorders>
              <w:top w:val="nil"/>
              <w:left w:val="nil"/>
              <w:bottom w:val="single" w:sz="4" w:space="0" w:color="auto"/>
              <w:right w:val="nil"/>
            </w:tcBorders>
            <w:vAlign w:val="center"/>
          </w:tcPr>
          <w:p w:rsidR="006E48D6" w:rsidRDefault="000D1A4B" w:rsidP="00681DFA">
            <w:pPr>
              <w:pStyle w:val="AITableText"/>
              <w:spacing w:before="40" w:after="120"/>
            </w:pPr>
            <w:r>
              <w:t>5</w:t>
            </w:r>
            <w:r w:rsidR="00D924D6">
              <w:t>4</w:t>
            </w:r>
            <w:r w:rsidR="006E48D6">
              <w:t>%</w:t>
            </w:r>
          </w:p>
        </w:tc>
        <w:tc>
          <w:tcPr>
            <w:tcW w:w="1424" w:type="dxa"/>
            <w:tcBorders>
              <w:top w:val="nil"/>
              <w:left w:val="nil"/>
              <w:bottom w:val="single" w:sz="4" w:space="0" w:color="auto"/>
              <w:right w:val="nil"/>
            </w:tcBorders>
            <w:vAlign w:val="center"/>
          </w:tcPr>
          <w:p w:rsidR="006E48D6" w:rsidRPr="00986655" w:rsidRDefault="009627D0" w:rsidP="00681DFA">
            <w:pPr>
              <w:pStyle w:val="AITableText"/>
              <w:spacing w:before="40" w:after="120"/>
            </w:pPr>
            <w:r w:rsidRPr="00986655">
              <w:t>51</w:t>
            </w:r>
            <w:r w:rsidR="0027445B" w:rsidRPr="00986655">
              <w:t>%</w:t>
            </w:r>
          </w:p>
        </w:tc>
        <w:tc>
          <w:tcPr>
            <w:tcW w:w="1462" w:type="dxa"/>
            <w:tcBorders>
              <w:top w:val="nil"/>
              <w:left w:val="nil"/>
              <w:bottom w:val="single" w:sz="4" w:space="0" w:color="auto"/>
              <w:right w:val="nil"/>
            </w:tcBorders>
            <w:vAlign w:val="center"/>
          </w:tcPr>
          <w:p w:rsidR="006E48D6" w:rsidRPr="00CE39CD" w:rsidRDefault="0027445B" w:rsidP="00681DFA">
            <w:pPr>
              <w:pStyle w:val="AITableText"/>
              <w:spacing w:before="40" w:after="120"/>
            </w:pPr>
            <w:r>
              <w:t>n/a</w:t>
            </w:r>
          </w:p>
        </w:tc>
      </w:tr>
    </w:tbl>
    <w:p w:rsidR="006E48D6" w:rsidRPr="001A64EF" w:rsidRDefault="003B367D" w:rsidP="007E1564">
      <w:pPr>
        <w:pStyle w:val="NoteHeading0"/>
      </w:pPr>
      <w:bookmarkStart w:id="0" w:name="_Toc95285383"/>
      <w:r w:rsidRPr="001A64EF">
        <w:t>Notes:</w:t>
      </w:r>
    </w:p>
    <w:p w:rsidR="003B367D" w:rsidRPr="0027445B" w:rsidRDefault="0027445B" w:rsidP="00DB27AD">
      <w:pPr>
        <w:pStyle w:val="AINotes"/>
        <w:numPr>
          <w:ilvl w:val="0"/>
          <w:numId w:val="26"/>
        </w:numPr>
        <w:spacing w:after="60"/>
        <w:ind w:left="357" w:hanging="357"/>
        <w:rPr>
          <w:szCs w:val="16"/>
        </w:rPr>
      </w:pPr>
      <w:r w:rsidRPr="0027445B">
        <w:rPr>
          <w:szCs w:val="16"/>
        </w:rPr>
        <w:t>The difference between the actual annual portfolio investment earnings rate and the established performance benchmark is a measure of the relative performance of the Territory’s fund managers to the benchmark.</w:t>
      </w:r>
    </w:p>
    <w:p w:rsidR="00F60A88" w:rsidRDefault="00F60A88" w:rsidP="00DB27AD">
      <w:pPr>
        <w:pStyle w:val="AINotes"/>
        <w:numPr>
          <w:ilvl w:val="0"/>
          <w:numId w:val="26"/>
        </w:numPr>
        <w:spacing w:after="60"/>
        <w:ind w:left="357" w:hanging="357"/>
      </w:pPr>
      <w:r>
        <w:t>New indicator to improve performance monitoring.</w:t>
      </w:r>
    </w:p>
    <w:p w:rsidR="0027445B" w:rsidRDefault="0027445B" w:rsidP="00DB27AD">
      <w:pPr>
        <w:pStyle w:val="AINotes"/>
        <w:numPr>
          <w:ilvl w:val="0"/>
          <w:numId w:val="26"/>
        </w:numPr>
        <w:spacing w:after="60"/>
        <w:ind w:left="357" w:hanging="357"/>
        <w:rPr>
          <w:szCs w:val="16"/>
        </w:rPr>
      </w:pPr>
      <w:r w:rsidRPr="0027445B">
        <w:rPr>
          <w:szCs w:val="16"/>
        </w:rPr>
        <w:t>The investment portfolio is monitored to ensure that it is not exposed to any prohibited investments, in accordance with the Government’s Responsible Investment Policy.  For performance measurement purposes, the actual portfolio direct share holdings will be compared with the prevailing prohibited shares list at the end of each month.  The exposure measure will be the weighted value of any prohibited share investments on the total value of the share portfolio.</w:t>
      </w:r>
    </w:p>
    <w:p w:rsidR="0027445B" w:rsidRDefault="0027445B" w:rsidP="00DB27AD">
      <w:pPr>
        <w:pStyle w:val="AINotes"/>
        <w:numPr>
          <w:ilvl w:val="0"/>
          <w:numId w:val="26"/>
        </w:numPr>
        <w:spacing w:after="60"/>
        <w:ind w:left="357" w:hanging="357"/>
        <w:rPr>
          <w:szCs w:val="16"/>
        </w:rPr>
      </w:pPr>
      <w:r w:rsidRPr="0027445B">
        <w:rPr>
          <w:szCs w:val="16"/>
        </w:rPr>
        <w:t>As required by the Government’s Responsible Investment Policy, voting rights in relation to directly-owned shares will be exercised in accordance with the Government’s share voting policy.  The target is that more than 95 per cent of all eligible voting items in the year will be cast in relation to the total voting items.  The measure will be total actual votes cast compared to total eligible voting items.</w:t>
      </w:r>
    </w:p>
    <w:p w:rsidR="0027445B" w:rsidRDefault="0027445B" w:rsidP="00DB27AD">
      <w:pPr>
        <w:pStyle w:val="AINotes"/>
        <w:numPr>
          <w:ilvl w:val="0"/>
          <w:numId w:val="26"/>
        </w:numPr>
        <w:spacing w:after="60"/>
        <w:ind w:left="357" w:hanging="357"/>
        <w:rPr>
          <w:szCs w:val="16"/>
        </w:rPr>
      </w:pPr>
      <w:r w:rsidRPr="0027445B">
        <w:rPr>
          <w:szCs w:val="16"/>
        </w:rPr>
        <w:t>An annual actuarial review of the Territory’s defined benefit (CSS/PSS) employer superannuation liabilities will be completed and included in the budget estimates.</w:t>
      </w:r>
    </w:p>
    <w:p w:rsidR="0027445B" w:rsidRDefault="0027445B" w:rsidP="00DB27AD">
      <w:pPr>
        <w:pStyle w:val="AINotes"/>
        <w:numPr>
          <w:ilvl w:val="0"/>
          <w:numId w:val="26"/>
        </w:numPr>
        <w:spacing w:after="60"/>
        <w:ind w:left="357" w:hanging="357"/>
        <w:rPr>
          <w:szCs w:val="16"/>
        </w:rPr>
      </w:pPr>
      <w:r w:rsidRPr="0027445B">
        <w:rPr>
          <w:szCs w:val="16"/>
        </w:rPr>
        <w:t xml:space="preserve">Monthly financial reporting involves the preparation of accrual financial statements, without notes, for transmission to Finance and Budget Division, </w:t>
      </w:r>
      <w:r w:rsidR="00697012">
        <w:rPr>
          <w:szCs w:val="16"/>
        </w:rPr>
        <w:t>CMTD</w:t>
      </w:r>
      <w:r w:rsidRPr="0027445B">
        <w:rPr>
          <w:szCs w:val="16"/>
        </w:rPr>
        <w:t xml:space="preserve">.  The monthly financial reporting will not be counted for the year if the financial statements are not completed and provided to Finance and Budget Division by </w:t>
      </w:r>
      <w:r w:rsidR="00697012">
        <w:rPr>
          <w:szCs w:val="16"/>
        </w:rPr>
        <w:t xml:space="preserve">the eighth </w:t>
      </w:r>
      <w:r w:rsidRPr="0027445B">
        <w:rPr>
          <w:szCs w:val="16"/>
        </w:rPr>
        <w:t>business day of the next month.</w:t>
      </w:r>
    </w:p>
    <w:p w:rsidR="0027445B" w:rsidRDefault="0027445B" w:rsidP="00DB27AD">
      <w:pPr>
        <w:pStyle w:val="AINotes"/>
        <w:numPr>
          <w:ilvl w:val="0"/>
          <w:numId w:val="26"/>
        </w:numPr>
        <w:spacing w:after="60"/>
        <w:ind w:left="357" w:hanging="357"/>
        <w:rPr>
          <w:szCs w:val="16"/>
        </w:rPr>
      </w:pPr>
      <w:r w:rsidRPr="0027445B">
        <w:rPr>
          <w:szCs w:val="16"/>
        </w:rPr>
        <w:t xml:space="preserve">Involves the preparation of the previous year’s annual financial statements for auditing and inclusion in the </w:t>
      </w:r>
      <w:r w:rsidR="00697012">
        <w:rPr>
          <w:szCs w:val="16"/>
        </w:rPr>
        <w:t>CMTD</w:t>
      </w:r>
      <w:r w:rsidR="00697012" w:rsidRPr="0027445B">
        <w:rPr>
          <w:szCs w:val="16"/>
        </w:rPr>
        <w:t xml:space="preserve"> </w:t>
      </w:r>
      <w:r w:rsidRPr="0027445B">
        <w:rPr>
          <w:szCs w:val="16"/>
        </w:rPr>
        <w:t>annual report.  The objective is to receive an unqualified audit opinion during the year.</w:t>
      </w:r>
    </w:p>
    <w:p w:rsidR="0027445B" w:rsidRDefault="0027445B" w:rsidP="00DB27AD">
      <w:pPr>
        <w:pStyle w:val="AINotes"/>
        <w:numPr>
          <w:ilvl w:val="0"/>
          <w:numId w:val="26"/>
        </w:numPr>
        <w:spacing w:after="60"/>
        <w:ind w:left="357" w:hanging="357"/>
        <w:rPr>
          <w:szCs w:val="16"/>
        </w:rPr>
      </w:pPr>
      <w:r w:rsidRPr="0027445B">
        <w:rPr>
          <w:szCs w:val="16"/>
        </w:rPr>
        <w:t xml:space="preserve">Preparation of annual Member Information Statements for those Members of the Legislative Assembly that have a defined benefit superannuation entitlement in accordance with the </w:t>
      </w:r>
      <w:r w:rsidRPr="0027445B">
        <w:rPr>
          <w:i/>
          <w:szCs w:val="16"/>
        </w:rPr>
        <w:t>Superannuation (Legislative Assembly Members) Act 1991</w:t>
      </w:r>
      <w:r w:rsidRPr="0027445B">
        <w:rPr>
          <w:szCs w:val="16"/>
        </w:rPr>
        <w:t>.  Any individual Member Information Statement for the previous financial year not delivered by end September of the Budget year will not be counted in the result.</w:t>
      </w:r>
    </w:p>
    <w:p w:rsidR="009B2E18" w:rsidRDefault="0027445B" w:rsidP="00DB27AD">
      <w:pPr>
        <w:pStyle w:val="AINotes"/>
        <w:numPr>
          <w:ilvl w:val="0"/>
          <w:numId w:val="26"/>
        </w:numPr>
        <w:spacing w:after="60"/>
        <w:ind w:left="357" w:hanging="357"/>
        <w:rPr>
          <w:szCs w:val="16"/>
        </w:rPr>
      </w:pPr>
      <w:r>
        <w:rPr>
          <w:szCs w:val="16"/>
        </w:rPr>
        <w:t>Discontinued indicators replaced with improved performance monitoring indicators.</w:t>
      </w:r>
    </w:p>
    <w:p w:rsidR="006E0284" w:rsidRDefault="009B2E18" w:rsidP="000979F3">
      <w:pPr>
        <w:pStyle w:val="Heading3"/>
        <w:rPr>
          <w:szCs w:val="16"/>
        </w:rPr>
      </w:pPr>
      <w:r>
        <w:rPr>
          <w:szCs w:val="16"/>
        </w:rPr>
        <w:br w:type="page"/>
      </w:r>
    </w:p>
    <w:p w:rsidR="000979F3" w:rsidRDefault="00B607A1" w:rsidP="000979F3">
      <w:pPr>
        <w:pStyle w:val="Heading3"/>
      </w:pPr>
      <w:r>
        <w:lastRenderedPageBreak/>
        <w:t>Changes to Appropriation</w:t>
      </w:r>
    </w:p>
    <w:tbl>
      <w:tblPr>
        <w:tblW w:w="9356" w:type="dxa"/>
        <w:tblLook w:val="04A0"/>
      </w:tblPr>
      <w:tblGrid>
        <w:gridCol w:w="4451"/>
        <w:gridCol w:w="981"/>
        <w:gridCol w:w="981"/>
        <w:gridCol w:w="981"/>
        <w:gridCol w:w="981"/>
        <w:gridCol w:w="981"/>
      </w:tblGrid>
      <w:tr w:rsidR="00B607A1" w:rsidRPr="00F70B65" w:rsidTr="0028326A">
        <w:trPr>
          <w:trHeight w:val="300"/>
        </w:trPr>
        <w:tc>
          <w:tcPr>
            <w:tcW w:w="4451" w:type="dxa"/>
            <w:tcBorders>
              <w:top w:val="nil"/>
              <w:left w:val="nil"/>
              <w:bottom w:val="nil"/>
              <w:right w:val="nil"/>
            </w:tcBorders>
            <w:shd w:val="clear" w:color="auto" w:fill="auto"/>
            <w:vAlign w:val="center"/>
            <w:hideMark/>
          </w:tcPr>
          <w:bookmarkEnd w:id="0"/>
          <w:p w:rsidR="00B607A1" w:rsidRPr="00F70B65" w:rsidRDefault="00B607A1" w:rsidP="00B607A1">
            <w:pPr>
              <w:rPr>
                <w:b/>
                <w:bCs/>
                <w:sz w:val="18"/>
                <w:szCs w:val="18"/>
                <w:lang w:eastAsia="en-AU"/>
              </w:rPr>
            </w:pPr>
            <w:r w:rsidRPr="00F70B65">
              <w:rPr>
                <w:b/>
                <w:bCs/>
                <w:sz w:val="18"/>
                <w:szCs w:val="18"/>
                <w:lang w:eastAsia="en-AU"/>
              </w:rPr>
              <w:t xml:space="preserve">Changes to Appropriation </w:t>
            </w:r>
            <w:r w:rsidR="00681DFA" w:rsidRPr="00C84138">
              <w:rPr>
                <w:sz w:val="18"/>
                <w:szCs w:val="18"/>
                <w:lang w:eastAsia="en-AU"/>
              </w:rPr>
              <w:t>–</w:t>
            </w:r>
            <w:r w:rsidRPr="00F70B65">
              <w:rPr>
                <w:b/>
                <w:bCs/>
                <w:sz w:val="18"/>
                <w:szCs w:val="18"/>
                <w:lang w:eastAsia="en-AU"/>
              </w:rPr>
              <w:t xml:space="preserve"> Territorial</w:t>
            </w:r>
          </w:p>
        </w:tc>
        <w:tc>
          <w:tcPr>
            <w:tcW w:w="981" w:type="dxa"/>
            <w:tcBorders>
              <w:top w:val="nil"/>
              <w:left w:val="nil"/>
              <w:bottom w:val="nil"/>
              <w:right w:val="nil"/>
            </w:tcBorders>
            <w:shd w:val="clear" w:color="auto" w:fill="auto"/>
            <w:noWrap/>
            <w:vAlign w:val="center"/>
            <w:hideMark/>
          </w:tcPr>
          <w:p w:rsidR="00B607A1" w:rsidRPr="00F70B65" w:rsidRDefault="00B607A1" w:rsidP="00B607A1">
            <w:pPr>
              <w:jc w:val="right"/>
              <w:rPr>
                <w:sz w:val="18"/>
                <w:szCs w:val="18"/>
                <w:lang w:eastAsia="en-AU"/>
              </w:rPr>
            </w:pPr>
          </w:p>
        </w:tc>
        <w:tc>
          <w:tcPr>
            <w:tcW w:w="981" w:type="dxa"/>
            <w:tcBorders>
              <w:top w:val="nil"/>
              <w:left w:val="nil"/>
              <w:bottom w:val="nil"/>
              <w:right w:val="nil"/>
            </w:tcBorders>
            <w:shd w:val="clear" w:color="auto" w:fill="auto"/>
            <w:noWrap/>
            <w:vAlign w:val="center"/>
            <w:hideMark/>
          </w:tcPr>
          <w:p w:rsidR="00B607A1" w:rsidRPr="00F70B65" w:rsidRDefault="00B607A1" w:rsidP="00B607A1">
            <w:pPr>
              <w:jc w:val="right"/>
              <w:rPr>
                <w:sz w:val="18"/>
                <w:szCs w:val="18"/>
                <w:lang w:eastAsia="en-AU"/>
              </w:rPr>
            </w:pPr>
          </w:p>
        </w:tc>
        <w:tc>
          <w:tcPr>
            <w:tcW w:w="981" w:type="dxa"/>
            <w:tcBorders>
              <w:top w:val="nil"/>
              <w:left w:val="nil"/>
              <w:bottom w:val="nil"/>
              <w:right w:val="nil"/>
            </w:tcBorders>
            <w:shd w:val="clear" w:color="auto" w:fill="auto"/>
            <w:noWrap/>
            <w:vAlign w:val="center"/>
            <w:hideMark/>
          </w:tcPr>
          <w:p w:rsidR="00B607A1" w:rsidRPr="00F70B65" w:rsidRDefault="00B607A1" w:rsidP="00B607A1">
            <w:pPr>
              <w:jc w:val="right"/>
              <w:rPr>
                <w:sz w:val="18"/>
                <w:szCs w:val="18"/>
                <w:lang w:eastAsia="en-AU"/>
              </w:rPr>
            </w:pPr>
          </w:p>
        </w:tc>
        <w:tc>
          <w:tcPr>
            <w:tcW w:w="981" w:type="dxa"/>
            <w:tcBorders>
              <w:top w:val="nil"/>
              <w:left w:val="nil"/>
              <w:bottom w:val="nil"/>
              <w:right w:val="nil"/>
            </w:tcBorders>
            <w:shd w:val="clear" w:color="auto" w:fill="auto"/>
            <w:noWrap/>
            <w:vAlign w:val="center"/>
            <w:hideMark/>
          </w:tcPr>
          <w:p w:rsidR="00B607A1" w:rsidRPr="00F70B65" w:rsidRDefault="00B607A1" w:rsidP="00B607A1">
            <w:pPr>
              <w:jc w:val="right"/>
              <w:rPr>
                <w:sz w:val="18"/>
                <w:szCs w:val="18"/>
                <w:lang w:eastAsia="en-AU"/>
              </w:rPr>
            </w:pPr>
          </w:p>
        </w:tc>
        <w:tc>
          <w:tcPr>
            <w:tcW w:w="981" w:type="dxa"/>
            <w:tcBorders>
              <w:top w:val="nil"/>
              <w:left w:val="nil"/>
              <w:bottom w:val="nil"/>
              <w:right w:val="nil"/>
            </w:tcBorders>
            <w:shd w:val="clear" w:color="auto" w:fill="auto"/>
            <w:noWrap/>
            <w:vAlign w:val="center"/>
            <w:hideMark/>
          </w:tcPr>
          <w:p w:rsidR="00B607A1" w:rsidRPr="00F70B65" w:rsidRDefault="00B607A1" w:rsidP="00B607A1">
            <w:pPr>
              <w:jc w:val="right"/>
              <w:rPr>
                <w:sz w:val="18"/>
                <w:szCs w:val="18"/>
                <w:lang w:eastAsia="en-AU"/>
              </w:rPr>
            </w:pPr>
          </w:p>
        </w:tc>
      </w:tr>
      <w:tr w:rsidR="00B607A1" w:rsidRPr="00F70B65" w:rsidTr="0028326A">
        <w:trPr>
          <w:trHeight w:val="300"/>
        </w:trPr>
        <w:tc>
          <w:tcPr>
            <w:tcW w:w="4451" w:type="dxa"/>
            <w:tcBorders>
              <w:top w:val="single" w:sz="4" w:space="0" w:color="auto"/>
              <w:left w:val="nil"/>
              <w:bottom w:val="nil"/>
              <w:right w:val="nil"/>
            </w:tcBorders>
            <w:shd w:val="clear" w:color="auto" w:fill="auto"/>
            <w:vAlign w:val="center"/>
            <w:hideMark/>
          </w:tcPr>
          <w:p w:rsidR="00B607A1" w:rsidRPr="00F70B65" w:rsidRDefault="00B607A1" w:rsidP="00B607A1">
            <w:pPr>
              <w:rPr>
                <w:b/>
                <w:bCs/>
                <w:sz w:val="18"/>
                <w:szCs w:val="18"/>
                <w:lang w:eastAsia="en-AU"/>
              </w:rPr>
            </w:pPr>
            <w:r w:rsidRPr="00F70B65">
              <w:rPr>
                <w:b/>
                <w:bCs/>
                <w:sz w:val="18"/>
                <w:szCs w:val="18"/>
                <w:lang w:eastAsia="en-AU"/>
              </w:rPr>
              <w:t> </w:t>
            </w:r>
          </w:p>
        </w:tc>
        <w:tc>
          <w:tcPr>
            <w:tcW w:w="981" w:type="dxa"/>
            <w:tcBorders>
              <w:top w:val="single" w:sz="4" w:space="0" w:color="auto"/>
              <w:left w:val="nil"/>
              <w:bottom w:val="nil"/>
              <w:right w:val="nil"/>
            </w:tcBorders>
            <w:shd w:val="clear" w:color="auto" w:fill="auto"/>
            <w:noWrap/>
            <w:vAlign w:val="center"/>
            <w:hideMark/>
          </w:tcPr>
          <w:p w:rsidR="00B607A1" w:rsidRPr="00F70B65" w:rsidRDefault="00B607A1" w:rsidP="00B607A1">
            <w:pPr>
              <w:jc w:val="right"/>
              <w:rPr>
                <w:b/>
                <w:bCs/>
                <w:sz w:val="18"/>
                <w:szCs w:val="18"/>
                <w:lang w:eastAsia="en-AU"/>
              </w:rPr>
            </w:pPr>
            <w:r w:rsidRPr="00F70B65">
              <w:rPr>
                <w:b/>
                <w:bCs/>
                <w:sz w:val="18"/>
                <w:szCs w:val="18"/>
                <w:lang w:eastAsia="en-AU"/>
              </w:rPr>
              <w:t>2012-13</w:t>
            </w:r>
          </w:p>
        </w:tc>
        <w:tc>
          <w:tcPr>
            <w:tcW w:w="981" w:type="dxa"/>
            <w:tcBorders>
              <w:top w:val="single" w:sz="4" w:space="0" w:color="auto"/>
              <w:left w:val="nil"/>
              <w:bottom w:val="nil"/>
              <w:right w:val="nil"/>
            </w:tcBorders>
            <w:shd w:val="clear" w:color="auto" w:fill="auto"/>
            <w:noWrap/>
            <w:vAlign w:val="center"/>
            <w:hideMark/>
          </w:tcPr>
          <w:p w:rsidR="00B607A1" w:rsidRPr="00F70B65" w:rsidRDefault="00B607A1" w:rsidP="00B607A1">
            <w:pPr>
              <w:jc w:val="right"/>
              <w:rPr>
                <w:b/>
                <w:bCs/>
                <w:sz w:val="18"/>
                <w:szCs w:val="18"/>
                <w:lang w:eastAsia="en-AU"/>
              </w:rPr>
            </w:pPr>
            <w:r w:rsidRPr="00F70B65">
              <w:rPr>
                <w:b/>
                <w:bCs/>
                <w:sz w:val="18"/>
                <w:szCs w:val="18"/>
                <w:lang w:eastAsia="en-AU"/>
              </w:rPr>
              <w:t>2013-14</w:t>
            </w:r>
          </w:p>
        </w:tc>
        <w:tc>
          <w:tcPr>
            <w:tcW w:w="981" w:type="dxa"/>
            <w:tcBorders>
              <w:top w:val="single" w:sz="4" w:space="0" w:color="auto"/>
              <w:left w:val="nil"/>
              <w:bottom w:val="nil"/>
              <w:right w:val="nil"/>
            </w:tcBorders>
            <w:shd w:val="clear" w:color="auto" w:fill="auto"/>
            <w:noWrap/>
            <w:vAlign w:val="center"/>
            <w:hideMark/>
          </w:tcPr>
          <w:p w:rsidR="00B607A1" w:rsidRPr="00F70B65" w:rsidRDefault="00B607A1" w:rsidP="00B607A1">
            <w:pPr>
              <w:jc w:val="right"/>
              <w:rPr>
                <w:b/>
                <w:bCs/>
                <w:sz w:val="18"/>
                <w:szCs w:val="18"/>
                <w:lang w:eastAsia="en-AU"/>
              </w:rPr>
            </w:pPr>
            <w:r w:rsidRPr="00F70B65">
              <w:rPr>
                <w:b/>
                <w:bCs/>
                <w:sz w:val="18"/>
                <w:szCs w:val="18"/>
                <w:lang w:eastAsia="en-AU"/>
              </w:rPr>
              <w:t>2014-15</w:t>
            </w:r>
          </w:p>
        </w:tc>
        <w:tc>
          <w:tcPr>
            <w:tcW w:w="981" w:type="dxa"/>
            <w:tcBorders>
              <w:top w:val="single" w:sz="4" w:space="0" w:color="auto"/>
              <w:left w:val="nil"/>
              <w:bottom w:val="nil"/>
              <w:right w:val="nil"/>
            </w:tcBorders>
            <w:shd w:val="clear" w:color="auto" w:fill="auto"/>
            <w:noWrap/>
            <w:vAlign w:val="center"/>
            <w:hideMark/>
          </w:tcPr>
          <w:p w:rsidR="00B607A1" w:rsidRPr="00F70B65" w:rsidRDefault="00B607A1" w:rsidP="00B607A1">
            <w:pPr>
              <w:jc w:val="right"/>
              <w:rPr>
                <w:b/>
                <w:bCs/>
                <w:sz w:val="18"/>
                <w:szCs w:val="18"/>
                <w:lang w:eastAsia="en-AU"/>
              </w:rPr>
            </w:pPr>
            <w:r w:rsidRPr="00F70B65">
              <w:rPr>
                <w:b/>
                <w:bCs/>
                <w:sz w:val="18"/>
                <w:szCs w:val="18"/>
                <w:lang w:eastAsia="en-AU"/>
              </w:rPr>
              <w:t>2015-16</w:t>
            </w:r>
          </w:p>
        </w:tc>
        <w:tc>
          <w:tcPr>
            <w:tcW w:w="981" w:type="dxa"/>
            <w:tcBorders>
              <w:top w:val="single" w:sz="4" w:space="0" w:color="auto"/>
              <w:left w:val="nil"/>
              <w:bottom w:val="nil"/>
              <w:right w:val="nil"/>
            </w:tcBorders>
            <w:shd w:val="clear" w:color="auto" w:fill="auto"/>
            <w:noWrap/>
            <w:vAlign w:val="center"/>
            <w:hideMark/>
          </w:tcPr>
          <w:p w:rsidR="00B607A1" w:rsidRPr="00F70B65" w:rsidRDefault="00B607A1" w:rsidP="00B607A1">
            <w:pPr>
              <w:jc w:val="right"/>
              <w:rPr>
                <w:b/>
                <w:bCs/>
                <w:sz w:val="18"/>
                <w:szCs w:val="18"/>
                <w:lang w:eastAsia="en-AU"/>
              </w:rPr>
            </w:pPr>
            <w:r w:rsidRPr="00F70B65">
              <w:rPr>
                <w:b/>
                <w:bCs/>
                <w:sz w:val="18"/>
                <w:szCs w:val="18"/>
                <w:lang w:eastAsia="en-AU"/>
              </w:rPr>
              <w:t>2016-17</w:t>
            </w:r>
          </w:p>
        </w:tc>
      </w:tr>
      <w:tr w:rsidR="00B607A1" w:rsidRPr="00F70B65" w:rsidTr="0028326A">
        <w:trPr>
          <w:trHeight w:val="300"/>
        </w:trPr>
        <w:tc>
          <w:tcPr>
            <w:tcW w:w="4451" w:type="dxa"/>
            <w:tcBorders>
              <w:top w:val="nil"/>
              <w:left w:val="nil"/>
              <w:bottom w:val="nil"/>
              <w:right w:val="nil"/>
            </w:tcBorders>
            <w:shd w:val="clear" w:color="auto" w:fill="auto"/>
            <w:vAlign w:val="center"/>
            <w:hideMark/>
          </w:tcPr>
          <w:p w:rsidR="00B607A1" w:rsidRPr="00F70B65" w:rsidRDefault="00B607A1" w:rsidP="00B607A1">
            <w:pPr>
              <w:rPr>
                <w:b/>
                <w:bCs/>
                <w:sz w:val="18"/>
                <w:szCs w:val="18"/>
                <w:lang w:eastAsia="en-AU"/>
              </w:rPr>
            </w:pPr>
            <w:r w:rsidRPr="00F70B65">
              <w:rPr>
                <w:b/>
                <w:bCs/>
                <w:sz w:val="18"/>
                <w:szCs w:val="18"/>
                <w:lang w:eastAsia="en-AU"/>
              </w:rPr>
              <w:t>Capital Injections</w:t>
            </w:r>
          </w:p>
        </w:tc>
        <w:tc>
          <w:tcPr>
            <w:tcW w:w="981" w:type="dxa"/>
            <w:tcBorders>
              <w:top w:val="nil"/>
              <w:left w:val="nil"/>
              <w:bottom w:val="nil"/>
              <w:right w:val="nil"/>
            </w:tcBorders>
            <w:shd w:val="clear" w:color="auto" w:fill="auto"/>
            <w:noWrap/>
            <w:vAlign w:val="center"/>
            <w:hideMark/>
          </w:tcPr>
          <w:p w:rsidR="00B607A1" w:rsidRPr="00F70B65" w:rsidRDefault="00B607A1" w:rsidP="00B607A1">
            <w:pPr>
              <w:jc w:val="right"/>
              <w:rPr>
                <w:b/>
                <w:bCs/>
                <w:sz w:val="18"/>
                <w:szCs w:val="18"/>
                <w:lang w:eastAsia="en-AU"/>
              </w:rPr>
            </w:pPr>
            <w:r w:rsidRPr="00F70B65">
              <w:rPr>
                <w:b/>
                <w:bCs/>
                <w:sz w:val="18"/>
                <w:szCs w:val="18"/>
                <w:lang w:eastAsia="en-AU"/>
              </w:rPr>
              <w:t>Est. Out.</w:t>
            </w:r>
          </w:p>
        </w:tc>
        <w:tc>
          <w:tcPr>
            <w:tcW w:w="981" w:type="dxa"/>
            <w:tcBorders>
              <w:top w:val="nil"/>
              <w:left w:val="nil"/>
              <w:bottom w:val="nil"/>
              <w:right w:val="nil"/>
            </w:tcBorders>
            <w:shd w:val="clear" w:color="auto" w:fill="auto"/>
            <w:noWrap/>
            <w:vAlign w:val="center"/>
            <w:hideMark/>
          </w:tcPr>
          <w:p w:rsidR="00B607A1" w:rsidRPr="00F70B65" w:rsidRDefault="00B607A1" w:rsidP="00B607A1">
            <w:pPr>
              <w:jc w:val="right"/>
              <w:rPr>
                <w:b/>
                <w:bCs/>
                <w:sz w:val="18"/>
                <w:szCs w:val="18"/>
                <w:lang w:eastAsia="en-AU"/>
              </w:rPr>
            </w:pPr>
            <w:r w:rsidRPr="00F70B65">
              <w:rPr>
                <w:b/>
                <w:bCs/>
                <w:sz w:val="18"/>
                <w:szCs w:val="18"/>
                <w:lang w:eastAsia="en-AU"/>
              </w:rPr>
              <w:t>Budget</w:t>
            </w:r>
          </w:p>
        </w:tc>
        <w:tc>
          <w:tcPr>
            <w:tcW w:w="981" w:type="dxa"/>
            <w:tcBorders>
              <w:top w:val="nil"/>
              <w:left w:val="nil"/>
              <w:bottom w:val="nil"/>
              <w:right w:val="nil"/>
            </w:tcBorders>
            <w:shd w:val="clear" w:color="auto" w:fill="auto"/>
            <w:noWrap/>
            <w:vAlign w:val="center"/>
            <w:hideMark/>
          </w:tcPr>
          <w:p w:rsidR="00B607A1" w:rsidRPr="00F70B65" w:rsidRDefault="00B607A1" w:rsidP="00B607A1">
            <w:pPr>
              <w:jc w:val="right"/>
              <w:rPr>
                <w:b/>
                <w:bCs/>
                <w:sz w:val="18"/>
                <w:szCs w:val="18"/>
                <w:lang w:eastAsia="en-AU"/>
              </w:rPr>
            </w:pPr>
            <w:r w:rsidRPr="00F70B65">
              <w:rPr>
                <w:b/>
                <w:bCs/>
                <w:sz w:val="18"/>
                <w:szCs w:val="18"/>
                <w:lang w:eastAsia="en-AU"/>
              </w:rPr>
              <w:t>Estimate</w:t>
            </w:r>
          </w:p>
        </w:tc>
        <w:tc>
          <w:tcPr>
            <w:tcW w:w="981" w:type="dxa"/>
            <w:tcBorders>
              <w:top w:val="nil"/>
              <w:left w:val="nil"/>
              <w:bottom w:val="nil"/>
              <w:right w:val="nil"/>
            </w:tcBorders>
            <w:shd w:val="clear" w:color="auto" w:fill="auto"/>
            <w:noWrap/>
            <w:vAlign w:val="center"/>
            <w:hideMark/>
          </w:tcPr>
          <w:p w:rsidR="00B607A1" w:rsidRPr="00F70B65" w:rsidRDefault="00B607A1" w:rsidP="00B607A1">
            <w:pPr>
              <w:jc w:val="right"/>
              <w:rPr>
                <w:b/>
                <w:bCs/>
                <w:sz w:val="18"/>
                <w:szCs w:val="18"/>
                <w:lang w:eastAsia="en-AU"/>
              </w:rPr>
            </w:pPr>
            <w:r w:rsidRPr="00F70B65">
              <w:rPr>
                <w:b/>
                <w:bCs/>
                <w:sz w:val="18"/>
                <w:szCs w:val="18"/>
                <w:lang w:eastAsia="en-AU"/>
              </w:rPr>
              <w:t>Estimate</w:t>
            </w:r>
          </w:p>
        </w:tc>
        <w:tc>
          <w:tcPr>
            <w:tcW w:w="981" w:type="dxa"/>
            <w:tcBorders>
              <w:top w:val="nil"/>
              <w:left w:val="nil"/>
              <w:bottom w:val="nil"/>
              <w:right w:val="nil"/>
            </w:tcBorders>
            <w:shd w:val="clear" w:color="auto" w:fill="auto"/>
            <w:noWrap/>
            <w:vAlign w:val="center"/>
            <w:hideMark/>
          </w:tcPr>
          <w:p w:rsidR="00B607A1" w:rsidRPr="00F70B65" w:rsidRDefault="00B607A1" w:rsidP="00B607A1">
            <w:pPr>
              <w:jc w:val="right"/>
              <w:rPr>
                <w:b/>
                <w:bCs/>
                <w:sz w:val="18"/>
                <w:szCs w:val="18"/>
                <w:lang w:eastAsia="en-AU"/>
              </w:rPr>
            </w:pPr>
            <w:r w:rsidRPr="00F70B65">
              <w:rPr>
                <w:b/>
                <w:bCs/>
                <w:sz w:val="18"/>
                <w:szCs w:val="18"/>
                <w:lang w:eastAsia="en-AU"/>
              </w:rPr>
              <w:t>Estimate</w:t>
            </w:r>
          </w:p>
        </w:tc>
      </w:tr>
      <w:tr w:rsidR="00B607A1" w:rsidRPr="00F70B65" w:rsidTr="0028326A">
        <w:trPr>
          <w:trHeight w:val="300"/>
        </w:trPr>
        <w:tc>
          <w:tcPr>
            <w:tcW w:w="4451" w:type="dxa"/>
            <w:tcBorders>
              <w:top w:val="nil"/>
              <w:left w:val="nil"/>
              <w:bottom w:val="single" w:sz="4" w:space="0" w:color="auto"/>
              <w:right w:val="nil"/>
            </w:tcBorders>
            <w:shd w:val="clear" w:color="auto" w:fill="auto"/>
            <w:vAlign w:val="center"/>
            <w:hideMark/>
          </w:tcPr>
          <w:p w:rsidR="00B607A1" w:rsidRPr="00F70B65" w:rsidRDefault="00B607A1" w:rsidP="00B607A1">
            <w:pPr>
              <w:rPr>
                <w:b/>
                <w:bCs/>
                <w:sz w:val="18"/>
                <w:szCs w:val="18"/>
                <w:lang w:eastAsia="en-AU"/>
              </w:rPr>
            </w:pPr>
            <w:r w:rsidRPr="00F70B65">
              <w:rPr>
                <w:b/>
                <w:bCs/>
                <w:sz w:val="18"/>
                <w:szCs w:val="18"/>
                <w:lang w:eastAsia="en-AU"/>
              </w:rPr>
              <w:t> </w:t>
            </w:r>
          </w:p>
        </w:tc>
        <w:tc>
          <w:tcPr>
            <w:tcW w:w="981" w:type="dxa"/>
            <w:tcBorders>
              <w:top w:val="nil"/>
              <w:left w:val="nil"/>
              <w:bottom w:val="single" w:sz="4" w:space="0" w:color="auto"/>
              <w:right w:val="nil"/>
            </w:tcBorders>
            <w:shd w:val="clear" w:color="auto" w:fill="auto"/>
            <w:noWrap/>
            <w:vAlign w:val="center"/>
            <w:hideMark/>
          </w:tcPr>
          <w:p w:rsidR="00B607A1" w:rsidRPr="00F70B65" w:rsidRDefault="00B607A1" w:rsidP="00B607A1">
            <w:pPr>
              <w:jc w:val="right"/>
              <w:rPr>
                <w:b/>
                <w:bCs/>
                <w:sz w:val="18"/>
                <w:szCs w:val="18"/>
                <w:lang w:eastAsia="en-AU"/>
              </w:rPr>
            </w:pPr>
            <w:r w:rsidRPr="00F70B65">
              <w:rPr>
                <w:b/>
                <w:bCs/>
                <w:sz w:val="18"/>
                <w:szCs w:val="18"/>
                <w:lang w:eastAsia="en-AU"/>
              </w:rPr>
              <w:t>$'000</w:t>
            </w:r>
          </w:p>
        </w:tc>
        <w:tc>
          <w:tcPr>
            <w:tcW w:w="981" w:type="dxa"/>
            <w:tcBorders>
              <w:top w:val="nil"/>
              <w:left w:val="nil"/>
              <w:bottom w:val="single" w:sz="4" w:space="0" w:color="auto"/>
              <w:right w:val="nil"/>
            </w:tcBorders>
            <w:shd w:val="clear" w:color="auto" w:fill="auto"/>
            <w:noWrap/>
            <w:vAlign w:val="center"/>
            <w:hideMark/>
          </w:tcPr>
          <w:p w:rsidR="00B607A1" w:rsidRPr="00F70B65" w:rsidRDefault="00B607A1" w:rsidP="00B607A1">
            <w:pPr>
              <w:jc w:val="right"/>
              <w:rPr>
                <w:b/>
                <w:bCs/>
                <w:sz w:val="18"/>
                <w:szCs w:val="18"/>
                <w:lang w:eastAsia="en-AU"/>
              </w:rPr>
            </w:pPr>
            <w:r w:rsidRPr="00F70B65">
              <w:rPr>
                <w:b/>
                <w:bCs/>
                <w:sz w:val="18"/>
                <w:szCs w:val="18"/>
                <w:lang w:eastAsia="en-AU"/>
              </w:rPr>
              <w:t>$'000</w:t>
            </w:r>
          </w:p>
        </w:tc>
        <w:tc>
          <w:tcPr>
            <w:tcW w:w="981" w:type="dxa"/>
            <w:tcBorders>
              <w:top w:val="nil"/>
              <w:left w:val="nil"/>
              <w:bottom w:val="single" w:sz="4" w:space="0" w:color="auto"/>
              <w:right w:val="nil"/>
            </w:tcBorders>
            <w:shd w:val="clear" w:color="auto" w:fill="auto"/>
            <w:noWrap/>
            <w:vAlign w:val="center"/>
            <w:hideMark/>
          </w:tcPr>
          <w:p w:rsidR="00B607A1" w:rsidRPr="00F70B65" w:rsidRDefault="00B607A1" w:rsidP="00B607A1">
            <w:pPr>
              <w:jc w:val="right"/>
              <w:rPr>
                <w:b/>
                <w:bCs/>
                <w:sz w:val="18"/>
                <w:szCs w:val="18"/>
                <w:lang w:eastAsia="en-AU"/>
              </w:rPr>
            </w:pPr>
            <w:r w:rsidRPr="00F70B65">
              <w:rPr>
                <w:b/>
                <w:bCs/>
                <w:sz w:val="18"/>
                <w:szCs w:val="18"/>
                <w:lang w:eastAsia="en-AU"/>
              </w:rPr>
              <w:t>$'000</w:t>
            </w:r>
          </w:p>
        </w:tc>
        <w:tc>
          <w:tcPr>
            <w:tcW w:w="981" w:type="dxa"/>
            <w:tcBorders>
              <w:top w:val="nil"/>
              <w:left w:val="nil"/>
              <w:bottom w:val="single" w:sz="4" w:space="0" w:color="auto"/>
              <w:right w:val="nil"/>
            </w:tcBorders>
            <w:shd w:val="clear" w:color="auto" w:fill="auto"/>
            <w:noWrap/>
            <w:vAlign w:val="center"/>
            <w:hideMark/>
          </w:tcPr>
          <w:p w:rsidR="00B607A1" w:rsidRPr="00F70B65" w:rsidRDefault="00B607A1" w:rsidP="00B607A1">
            <w:pPr>
              <w:jc w:val="right"/>
              <w:rPr>
                <w:b/>
                <w:bCs/>
                <w:sz w:val="18"/>
                <w:szCs w:val="18"/>
                <w:lang w:eastAsia="en-AU"/>
              </w:rPr>
            </w:pPr>
            <w:r w:rsidRPr="00F70B65">
              <w:rPr>
                <w:b/>
                <w:bCs/>
                <w:sz w:val="18"/>
                <w:szCs w:val="18"/>
                <w:lang w:eastAsia="en-AU"/>
              </w:rPr>
              <w:t>$'000</w:t>
            </w:r>
          </w:p>
        </w:tc>
        <w:tc>
          <w:tcPr>
            <w:tcW w:w="981" w:type="dxa"/>
            <w:tcBorders>
              <w:top w:val="nil"/>
              <w:left w:val="nil"/>
              <w:bottom w:val="single" w:sz="4" w:space="0" w:color="auto"/>
              <w:right w:val="nil"/>
            </w:tcBorders>
            <w:shd w:val="clear" w:color="auto" w:fill="auto"/>
            <w:noWrap/>
            <w:vAlign w:val="center"/>
            <w:hideMark/>
          </w:tcPr>
          <w:p w:rsidR="00B607A1" w:rsidRPr="00F70B65" w:rsidRDefault="00B607A1" w:rsidP="00B607A1">
            <w:pPr>
              <w:jc w:val="right"/>
              <w:rPr>
                <w:b/>
                <w:bCs/>
                <w:sz w:val="18"/>
                <w:szCs w:val="18"/>
                <w:lang w:eastAsia="en-AU"/>
              </w:rPr>
            </w:pPr>
            <w:r w:rsidRPr="00F70B65">
              <w:rPr>
                <w:b/>
                <w:bCs/>
                <w:sz w:val="18"/>
                <w:szCs w:val="18"/>
                <w:lang w:eastAsia="en-AU"/>
              </w:rPr>
              <w:t>$'000</w:t>
            </w:r>
          </w:p>
        </w:tc>
      </w:tr>
      <w:tr w:rsidR="00B607A1" w:rsidRPr="00F70B65" w:rsidTr="0028326A">
        <w:trPr>
          <w:trHeight w:val="300"/>
        </w:trPr>
        <w:tc>
          <w:tcPr>
            <w:tcW w:w="4451" w:type="dxa"/>
            <w:tcBorders>
              <w:top w:val="nil"/>
              <w:left w:val="nil"/>
              <w:bottom w:val="nil"/>
              <w:right w:val="nil"/>
            </w:tcBorders>
            <w:shd w:val="clear" w:color="auto" w:fill="auto"/>
            <w:vAlign w:val="center"/>
            <w:hideMark/>
          </w:tcPr>
          <w:p w:rsidR="00B607A1" w:rsidRPr="00F70B65" w:rsidRDefault="00B607A1" w:rsidP="00B607A1">
            <w:pPr>
              <w:rPr>
                <w:sz w:val="18"/>
                <w:szCs w:val="18"/>
                <w:lang w:eastAsia="en-AU"/>
              </w:rPr>
            </w:pPr>
          </w:p>
        </w:tc>
        <w:tc>
          <w:tcPr>
            <w:tcW w:w="981" w:type="dxa"/>
            <w:tcBorders>
              <w:top w:val="nil"/>
              <w:left w:val="nil"/>
              <w:bottom w:val="nil"/>
              <w:right w:val="nil"/>
            </w:tcBorders>
            <w:shd w:val="clear" w:color="auto" w:fill="auto"/>
            <w:noWrap/>
            <w:vAlign w:val="center"/>
            <w:hideMark/>
          </w:tcPr>
          <w:p w:rsidR="00B607A1" w:rsidRPr="00F70B65" w:rsidRDefault="00B607A1" w:rsidP="00B607A1">
            <w:pPr>
              <w:jc w:val="right"/>
              <w:rPr>
                <w:sz w:val="18"/>
                <w:szCs w:val="18"/>
                <w:lang w:eastAsia="en-AU"/>
              </w:rPr>
            </w:pPr>
          </w:p>
        </w:tc>
        <w:tc>
          <w:tcPr>
            <w:tcW w:w="981" w:type="dxa"/>
            <w:tcBorders>
              <w:top w:val="nil"/>
              <w:left w:val="nil"/>
              <w:bottom w:val="nil"/>
              <w:right w:val="nil"/>
            </w:tcBorders>
            <w:shd w:val="clear" w:color="auto" w:fill="auto"/>
            <w:noWrap/>
            <w:vAlign w:val="center"/>
            <w:hideMark/>
          </w:tcPr>
          <w:p w:rsidR="00B607A1" w:rsidRPr="00F70B65" w:rsidRDefault="00B607A1" w:rsidP="00B607A1">
            <w:pPr>
              <w:jc w:val="right"/>
              <w:rPr>
                <w:sz w:val="18"/>
                <w:szCs w:val="18"/>
                <w:lang w:eastAsia="en-AU"/>
              </w:rPr>
            </w:pPr>
          </w:p>
        </w:tc>
        <w:tc>
          <w:tcPr>
            <w:tcW w:w="981" w:type="dxa"/>
            <w:tcBorders>
              <w:top w:val="nil"/>
              <w:left w:val="nil"/>
              <w:bottom w:val="nil"/>
              <w:right w:val="nil"/>
            </w:tcBorders>
            <w:shd w:val="clear" w:color="auto" w:fill="auto"/>
            <w:noWrap/>
            <w:vAlign w:val="center"/>
            <w:hideMark/>
          </w:tcPr>
          <w:p w:rsidR="00B607A1" w:rsidRPr="00F70B65" w:rsidRDefault="00B607A1" w:rsidP="00B607A1">
            <w:pPr>
              <w:jc w:val="right"/>
              <w:rPr>
                <w:sz w:val="18"/>
                <w:szCs w:val="18"/>
                <w:lang w:eastAsia="en-AU"/>
              </w:rPr>
            </w:pPr>
          </w:p>
        </w:tc>
        <w:tc>
          <w:tcPr>
            <w:tcW w:w="981" w:type="dxa"/>
            <w:tcBorders>
              <w:top w:val="nil"/>
              <w:left w:val="nil"/>
              <w:bottom w:val="nil"/>
              <w:right w:val="nil"/>
            </w:tcBorders>
            <w:shd w:val="clear" w:color="auto" w:fill="auto"/>
            <w:noWrap/>
            <w:vAlign w:val="center"/>
            <w:hideMark/>
          </w:tcPr>
          <w:p w:rsidR="00B607A1" w:rsidRPr="00F70B65" w:rsidRDefault="00B607A1" w:rsidP="00B607A1">
            <w:pPr>
              <w:jc w:val="right"/>
              <w:rPr>
                <w:sz w:val="18"/>
                <w:szCs w:val="18"/>
                <w:lang w:eastAsia="en-AU"/>
              </w:rPr>
            </w:pPr>
          </w:p>
        </w:tc>
        <w:tc>
          <w:tcPr>
            <w:tcW w:w="981" w:type="dxa"/>
            <w:tcBorders>
              <w:top w:val="nil"/>
              <w:left w:val="nil"/>
              <w:bottom w:val="nil"/>
              <w:right w:val="nil"/>
            </w:tcBorders>
            <w:shd w:val="clear" w:color="auto" w:fill="auto"/>
            <w:noWrap/>
            <w:vAlign w:val="center"/>
            <w:hideMark/>
          </w:tcPr>
          <w:p w:rsidR="00B607A1" w:rsidRPr="00F70B65" w:rsidRDefault="00B607A1" w:rsidP="00B607A1">
            <w:pPr>
              <w:jc w:val="right"/>
              <w:rPr>
                <w:sz w:val="18"/>
                <w:szCs w:val="18"/>
                <w:lang w:eastAsia="en-AU"/>
              </w:rPr>
            </w:pPr>
          </w:p>
        </w:tc>
      </w:tr>
      <w:tr w:rsidR="00B607A1" w:rsidRPr="00F70B65" w:rsidTr="0028326A">
        <w:trPr>
          <w:trHeight w:val="300"/>
        </w:trPr>
        <w:tc>
          <w:tcPr>
            <w:tcW w:w="4451" w:type="dxa"/>
            <w:tcBorders>
              <w:top w:val="nil"/>
              <w:left w:val="nil"/>
              <w:bottom w:val="nil"/>
              <w:right w:val="nil"/>
            </w:tcBorders>
            <w:shd w:val="clear" w:color="auto" w:fill="auto"/>
            <w:vAlign w:val="center"/>
            <w:hideMark/>
          </w:tcPr>
          <w:p w:rsidR="00B607A1" w:rsidRPr="00F70B65" w:rsidRDefault="00B607A1" w:rsidP="00B607A1">
            <w:pPr>
              <w:rPr>
                <w:b/>
                <w:bCs/>
                <w:sz w:val="18"/>
                <w:szCs w:val="18"/>
                <w:lang w:eastAsia="en-AU"/>
              </w:rPr>
            </w:pPr>
            <w:r w:rsidRPr="00F70B65">
              <w:rPr>
                <w:b/>
                <w:bCs/>
                <w:sz w:val="18"/>
                <w:szCs w:val="18"/>
                <w:lang w:eastAsia="en-AU"/>
              </w:rPr>
              <w:t>2012-13 Budget</w:t>
            </w:r>
          </w:p>
        </w:tc>
        <w:tc>
          <w:tcPr>
            <w:tcW w:w="981" w:type="dxa"/>
            <w:tcBorders>
              <w:top w:val="nil"/>
              <w:left w:val="nil"/>
              <w:bottom w:val="nil"/>
              <w:right w:val="nil"/>
            </w:tcBorders>
            <w:shd w:val="clear" w:color="auto" w:fill="auto"/>
            <w:noWrap/>
            <w:vAlign w:val="center"/>
            <w:hideMark/>
          </w:tcPr>
          <w:p w:rsidR="00B607A1" w:rsidRPr="00F70B65" w:rsidRDefault="00B607A1" w:rsidP="00B607A1">
            <w:pPr>
              <w:jc w:val="right"/>
              <w:rPr>
                <w:b/>
                <w:bCs/>
                <w:sz w:val="18"/>
                <w:szCs w:val="18"/>
                <w:lang w:eastAsia="en-AU"/>
              </w:rPr>
            </w:pPr>
            <w:r w:rsidRPr="00F70B65">
              <w:rPr>
                <w:b/>
                <w:bCs/>
                <w:sz w:val="18"/>
                <w:szCs w:val="18"/>
                <w:lang w:eastAsia="en-AU"/>
              </w:rPr>
              <w:t>147,649</w:t>
            </w:r>
          </w:p>
        </w:tc>
        <w:tc>
          <w:tcPr>
            <w:tcW w:w="981" w:type="dxa"/>
            <w:tcBorders>
              <w:top w:val="nil"/>
              <w:left w:val="nil"/>
              <w:bottom w:val="nil"/>
              <w:right w:val="nil"/>
            </w:tcBorders>
            <w:shd w:val="clear" w:color="auto" w:fill="auto"/>
            <w:noWrap/>
            <w:vAlign w:val="center"/>
            <w:hideMark/>
          </w:tcPr>
          <w:p w:rsidR="00B607A1" w:rsidRPr="00F70B65" w:rsidRDefault="00B607A1" w:rsidP="00B607A1">
            <w:pPr>
              <w:jc w:val="right"/>
              <w:rPr>
                <w:b/>
                <w:bCs/>
                <w:sz w:val="18"/>
                <w:szCs w:val="18"/>
                <w:lang w:eastAsia="en-AU"/>
              </w:rPr>
            </w:pPr>
            <w:r w:rsidRPr="00F70B65">
              <w:rPr>
                <w:b/>
                <w:bCs/>
                <w:sz w:val="18"/>
                <w:szCs w:val="18"/>
                <w:lang w:eastAsia="en-AU"/>
              </w:rPr>
              <w:t>151,341</w:t>
            </w:r>
          </w:p>
        </w:tc>
        <w:tc>
          <w:tcPr>
            <w:tcW w:w="981" w:type="dxa"/>
            <w:tcBorders>
              <w:top w:val="nil"/>
              <w:left w:val="nil"/>
              <w:bottom w:val="nil"/>
              <w:right w:val="nil"/>
            </w:tcBorders>
            <w:shd w:val="clear" w:color="auto" w:fill="auto"/>
            <w:noWrap/>
            <w:vAlign w:val="center"/>
            <w:hideMark/>
          </w:tcPr>
          <w:p w:rsidR="00B607A1" w:rsidRPr="00F70B65" w:rsidRDefault="00B607A1" w:rsidP="00B607A1">
            <w:pPr>
              <w:jc w:val="right"/>
              <w:rPr>
                <w:b/>
                <w:bCs/>
                <w:sz w:val="18"/>
                <w:szCs w:val="18"/>
                <w:lang w:eastAsia="en-AU"/>
              </w:rPr>
            </w:pPr>
            <w:r w:rsidRPr="00F70B65">
              <w:rPr>
                <w:b/>
                <w:bCs/>
                <w:sz w:val="18"/>
                <w:szCs w:val="18"/>
                <w:lang w:eastAsia="en-AU"/>
              </w:rPr>
              <w:t>155,124</w:t>
            </w:r>
          </w:p>
        </w:tc>
        <w:tc>
          <w:tcPr>
            <w:tcW w:w="981" w:type="dxa"/>
            <w:tcBorders>
              <w:top w:val="nil"/>
              <w:left w:val="nil"/>
              <w:bottom w:val="nil"/>
              <w:right w:val="nil"/>
            </w:tcBorders>
            <w:shd w:val="clear" w:color="auto" w:fill="auto"/>
            <w:noWrap/>
            <w:vAlign w:val="center"/>
            <w:hideMark/>
          </w:tcPr>
          <w:p w:rsidR="00B607A1" w:rsidRPr="00F70B65" w:rsidRDefault="00B607A1" w:rsidP="00B607A1">
            <w:pPr>
              <w:jc w:val="right"/>
              <w:rPr>
                <w:b/>
                <w:bCs/>
                <w:sz w:val="18"/>
                <w:szCs w:val="18"/>
                <w:lang w:eastAsia="en-AU"/>
              </w:rPr>
            </w:pPr>
            <w:r w:rsidRPr="00F70B65">
              <w:rPr>
                <w:b/>
                <w:bCs/>
                <w:sz w:val="18"/>
                <w:szCs w:val="18"/>
                <w:lang w:eastAsia="en-AU"/>
              </w:rPr>
              <w:t>159,001</w:t>
            </w:r>
          </w:p>
        </w:tc>
        <w:tc>
          <w:tcPr>
            <w:tcW w:w="981" w:type="dxa"/>
            <w:tcBorders>
              <w:top w:val="nil"/>
              <w:left w:val="nil"/>
              <w:bottom w:val="nil"/>
              <w:right w:val="nil"/>
            </w:tcBorders>
            <w:shd w:val="clear" w:color="auto" w:fill="auto"/>
            <w:noWrap/>
            <w:vAlign w:val="center"/>
            <w:hideMark/>
          </w:tcPr>
          <w:p w:rsidR="00B607A1" w:rsidRPr="00F70B65" w:rsidRDefault="00B607A1" w:rsidP="00B607A1">
            <w:pPr>
              <w:jc w:val="right"/>
              <w:rPr>
                <w:b/>
                <w:bCs/>
                <w:sz w:val="18"/>
                <w:szCs w:val="18"/>
                <w:lang w:eastAsia="en-AU"/>
              </w:rPr>
            </w:pPr>
            <w:r w:rsidRPr="00F70B65">
              <w:rPr>
                <w:b/>
                <w:bCs/>
                <w:sz w:val="18"/>
                <w:szCs w:val="18"/>
                <w:lang w:eastAsia="en-AU"/>
              </w:rPr>
              <w:t>159,001</w:t>
            </w:r>
          </w:p>
        </w:tc>
      </w:tr>
      <w:tr w:rsidR="00B607A1" w:rsidRPr="00F70B65" w:rsidTr="0028326A">
        <w:trPr>
          <w:trHeight w:val="300"/>
        </w:trPr>
        <w:tc>
          <w:tcPr>
            <w:tcW w:w="4451" w:type="dxa"/>
            <w:tcBorders>
              <w:top w:val="nil"/>
              <w:left w:val="nil"/>
              <w:bottom w:val="nil"/>
              <w:right w:val="nil"/>
            </w:tcBorders>
            <w:shd w:val="clear" w:color="auto" w:fill="auto"/>
            <w:vAlign w:val="center"/>
            <w:hideMark/>
          </w:tcPr>
          <w:p w:rsidR="00B607A1" w:rsidRPr="00F70B65" w:rsidRDefault="00B607A1" w:rsidP="00B607A1">
            <w:pPr>
              <w:rPr>
                <w:b/>
                <w:bCs/>
                <w:sz w:val="18"/>
                <w:szCs w:val="18"/>
                <w:lang w:eastAsia="en-AU"/>
              </w:rPr>
            </w:pPr>
          </w:p>
        </w:tc>
        <w:tc>
          <w:tcPr>
            <w:tcW w:w="981" w:type="dxa"/>
            <w:tcBorders>
              <w:top w:val="nil"/>
              <w:left w:val="nil"/>
              <w:bottom w:val="nil"/>
              <w:right w:val="nil"/>
            </w:tcBorders>
            <w:shd w:val="clear" w:color="auto" w:fill="auto"/>
            <w:noWrap/>
            <w:vAlign w:val="center"/>
            <w:hideMark/>
          </w:tcPr>
          <w:p w:rsidR="00B607A1" w:rsidRPr="00F70B65" w:rsidRDefault="00B607A1" w:rsidP="00B607A1">
            <w:pPr>
              <w:jc w:val="right"/>
              <w:rPr>
                <w:b/>
                <w:bCs/>
                <w:sz w:val="18"/>
                <w:szCs w:val="18"/>
                <w:lang w:eastAsia="en-AU"/>
              </w:rPr>
            </w:pPr>
          </w:p>
        </w:tc>
        <w:tc>
          <w:tcPr>
            <w:tcW w:w="981" w:type="dxa"/>
            <w:tcBorders>
              <w:top w:val="nil"/>
              <w:left w:val="nil"/>
              <w:bottom w:val="nil"/>
              <w:right w:val="nil"/>
            </w:tcBorders>
            <w:shd w:val="clear" w:color="auto" w:fill="auto"/>
            <w:noWrap/>
            <w:vAlign w:val="center"/>
            <w:hideMark/>
          </w:tcPr>
          <w:p w:rsidR="00B607A1" w:rsidRPr="00F70B65" w:rsidRDefault="00B607A1" w:rsidP="00B607A1">
            <w:pPr>
              <w:jc w:val="right"/>
              <w:rPr>
                <w:b/>
                <w:bCs/>
                <w:sz w:val="18"/>
                <w:szCs w:val="18"/>
                <w:lang w:eastAsia="en-AU"/>
              </w:rPr>
            </w:pPr>
          </w:p>
        </w:tc>
        <w:tc>
          <w:tcPr>
            <w:tcW w:w="981" w:type="dxa"/>
            <w:tcBorders>
              <w:top w:val="nil"/>
              <w:left w:val="nil"/>
              <w:bottom w:val="nil"/>
              <w:right w:val="nil"/>
            </w:tcBorders>
            <w:shd w:val="clear" w:color="auto" w:fill="auto"/>
            <w:noWrap/>
            <w:vAlign w:val="center"/>
            <w:hideMark/>
          </w:tcPr>
          <w:p w:rsidR="00B607A1" w:rsidRPr="00F70B65" w:rsidRDefault="00B607A1" w:rsidP="00B607A1">
            <w:pPr>
              <w:jc w:val="right"/>
              <w:rPr>
                <w:b/>
                <w:bCs/>
                <w:sz w:val="18"/>
                <w:szCs w:val="18"/>
                <w:lang w:eastAsia="en-AU"/>
              </w:rPr>
            </w:pPr>
          </w:p>
        </w:tc>
        <w:tc>
          <w:tcPr>
            <w:tcW w:w="981" w:type="dxa"/>
            <w:tcBorders>
              <w:top w:val="nil"/>
              <w:left w:val="nil"/>
              <w:bottom w:val="nil"/>
              <w:right w:val="nil"/>
            </w:tcBorders>
            <w:shd w:val="clear" w:color="auto" w:fill="auto"/>
            <w:noWrap/>
            <w:vAlign w:val="center"/>
            <w:hideMark/>
          </w:tcPr>
          <w:p w:rsidR="00B607A1" w:rsidRPr="00F70B65" w:rsidRDefault="00B607A1" w:rsidP="00B607A1">
            <w:pPr>
              <w:jc w:val="right"/>
              <w:rPr>
                <w:b/>
                <w:bCs/>
                <w:sz w:val="18"/>
                <w:szCs w:val="18"/>
                <w:lang w:eastAsia="en-AU"/>
              </w:rPr>
            </w:pPr>
          </w:p>
        </w:tc>
        <w:tc>
          <w:tcPr>
            <w:tcW w:w="981" w:type="dxa"/>
            <w:tcBorders>
              <w:top w:val="nil"/>
              <w:left w:val="nil"/>
              <w:bottom w:val="nil"/>
              <w:right w:val="nil"/>
            </w:tcBorders>
            <w:shd w:val="clear" w:color="auto" w:fill="auto"/>
            <w:noWrap/>
            <w:vAlign w:val="center"/>
            <w:hideMark/>
          </w:tcPr>
          <w:p w:rsidR="00B607A1" w:rsidRPr="00F70B65" w:rsidRDefault="00B607A1" w:rsidP="00B607A1">
            <w:pPr>
              <w:jc w:val="right"/>
              <w:rPr>
                <w:b/>
                <w:bCs/>
                <w:sz w:val="18"/>
                <w:szCs w:val="18"/>
                <w:lang w:eastAsia="en-AU"/>
              </w:rPr>
            </w:pPr>
          </w:p>
        </w:tc>
      </w:tr>
      <w:tr w:rsidR="00B607A1" w:rsidRPr="00F70B65" w:rsidTr="0028326A">
        <w:trPr>
          <w:trHeight w:val="300"/>
        </w:trPr>
        <w:tc>
          <w:tcPr>
            <w:tcW w:w="4451" w:type="dxa"/>
            <w:tcBorders>
              <w:top w:val="nil"/>
              <w:left w:val="nil"/>
              <w:bottom w:val="nil"/>
              <w:right w:val="nil"/>
            </w:tcBorders>
            <w:shd w:val="clear" w:color="auto" w:fill="auto"/>
            <w:vAlign w:val="center"/>
            <w:hideMark/>
          </w:tcPr>
          <w:p w:rsidR="00B607A1" w:rsidRPr="00F70B65" w:rsidRDefault="00B607A1" w:rsidP="00B607A1">
            <w:pPr>
              <w:rPr>
                <w:b/>
                <w:bCs/>
                <w:sz w:val="18"/>
                <w:szCs w:val="18"/>
                <w:lang w:eastAsia="en-AU"/>
              </w:rPr>
            </w:pPr>
            <w:r w:rsidRPr="00F70B65">
              <w:rPr>
                <w:b/>
                <w:bCs/>
                <w:sz w:val="18"/>
                <w:szCs w:val="18"/>
                <w:lang w:eastAsia="en-AU"/>
              </w:rPr>
              <w:t>2013-14 Budget Policy Adjustments</w:t>
            </w:r>
          </w:p>
        </w:tc>
        <w:tc>
          <w:tcPr>
            <w:tcW w:w="981" w:type="dxa"/>
            <w:tcBorders>
              <w:top w:val="nil"/>
              <w:left w:val="nil"/>
              <w:bottom w:val="nil"/>
              <w:right w:val="nil"/>
            </w:tcBorders>
            <w:shd w:val="clear" w:color="auto" w:fill="auto"/>
            <w:noWrap/>
            <w:vAlign w:val="center"/>
            <w:hideMark/>
          </w:tcPr>
          <w:p w:rsidR="00B607A1" w:rsidRPr="00F70B65" w:rsidRDefault="00B607A1" w:rsidP="00B607A1">
            <w:pPr>
              <w:jc w:val="right"/>
              <w:rPr>
                <w:sz w:val="18"/>
                <w:szCs w:val="18"/>
                <w:lang w:eastAsia="en-AU"/>
              </w:rPr>
            </w:pPr>
          </w:p>
        </w:tc>
        <w:tc>
          <w:tcPr>
            <w:tcW w:w="981" w:type="dxa"/>
            <w:tcBorders>
              <w:top w:val="nil"/>
              <w:left w:val="nil"/>
              <w:bottom w:val="nil"/>
              <w:right w:val="nil"/>
            </w:tcBorders>
            <w:shd w:val="clear" w:color="auto" w:fill="auto"/>
            <w:noWrap/>
            <w:vAlign w:val="center"/>
            <w:hideMark/>
          </w:tcPr>
          <w:p w:rsidR="00B607A1" w:rsidRPr="00F70B65" w:rsidRDefault="00B607A1" w:rsidP="00B607A1">
            <w:pPr>
              <w:jc w:val="right"/>
              <w:rPr>
                <w:sz w:val="18"/>
                <w:szCs w:val="18"/>
                <w:lang w:eastAsia="en-AU"/>
              </w:rPr>
            </w:pPr>
          </w:p>
        </w:tc>
        <w:tc>
          <w:tcPr>
            <w:tcW w:w="981" w:type="dxa"/>
            <w:tcBorders>
              <w:top w:val="nil"/>
              <w:left w:val="nil"/>
              <w:bottom w:val="nil"/>
              <w:right w:val="nil"/>
            </w:tcBorders>
            <w:shd w:val="clear" w:color="auto" w:fill="auto"/>
            <w:noWrap/>
            <w:vAlign w:val="center"/>
            <w:hideMark/>
          </w:tcPr>
          <w:p w:rsidR="00B607A1" w:rsidRPr="00F70B65" w:rsidRDefault="00B607A1" w:rsidP="00B607A1">
            <w:pPr>
              <w:jc w:val="right"/>
              <w:rPr>
                <w:sz w:val="18"/>
                <w:szCs w:val="18"/>
                <w:lang w:eastAsia="en-AU"/>
              </w:rPr>
            </w:pPr>
          </w:p>
        </w:tc>
        <w:tc>
          <w:tcPr>
            <w:tcW w:w="981" w:type="dxa"/>
            <w:tcBorders>
              <w:top w:val="nil"/>
              <w:left w:val="nil"/>
              <w:bottom w:val="nil"/>
              <w:right w:val="nil"/>
            </w:tcBorders>
            <w:shd w:val="clear" w:color="auto" w:fill="auto"/>
            <w:noWrap/>
            <w:vAlign w:val="center"/>
            <w:hideMark/>
          </w:tcPr>
          <w:p w:rsidR="00B607A1" w:rsidRPr="00F70B65" w:rsidRDefault="00B607A1" w:rsidP="00B607A1">
            <w:pPr>
              <w:jc w:val="right"/>
              <w:rPr>
                <w:sz w:val="18"/>
                <w:szCs w:val="18"/>
                <w:lang w:eastAsia="en-AU"/>
              </w:rPr>
            </w:pPr>
          </w:p>
        </w:tc>
        <w:tc>
          <w:tcPr>
            <w:tcW w:w="981" w:type="dxa"/>
            <w:tcBorders>
              <w:top w:val="nil"/>
              <w:left w:val="nil"/>
              <w:bottom w:val="nil"/>
              <w:right w:val="nil"/>
            </w:tcBorders>
            <w:shd w:val="clear" w:color="auto" w:fill="auto"/>
            <w:noWrap/>
            <w:vAlign w:val="center"/>
            <w:hideMark/>
          </w:tcPr>
          <w:p w:rsidR="00B607A1" w:rsidRPr="00F70B65" w:rsidRDefault="00B607A1" w:rsidP="00B607A1">
            <w:pPr>
              <w:jc w:val="right"/>
              <w:rPr>
                <w:sz w:val="18"/>
                <w:szCs w:val="18"/>
                <w:lang w:eastAsia="en-AU"/>
              </w:rPr>
            </w:pPr>
          </w:p>
        </w:tc>
      </w:tr>
      <w:tr w:rsidR="00B607A1" w:rsidRPr="00F70B65" w:rsidTr="0028326A">
        <w:trPr>
          <w:trHeight w:val="300"/>
        </w:trPr>
        <w:tc>
          <w:tcPr>
            <w:tcW w:w="4451" w:type="dxa"/>
            <w:tcBorders>
              <w:top w:val="nil"/>
              <w:left w:val="nil"/>
              <w:bottom w:val="nil"/>
              <w:right w:val="nil"/>
            </w:tcBorders>
            <w:shd w:val="clear" w:color="auto" w:fill="auto"/>
            <w:vAlign w:val="center"/>
            <w:hideMark/>
          </w:tcPr>
          <w:p w:rsidR="00B607A1" w:rsidRPr="00F70B65" w:rsidRDefault="0028326A" w:rsidP="00B607A1">
            <w:pPr>
              <w:rPr>
                <w:sz w:val="18"/>
                <w:szCs w:val="18"/>
                <w:lang w:eastAsia="en-AU"/>
              </w:rPr>
            </w:pPr>
            <w:r>
              <w:rPr>
                <w:sz w:val="18"/>
                <w:szCs w:val="18"/>
                <w:lang w:eastAsia="en-AU"/>
              </w:rPr>
              <w:t>Additional Funding to M</w:t>
            </w:r>
            <w:r w:rsidR="00B607A1" w:rsidRPr="00F70B65">
              <w:rPr>
                <w:sz w:val="18"/>
                <w:szCs w:val="18"/>
                <w:lang w:eastAsia="en-AU"/>
              </w:rPr>
              <w:t>atch Benefit Payment Projection</w:t>
            </w:r>
          </w:p>
        </w:tc>
        <w:tc>
          <w:tcPr>
            <w:tcW w:w="981" w:type="dxa"/>
            <w:tcBorders>
              <w:top w:val="nil"/>
              <w:left w:val="nil"/>
              <w:bottom w:val="nil"/>
              <w:right w:val="nil"/>
            </w:tcBorders>
            <w:shd w:val="clear" w:color="auto" w:fill="auto"/>
            <w:noWrap/>
            <w:vAlign w:val="center"/>
            <w:hideMark/>
          </w:tcPr>
          <w:p w:rsidR="00B607A1" w:rsidRPr="00F70B65" w:rsidRDefault="00B607A1" w:rsidP="00B607A1">
            <w:pPr>
              <w:jc w:val="right"/>
              <w:rPr>
                <w:sz w:val="18"/>
                <w:szCs w:val="18"/>
                <w:lang w:eastAsia="en-AU"/>
              </w:rPr>
            </w:pPr>
            <w:r w:rsidRPr="00F70B65">
              <w:rPr>
                <w:sz w:val="18"/>
                <w:szCs w:val="18"/>
                <w:lang w:eastAsia="en-AU"/>
              </w:rPr>
              <w:t xml:space="preserve">- </w:t>
            </w:r>
          </w:p>
        </w:tc>
        <w:tc>
          <w:tcPr>
            <w:tcW w:w="981" w:type="dxa"/>
            <w:tcBorders>
              <w:top w:val="nil"/>
              <w:left w:val="nil"/>
              <w:bottom w:val="nil"/>
              <w:right w:val="nil"/>
            </w:tcBorders>
            <w:shd w:val="clear" w:color="auto" w:fill="auto"/>
            <w:noWrap/>
            <w:vAlign w:val="center"/>
            <w:hideMark/>
          </w:tcPr>
          <w:p w:rsidR="00B607A1" w:rsidRPr="00F70B65" w:rsidRDefault="00B607A1" w:rsidP="00B607A1">
            <w:pPr>
              <w:jc w:val="right"/>
              <w:rPr>
                <w:sz w:val="18"/>
                <w:szCs w:val="18"/>
                <w:lang w:eastAsia="en-AU"/>
              </w:rPr>
            </w:pPr>
            <w:r w:rsidRPr="00F70B65">
              <w:rPr>
                <w:sz w:val="18"/>
                <w:szCs w:val="18"/>
                <w:lang w:eastAsia="en-AU"/>
              </w:rPr>
              <w:t xml:space="preserve">26,875 </w:t>
            </w:r>
          </w:p>
        </w:tc>
        <w:tc>
          <w:tcPr>
            <w:tcW w:w="981" w:type="dxa"/>
            <w:tcBorders>
              <w:top w:val="nil"/>
              <w:left w:val="nil"/>
              <w:bottom w:val="nil"/>
              <w:right w:val="nil"/>
            </w:tcBorders>
            <w:shd w:val="clear" w:color="auto" w:fill="auto"/>
            <w:noWrap/>
            <w:vAlign w:val="center"/>
            <w:hideMark/>
          </w:tcPr>
          <w:p w:rsidR="00B607A1" w:rsidRPr="00F70B65" w:rsidRDefault="00B607A1" w:rsidP="00B607A1">
            <w:pPr>
              <w:jc w:val="right"/>
              <w:rPr>
                <w:sz w:val="18"/>
                <w:szCs w:val="18"/>
                <w:lang w:eastAsia="en-AU"/>
              </w:rPr>
            </w:pPr>
            <w:r w:rsidRPr="00F70B65">
              <w:rPr>
                <w:sz w:val="18"/>
                <w:szCs w:val="18"/>
                <w:lang w:eastAsia="en-AU"/>
              </w:rPr>
              <w:t xml:space="preserve">40,550 </w:t>
            </w:r>
          </w:p>
        </w:tc>
        <w:tc>
          <w:tcPr>
            <w:tcW w:w="981" w:type="dxa"/>
            <w:tcBorders>
              <w:top w:val="nil"/>
              <w:left w:val="nil"/>
              <w:bottom w:val="nil"/>
              <w:right w:val="nil"/>
            </w:tcBorders>
            <w:shd w:val="clear" w:color="auto" w:fill="auto"/>
            <w:noWrap/>
            <w:vAlign w:val="center"/>
            <w:hideMark/>
          </w:tcPr>
          <w:p w:rsidR="00B607A1" w:rsidRPr="00F70B65" w:rsidRDefault="00B607A1" w:rsidP="00B607A1">
            <w:pPr>
              <w:jc w:val="right"/>
              <w:rPr>
                <w:sz w:val="18"/>
                <w:szCs w:val="18"/>
                <w:lang w:eastAsia="en-AU"/>
              </w:rPr>
            </w:pPr>
            <w:r w:rsidRPr="00F70B65">
              <w:rPr>
                <w:sz w:val="18"/>
                <w:szCs w:val="18"/>
                <w:lang w:eastAsia="en-AU"/>
              </w:rPr>
              <w:t xml:space="preserve">54,649 </w:t>
            </w:r>
          </w:p>
        </w:tc>
        <w:tc>
          <w:tcPr>
            <w:tcW w:w="981" w:type="dxa"/>
            <w:tcBorders>
              <w:top w:val="nil"/>
              <w:left w:val="nil"/>
              <w:bottom w:val="nil"/>
              <w:right w:val="nil"/>
            </w:tcBorders>
            <w:shd w:val="clear" w:color="auto" w:fill="auto"/>
            <w:noWrap/>
            <w:vAlign w:val="center"/>
            <w:hideMark/>
          </w:tcPr>
          <w:p w:rsidR="00B607A1" w:rsidRPr="00F70B65" w:rsidRDefault="00B607A1" w:rsidP="00B607A1">
            <w:pPr>
              <w:jc w:val="right"/>
              <w:rPr>
                <w:sz w:val="18"/>
                <w:szCs w:val="18"/>
                <w:lang w:eastAsia="en-AU"/>
              </w:rPr>
            </w:pPr>
            <w:r w:rsidRPr="00F70B65">
              <w:rPr>
                <w:sz w:val="18"/>
                <w:szCs w:val="18"/>
                <w:lang w:eastAsia="en-AU"/>
              </w:rPr>
              <w:t xml:space="preserve">70,804 </w:t>
            </w:r>
          </w:p>
        </w:tc>
      </w:tr>
      <w:tr w:rsidR="00B607A1" w:rsidRPr="00F70B65" w:rsidTr="0028326A">
        <w:trPr>
          <w:trHeight w:val="300"/>
        </w:trPr>
        <w:tc>
          <w:tcPr>
            <w:tcW w:w="4451" w:type="dxa"/>
            <w:tcBorders>
              <w:top w:val="nil"/>
              <w:left w:val="nil"/>
              <w:bottom w:val="nil"/>
              <w:right w:val="nil"/>
            </w:tcBorders>
            <w:shd w:val="clear" w:color="auto" w:fill="auto"/>
            <w:vAlign w:val="center"/>
            <w:hideMark/>
          </w:tcPr>
          <w:p w:rsidR="00B607A1" w:rsidRPr="00F70B65" w:rsidRDefault="00B607A1" w:rsidP="00B607A1">
            <w:pPr>
              <w:rPr>
                <w:sz w:val="18"/>
                <w:szCs w:val="18"/>
                <w:lang w:eastAsia="en-AU"/>
              </w:rPr>
            </w:pPr>
          </w:p>
        </w:tc>
        <w:tc>
          <w:tcPr>
            <w:tcW w:w="981" w:type="dxa"/>
            <w:tcBorders>
              <w:top w:val="nil"/>
              <w:left w:val="nil"/>
              <w:bottom w:val="nil"/>
              <w:right w:val="nil"/>
            </w:tcBorders>
            <w:shd w:val="clear" w:color="auto" w:fill="auto"/>
            <w:noWrap/>
            <w:vAlign w:val="center"/>
            <w:hideMark/>
          </w:tcPr>
          <w:p w:rsidR="00B607A1" w:rsidRPr="00F70B65" w:rsidRDefault="00B607A1" w:rsidP="00B607A1">
            <w:pPr>
              <w:jc w:val="right"/>
              <w:rPr>
                <w:sz w:val="18"/>
                <w:szCs w:val="18"/>
                <w:lang w:eastAsia="en-AU"/>
              </w:rPr>
            </w:pPr>
          </w:p>
        </w:tc>
        <w:tc>
          <w:tcPr>
            <w:tcW w:w="981" w:type="dxa"/>
            <w:tcBorders>
              <w:top w:val="nil"/>
              <w:left w:val="nil"/>
              <w:bottom w:val="nil"/>
              <w:right w:val="nil"/>
            </w:tcBorders>
            <w:shd w:val="clear" w:color="auto" w:fill="auto"/>
            <w:noWrap/>
            <w:vAlign w:val="center"/>
            <w:hideMark/>
          </w:tcPr>
          <w:p w:rsidR="00B607A1" w:rsidRPr="00F70B65" w:rsidRDefault="00B607A1" w:rsidP="00B607A1">
            <w:pPr>
              <w:jc w:val="right"/>
              <w:rPr>
                <w:sz w:val="18"/>
                <w:szCs w:val="18"/>
                <w:lang w:eastAsia="en-AU"/>
              </w:rPr>
            </w:pPr>
          </w:p>
        </w:tc>
        <w:tc>
          <w:tcPr>
            <w:tcW w:w="981" w:type="dxa"/>
            <w:tcBorders>
              <w:top w:val="nil"/>
              <w:left w:val="nil"/>
              <w:bottom w:val="nil"/>
              <w:right w:val="nil"/>
            </w:tcBorders>
            <w:shd w:val="clear" w:color="auto" w:fill="auto"/>
            <w:noWrap/>
            <w:vAlign w:val="center"/>
            <w:hideMark/>
          </w:tcPr>
          <w:p w:rsidR="00B607A1" w:rsidRPr="00F70B65" w:rsidRDefault="00B607A1" w:rsidP="00B607A1">
            <w:pPr>
              <w:jc w:val="right"/>
              <w:rPr>
                <w:sz w:val="18"/>
                <w:szCs w:val="18"/>
                <w:lang w:eastAsia="en-AU"/>
              </w:rPr>
            </w:pPr>
          </w:p>
        </w:tc>
        <w:tc>
          <w:tcPr>
            <w:tcW w:w="981" w:type="dxa"/>
            <w:tcBorders>
              <w:top w:val="nil"/>
              <w:left w:val="nil"/>
              <w:bottom w:val="nil"/>
              <w:right w:val="nil"/>
            </w:tcBorders>
            <w:shd w:val="clear" w:color="auto" w:fill="auto"/>
            <w:noWrap/>
            <w:vAlign w:val="center"/>
            <w:hideMark/>
          </w:tcPr>
          <w:p w:rsidR="00B607A1" w:rsidRPr="00F70B65" w:rsidRDefault="00B607A1" w:rsidP="00B607A1">
            <w:pPr>
              <w:jc w:val="right"/>
              <w:rPr>
                <w:sz w:val="18"/>
                <w:szCs w:val="18"/>
                <w:lang w:eastAsia="en-AU"/>
              </w:rPr>
            </w:pPr>
          </w:p>
        </w:tc>
        <w:tc>
          <w:tcPr>
            <w:tcW w:w="981" w:type="dxa"/>
            <w:tcBorders>
              <w:top w:val="nil"/>
              <w:left w:val="nil"/>
              <w:bottom w:val="nil"/>
              <w:right w:val="nil"/>
            </w:tcBorders>
            <w:shd w:val="clear" w:color="auto" w:fill="auto"/>
            <w:noWrap/>
            <w:vAlign w:val="center"/>
            <w:hideMark/>
          </w:tcPr>
          <w:p w:rsidR="00B607A1" w:rsidRPr="00F70B65" w:rsidRDefault="00B607A1" w:rsidP="00B607A1">
            <w:pPr>
              <w:jc w:val="right"/>
              <w:rPr>
                <w:sz w:val="18"/>
                <w:szCs w:val="18"/>
                <w:lang w:eastAsia="en-AU"/>
              </w:rPr>
            </w:pPr>
          </w:p>
        </w:tc>
      </w:tr>
      <w:tr w:rsidR="00B607A1" w:rsidRPr="00F70B65" w:rsidTr="0028326A">
        <w:trPr>
          <w:trHeight w:val="300"/>
        </w:trPr>
        <w:tc>
          <w:tcPr>
            <w:tcW w:w="4451" w:type="dxa"/>
            <w:tcBorders>
              <w:top w:val="nil"/>
              <w:left w:val="nil"/>
              <w:bottom w:val="nil"/>
              <w:right w:val="nil"/>
            </w:tcBorders>
            <w:shd w:val="clear" w:color="auto" w:fill="auto"/>
            <w:vAlign w:val="center"/>
            <w:hideMark/>
          </w:tcPr>
          <w:p w:rsidR="00B607A1" w:rsidRPr="00F70B65" w:rsidRDefault="00B607A1" w:rsidP="00B607A1">
            <w:pPr>
              <w:rPr>
                <w:b/>
                <w:bCs/>
                <w:sz w:val="18"/>
                <w:szCs w:val="18"/>
                <w:lang w:eastAsia="en-AU"/>
              </w:rPr>
            </w:pPr>
            <w:r w:rsidRPr="00F70B65">
              <w:rPr>
                <w:b/>
                <w:bCs/>
                <w:sz w:val="18"/>
                <w:szCs w:val="18"/>
                <w:lang w:eastAsia="en-AU"/>
              </w:rPr>
              <w:t>2013-14 Budget Technical Adjustments</w:t>
            </w:r>
          </w:p>
        </w:tc>
        <w:tc>
          <w:tcPr>
            <w:tcW w:w="981" w:type="dxa"/>
            <w:tcBorders>
              <w:top w:val="nil"/>
              <w:left w:val="nil"/>
              <w:bottom w:val="nil"/>
              <w:right w:val="nil"/>
            </w:tcBorders>
            <w:shd w:val="clear" w:color="auto" w:fill="auto"/>
            <w:noWrap/>
            <w:vAlign w:val="center"/>
            <w:hideMark/>
          </w:tcPr>
          <w:p w:rsidR="00B607A1" w:rsidRPr="00F70B65" w:rsidRDefault="00B607A1" w:rsidP="00B607A1">
            <w:pPr>
              <w:jc w:val="right"/>
              <w:rPr>
                <w:sz w:val="18"/>
                <w:szCs w:val="18"/>
                <w:lang w:eastAsia="en-AU"/>
              </w:rPr>
            </w:pPr>
          </w:p>
        </w:tc>
        <w:tc>
          <w:tcPr>
            <w:tcW w:w="981" w:type="dxa"/>
            <w:tcBorders>
              <w:top w:val="nil"/>
              <w:left w:val="nil"/>
              <w:bottom w:val="nil"/>
              <w:right w:val="nil"/>
            </w:tcBorders>
            <w:shd w:val="clear" w:color="auto" w:fill="auto"/>
            <w:noWrap/>
            <w:vAlign w:val="center"/>
            <w:hideMark/>
          </w:tcPr>
          <w:p w:rsidR="00B607A1" w:rsidRPr="00F70B65" w:rsidRDefault="00B607A1" w:rsidP="00B607A1">
            <w:pPr>
              <w:jc w:val="right"/>
              <w:rPr>
                <w:sz w:val="18"/>
                <w:szCs w:val="18"/>
                <w:lang w:eastAsia="en-AU"/>
              </w:rPr>
            </w:pPr>
          </w:p>
        </w:tc>
        <w:tc>
          <w:tcPr>
            <w:tcW w:w="981" w:type="dxa"/>
            <w:tcBorders>
              <w:top w:val="nil"/>
              <w:left w:val="nil"/>
              <w:bottom w:val="nil"/>
              <w:right w:val="nil"/>
            </w:tcBorders>
            <w:shd w:val="clear" w:color="auto" w:fill="auto"/>
            <w:noWrap/>
            <w:vAlign w:val="center"/>
            <w:hideMark/>
          </w:tcPr>
          <w:p w:rsidR="00B607A1" w:rsidRPr="00F70B65" w:rsidRDefault="00B607A1" w:rsidP="00B607A1">
            <w:pPr>
              <w:jc w:val="right"/>
              <w:rPr>
                <w:sz w:val="18"/>
                <w:szCs w:val="18"/>
                <w:lang w:eastAsia="en-AU"/>
              </w:rPr>
            </w:pPr>
          </w:p>
        </w:tc>
        <w:tc>
          <w:tcPr>
            <w:tcW w:w="981" w:type="dxa"/>
            <w:tcBorders>
              <w:top w:val="nil"/>
              <w:left w:val="nil"/>
              <w:bottom w:val="nil"/>
              <w:right w:val="nil"/>
            </w:tcBorders>
            <w:shd w:val="clear" w:color="auto" w:fill="auto"/>
            <w:noWrap/>
            <w:vAlign w:val="center"/>
            <w:hideMark/>
          </w:tcPr>
          <w:p w:rsidR="00B607A1" w:rsidRPr="00F70B65" w:rsidRDefault="00B607A1" w:rsidP="00B607A1">
            <w:pPr>
              <w:jc w:val="right"/>
              <w:rPr>
                <w:sz w:val="18"/>
                <w:szCs w:val="18"/>
                <w:lang w:eastAsia="en-AU"/>
              </w:rPr>
            </w:pPr>
          </w:p>
        </w:tc>
        <w:tc>
          <w:tcPr>
            <w:tcW w:w="981" w:type="dxa"/>
            <w:tcBorders>
              <w:top w:val="nil"/>
              <w:left w:val="nil"/>
              <w:bottom w:val="nil"/>
              <w:right w:val="nil"/>
            </w:tcBorders>
            <w:shd w:val="clear" w:color="auto" w:fill="auto"/>
            <w:noWrap/>
            <w:vAlign w:val="center"/>
            <w:hideMark/>
          </w:tcPr>
          <w:p w:rsidR="00B607A1" w:rsidRPr="00F70B65" w:rsidRDefault="00B607A1" w:rsidP="00B607A1">
            <w:pPr>
              <w:jc w:val="right"/>
              <w:rPr>
                <w:sz w:val="18"/>
                <w:szCs w:val="18"/>
                <w:lang w:eastAsia="en-AU"/>
              </w:rPr>
            </w:pPr>
          </w:p>
        </w:tc>
      </w:tr>
      <w:tr w:rsidR="00B607A1" w:rsidRPr="00F70B65" w:rsidTr="0028326A">
        <w:trPr>
          <w:trHeight w:val="300"/>
        </w:trPr>
        <w:tc>
          <w:tcPr>
            <w:tcW w:w="4451" w:type="dxa"/>
            <w:tcBorders>
              <w:top w:val="nil"/>
              <w:left w:val="nil"/>
              <w:bottom w:val="nil"/>
              <w:right w:val="nil"/>
            </w:tcBorders>
            <w:shd w:val="clear" w:color="auto" w:fill="auto"/>
            <w:vAlign w:val="center"/>
            <w:hideMark/>
          </w:tcPr>
          <w:p w:rsidR="00B607A1" w:rsidRPr="00F70B65" w:rsidRDefault="00B607A1" w:rsidP="00B607A1">
            <w:pPr>
              <w:rPr>
                <w:sz w:val="18"/>
                <w:szCs w:val="18"/>
                <w:lang w:eastAsia="en-AU"/>
              </w:rPr>
            </w:pPr>
            <w:r w:rsidRPr="00F70B65">
              <w:rPr>
                <w:sz w:val="18"/>
                <w:szCs w:val="18"/>
                <w:lang w:eastAsia="en-AU"/>
              </w:rPr>
              <w:t>Revised Indexation Parameters</w:t>
            </w:r>
          </w:p>
        </w:tc>
        <w:tc>
          <w:tcPr>
            <w:tcW w:w="981" w:type="dxa"/>
            <w:tcBorders>
              <w:top w:val="nil"/>
              <w:left w:val="nil"/>
              <w:bottom w:val="nil"/>
              <w:right w:val="nil"/>
            </w:tcBorders>
            <w:shd w:val="clear" w:color="auto" w:fill="auto"/>
            <w:noWrap/>
            <w:vAlign w:val="center"/>
            <w:hideMark/>
          </w:tcPr>
          <w:p w:rsidR="00B607A1" w:rsidRPr="00F70B65" w:rsidRDefault="00B607A1" w:rsidP="00B607A1">
            <w:pPr>
              <w:jc w:val="right"/>
              <w:rPr>
                <w:sz w:val="18"/>
                <w:szCs w:val="18"/>
                <w:lang w:eastAsia="en-AU"/>
              </w:rPr>
            </w:pPr>
            <w:r w:rsidRPr="00F70B65">
              <w:rPr>
                <w:sz w:val="18"/>
                <w:szCs w:val="18"/>
                <w:lang w:eastAsia="en-AU"/>
              </w:rPr>
              <w:t xml:space="preserve">- </w:t>
            </w:r>
          </w:p>
        </w:tc>
        <w:tc>
          <w:tcPr>
            <w:tcW w:w="981" w:type="dxa"/>
            <w:tcBorders>
              <w:top w:val="nil"/>
              <w:left w:val="nil"/>
              <w:bottom w:val="nil"/>
              <w:right w:val="nil"/>
            </w:tcBorders>
            <w:shd w:val="clear" w:color="auto" w:fill="auto"/>
            <w:noWrap/>
            <w:vAlign w:val="center"/>
            <w:hideMark/>
          </w:tcPr>
          <w:p w:rsidR="00B607A1" w:rsidRPr="00F70B65" w:rsidRDefault="00B607A1" w:rsidP="00B607A1">
            <w:pPr>
              <w:jc w:val="right"/>
              <w:rPr>
                <w:sz w:val="18"/>
                <w:szCs w:val="18"/>
                <w:lang w:eastAsia="en-AU"/>
              </w:rPr>
            </w:pPr>
            <w:r w:rsidRPr="00F70B65">
              <w:rPr>
                <w:sz w:val="18"/>
                <w:szCs w:val="18"/>
                <w:lang w:eastAsia="en-AU"/>
              </w:rPr>
              <w:t xml:space="preserve">- </w:t>
            </w:r>
          </w:p>
        </w:tc>
        <w:tc>
          <w:tcPr>
            <w:tcW w:w="981" w:type="dxa"/>
            <w:tcBorders>
              <w:top w:val="nil"/>
              <w:left w:val="nil"/>
              <w:bottom w:val="nil"/>
              <w:right w:val="nil"/>
            </w:tcBorders>
            <w:shd w:val="clear" w:color="auto" w:fill="auto"/>
            <w:noWrap/>
            <w:vAlign w:val="center"/>
            <w:hideMark/>
          </w:tcPr>
          <w:p w:rsidR="00B607A1" w:rsidRPr="00F70B65" w:rsidRDefault="00B607A1" w:rsidP="00B607A1">
            <w:pPr>
              <w:jc w:val="right"/>
              <w:rPr>
                <w:sz w:val="18"/>
                <w:szCs w:val="18"/>
                <w:lang w:eastAsia="en-AU"/>
              </w:rPr>
            </w:pPr>
            <w:r w:rsidRPr="00F70B65">
              <w:rPr>
                <w:sz w:val="18"/>
                <w:szCs w:val="18"/>
                <w:lang w:eastAsia="en-AU"/>
              </w:rPr>
              <w:t xml:space="preserve">- </w:t>
            </w:r>
          </w:p>
        </w:tc>
        <w:tc>
          <w:tcPr>
            <w:tcW w:w="981" w:type="dxa"/>
            <w:tcBorders>
              <w:top w:val="nil"/>
              <w:left w:val="nil"/>
              <w:bottom w:val="nil"/>
              <w:right w:val="nil"/>
            </w:tcBorders>
            <w:shd w:val="clear" w:color="auto" w:fill="auto"/>
            <w:noWrap/>
            <w:vAlign w:val="center"/>
            <w:hideMark/>
          </w:tcPr>
          <w:p w:rsidR="00B607A1" w:rsidRPr="00F70B65" w:rsidRDefault="00B607A1" w:rsidP="00B607A1">
            <w:pPr>
              <w:jc w:val="right"/>
              <w:rPr>
                <w:sz w:val="18"/>
                <w:szCs w:val="18"/>
                <w:lang w:eastAsia="en-AU"/>
              </w:rPr>
            </w:pPr>
            <w:r w:rsidRPr="00F70B65">
              <w:rPr>
                <w:sz w:val="18"/>
                <w:szCs w:val="18"/>
                <w:lang w:eastAsia="en-AU"/>
              </w:rPr>
              <w:t xml:space="preserve">- </w:t>
            </w:r>
          </w:p>
        </w:tc>
        <w:tc>
          <w:tcPr>
            <w:tcW w:w="981" w:type="dxa"/>
            <w:tcBorders>
              <w:top w:val="nil"/>
              <w:left w:val="nil"/>
              <w:bottom w:val="nil"/>
              <w:right w:val="nil"/>
            </w:tcBorders>
            <w:shd w:val="clear" w:color="auto" w:fill="auto"/>
            <w:noWrap/>
            <w:vAlign w:val="center"/>
            <w:hideMark/>
          </w:tcPr>
          <w:p w:rsidR="00B607A1" w:rsidRPr="00F70B65" w:rsidRDefault="00B607A1" w:rsidP="00B607A1">
            <w:pPr>
              <w:jc w:val="right"/>
              <w:rPr>
                <w:sz w:val="18"/>
                <w:szCs w:val="18"/>
                <w:lang w:eastAsia="en-AU"/>
              </w:rPr>
            </w:pPr>
            <w:r w:rsidRPr="00F70B65">
              <w:rPr>
                <w:sz w:val="18"/>
                <w:szCs w:val="18"/>
                <w:lang w:eastAsia="en-AU"/>
              </w:rPr>
              <w:t xml:space="preserve">3,976 </w:t>
            </w:r>
          </w:p>
        </w:tc>
      </w:tr>
      <w:tr w:rsidR="00B607A1" w:rsidRPr="00F70B65" w:rsidTr="0028326A">
        <w:trPr>
          <w:trHeight w:val="300"/>
        </w:trPr>
        <w:tc>
          <w:tcPr>
            <w:tcW w:w="4451" w:type="dxa"/>
            <w:tcBorders>
              <w:top w:val="nil"/>
              <w:left w:val="nil"/>
              <w:bottom w:val="nil"/>
              <w:right w:val="nil"/>
            </w:tcBorders>
            <w:shd w:val="clear" w:color="auto" w:fill="auto"/>
            <w:vAlign w:val="center"/>
            <w:hideMark/>
          </w:tcPr>
          <w:p w:rsidR="00B607A1" w:rsidRPr="00F70B65" w:rsidRDefault="00B607A1" w:rsidP="00B607A1">
            <w:pPr>
              <w:rPr>
                <w:sz w:val="18"/>
                <w:szCs w:val="18"/>
                <w:lang w:eastAsia="en-AU"/>
              </w:rPr>
            </w:pPr>
          </w:p>
        </w:tc>
        <w:tc>
          <w:tcPr>
            <w:tcW w:w="981" w:type="dxa"/>
            <w:tcBorders>
              <w:top w:val="nil"/>
              <w:left w:val="nil"/>
              <w:bottom w:val="nil"/>
              <w:right w:val="nil"/>
            </w:tcBorders>
            <w:shd w:val="clear" w:color="auto" w:fill="auto"/>
            <w:noWrap/>
            <w:vAlign w:val="center"/>
            <w:hideMark/>
          </w:tcPr>
          <w:p w:rsidR="00B607A1" w:rsidRPr="00F70B65" w:rsidRDefault="00B607A1" w:rsidP="00B607A1">
            <w:pPr>
              <w:jc w:val="right"/>
              <w:rPr>
                <w:sz w:val="18"/>
                <w:szCs w:val="18"/>
                <w:lang w:eastAsia="en-AU"/>
              </w:rPr>
            </w:pPr>
          </w:p>
        </w:tc>
        <w:tc>
          <w:tcPr>
            <w:tcW w:w="981" w:type="dxa"/>
            <w:tcBorders>
              <w:top w:val="nil"/>
              <w:left w:val="nil"/>
              <w:bottom w:val="nil"/>
              <w:right w:val="nil"/>
            </w:tcBorders>
            <w:shd w:val="clear" w:color="auto" w:fill="auto"/>
            <w:noWrap/>
            <w:vAlign w:val="center"/>
            <w:hideMark/>
          </w:tcPr>
          <w:p w:rsidR="00B607A1" w:rsidRPr="00F70B65" w:rsidRDefault="00B607A1" w:rsidP="00B607A1">
            <w:pPr>
              <w:jc w:val="right"/>
              <w:rPr>
                <w:sz w:val="18"/>
                <w:szCs w:val="18"/>
                <w:lang w:eastAsia="en-AU"/>
              </w:rPr>
            </w:pPr>
          </w:p>
        </w:tc>
        <w:tc>
          <w:tcPr>
            <w:tcW w:w="981" w:type="dxa"/>
            <w:tcBorders>
              <w:top w:val="nil"/>
              <w:left w:val="nil"/>
              <w:bottom w:val="nil"/>
              <w:right w:val="nil"/>
            </w:tcBorders>
            <w:shd w:val="clear" w:color="auto" w:fill="auto"/>
            <w:noWrap/>
            <w:vAlign w:val="center"/>
            <w:hideMark/>
          </w:tcPr>
          <w:p w:rsidR="00B607A1" w:rsidRPr="00F70B65" w:rsidRDefault="00B607A1" w:rsidP="00B607A1">
            <w:pPr>
              <w:jc w:val="right"/>
              <w:rPr>
                <w:sz w:val="18"/>
                <w:szCs w:val="18"/>
                <w:lang w:eastAsia="en-AU"/>
              </w:rPr>
            </w:pPr>
          </w:p>
        </w:tc>
        <w:tc>
          <w:tcPr>
            <w:tcW w:w="981" w:type="dxa"/>
            <w:tcBorders>
              <w:top w:val="nil"/>
              <w:left w:val="nil"/>
              <w:bottom w:val="nil"/>
              <w:right w:val="nil"/>
            </w:tcBorders>
            <w:shd w:val="clear" w:color="auto" w:fill="auto"/>
            <w:noWrap/>
            <w:vAlign w:val="center"/>
            <w:hideMark/>
          </w:tcPr>
          <w:p w:rsidR="00B607A1" w:rsidRPr="00F70B65" w:rsidRDefault="00B607A1" w:rsidP="00B607A1">
            <w:pPr>
              <w:jc w:val="right"/>
              <w:rPr>
                <w:sz w:val="18"/>
                <w:szCs w:val="18"/>
                <w:lang w:eastAsia="en-AU"/>
              </w:rPr>
            </w:pPr>
          </w:p>
        </w:tc>
        <w:tc>
          <w:tcPr>
            <w:tcW w:w="981" w:type="dxa"/>
            <w:tcBorders>
              <w:top w:val="nil"/>
              <w:left w:val="nil"/>
              <w:bottom w:val="nil"/>
              <w:right w:val="nil"/>
            </w:tcBorders>
            <w:shd w:val="clear" w:color="auto" w:fill="auto"/>
            <w:noWrap/>
            <w:vAlign w:val="center"/>
            <w:hideMark/>
          </w:tcPr>
          <w:p w:rsidR="00B607A1" w:rsidRPr="00F70B65" w:rsidRDefault="00B607A1" w:rsidP="00B607A1">
            <w:pPr>
              <w:jc w:val="right"/>
              <w:rPr>
                <w:sz w:val="18"/>
                <w:szCs w:val="18"/>
                <w:lang w:eastAsia="en-AU"/>
              </w:rPr>
            </w:pPr>
          </w:p>
        </w:tc>
      </w:tr>
      <w:tr w:rsidR="00B607A1" w:rsidRPr="00F70B65" w:rsidTr="0028326A">
        <w:trPr>
          <w:trHeight w:val="300"/>
        </w:trPr>
        <w:tc>
          <w:tcPr>
            <w:tcW w:w="4451" w:type="dxa"/>
            <w:tcBorders>
              <w:top w:val="nil"/>
              <w:left w:val="nil"/>
              <w:bottom w:val="single" w:sz="4" w:space="0" w:color="auto"/>
              <w:right w:val="nil"/>
            </w:tcBorders>
            <w:shd w:val="clear" w:color="auto" w:fill="auto"/>
            <w:vAlign w:val="center"/>
            <w:hideMark/>
          </w:tcPr>
          <w:p w:rsidR="00B607A1" w:rsidRPr="00F70B65" w:rsidRDefault="00B607A1" w:rsidP="00B607A1">
            <w:pPr>
              <w:rPr>
                <w:b/>
                <w:bCs/>
                <w:sz w:val="18"/>
                <w:szCs w:val="18"/>
                <w:lang w:eastAsia="en-AU"/>
              </w:rPr>
            </w:pPr>
            <w:r w:rsidRPr="00F70B65">
              <w:rPr>
                <w:b/>
                <w:bCs/>
                <w:sz w:val="18"/>
                <w:szCs w:val="18"/>
                <w:lang w:eastAsia="en-AU"/>
              </w:rPr>
              <w:t>2013-14 Budget</w:t>
            </w:r>
          </w:p>
        </w:tc>
        <w:tc>
          <w:tcPr>
            <w:tcW w:w="981" w:type="dxa"/>
            <w:tcBorders>
              <w:top w:val="nil"/>
              <w:left w:val="nil"/>
              <w:bottom w:val="single" w:sz="4" w:space="0" w:color="auto"/>
              <w:right w:val="nil"/>
            </w:tcBorders>
            <w:shd w:val="clear" w:color="auto" w:fill="auto"/>
            <w:noWrap/>
            <w:vAlign w:val="center"/>
            <w:hideMark/>
          </w:tcPr>
          <w:p w:rsidR="00B607A1" w:rsidRPr="00F70B65" w:rsidRDefault="00B607A1" w:rsidP="00B607A1">
            <w:pPr>
              <w:jc w:val="right"/>
              <w:rPr>
                <w:b/>
                <w:bCs/>
                <w:sz w:val="18"/>
                <w:szCs w:val="18"/>
                <w:lang w:eastAsia="en-AU"/>
              </w:rPr>
            </w:pPr>
            <w:r w:rsidRPr="00F70B65">
              <w:rPr>
                <w:b/>
                <w:bCs/>
                <w:sz w:val="18"/>
                <w:szCs w:val="18"/>
                <w:lang w:eastAsia="en-AU"/>
              </w:rPr>
              <w:t>147,649</w:t>
            </w:r>
          </w:p>
        </w:tc>
        <w:tc>
          <w:tcPr>
            <w:tcW w:w="981" w:type="dxa"/>
            <w:tcBorders>
              <w:top w:val="nil"/>
              <w:left w:val="nil"/>
              <w:bottom w:val="single" w:sz="4" w:space="0" w:color="auto"/>
              <w:right w:val="nil"/>
            </w:tcBorders>
            <w:shd w:val="clear" w:color="auto" w:fill="auto"/>
            <w:noWrap/>
            <w:vAlign w:val="center"/>
            <w:hideMark/>
          </w:tcPr>
          <w:p w:rsidR="00B607A1" w:rsidRPr="00F70B65" w:rsidRDefault="00B607A1" w:rsidP="00B607A1">
            <w:pPr>
              <w:jc w:val="right"/>
              <w:rPr>
                <w:b/>
                <w:bCs/>
                <w:sz w:val="18"/>
                <w:szCs w:val="18"/>
                <w:lang w:eastAsia="en-AU"/>
              </w:rPr>
            </w:pPr>
            <w:r w:rsidRPr="00F70B65">
              <w:rPr>
                <w:b/>
                <w:bCs/>
                <w:sz w:val="18"/>
                <w:szCs w:val="18"/>
                <w:lang w:eastAsia="en-AU"/>
              </w:rPr>
              <w:t>178,216</w:t>
            </w:r>
          </w:p>
        </w:tc>
        <w:tc>
          <w:tcPr>
            <w:tcW w:w="981" w:type="dxa"/>
            <w:tcBorders>
              <w:top w:val="nil"/>
              <w:left w:val="nil"/>
              <w:bottom w:val="single" w:sz="4" w:space="0" w:color="auto"/>
              <w:right w:val="nil"/>
            </w:tcBorders>
            <w:shd w:val="clear" w:color="auto" w:fill="auto"/>
            <w:noWrap/>
            <w:vAlign w:val="center"/>
            <w:hideMark/>
          </w:tcPr>
          <w:p w:rsidR="00B607A1" w:rsidRPr="00F70B65" w:rsidRDefault="00B607A1" w:rsidP="00B607A1">
            <w:pPr>
              <w:jc w:val="right"/>
              <w:rPr>
                <w:b/>
                <w:bCs/>
                <w:sz w:val="18"/>
                <w:szCs w:val="18"/>
                <w:lang w:eastAsia="en-AU"/>
              </w:rPr>
            </w:pPr>
            <w:r w:rsidRPr="00F70B65">
              <w:rPr>
                <w:b/>
                <w:bCs/>
                <w:sz w:val="18"/>
                <w:szCs w:val="18"/>
                <w:lang w:eastAsia="en-AU"/>
              </w:rPr>
              <w:t>195,674</w:t>
            </w:r>
          </w:p>
        </w:tc>
        <w:tc>
          <w:tcPr>
            <w:tcW w:w="981" w:type="dxa"/>
            <w:tcBorders>
              <w:top w:val="nil"/>
              <w:left w:val="nil"/>
              <w:bottom w:val="single" w:sz="4" w:space="0" w:color="auto"/>
              <w:right w:val="nil"/>
            </w:tcBorders>
            <w:shd w:val="clear" w:color="auto" w:fill="auto"/>
            <w:noWrap/>
            <w:vAlign w:val="center"/>
            <w:hideMark/>
          </w:tcPr>
          <w:p w:rsidR="00B607A1" w:rsidRPr="00F70B65" w:rsidRDefault="00B607A1" w:rsidP="00B607A1">
            <w:pPr>
              <w:jc w:val="right"/>
              <w:rPr>
                <w:b/>
                <w:bCs/>
                <w:sz w:val="18"/>
                <w:szCs w:val="18"/>
                <w:lang w:eastAsia="en-AU"/>
              </w:rPr>
            </w:pPr>
            <w:r w:rsidRPr="00F70B65">
              <w:rPr>
                <w:b/>
                <w:bCs/>
                <w:sz w:val="18"/>
                <w:szCs w:val="18"/>
                <w:lang w:eastAsia="en-AU"/>
              </w:rPr>
              <w:t>213,650</w:t>
            </w:r>
          </w:p>
        </w:tc>
        <w:tc>
          <w:tcPr>
            <w:tcW w:w="981" w:type="dxa"/>
            <w:tcBorders>
              <w:top w:val="nil"/>
              <w:left w:val="nil"/>
              <w:bottom w:val="single" w:sz="4" w:space="0" w:color="auto"/>
              <w:right w:val="nil"/>
            </w:tcBorders>
            <w:shd w:val="clear" w:color="auto" w:fill="auto"/>
            <w:noWrap/>
            <w:vAlign w:val="center"/>
            <w:hideMark/>
          </w:tcPr>
          <w:p w:rsidR="00B607A1" w:rsidRPr="00F70B65" w:rsidRDefault="00B607A1" w:rsidP="00B607A1">
            <w:pPr>
              <w:jc w:val="right"/>
              <w:rPr>
                <w:b/>
                <w:bCs/>
                <w:sz w:val="18"/>
                <w:szCs w:val="18"/>
                <w:lang w:eastAsia="en-AU"/>
              </w:rPr>
            </w:pPr>
            <w:r w:rsidRPr="00F70B65">
              <w:rPr>
                <w:b/>
                <w:bCs/>
                <w:sz w:val="18"/>
                <w:szCs w:val="18"/>
                <w:lang w:eastAsia="en-AU"/>
              </w:rPr>
              <w:t>233,781</w:t>
            </w:r>
          </w:p>
        </w:tc>
      </w:tr>
    </w:tbl>
    <w:p w:rsidR="0087651A" w:rsidRDefault="00B607A1">
      <w:r>
        <w:br w:type="page"/>
      </w:r>
    </w:p>
    <w:tbl>
      <w:tblPr>
        <w:tblW w:w="9356" w:type="dxa"/>
        <w:tblLook w:val="04A0"/>
      </w:tblPr>
      <w:tblGrid>
        <w:gridCol w:w="1049"/>
        <w:gridCol w:w="2306"/>
        <w:gridCol w:w="1180"/>
        <w:gridCol w:w="1050"/>
        <w:gridCol w:w="621"/>
        <w:gridCol w:w="1050"/>
        <w:gridCol w:w="1050"/>
        <w:gridCol w:w="1050"/>
      </w:tblGrid>
      <w:tr w:rsidR="0087651A" w:rsidTr="00B56568">
        <w:trPr>
          <w:tblHeader/>
        </w:trPr>
        <w:tc>
          <w:tcPr>
            <w:tcW w:w="9356" w:type="dxa"/>
            <w:gridSpan w:val="8"/>
            <w:tcBorders>
              <w:top w:val="nil"/>
              <w:left w:val="nil"/>
              <w:bottom w:val="nil"/>
              <w:right w:val="nil"/>
            </w:tcBorders>
            <w:shd w:val="clear" w:color="000000" w:fill="FFFFFF"/>
            <w:hideMark/>
          </w:tcPr>
          <w:p w:rsidR="0087651A" w:rsidRPr="00F70B65" w:rsidRDefault="0087651A" w:rsidP="00536AC6">
            <w:pPr>
              <w:jc w:val="center"/>
              <w:rPr>
                <w:rFonts w:ascii="Arial" w:hAnsi="Arial" w:cs="Arial"/>
                <w:b/>
                <w:bCs/>
                <w:szCs w:val="24"/>
              </w:rPr>
            </w:pPr>
            <w:r>
              <w:rPr>
                <w:rFonts w:ascii="Arial" w:hAnsi="Arial" w:cs="Arial"/>
                <w:b/>
                <w:bCs/>
                <w:szCs w:val="24"/>
              </w:rPr>
              <w:lastRenderedPageBreak/>
              <w:t>Superannuation Provision Account</w:t>
            </w:r>
          </w:p>
        </w:tc>
      </w:tr>
      <w:tr w:rsidR="0087651A" w:rsidTr="00B56568">
        <w:trPr>
          <w:tblHeader/>
        </w:trPr>
        <w:tc>
          <w:tcPr>
            <w:tcW w:w="9356" w:type="dxa"/>
            <w:gridSpan w:val="8"/>
            <w:tcBorders>
              <w:top w:val="nil"/>
              <w:left w:val="nil"/>
              <w:bottom w:val="nil"/>
              <w:right w:val="nil"/>
            </w:tcBorders>
            <w:shd w:val="clear" w:color="000000" w:fill="FFFFFF"/>
            <w:hideMark/>
          </w:tcPr>
          <w:p w:rsidR="0087651A" w:rsidRPr="00F70B65" w:rsidRDefault="0087651A" w:rsidP="00536AC6">
            <w:pPr>
              <w:spacing w:after="60"/>
              <w:jc w:val="center"/>
              <w:rPr>
                <w:rFonts w:ascii="Arial" w:hAnsi="Arial" w:cs="Arial"/>
                <w:b/>
                <w:bCs/>
                <w:szCs w:val="24"/>
              </w:rPr>
            </w:pPr>
            <w:r w:rsidRPr="00F70B65">
              <w:rPr>
                <w:rFonts w:ascii="Arial" w:hAnsi="Arial" w:cs="Arial"/>
                <w:b/>
                <w:bCs/>
                <w:szCs w:val="24"/>
              </w:rPr>
              <w:t>Statement of Income and Expenses on Behalf of the Territory</w:t>
            </w:r>
          </w:p>
        </w:tc>
      </w:tr>
      <w:tr w:rsidR="0087651A" w:rsidTr="00B56568">
        <w:trPr>
          <w:tblHeader/>
        </w:trPr>
        <w:tc>
          <w:tcPr>
            <w:tcW w:w="1049" w:type="dxa"/>
            <w:tcBorders>
              <w:top w:val="single" w:sz="4" w:space="0" w:color="auto"/>
              <w:left w:val="nil"/>
              <w:bottom w:val="nil"/>
              <w:right w:val="nil"/>
            </w:tcBorders>
            <w:shd w:val="clear" w:color="000000" w:fill="FFFFFF"/>
            <w:hideMark/>
          </w:tcPr>
          <w:p w:rsidR="0087651A" w:rsidRDefault="0087651A" w:rsidP="00536AC6">
            <w:pPr>
              <w:ind w:left="-283"/>
              <w:jc w:val="right"/>
              <w:rPr>
                <w:b/>
                <w:bCs/>
                <w:sz w:val="18"/>
                <w:szCs w:val="18"/>
              </w:rPr>
            </w:pPr>
            <w:r>
              <w:rPr>
                <w:b/>
                <w:bCs/>
                <w:sz w:val="18"/>
                <w:szCs w:val="18"/>
              </w:rPr>
              <w:t>2012-13</w:t>
            </w:r>
          </w:p>
        </w:tc>
        <w:tc>
          <w:tcPr>
            <w:tcW w:w="2306" w:type="dxa"/>
            <w:tcBorders>
              <w:top w:val="single" w:sz="4" w:space="0" w:color="auto"/>
              <w:left w:val="nil"/>
              <w:bottom w:val="nil"/>
              <w:right w:val="nil"/>
            </w:tcBorders>
            <w:shd w:val="clear" w:color="000000" w:fill="FFFFFF"/>
            <w:hideMark/>
          </w:tcPr>
          <w:p w:rsidR="0087651A" w:rsidRDefault="0087651A" w:rsidP="00536AC6">
            <w:pPr>
              <w:rPr>
                <w:b/>
                <w:bCs/>
                <w:sz w:val="18"/>
                <w:szCs w:val="18"/>
              </w:rPr>
            </w:pPr>
            <w:r>
              <w:rPr>
                <w:b/>
                <w:bCs/>
                <w:sz w:val="18"/>
                <w:szCs w:val="18"/>
              </w:rPr>
              <w:t> </w:t>
            </w:r>
          </w:p>
        </w:tc>
        <w:tc>
          <w:tcPr>
            <w:tcW w:w="1180" w:type="dxa"/>
            <w:tcBorders>
              <w:top w:val="single" w:sz="4" w:space="0" w:color="auto"/>
              <w:left w:val="nil"/>
              <w:bottom w:val="nil"/>
              <w:right w:val="nil"/>
            </w:tcBorders>
            <w:shd w:val="clear" w:color="000000" w:fill="FFFFFF"/>
            <w:hideMark/>
          </w:tcPr>
          <w:p w:rsidR="0087651A" w:rsidRDefault="0087651A" w:rsidP="00536AC6">
            <w:pPr>
              <w:ind w:left="-283"/>
              <w:jc w:val="right"/>
              <w:rPr>
                <w:b/>
                <w:bCs/>
                <w:sz w:val="18"/>
                <w:szCs w:val="18"/>
              </w:rPr>
            </w:pPr>
            <w:r>
              <w:rPr>
                <w:b/>
                <w:bCs/>
                <w:sz w:val="18"/>
                <w:szCs w:val="18"/>
              </w:rPr>
              <w:t>2012-13</w:t>
            </w:r>
          </w:p>
        </w:tc>
        <w:tc>
          <w:tcPr>
            <w:tcW w:w="1050" w:type="dxa"/>
            <w:tcBorders>
              <w:top w:val="single" w:sz="4" w:space="0" w:color="auto"/>
              <w:left w:val="nil"/>
              <w:bottom w:val="nil"/>
              <w:right w:val="nil"/>
            </w:tcBorders>
            <w:shd w:val="clear" w:color="000000" w:fill="FFFFFF"/>
            <w:hideMark/>
          </w:tcPr>
          <w:p w:rsidR="0087651A" w:rsidRDefault="0087651A" w:rsidP="00536AC6">
            <w:pPr>
              <w:ind w:left="-283"/>
              <w:jc w:val="right"/>
              <w:rPr>
                <w:b/>
                <w:bCs/>
                <w:sz w:val="18"/>
                <w:szCs w:val="18"/>
              </w:rPr>
            </w:pPr>
            <w:r>
              <w:rPr>
                <w:b/>
                <w:bCs/>
                <w:sz w:val="18"/>
                <w:szCs w:val="18"/>
              </w:rPr>
              <w:t>2013-14</w:t>
            </w:r>
          </w:p>
        </w:tc>
        <w:tc>
          <w:tcPr>
            <w:tcW w:w="621" w:type="dxa"/>
            <w:tcBorders>
              <w:top w:val="single" w:sz="4" w:space="0" w:color="auto"/>
              <w:left w:val="nil"/>
              <w:bottom w:val="nil"/>
              <w:right w:val="nil"/>
            </w:tcBorders>
            <w:shd w:val="clear" w:color="000000" w:fill="FFFFFF"/>
            <w:hideMark/>
          </w:tcPr>
          <w:p w:rsidR="0087651A" w:rsidRDefault="0087651A" w:rsidP="00536AC6">
            <w:pPr>
              <w:ind w:left="-283"/>
              <w:jc w:val="right"/>
              <w:rPr>
                <w:b/>
                <w:bCs/>
                <w:sz w:val="18"/>
                <w:szCs w:val="18"/>
              </w:rPr>
            </w:pPr>
            <w:r>
              <w:rPr>
                <w:b/>
                <w:bCs/>
                <w:sz w:val="18"/>
                <w:szCs w:val="18"/>
              </w:rPr>
              <w:t> </w:t>
            </w:r>
          </w:p>
        </w:tc>
        <w:tc>
          <w:tcPr>
            <w:tcW w:w="1050" w:type="dxa"/>
            <w:tcBorders>
              <w:top w:val="single" w:sz="4" w:space="0" w:color="auto"/>
              <w:left w:val="nil"/>
              <w:bottom w:val="nil"/>
              <w:right w:val="nil"/>
            </w:tcBorders>
            <w:shd w:val="clear" w:color="000000" w:fill="FFFFFF"/>
            <w:hideMark/>
          </w:tcPr>
          <w:p w:rsidR="0087651A" w:rsidRDefault="0087651A" w:rsidP="00536AC6">
            <w:pPr>
              <w:ind w:left="-283"/>
              <w:jc w:val="right"/>
              <w:rPr>
                <w:b/>
                <w:bCs/>
                <w:sz w:val="18"/>
                <w:szCs w:val="18"/>
              </w:rPr>
            </w:pPr>
            <w:r>
              <w:rPr>
                <w:b/>
                <w:bCs/>
                <w:sz w:val="18"/>
                <w:szCs w:val="18"/>
              </w:rPr>
              <w:t>2014-15</w:t>
            </w:r>
          </w:p>
        </w:tc>
        <w:tc>
          <w:tcPr>
            <w:tcW w:w="1050" w:type="dxa"/>
            <w:tcBorders>
              <w:top w:val="single" w:sz="4" w:space="0" w:color="auto"/>
              <w:left w:val="nil"/>
              <w:bottom w:val="nil"/>
              <w:right w:val="nil"/>
            </w:tcBorders>
            <w:shd w:val="clear" w:color="000000" w:fill="FFFFFF"/>
            <w:hideMark/>
          </w:tcPr>
          <w:p w:rsidR="0087651A" w:rsidRDefault="0087651A" w:rsidP="00536AC6">
            <w:pPr>
              <w:ind w:left="-283"/>
              <w:jc w:val="right"/>
              <w:rPr>
                <w:b/>
                <w:bCs/>
                <w:sz w:val="18"/>
                <w:szCs w:val="18"/>
              </w:rPr>
            </w:pPr>
            <w:r>
              <w:rPr>
                <w:b/>
                <w:bCs/>
                <w:sz w:val="18"/>
                <w:szCs w:val="18"/>
              </w:rPr>
              <w:t>2015-16</w:t>
            </w:r>
          </w:p>
        </w:tc>
        <w:tc>
          <w:tcPr>
            <w:tcW w:w="1050" w:type="dxa"/>
            <w:tcBorders>
              <w:top w:val="single" w:sz="4" w:space="0" w:color="auto"/>
              <w:left w:val="nil"/>
              <w:bottom w:val="nil"/>
              <w:right w:val="nil"/>
            </w:tcBorders>
            <w:shd w:val="clear" w:color="000000" w:fill="FFFFFF"/>
            <w:hideMark/>
          </w:tcPr>
          <w:p w:rsidR="0087651A" w:rsidRDefault="0087651A" w:rsidP="00536AC6">
            <w:pPr>
              <w:ind w:left="-283"/>
              <w:jc w:val="right"/>
              <w:rPr>
                <w:b/>
                <w:bCs/>
                <w:sz w:val="18"/>
                <w:szCs w:val="18"/>
              </w:rPr>
            </w:pPr>
            <w:r>
              <w:rPr>
                <w:b/>
                <w:bCs/>
                <w:sz w:val="18"/>
                <w:szCs w:val="18"/>
              </w:rPr>
              <w:t>2016-17</w:t>
            </w:r>
          </w:p>
        </w:tc>
      </w:tr>
      <w:tr w:rsidR="0087651A" w:rsidTr="00B56568">
        <w:trPr>
          <w:tblHeader/>
        </w:trPr>
        <w:tc>
          <w:tcPr>
            <w:tcW w:w="1049" w:type="dxa"/>
            <w:tcBorders>
              <w:top w:val="nil"/>
              <w:left w:val="nil"/>
              <w:bottom w:val="nil"/>
              <w:right w:val="nil"/>
            </w:tcBorders>
            <w:shd w:val="clear" w:color="000000" w:fill="FFFFFF"/>
            <w:hideMark/>
          </w:tcPr>
          <w:p w:rsidR="0087651A" w:rsidRDefault="0087651A" w:rsidP="00536AC6">
            <w:pPr>
              <w:ind w:left="-283"/>
              <w:jc w:val="right"/>
              <w:rPr>
                <w:b/>
                <w:bCs/>
                <w:sz w:val="18"/>
                <w:szCs w:val="18"/>
              </w:rPr>
            </w:pPr>
            <w:r>
              <w:rPr>
                <w:b/>
                <w:bCs/>
                <w:sz w:val="18"/>
                <w:szCs w:val="18"/>
              </w:rPr>
              <w:t>Budget</w:t>
            </w:r>
          </w:p>
        </w:tc>
        <w:tc>
          <w:tcPr>
            <w:tcW w:w="2306" w:type="dxa"/>
            <w:tcBorders>
              <w:top w:val="nil"/>
              <w:left w:val="nil"/>
              <w:bottom w:val="nil"/>
              <w:right w:val="nil"/>
            </w:tcBorders>
            <w:shd w:val="clear" w:color="000000" w:fill="FFFFFF"/>
            <w:hideMark/>
          </w:tcPr>
          <w:p w:rsidR="0087651A" w:rsidRDefault="0087651A" w:rsidP="00536AC6">
            <w:pPr>
              <w:rPr>
                <w:b/>
                <w:bCs/>
                <w:sz w:val="18"/>
                <w:szCs w:val="18"/>
              </w:rPr>
            </w:pPr>
            <w:r>
              <w:rPr>
                <w:b/>
                <w:bCs/>
                <w:sz w:val="18"/>
                <w:szCs w:val="18"/>
              </w:rPr>
              <w:t> </w:t>
            </w:r>
          </w:p>
        </w:tc>
        <w:tc>
          <w:tcPr>
            <w:tcW w:w="1180" w:type="dxa"/>
            <w:tcBorders>
              <w:top w:val="nil"/>
              <w:left w:val="nil"/>
              <w:bottom w:val="nil"/>
              <w:right w:val="nil"/>
            </w:tcBorders>
            <w:shd w:val="clear" w:color="000000" w:fill="FFFFFF"/>
            <w:hideMark/>
          </w:tcPr>
          <w:p w:rsidR="0087651A" w:rsidRDefault="0087651A" w:rsidP="00536AC6">
            <w:pPr>
              <w:ind w:left="-283"/>
              <w:jc w:val="right"/>
              <w:rPr>
                <w:b/>
                <w:bCs/>
                <w:sz w:val="18"/>
                <w:szCs w:val="18"/>
              </w:rPr>
            </w:pPr>
            <w:r>
              <w:rPr>
                <w:b/>
                <w:bCs/>
                <w:sz w:val="18"/>
                <w:szCs w:val="18"/>
              </w:rPr>
              <w:t>Est. Outcome</w:t>
            </w:r>
          </w:p>
        </w:tc>
        <w:tc>
          <w:tcPr>
            <w:tcW w:w="1050" w:type="dxa"/>
            <w:tcBorders>
              <w:top w:val="nil"/>
              <w:left w:val="nil"/>
              <w:bottom w:val="nil"/>
              <w:right w:val="nil"/>
            </w:tcBorders>
            <w:shd w:val="clear" w:color="000000" w:fill="FFFFFF"/>
            <w:hideMark/>
          </w:tcPr>
          <w:p w:rsidR="0087651A" w:rsidRDefault="0087651A" w:rsidP="00536AC6">
            <w:pPr>
              <w:ind w:left="-283"/>
              <w:jc w:val="right"/>
              <w:rPr>
                <w:b/>
                <w:bCs/>
                <w:sz w:val="18"/>
                <w:szCs w:val="18"/>
              </w:rPr>
            </w:pPr>
            <w:r>
              <w:rPr>
                <w:b/>
                <w:bCs/>
                <w:sz w:val="18"/>
                <w:szCs w:val="18"/>
              </w:rPr>
              <w:t>Budget</w:t>
            </w:r>
          </w:p>
        </w:tc>
        <w:tc>
          <w:tcPr>
            <w:tcW w:w="621" w:type="dxa"/>
            <w:tcBorders>
              <w:top w:val="nil"/>
              <w:left w:val="nil"/>
              <w:bottom w:val="nil"/>
              <w:right w:val="nil"/>
            </w:tcBorders>
            <w:shd w:val="clear" w:color="000000" w:fill="FFFFFF"/>
            <w:hideMark/>
          </w:tcPr>
          <w:p w:rsidR="0087651A" w:rsidRDefault="0087651A" w:rsidP="00536AC6">
            <w:pPr>
              <w:ind w:left="-283"/>
              <w:jc w:val="right"/>
              <w:rPr>
                <w:b/>
                <w:bCs/>
                <w:sz w:val="18"/>
                <w:szCs w:val="18"/>
              </w:rPr>
            </w:pPr>
            <w:proofErr w:type="spellStart"/>
            <w:r>
              <w:rPr>
                <w:b/>
                <w:bCs/>
                <w:sz w:val="18"/>
                <w:szCs w:val="18"/>
              </w:rPr>
              <w:t>Var</w:t>
            </w:r>
            <w:proofErr w:type="spellEnd"/>
          </w:p>
        </w:tc>
        <w:tc>
          <w:tcPr>
            <w:tcW w:w="1050" w:type="dxa"/>
            <w:tcBorders>
              <w:top w:val="nil"/>
              <w:left w:val="nil"/>
              <w:bottom w:val="nil"/>
              <w:right w:val="nil"/>
            </w:tcBorders>
            <w:shd w:val="clear" w:color="000000" w:fill="FFFFFF"/>
            <w:hideMark/>
          </w:tcPr>
          <w:p w:rsidR="0087651A" w:rsidRDefault="0087651A" w:rsidP="00536AC6">
            <w:pPr>
              <w:ind w:left="-283"/>
              <w:jc w:val="right"/>
              <w:rPr>
                <w:b/>
                <w:bCs/>
                <w:sz w:val="18"/>
                <w:szCs w:val="18"/>
              </w:rPr>
            </w:pPr>
            <w:r>
              <w:rPr>
                <w:b/>
                <w:bCs/>
                <w:sz w:val="18"/>
                <w:szCs w:val="18"/>
              </w:rPr>
              <w:t>Estimate</w:t>
            </w:r>
          </w:p>
        </w:tc>
        <w:tc>
          <w:tcPr>
            <w:tcW w:w="1050" w:type="dxa"/>
            <w:tcBorders>
              <w:top w:val="nil"/>
              <w:left w:val="nil"/>
              <w:bottom w:val="nil"/>
              <w:right w:val="nil"/>
            </w:tcBorders>
            <w:shd w:val="clear" w:color="000000" w:fill="FFFFFF"/>
            <w:hideMark/>
          </w:tcPr>
          <w:p w:rsidR="0087651A" w:rsidRDefault="0087651A" w:rsidP="00536AC6">
            <w:pPr>
              <w:ind w:left="-283"/>
              <w:jc w:val="right"/>
              <w:rPr>
                <w:b/>
                <w:bCs/>
                <w:sz w:val="18"/>
                <w:szCs w:val="18"/>
              </w:rPr>
            </w:pPr>
            <w:r>
              <w:rPr>
                <w:b/>
                <w:bCs/>
                <w:sz w:val="18"/>
                <w:szCs w:val="18"/>
              </w:rPr>
              <w:t>Estimate</w:t>
            </w:r>
          </w:p>
        </w:tc>
        <w:tc>
          <w:tcPr>
            <w:tcW w:w="1050" w:type="dxa"/>
            <w:tcBorders>
              <w:top w:val="nil"/>
              <w:left w:val="nil"/>
              <w:bottom w:val="nil"/>
              <w:right w:val="nil"/>
            </w:tcBorders>
            <w:shd w:val="clear" w:color="000000" w:fill="FFFFFF"/>
            <w:hideMark/>
          </w:tcPr>
          <w:p w:rsidR="0087651A" w:rsidRDefault="0087651A" w:rsidP="00536AC6">
            <w:pPr>
              <w:ind w:left="-283"/>
              <w:jc w:val="right"/>
              <w:rPr>
                <w:b/>
                <w:bCs/>
                <w:sz w:val="18"/>
                <w:szCs w:val="18"/>
              </w:rPr>
            </w:pPr>
            <w:r>
              <w:rPr>
                <w:b/>
                <w:bCs/>
                <w:sz w:val="18"/>
                <w:szCs w:val="18"/>
              </w:rPr>
              <w:t>Estimate</w:t>
            </w:r>
          </w:p>
        </w:tc>
      </w:tr>
      <w:tr w:rsidR="0087651A" w:rsidTr="00B56568">
        <w:trPr>
          <w:tblHeader/>
        </w:trPr>
        <w:tc>
          <w:tcPr>
            <w:tcW w:w="1049" w:type="dxa"/>
            <w:tcBorders>
              <w:top w:val="nil"/>
              <w:left w:val="nil"/>
              <w:bottom w:val="single" w:sz="4" w:space="0" w:color="auto"/>
              <w:right w:val="nil"/>
            </w:tcBorders>
            <w:shd w:val="clear" w:color="000000" w:fill="FFFFFF"/>
            <w:hideMark/>
          </w:tcPr>
          <w:p w:rsidR="0087651A" w:rsidRDefault="0087651A" w:rsidP="00536AC6">
            <w:pPr>
              <w:ind w:left="-283"/>
              <w:jc w:val="right"/>
              <w:rPr>
                <w:b/>
                <w:bCs/>
                <w:sz w:val="18"/>
                <w:szCs w:val="18"/>
              </w:rPr>
            </w:pPr>
            <w:r>
              <w:rPr>
                <w:b/>
                <w:bCs/>
                <w:sz w:val="18"/>
                <w:szCs w:val="18"/>
              </w:rPr>
              <w:t>$'000</w:t>
            </w:r>
          </w:p>
        </w:tc>
        <w:tc>
          <w:tcPr>
            <w:tcW w:w="2306" w:type="dxa"/>
            <w:tcBorders>
              <w:top w:val="nil"/>
              <w:left w:val="nil"/>
              <w:bottom w:val="single" w:sz="4" w:space="0" w:color="auto"/>
              <w:right w:val="nil"/>
            </w:tcBorders>
            <w:shd w:val="clear" w:color="000000" w:fill="FFFFFF"/>
            <w:hideMark/>
          </w:tcPr>
          <w:p w:rsidR="0087651A" w:rsidRDefault="0087651A" w:rsidP="00536AC6">
            <w:pPr>
              <w:rPr>
                <w:b/>
                <w:bCs/>
                <w:sz w:val="18"/>
                <w:szCs w:val="18"/>
              </w:rPr>
            </w:pPr>
            <w:r>
              <w:rPr>
                <w:b/>
                <w:bCs/>
                <w:sz w:val="18"/>
                <w:szCs w:val="18"/>
              </w:rPr>
              <w:t> </w:t>
            </w:r>
          </w:p>
        </w:tc>
        <w:tc>
          <w:tcPr>
            <w:tcW w:w="1180" w:type="dxa"/>
            <w:tcBorders>
              <w:top w:val="nil"/>
              <w:left w:val="nil"/>
              <w:bottom w:val="single" w:sz="4" w:space="0" w:color="auto"/>
              <w:right w:val="nil"/>
            </w:tcBorders>
            <w:shd w:val="clear" w:color="000000" w:fill="FFFFFF"/>
            <w:hideMark/>
          </w:tcPr>
          <w:p w:rsidR="0087651A" w:rsidRDefault="0087651A" w:rsidP="00536AC6">
            <w:pPr>
              <w:ind w:left="-283"/>
              <w:jc w:val="right"/>
              <w:rPr>
                <w:b/>
                <w:bCs/>
                <w:sz w:val="18"/>
                <w:szCs w:val="18"/>
              </w:rPr>
            </w:pPr>
            <w:r>
              <w:rPr>
                <w:b/>
                <w:bCs/>
                <w:sz w:val="18"/>
                <w:szCs w:val="18"/>
              </w:rPr>
              <w:t>$'000</w:t>
            </w:r>
          </w:p>
        </w:tc>
        <w:tc>
          <w:tcPr>
            <w:tcW w:w="1050" w:type="dxa"/>
            <w:tcBorders>
              <w:top w:val="nil"/>
              <w:left w:val="nil"/>
              <w:bottom w:val="single" w:sz="4" w:space="0" w:color="auto"/>
              <w:right w:val="nil"/>
            </w:tcBorders>
            <w:shd w:val="clear" w:color="000000" w:fill="FFFFFF"/>
            <w:hideMark/>
          </w:tcPr>
          <w:p w:rsidR="0087651A" w:rsidRDefault="0087651A" w:rsidP="00536AC6">
            <w:pPr>
              <w:ind w:left="-283"/>
              <w:jc w:val="right"/>
              <w:rPr>
                <w:b/>
                <w:bCs/>
                <w:sz w:val="18"/>
                <w:szCs w:val="18"/>
              </w:rPr>
            </w:pPr>
            <w:r>
              <w:rPr>
                <w:b/>
                <w:bCs/>
                <w:sz w:val="18"/>
                <w:szCs w:val="18"/>
              </w:rPr>
              <w:t>$'000</w:t>
            </w:r>
          </w:p>
        </w:tc>
        <w:tc>
          <w:tcPr>
            <w:tcW w:w="621" w:type="dxa"/>
            <w:tcBorders>
              <w:top w:val="nil"/>
              <w:left w:val="nil"/>
              <w:bottom w:val="single" w:sz="4" w:space="0" w:color="auto"/>
              <w:right w:val="nil"/>
            </w:tcBorders>
            <w:shd w:val="clear" w:color="000000" w:fill="FFFFFF"/>
            <w:hideMark/>
          </w:tcPr>
          <w:p w:rsidR="0087651A" w:rsidRDefault="0087651A" w:rsidP="00536AC6">
            <w:pPr>
              <w:ind w:left="-283"/>
              <w:jc w:val="right"/>
              <w:rPr>
                <w:b/>
                <w:bCs/>
                <w:sz w:val="18"/>
                <w:szCs w:val="18"/>
              </w:rPr>
            </w:pPr>
            <w:r>
              <w:rPr>
                <w:b/>
                <w:bCs/>
                <w:sz w:val="18"/>
                <w:szCs w:val="18"/>
              </w:rPr>
              <w:t>%</w:t>
            </w:r>
          </w:p>
        </w:tc>
        <w:tc>
          <w:tcPr>
            <w:tcW w:w="1050" w:type="dxa"/>
            <w:tcBorders>
              <w:top w:val="nil"/>
              <w:left w:val="nil"/>
              <w:bottom w:val="single" w:sz="4" w:space="0" w:color="auto"/>
              <w:right w:val="nil"/>
            </w:tcBorders>
            <w:shd w:val="clear" w:color="000000" w:fill="FFFFFF"/>
            <w:hideMark/>
          </w:tcPr>
          <w:p w:rsidR="0087651A" w:rsidRDefault="0087651A" w:rsidP="00536AC6">
            <w:pPr>
              <w:ind w:left="-283"/>
              <w:jc w:val="right"/>
              <w:rPr>
                <w:b/>
                <w:bCs/>
                <w:sz w:val="18"/>
                <w:szCs w:val="18"/>
              </w:rPr>
            </w:pPr>
            <w:r>
              <w:rPr>
                <w:b/>
                <w:bCs/>
                <w:sz w:val="18"/>
                <w:szCs w:val="18"/>
              </w:rPr>
              <w:t>$'000</w:t>
            </w:r>
          </w:p>
        </w:tc>
        <w:tc>
          <w:tcPr>
            <w:tcW w:w="1050" w:type="dxa"/>
            <w:tcBorders>
              <w:top w:val="nil"/>
              <w:left w:val="nil"/>
              <w:bottom w:val="single" w:sz="4" w:space="0" w:color="auto"/>
              <w:right w:val="nil"/>
            </w:tcBorders>
            <w:shd w:val="clear" w:color="000000" w:fill="FFFFFF"/>
            <w:hideMark/>
          </w:tcPr>
          <w:p w:rsidR="0087651A" w:rsidRDefault="0087651A" w:rsidP="00536AC6">
            <w:pPr>
              <w:ind w:left="-283"/>
              <w:jc w:val="right"/>
              <w:rPr>
                <w:b/>
                <w:bCs/>
                <w:sz w:val="18"/>
                <w:szCs w:val="18"/>
              </w:rPr>
            </w:pPr>
            <w:r>
              <w:rPr>
                <w:b/>
                <w:bCs/>
                <w:sz w:val="18"/>
                <w:szCs w:val="18"/>
              </w:rPr>
              <w:t>$'000</w:t>
            </w:r>
          </w:p>
        </w:tc>
        <w:tc>
          <w:tcPr>
            <w:tcW w:w="1050" w:type="dxa"/>
            <w:tcBorders>
              <w:top w:val="nil"/>
              <w:left w:val="nil"/>
              <w:bottom w:val="single" w:sz="4" w:space="0" w:color="auto"/>
              <w:right w:val="nil"/>
            </w:tcBorders>
            <w:shd w:val="clear" w:color="000000" w:fill="FFFFFF"/>
            <w:hideMark/>
          </w:tcPr>
          <w:p w:rsidR="0087651A" w:rsidRDefault="0087651A" w:rsidP="00536AC6">
            <w:pPr>
              <w:ind w:left="-283"/>
              <w:jc w:val="right"/>
              <w:rPr>
                <w:b/>
                <w:bCs/>
                <w:sz w:val="18"/>
                <w:szCs w:val="18"/>
              </w:rPr>
            </w:pPr>
            <w:r>
              <w:rPr>
                <w:b/>
                <w:bCs/>
                <w:sz w:val="18"/>
                <w:szCs w:val="18"/>
              </w:rPr>
              <w:t>$'000</w:t>
            </w:r>
          </w:p>
        </w:tc>
      </w:tr>
      <w:tr w:rsidR="0087651A" w:rsidTr="00B56568">
        <w:trPr>
          <w:tblHeader/>
        </w:trPr>
        <w:tc>
          <w:tcPr>
            <w:tcW w:w="1049" w:type="dxa"/>
            <w:tcBorders>
              <w:top w:val="nil"/>
              <w:left w:val="nil"/>
              <w:bottom w:val="nil"/>
              <w:right w:val="nil"/>
            </w:tcBorders>
            <w:shd w:val="clear" w:color="000000" w:fill="FFFFFF"/>
            <w:hideMark/>
          </w:tcPr>
          <w:p w:rsidR="0087651A" w:rsidRDefault="0087651A" w:rsidP="00536AC6">
            <w:pPr>
              <w:ind w:left="-283"/>
              <w:jc w:val="right"/>
              <w:rPr>
                <w:b/>
                <w:bCs/>
                <w:i/>
                <w:iCs/>
                <w:sz w:val="18"/>
                <w:szCs w:val="18"/>
              </w:rPr>
            </w:pPr>
            <w:r>
              <w:rPr>
                <w:b/>
                <w:bCs/>
                <w:i/>
                <w:iCs/>
                <w:sz w:val="18"/>
                <w:szCs w:val="18"/>
              </w:rPr>
              <w:t> </w:t>
            </w:r>
          </w:p>
        </w:tc>
        <w:tc>
          <w:tcPr>
            <w:tcW w:w="2306" w:type="dxa"/>
            <w:tcBorders>
              <w:top w:val="nil"/>
              <w:left w:val="nil"/>
              <w:bottom w:val="nil"/>
              <w:right w:val="nil"/>
            </w:tcBorders>
            <w:shd w:val="clear" w:color="000000" w:fill="FFFFFF"/>
            <w:hideMark/>
          </w:tcPr>
          <w:p w:rsidR="0087651A" w:rsidRDefault="0087651A" w:rsidP="00536AC6">
            <w:pPr>
              <w:rPr>
                <w:b/>
                <w:bCs/>
                <w:sz w:val="18"/>
                <w:szCs w:val="18"/>
              </w:rPr>
            </w:pPr>
            <w:r>
              <w:rPr>
                <w:b/>
                <w:bCs/>
                <w:sz w:val="18"/>
                <w:szCs w:val="18"/>
              </w:rPr>
              <w:t> </w:t>
            </w:r>
          </w:p>
        </w:tc>
        <w:tc>
          <w:tcPr>
            <w:tcW w:w="1180" w:type="dxa"/>
            <w:tcBorders>
              <w:top w:val="nil"/>
              <w:left w:val="nil"/>
              <w:bottom w:val="nil"/>
              <w:right w:val="nil"/>
            </w:tcBorders>
            <w:shd w:val="clear" w:color="000000" w:fill="FFFFFF"/>
            <w:hideMark/>
          </w:tcPr>
          <w:p w:rsidR="0087651A" w:rsidRDefault="0087651A" w:rsidP="00536AC6">
            <w:pPr>
              <w:ind w:left="-283"/>
              <w:jc w:val="right"/>
              <w:rPr>
                <w:b/>
                <w:bCs/>
                <w:i/>
                <w:iCs/>
                <w:sz w:val="18"/>
                <w:szCs w:val="18"/>
              </w:rPr>
            </w:pPr>
            <w:r>
              <w:rPr>
                <w:b/>
                <w:bCs/>
                <w:i/>
                <w:iCs/>
                <w:sz w:val="18"/>
                <w:szCs w:val="18"/>
              </w:rPr>
              <w:t> </w:t>
            </w:r>
          </w:p>
        </w:tc>
        <w:tc>
          <w:tcPr>
            <w:tcW w:w="1050" w:type="dxa"/>
            <w:tcBorders>
              <w:top w:val="nil"/>
              <w:left w:val="nil"/>
              <w:bottom w:val="nil"/>
              <w:right w:val="nil"/>
            </w:tcBorders>
            <w:shd w:val="clear" w:color="000000" w:fill="FFFFFF"/>
            <w:hideMark/>
          </w:tcPr>
          <w:p w:rsidR="0087651A" w:rsidRDefault="0087651A" w:rsidP="00536AC6">
            <w:pPr>
              <w:ind w:left="-283"/>
              <w:jc w:val="right"/>
              <w:rPr>
                <w:b/>
                <w:bCs/>
                <w:i/>
                <w:iCs/>
                <w:sz w:val="18"/>
                <w:szCs w:val="18"/>
              </w:rPr>
            </w:pPr>
            <w:r>
              <w:rPr>
                <w:b/>
                <w:bCs/>
                <w:i/>
                <w:iCs/>
                <w:sz w:val="18"/>
                <w:szCs w:val="18"/>
              </w:rPr>
              <w:t> </w:t>
            </w:r>
          </w:p>
        </w:tc>
        <w:tc>
          <w:tcPr>
            <w:tcW w:w="621" w:type="dxa"/>
            <w:tcBorders>
              <w:top w:val="nil"/>
              <w:left w:val="nil"/>
              <w:bottom w:val="nil"/>
              <w:right w:val="nil"/>
            </w:tcBorders>
            <w:shd w:val="clear" w:color="000000" w:fill="FFFFFF"/>
            <w:hideMark/>
          </w:tcPr>
          <w:p w:rsidR="0087651A" w:rsidRDefault="0087651A" w:rsidP="00536AC6">
            <w:pPr>
              <w:ind w:left="-283"/>
              <w:jc w:val="right"/>
              <w:rPr>
                <w:b/>
                <w:bCs/>
                <w:i/>
                <w:iCs/>
                <w:sz w:val="18"/>
                <w:szCs w:val="18"/>
              </w:rPr>
            </w:pPr>
            <w:r>
              <w:rPr>
                <w:b/>
                <w:bCs/>
                <w:i/>
                <w:iCs/>
                <w:sz w:val="18"/>
                <w:szCs w:val="18"/>
              </w:rPr>
              <w:t> </w:t>
            </w:r>
          </w:p>
        </w:tc>
        <w:tc>
          <w:tcPr>
            <w:tcW w:w="1050" w:type="dxa"/>
            <w:tcBorders>
              <w:top w:val="nil"/>
              <w:left w:val="nil"/>
              <w:bottom w:val="nil"/>
              <w:right w:val="nil"/>
            </w:tcBorders>
            <w:shd w:val="clear" w:color="000000" w:fill="FFFFFF"/>
            <w:hideMark/>
          </w:tcPr>
          <w:p w:rsidR="0087651A" w:rsidRDefault="0087651A" w:rsidP="00536AC6">
            <w:pPr>
              <w:ind w:left="-283"/>
              <w:jc w:val="right"/>
              <w:rPr>
                <w:b/>
                <w:bCs/>
                <w:i/>
                <w:iCs/>
                <w:sz w:val="18"/>
                <w:szCs w:val="18"/>
              </w:rPr>
            </w:pPr>
            <w:r>
              <w:rPr>
                <w:b/>
                <w:bCs/>
                <w:i/>
                <w:iCs/>
                <w:sz w:val="18"/>
                <w:szCs w:val="18"/>
              </w:rPr>
              <w:t> </w:t>
            </w:r>
          </w:p>
        </w:tc>
        <w:tc>
          <w:tcPr>
            <w:tcW w:w="1050" w:type="dxa"/>
            <w:tcBorders>
              <w:top w:val="nil"/>
              <w:left w:val="nil"/>
              <w:bottom w:val="nil"/>
              <w:right w:val="nil"/>
            </w:tcBorders>
            <w:shd w:val="clear" w:color="000000" w:fill="FFFFFF"/>
            <w:hideMark/>
          </w:tcPr>
          <w:p w:rsidR="0087651A" w:rsidRDefault="0087651A" w:rsidP="00536AC6">
            <w:pPr>
              <w:ind w:left="-283"/>
              <w:jc w:val="right"/>
              <w:rPr>
                <w:b/>
                <w:bCs/>
                <w:i/>
                <w:iCs/>
                <w:sz w:val="18"/>
                <w:szCs w:val="18"/>
              </w:rPr>
            </w:pPr>
            <w:r>
              <w:rPr>
                <w:b/>
                <w:bCs/>
                <w:i/>
                <w:iCs/>
                <w:sz w:val="18"/>
                <w:szCs w:val="18"/>
              </w:rPr>
              <w:t> </w:t>
            </w:r>
          </w:p>
        </w:tc>
        <w:tc>
          <w:tcPr>
            <w:tcW w:w="1050" w:type="dxa"/>
            <w:tcBorders>
              <w:top w:val="nil"/>
              <w:left w:val="nil"/>
              <w:bottom w:val="nil"/>
              <w:right w:val="nil"/>
            </w:tcBorders>
            <w:shd w:val="clear" w:color="000000" w:fill="FFFFFF"/>
            <w:hideMark/>
          </w:tcPr>
          <w:p w:rsidR="0087651A" w:rsidRDefault="0087651A" w:rsidP="00536AC6">
            <w:pPr>
              <w:ind w:left="-283"/>
              <w:jc w:val="right"/>
              <w:rPr>
                <w:b/>
                <w:bCs/>
                <w:i/>
                <w:iCs/>
                <w:sz w:val="18"/>
                <w:szCs w:val="18"/>
              </w:rPr>
            </w:pPr>
            <w:r>
              <w:rPr>
                <w:b/>
                <w:bCs/>
                <w:i/>
                <w:iCs/>
                <w:sz w:val="18"/>
                <w:szCs w:val="18"/>
              </w:rPr>
              <w:t> </w:t>
            </w:r>
          </w:p>
        </w:tc>
      </w:tr>
      <w:tr w:rsidR="0087651A" w:rsidTr="00B56568">
        <w:tc>
          <w:tcPr>
            <w:tcW w:w="1049"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 </w:t>
            </w:r>
          </w:p>
        </w:tc>
        <w:tc>
          <w:tcPr>
            <w:tcW w:w="2306" w:type="dxa"/>
            <w:tcBorders>
              <w:top w:val="nil"/>
              <w:left w:val="nil"/>
              <w:bottom w:val="nil"/>
              <w:right w:val="nil"/>
            </w:tcBorders>
            <w:shd w:val="clear" w:color="000000" w:fill="FFFFFF"/>
            <w:hideMark/>
          </w:tcPr>
          <w:p w:rsidR="0087651A" w:rsidRDefault="0087651A" w:rsidP="00536AC6">
            <w:pPr>
              <w:rPr>
                <w:b/>
                <w:bCs/>
                <w:sz w:val="18"/>
                <w:szCs w:val="18"/>
              </w:rPr>
            </w:pPr>
            <w:r>
              <w:rPr>
                <w:b/>
                <w:bCs/>
                <w:sz w:val="18"/>
                <w:szCs w:val="18"/>
              </w:rPr>
              <w:t>Income</w:t>
            </w:r>
          </w:p>
        </w:tc>
        <w:tc>
          <w:tcPr>
            <w:tcW w:w="1180"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 </w:t>
            </w:r>
          </w:p>
        </w:tc>
      </w:tr>
      <w:tr w:rsidR="0087651A" w:rsidTr="00B56568">
        <w:tc>
          <w:tcPr>
            <w:tcW w:w="1049"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 </w:t>
            </w:r>
          </w:p>
        </w:tc>
        <w:tc>
          <w:tcPr>
            <w:tcW w:w="2306" w:type="dxa"/>
            <w:tcBorders>
              <w:top w:val="nil"/>
              <w:left w:val="nil"/>
              <w:bottom w:val="nil"/>
              <w:right w:val="nil"/>
            </w:tcBorders>
            <w:shd w:val="clear" w:color="000000" w:fill="FFFFFF"/>
            <w:hideMark/>
          </w:tcPr>
          <w:p w:rsidR="0087651A" w:rsidRDefault="0087651A" w:rsidP="00536AC6">
            <w:pPr>
              <w:rPr>
                <w:b/>
                <w:bCs/>
                <w:sz w:val="18"/>
                <w:szCs w:val="18"/>
              </w:rPr>
            </w:pPr>
            <w:r>
              <w:rPr>
                <w:b/>
                <w:bCs/>
                <w:sz w:val="18"/>
                <w:szCs w:val="18"/>
              </w:rPr>
              <w:t> </w:t>
            </w:r>
          </w:p>
        </w:tc>
        <w:tc>
          <w:tcPr>
            <w:tcW w:w="1180"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 </w:t>
            </w:r>
          </w:p>
        </w:tc>
      </w:tr>
      <w:tr w:rsidR="0087651A" w:rsidTr="00B56568">
        <w:tc>
          <w:tcPr>
            <w:tcW w:w="1049"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 </w:t>
            </w:r>
          </w:p>
        </w:tc>
        <w:tc>
          <w:tcPr>
            <w:tcW w:w="2306" w:type="dxa"/>
            <w:tcBorders>
              <w:top w:val="nil"/>
              <w:left w:val="nil"/>
              <w:bottom w:val="nil"/>
              <w:right w:val="nil"/>
            </w:tcBorders>
            <w:shd w:val="clear" w:color="000000" w:fill="FFFFFF"/>
            <w:hideMark/>
          </w:tcPr>
          <w:p w:rsidR="0087651A" w:rsidRDefault="0087651A" w:rsidP="00536AC6">
            <w:pPr>
              <w:rPr>
                <w:b/>
                <w:bCs/>
                <w:sz w:val="18"/>
                <w:szCs w:val="18"/>
              </w:rPr>
            </w:pPr>
            <w:r>
              <w:rPr>
                <w:b/>
                <w:bCs/>
                <w:sz w:val="18"/>
                <w:szCs w:val="18"/>
              </w:rPr>
              <w:t>Revenue</w:t>
            </w:r>
          </w:p>
        </w:tc>
        <w:tc>
          <w:tcPr>
            <w:tcW w:w="1180"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 </w:t>
            </w:r>
          </w:p>
        </w:tc>
      </w:tr>
      <w:tr w:rsidR="0087651A" w:rsidTr="00B56568">
        <w:tc>
          <w:tcPr>
            <w:tcW w:w="1049"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35,589</w:t>
            </w:r>
          </w:p>
        </w:tc>
        <w:tc>
          <w:tcPr>
            <w:tcW w:w="2306" w:type="dxa"/>
            <w:tcBorders>
              <w:top w:val="nil"/>
              <w:left w:val="nil"/>
              <w:bottom w:val="nil"/>
              <w:right w:val="nil"/>
            </w:tcBorders>
            <w:shd w:val="clear" w:color="000000" w:fill="FFFFFF"/>
            <w:hideMark/>
          </w:tcPr>
          <w:p w:rsidR="0087651A" w:rsidRDefault="0087651A" w:rsidP="00536AC6">
            <w:pPr>
              <w:rPr>
                <w:sz w:val="18"/>
                <w:szCs w:val="18"/>
              </w:rPr>
            </w:pPr>
            <w:r>
              <w:rPr>
                <w:sz w:val="18"/>
                <w:szCs w:val="18"/>
              </w:rPr>
              <w:t>Interest</w:t>
            </w:r>
          </w:p>
        </w:tc>
        <w:tc>
          <w:tcPr>
            <w:tcW w:w="1180"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13,700</w:t>
            </w:r>
          </w:p>
        </w:tc>
        <w:tc>
          <w:tcPr>
            <w:tcW w:w="1050"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18,674</w:t>
            </w:r>
          </w:p>
        </w:tc>
        <w:tc>
          <w:tcPr>
            <w:tcW w:w="621"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 xml:space="preserve">36 </w:t>
            </w:r>
          </w:p>
        </w:tc>
        <w:tc>
          <w:tcPr>
            <w:tcW w:w="1050"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21,560</w:t>
            </w:r>
          </w:p>
        </w:tc>
        <w:tc>
          <w:tcPr>
            <w:tcW w:w="1050"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23,134</w:t>
            </w:r>
          </w:p>
        </w:tc>
        <w:tc>
          <w:tcPr>
            <w:tcW w:w="1050"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24,827</w:t>
            </w:r>
          </w:p>
        </w:tc>
      </w:tr>
      <w:tr w:rsidR="0087651A" w:rsidTr="00B56568">
        <w:tc>
          <w:tcPr>
            <w:tcW w:w="1049"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66,393</w:t>
            </w:r>
          </w:p>
        </w:tc>
        <w:tc>
          <w:tcPr>
            <w:tcW w:w="2306" w:type="dxa"/>
            <w:tcBorders>
              <w:top w:val="nil"/>
              <w:left w:val="nil"/>
              <w:bottom w:val="nil"/>
              <w:right w:val="nil"/>
            </w:tcBorders>
            <w:shd w:val="clear" w:color="000000" w:fill="FFFFFF"/>
            <w:hideMark/>
          </w:tcPr>
          <w:p w:rsidR="0087651A" w:rsidRDefault="0087651A" w:rsidP="00536AC6">
            <w:pPr>
              <w:rPr>
                <w:sz w:val="18"/>
                <w:szCs w:val="18"/>
              </w:rPr>
            </w:pPr>
            <w:r>
              <w:rPr>
                <w:sz w:val="18"/>
                <w:szCs w:val="18"/>
              </w:rPr>
              <w:t>Dividend Revenue</w:t>
            </w:r>
          </w:p>
        </w:tc>
        <w:tc>
          <w:tcPr>
            <w:tcW w:w="1180"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66,037</w:t>
            </w:r>
          </w:p>
        </w:tc>
        <w:tc>
          <w:tcPr>
            <w:tcW w:w="1050"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83,526</w:t>
            </w:r>
          </w:p>
        </w:tc>
        <w:tc>
          <w:tcPr>
            <w:tcW w:w="621"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 xml:space="preserve">26 </w:t>
            </w:r>
          </w:p>
        </w:tc>
        <w:tc>
          <w:tcPr>
            <w:tcW w:w="1050"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88,259</w:t>
            </w:r>
          </w:p>
        </w:tc>
        <w:tc>
          <w:tcPr>
            <w:tcW w:w="1050"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95,014</w:t>
            </w:r>
          </w:p>
        </w:tc>
        <w:tc>
          <w:tcPr>
            <w:tcW w:w="1050"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101,801</w:t>
            </w:r>
          </w:p>
        </w:tc>
      </w:tr>
      <w:tr w:rsidR="0087651A" w:rsidTr="00B56568">
        <w:tc>
          <w:tcPr>
            <w:tcW w:w="1049"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0</w:t>
            </w:r>
          </w:p>
        </w:tc>
        <w:tc>
          <w:tcPr>
            <w:tcW w:w="2306" w:type="dxa"/>
            <w:tcBorders>
              <w:top w:val="nil"/>
              <w:left w:val="nil"/>
              <w:bottom w:val="nil"/>
              <w:right w:val="nil"/>
            </w:tcBorders>
            <w:shd w:val="clear" w:color="000000" w:fill="FFFFFF"/>
            <w:hideMark/>
          </w:tcPr>
          <w:p w:rsidR="0087651A" w:rsidRDefault="0087651A" w:rsidP="00981E9F">
            <w:pPr>
              <w:spacing w:after="120"/>
              <w:ind w:left="142" w:hanging="142"/>
              <w:rPr>
                <w:sz w:val="18"/>
                <w:szCs w:val="18"/>
              </w:rPr>
            </w:pPr>
            <w:r>
              <w:rPr>
                <w:sz w:val="18"/>
                <w:szCs w:val="18"/>
              </w:rPr>
              <w:t>Distribution from Investments with the Territory Banking Account</w:t>
            </w:r>
            <w:r w:rsidR="0028326A">
              <w:rPr>
                <w:sz w:val="18"/>
                <w:szCs w:val="18"/>
                <w:vertAlign w:val="superscript"/>
              </w:rPr>
              <w:t>1</w:t>
            </w:r>
          </w:p>
        </w:tc>
        <w:tc>
          <w:tcPr>
            <w:tcW w:w="1180"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8,950</w:t>
            </w:r>
          </w:p>
        </w:tc>
        <w:tc>
          <w:tcPr>
            <w:tcW w:w="1050"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4,947</w:t>
            </w:r>
          </w:p>
        </w:tc>
        <w:tc>
          <w:tcPr>
            <w:tcW w:w="621"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 xml:space="preserve">-45 </w:t>
            </w:r>
          </w:p>
        </w:tc>
        <w:tc>
          <w:tcPr>
            <w:tcW w:w="1050"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4,281</w:t>
            </w:r>
          </w:p>
        </w:tc>
        <w:tc>
          <w:tcPr>
            <w:tcW w:w="1050"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4,597</w:t>
            </w:r>
          </w:p>
        </w:tc>
        <w:tc>
          <w:tcPr>
            <w:tcW w:w="1050"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4,938</w:t>
            </w:r>
          </w:p>
        </w:tc>
      </w:tr>
      <w:tr w:rsidR="0087651A" w:rsidTr="00B56568">
        <w:tc>
          <w:tcPr>
            <w:tcW w:w="1049"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80,248</w:t>
            </w:r>
          </w:p>
        </w:tc>
        <w:tc>
          <w:tcPr>
            <w:tcW w:w="2306" w:type="dxa"/>
            <w:tcBorders>
              <w:top w:val="nil"/>
              <w:left w:val="nil"/>
              <w:bottom w:val="nil"/>
              <w:right w:val="nil"/>
            </w:tcBorders>
            <w:shd w:val="clear" w:color="000000" w:fill="FFFFFF"/>
            <w:hideMark/>
          </w:tcPr>
          <w:p w:rsidR="0087651A" w:rsidRDefault="0087651A" w:rsidP="00536AC6">
            <w:pPr>
              <w:rPr>
                <w:sz w:val="18"/>
                <w:szCs w:val="18"/>
              </w:rPr>
            </w:pPr>
            <w:r>
              <w:rPr>
                <w:sz w:val="18"/>
                <w:szCs w:val="18"/>
              </w:rPr>
              <w:t>Other Revenue</w:t>
            </w:r>
          </w:p>
        </w:tc>
        <w:tc>
          <w:tcPr>
            <w:tcW w:w="1180"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257,013</w:t>
            </w:r>
          </w:p>
        </w:tc>
        <w:tc>
          <w:tcPr>
            <w:tcW w:w="1050"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90,984</w:t>
            </w:r>
          </w:p>
        </w:tc>
        <w:tc>
          <w:tcPr>
            <w:tcW w:w="621"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 xml:space="preserve">-65 </w:t>
            </w:r>
          </w:p>
        </w:tc>
        <w:tc>
          <w:tcPr>
            <w:tcW w:w="1050"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98,631</w:t>
            </w:r>
          </w:p>
        </w:tc>
        <w:tc>
          <w:tcPr>
            <w:tcW w:w="1050"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105,727</w:t>
            </w:r>
          </w:p>
        </w:tc>
        <w:tc>
          <w:tcPr>
            <w:tcW w:w="1050"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113,835</w:t>
            </w:r>
          </w:p>
        </w:tc>
      </w:tr>
      <w:tr w:rsidR="0087651A" w:rsidTr="00B56568">
        <w:tc>
          <w:tcPr>
            <w:tcW w:w="1049"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 </w:t>
            </w:r>
          </w:p>
        </w:tc>
        <w:tc>
          <w:tcPr>
            <w:tcW w:w="2306" w:type="dxa"/>
            <w:tcBorders>
              <w:top w:val="nil"/>
              <w:left w:val="nil"/>
              <w:bottom w:val="nil"/>
              <w:right w:val="nil"/>
            </w:tcBorders>
            <w:shd w:val="clear" w:color="000000" w:fill="FFFFFF"/>
            <w:hideMark/>
          </w:tcPr>
          <w:p w:rsidR="0087651A" w:rsidRDefault="0087651A" w:rsidP="00536AC6">
            <w:pPr>
              <w:rPr>
                <w:b/>
                <w:bCs/>
                <w:sz w:val="18"/>
                <w:szCs w:val="18"/>
              </w:rPr>
            </w:pPr>
            <w:r>
              <w:rPr>
                <w:b/>
                <w:bCs/>
                <w:sz w:val="18"/>
                <w:szCs w:val="18"/>
              </w:rPr>
              <w:t> </w:t>
            </w:r>
          </w:p>
        </w:tc>
        <w:tc>
          <w:tcPr>
            <w:tcW w:w="1180"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 </w:t>
            </w:r>
          </w:p>
        </w:tc>
      </w:tr>
      <w:tr w:rsidR="0087651A" w:rsidTr="00B56568">
        <w:tc>
          <w:tcPr>
            <w:tcW w:w="1049" w:type="dxa"/>
            <w:tcBorders>
              <w:top w:val="nil"/>
              <w:left w:val="nil"/>
              <w:bottom w:val="nil"/>
              <w:right w:val="nil"/>
            </w:tcBorders>
            <w:shd w:val="clear" w:color="000000" w:fill="FFFFFF"/>
            <w:hideMark/>
          </w:tcPr>
          <w:p w:rsidR="0087651A" w:rsidRDefault="0087651A" w:rsidP="00536AC6">
            <w:pPr>
              <w:ind w:left="-283"/>
              <w:jc w:val="right"/>
              <w:rPr>
                <w:b/>
                <w:bCs/>
                <w:sz w:val="18"/>
                <w:szCs w:val="18"/>
              </w:rPr>
            </w:pPr>
            <w:r>
              <w:rPr>
                <w:b/>
                <w:bCs/>
                <w:sz w:val="18"/>
                <w:szCs w:val="18"/>
              </w:rPr>
              <w:t>182,230</w:t>
            </w:r>
          </w:p>
        </w:tc>
        <w:tc>
          <w:tcPr>
            <w:tcW w:w="2306" w:type="dxa"/>
            <w:tcBorders>
              <w:top w:val="nil"/>
              <w:left w:val="nil"/>
              <w:bottom w:val="nil"/>
              <w:right w:val="nil"/>
            </w:tcBorders>
            <w:shd w:val="clear" w:color="000000" w:fill="FFFFFF"/>
            <w:hideMark/>
          </w:tcPr>
          <w:p w:rsidR="0087651A" w:rsidRDefault="0087651A" w:rsidP="00536AC6">
            <w:pPr>
              <w:rPr>
                <w:b/>
                <w:bCs/>
                <w:sz w:val="18"/>
                <w:szCs w:val="18"/>
              </w:rPr>
            </w:pPr>
            <w:r>
              <w:rPr>
                <w:b/>
                <w:bCs/>
                <w:sz w:val="18"/>
                <w:szCs w:val="18"/>
              </w:rPr>
              <w:t>Total Revenue</w:t>
            </w:r>
          </w:p>
        </w:tc>
        <w:tc>
          <w:tcPr>
            <w:tcW w:w="1180" w:type="dxa"/>
            <w:tcBorders>
              <w:top w:val="nil"/>
              <w:left w:val="nil"/>
              <w:bottom w:val="nil"/>
              <w:right w:val="nil"/>
            </w:tcBorders>
            <w:shd w:val="clear" w:color="000000" w:fill="FFFFFF"/>
            <w:hideMark/>
          </w:tcPr>
          <w:p w:rsidR="0087651A" w:rsidRDefault="0087651A" w:rsidP="00536AC6">
            <w:pPr>
              <w:ind w:left="-283"/>
              <w:jc w:val="right"/>
              <w:rPr>
                <w:b/>
                <w:bCs/>
                <w:sz w:val="18"/>
                <w:szCs w:val="18"/>
              </w:rPr>
            </w:pPr>
            <w:r>
              <w:rPr>
                <w:b/>
                <w:bCs/>
                <w:sz w:val="18"/>
                <w:szCs w:val="18"/>
              </w:rPr>
              <w:t>345,700</w:t>
            </w:r>
          </w:p>
        </w:tc>
        <w:tc>
          <w:tcPr>
            <w:tcW w:w="1050" w:type="dxa"/>
            <w:tcBorders>
              <w:top w:val="nil"/>
              <w:left w:val="nil"/>
              <w:bottom w:val="nil"/>
              <w:right w:val="nil"/>
            </w:tcBorders>
            <w:shd w:val="clear" w:color="000000" w:fill="FFFFFF"/>
            <w:hideMark/>
          </w:tcPr>
          <w:p w:rsidR="0087651A" w:rsidRDefault="0087651A" w:rsidP="00536AC6">
            <w:pPr>
              <w:ind w:left="-283"/>
              <w:jc w:val="right"/>
              <w:rPr>
                <w:b/>
                <w:bCs/>
                <w:sz w:val="18"/>
                <w:szCs w:val="18"/>
              </w:rPr>
            </w:pPr>
            <w:r>
              <w:rPr>
                <w:b/>
                <w:bCs/>
                <w:sz w:val="18"/>
                <w:szCs w:val="18"/>
              </w:rPr>
              <w:t>198,131</w:t>
            </w:r>
          </w:p>
        </w:tc>
        <w:tc>
          <w:tcPr>
            <w:tcW w:w="621" w:type="dxa"/>
            <w:tcBorders>
              <w:top w:val="nil"/>
              <w:left w:val="nil"/>
              <w:bottom w:val="nil"/>
              <w:right w:val="nil"/>
            </w:tcBorders>
            <w:shd w:val="clear" w:color="000000" w:fill="FFFFFF"/>
            <w:hideMark/>
          </w:tcPr>
          <w:p w:rsidR="0087651A" w:rsidRDefault="0087651A" w:rsidP="00536AC6">
            <w:pPr>
              <w:ind w:left="-283"/>
              <w:jc w:val="right"/>
              <w:rPr>
                <w:b/>
                <w:bCs/>
                <w:sz w:val="18"/>
                <w:szCs w:val="18"/>
              </w:rPr>
            </w:pPr>
            <w:r>
              <w:rPr>
                <w:b/>
                <w:bCs/>
                <w:sz w:val="18"/>
                <w:szCs w:val="18"/>
              </w:rPr>
              <w:t xml:space="preserve">-43 </w:t>
            </w:r>
          </w:p>
        </w:tc>
        <w:tc>
          <w:tcPr>
            <w:tcW w:w="1050" w:type="dxa"/>
            <w:tcBorders>
              <w:top w:val="nil"/>
              <w:left w:val="nil"/>
              <w:bottom w:val="nil"/>
              <w:right w:val="nil"/>
            </w:tcBorders>
            <w:shd w:val="clear" w:color="000000" w:fill="FFFFFF"/>
            <w:hideMark/>
          </w:tcPr>
          <w:p w:rsidR="0087651A" w:rsidRDefault="0087651A" w:rsidP="00536AC6">
            <w:pPr>
              <w:ind w:left="-283"/>
              <w:jc w:val="right"/>
              <w:rPr>
                <w:b/>
                <w:bCs/>
                <w:sz w:val="18"/>
                <w:szCs w:val="18"/>
              </w:rPr>
            </w:pPr>
            <w:r>
              <w:rPr>
                <w:b/>
                <w:bCs/>
                <w:sz w:val="18"/>
                <w:szCs w:val="18"/>
              </w:rPr>
              <w:t>212,731</w:t>
            </w:r>
          </w:p>
        </w:tc>
        <w:tc>
          <w:tcPr>
            <w:tcW w:w="1050" w:type="dxa"/>
            <w:tcBorders>
              <w:top w:val="nil"/>
              <w:left w:val="nil"/>
              <w:bottom w:val="nil"/>
              <w:right w:val="nil"/>
            </w:tcBorders>
            <w:shd w:val="clear" w:color="000000" w:fill="FFFFFF"/>
            <w:hideMark/>
          </w:tcPr>
          <w:p w:rsidR="0087651A" w:rsidRDefault="0087651A" w:rsidP="00536AC6">
            <w:pPr>
              <w:ind w:left="-283"/>
              <w:jc w:val="right"/>
              <w:rPr>
                <w:b/>
                <w:bCs/>
                <w:sz w:val="18"/>
                <w:szCs w:val="18"/>
              </w:rPr>
            </w:pPr>
            <w:r>
              <w:rPr>
                <w:b/>
                <w:bCs/>
                <w:sz w:val="18"/>
                <w:szCs w:val="18"/>
              </w:rPr>
              <w:t>228,472</w:t>
            </w:r>
          </w:p>
        </w:tc>
        <w:tc>
          <w:tcPr>
            <w:tcW w:w="1050" w:type="dxa"/>
            <w:tcBorders>
              <w:top w:val="nil"/>
              <w:left w:val="nil"/>
              <w:bottom w:val="nil"/>
              <w:right w:val="nil"/>
            </w:tcBorders>
            <w:shd w:val="clear" w:color="000000" w:fill="FFFFFF"/>
            <w:hideMark/>
          </w:tcPr>
          <w:p w:rsidR="0087651A" w:rsidRDefault="0087651A" w:rsidP="00536AC6">
            <w:pPr>
              <w:ind w:left="-283"/>
              <w:jc w:val="right"/>
              <w:rPr>
                <w:b/>
                <w:bCs/>
                <w:sz w:val="18"/>
                <w:szCs w:val="18"/>
              </w:rPr>
            </w:pPr>
            <w:r>
              <w:rPr>
                <w:b/>
                <w:bCs/>
                <w:sz w:val="18"/>
                <w:szCs w:val="18"/>
              </w:rPr>
              <w:t>245,401</w:t>
            </w:r>
          </w:p>
        </w:tc>
      </w:tr>
      <w:tr w:rsidR="0087651A" w:rsidTr="00B56568">
        <w:tc>
          <w:tcPr>
            <w:tcW w:w="1049"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 </w:t>
            </w:r>
          </w:p>
        </w:tc>
        <w:tc>
          <w:tcPr>
            <w:tcW w:w="2306" w:type="dxa"/>
            <w:tcBorders>
              <w:top w:val="nil"/>
              <w:left w:val="nil"/>
              <w:bottom w:val="nil"/>
              <w:right w:val="nil"/>
            </w:tcBorders>
            <w:shd w:val="clear" w:color="000000" w:fill="FFFFFF"/>
            <w:hideMark/>
          </w:tcPr>
          <w:p w:rsidR="0087651A" w:rsidRDefault="0087651A" w:rsidP="00536AC6">
            <w:pPr>
              <w:rPr>
                <w:b/>
                <w:bCs/>
                <w:sz w:val="18"/>
                <w:szCs w:val="18"/>
              </w:rPr>
            </w:pPr>
            <w:r>
              <w:rPr>
                <w:b/>
                <w:bCs/>
                <w:sz w:val="18"/>
                <w:szCs w:val="18"/>
              </w:rPr>
              <w:t> </w:t>
            </w:r>
          </w:p>
        </w:tc>
        <w:tc>
          <w:tcPr>
            <w:tcW w:w="1180"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 </w:t>
            </w:r>
          </w:p>
        </w:tc>
      </w:tr>
      <w:tr w:rsidR="0087651A" w:rsidTr="00B56568">
        <w:tc>
          <w:tcPr>
            <w:tcW w:w="1049" w:type="dxa"/>
            <w:tcBorders>
              <w:top w:val="nil"/>
              <w:left w:val="nil"/>
              <w:bottom w:val="nil"/>
              <w:right w:val="nil"/>
            </w:tcBorders>
            <w:shd w:val="clear" w:color="000000" w:fill="FFFFFF"/>
            <w:hideMark/>
          </w:tcPr>
          <w:p w:rsidR="0087651A" w:rsidRDefault="0087651A" w:rsidP="00536AC6">
            <w:pPr>
              <w:ind w:left="-283"/>
              <w:jc w:val="right"/>
              <w:rPr>
                <w:b/>
                <w:bCs/>
                <w:sz w:val="18"/>
                <w:szCs w:val="18"/>
              </w:rPr>
            </w:pPr>
            <w:r>
              <w:rPr>
                <w:b/>
                <w:bCs/>
                <w:sz w:val="18"/>
                <w:szCs w:val="18"/>
              </w:rPr>
              <w:t>182,230</w:t>
            </w:r>
          </w:p>
        </w:tc>
        <w:tc>
          <w:tcPr>
            <w:tcW w:w="2306" w:type="dxa"/>
            <w:tcBorders>
              <w:top w:val="nil"/>
              <w:left w:val="nil"/>
              <w:bottom w:val="nil"/>
              <w:right w:val="nil"/>
            </w:tcBorders>
            <w:shd w:val="clear" w:color="000000" w:fill="FFFFFF"/>
            <w:hideMark/>
          </w:tcPr>
          <w:p w:rsidR="0087651A" w:rsidRDefault="0087651A" w:rsidP="00536AC6">
            <w:pPr>
              <w:rPr>
                <w:b/>
                <w:bCs/>
                <w:sz w:val="18"/>
                <w:szCs w:val="18"/>
              </w:rPr>
            </w:pPr>
            <w:r>
              <w:rPr>
                <w:b/>
                <w:bCs/>
                <w:sz w:val="18"/>
                <w:szCs w:val="18"/>
              </w:rPr>
              <w:t>Total Income</w:t>
            </w:r>
          </w:p>
        </w:tc>
        <w:tc>
          <w:tcPr>
            <w:tcW w:w="1180" w:type="dxa"/>
            <w:tcBorders>
              <w:top w:val="nil"/>
              <w:left w:val="nil"/>
              <w:bottom w:val="nil"/>
              <w:right w:val="nil"/>
            </w:tcBorders>
            <w:shd w:val="clear" w:color="000000" w:fill="FFFFFF"/>
            <w:hideMark/>
          </w:tcPr>
          <w:p w:rsidR="0087651A" w:rsidRDefault="0087651A" w:rsidP="00536AC6">
            <w:pPr>
              <w:ind w:left="-283"/>
              <w:jc w:val="right"/>
              <w:rPr>
                <w:b/>
                <w:bCs/>
                <w:sz w:val="18"/>
                <w:szCs w:val="18"/>
              </w:rPr>
            </w:pPr>
            <w:r>
              <w:rPr>
                <w:b/>
                <w:bCs/>
                <w:sz w:val="18"/>
                <w:szCs w:val="18"/>
              </w:rPr>
              <w:t>345,700</w:t>
            </w:r>
          </w:p>
        </w:tc>
        <w:tc>
          <w:tcPr>
            <w:tcW w:w="1050" w:type="dxa"/>
            <w:tcBorders>
              <w:top w:val="nil"/>
              <w:left w:val="nil"/>
              <w:bottom w:val="nil"/>
              <w:right w:val="nil"/>
            </w:tcBorders>
            <w:shd w:val="clear" w:color="000000" w:fill="FFFFFF"/>
            <w:hideMark/>
          </w:tcPr>
          <w:p w:rsidR="0087651A" w:rsidRDefault="0087651A" w:rsidP="00536AC6">
            <w:pPr>
              <w:ind w:left="-283"/>
              <w:jc w:val="right"/>
              <w:rPr>
                <w:b/>
                <w:bCs/>
                <w:sz w:val="18"/>
                <w:szCs w:val="18"/>
              </w:rPr>
            </w:pPr>
            <w:r>
              <w:rPr>
                <w:b/>
                <w:bCs/>
                <w:sz w:val="18"/>
                <w:szCs w:val="18"/>
              </w:rPr>
              <w:t>198,131</w:t>
            </w:r>
          </w:p>
        </w:tc>
        <w:tc>
          <w:tcPr>
            <w:tcW w:w="621" w:type="dxa"/>
            <w:tcBorders>
              <w:top w:val="nil"/>
              <w:left w:val="nil"/>
              <w:bottom w:val="nil"/>
              <w:right w:val="nil"/>
            </w:tcBorders>
            <w:shd w:val="clear" w:color="000000" w:fill="FFFFFF"/>
            <w:hideMark/>
          </w:tcPr>
          <w:p w:rsidR="0087651A" w:rsidRDefault="0087651A" w:rsidP="00536AC6">
            <w:pPr>
              <w:ind w:left="-283"/>
              <w:jc w:val="right"/>
              <w:rPr>
                <w:b/>
                <w:bCs/>
                <w:sz w:val="18"/>
                <w:szCs w:val="18"/>
              </w:rPr>
            </w:pPr>
            <w:r>
              <w:rPr>
                <w:b/>
                <w:bCs/>
                <w:sz w:val="18"/>
                <w:szCs w:val="18"/>
              </w:rPr>
              <w:t xml:space="preserve">-43 </w:t>
            </w:r>
          </w:p>
        </w:tc>
        <w:tc>
          <w:tcPr>
            <w:tcW w:w="1050" w:type="dxa"/>
            <w:tcBorders>
              <w:top w:val="nil"/>
              <w:left w:val="nil"/>
              <w:bottom w:val="nil"/>
              <w:right w:val="nil"/>
            </w:tcBorders>
            <w:shd w:val="clear" w:color="000000" w:fill="FFFFFF"/>
            <w:hideMark/>
          </w:tcPr>
          <w:p w:rsidR="0087651A" w:rsidRDefault="0087651A" w:rsidP="00536AC6">
            <w:pPr>
              <w:ind w:left="-283"/>
              <w:jc w:val="right"/>
              <w:rPr>
                <w:b/>
                <w:bCs/>
                <w:sz w:val="18"/>
                <w:szCs w:val="18"/>
              </w:rPr>
            </w:pPr>
            <w:r>
              <w:rPr>
                <w:b/>
                <w:bCs/>
                <w:sz w:val="18"/>
                <w:szCs w:val="18"/>
              </w:rPr>
              <w:t>212,731</w:t>
            </w:r>
          </w:p>
        </w:tc>
        <w:tc>
          <w:tcPr>
            <w:tcW w:w="1050" w:type="dxa"/>
            <w:tcBorders>
              <w:top w:val="nil"/>
              <w:left w:val="nil"/>
              <w:bottom w:val="nil"/>
              <w:right w:val="nil"/>
            </w:tcBorders>
            <w:shd w:val="clear" w:color="000000" w:fill="FFFFFF"/>
            <w:hideMark/>
          </w:tcPr>
          <w:p w:rsidR="0087651A" w:rsidRDefault="0087651A" w:rsidP="00536AC6">
            <w:pPr>
              <w:ind w:left="-283"/>
              <w:jc w:val="right"/>
              <w:rPr>
                <w:b/>
                <w:bCs/>
                <w:sz w:val="18"/>
                <w:szCs w:val="18"/>
              </w:rPr>
            </w:pPr>
            <w:r>
              <w:rPr>
                <w:b/>
                <w:bCs/>
                <w:sz w:val="18"/>
                <w:szCs w:val="18"/>
              </w:rPr>
              <w:t>228,472</w:t>
            </w:r>
          </w:p>
        </w:tc>
        <w:tc>
          <w:tcPr>
            <w:tcW w:w="1050" w:type="dxa"/>
            <w:tcBorders>
              <w:top w:val="nil"/>
              <w:left w:val="nil"/>
              <w:bottom w:val="nil"/>
              <w:right w:val="nil"/>
            </w:tcBorders>
            <w:shd w:val="clear" w:color="000000" w:fill="FFFFFF"/>
            <w:hideMark/>
          </w:tcPr>
          <w:p w:rsidR="0087651A" w:rsidRDefault="0087651A" w:rsidP="00536AC6">
            <w:pPr>
              <w:ind w:left="-283"/>
              <w:jc w:val="right"/>
              <w:rPr>
                <w:b/>
                <w:bCs/>
                <w:sz w:val="18"/>
                <w:szCs w:val="18"/>
              </w:rPr>
            </w:pPr>
            <w:r>
              <w:rPr>
                <w:b/>
                <w:bCs/>
                <w:sz w:val="18"/>
                <w:szCs w:val="18"/>
              </w:rPr>
              <w:t>245,401</w:t>
            </w:r>
          </w:p>
        </w:tc>
      </w:tr>
      <w:tr w:rsidR="0087651A" w:rsidTr="00B56568">
        <w:tc>
          <w:tcPr>
            <w:tcW w:w="1049"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 </w:t>
            </w:r>
          </w:p>
        </w:tc>
        <w:tc>
          <w:tcPr>
            <w:tcW w:w="2306" w:type="dxa"/>
            <w:tcBorders>
              <w:top w:val="nil"/>
              <w:left w:val="nil"/>
              <w:bottom w:val="nil"/>
              <w:right w:val="nil"/>
            </w:tcBorders>
            <w:shd w:val="clear" w:color="000000" w:fill="FFFFFF"/>
            <w:hideMark/>
          </w:tcPr>
          <w:p w:rsidR="0087651A" w:rsidRDefault="0087651A" w:rsidP="00536AC6">
            <w:pPr>
              <w:rPr>
                <w:b/>
                <w:bCs/>
                <w:sz w:val="18"/>
                <w:szCs w:val="18"/>
              </w:rPr>
            </w:pPr>
            <w:r>
              <w:rPr>
                <w:b/>
                <w:bCs/>
                <w:sz w:val="18"/>
                <w:szCs w:val="18"/>
              </w:rPr>
              <w:t> </w:t>
            </w:r>
          </w:p>
        </w:tc>
        <w:tc>
          <w:tcPr>
            <w:tcW w:w="1180"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 </w:t>
            </w:r>
          </w:p>
        </w:tc>
      </w:tr>
      <w:tr w:rsidR="0087651A" w:rsidTr="00B56568">
        <w:tc>
          <w:tcPr>
            <w:tcW w:w="1049"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 </w:t>
            </w:r>
          </w:p>
        </w:tc>
        <w:tc>
          <w:tcPr>
            <w:tcW w:w="2306" w:type="dxa"/>
            <w:tcBorders>
              <w:top w:val="nil"/>
              <w:left w:val="nil"/>
              <w:bottom w:val="nil"/>
              <w:right w:val="nil"/>
            </w:tcBorders>
            <w:shd w:val="clear" w:color="000000" w:fill="FFFFFF"/>
            <w:hideMark/>
          </w:tcPr>
          <w:p w:rsidR="0087651A" w:rsidRDefault="0087651A" w:rsidP="00536AC6">
            <w:pPr>
              <w:rPr>
                <w:b/>
                <w:bCs/>
                <w:sz w:val="18"/>
                <w:szCs w:val="18"/>
              </w:rPr>
            </w:pPr>
            <w:r>
              <w:rPr>
                <w:b/>
                <w:bCs/>
                <w:sz w:val="18"/>
                <w:szCs w:val="18"/>
              </w:rPr>
              <w:t xml:space="preserve">Expenses  </w:t>
            </w:r>
          </w:p>
        </w:tc>
        <w:tc>
          <w:tcPr>
            <w:tcW w:w="1180"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 </w:t>
            </w:r>
          </w:p>
        </w:tc>
      </w:tr>
      <w:tr w:rsidR="0087651A" w:rsidTr="00B56568">
        <w:tc>
          <w:tcPr>
            <w:tcW w:w="1049"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738</w:t>
            </w:r>
          </w:p>
        </w:tc>
        <w:tc>
          <w:tcPr>
            <w:tcW w:w="2306" w:type="dxa"/>
            <w:tcBorders>
              <w:top w:val="nil"/>
              <w:left w:val="nil"/>
              <w:bottom w:val="nil"/>
              <w:right w:val="nil"/>
            </w:tcBorders>
            <w:shd w:val="clear" w:color="000000" w:fill="FFFFFF"/>
            <w:hideMark/>
          </w:tcPr>
          <w:p w:rsidR="0087651A" w:rsidRDefault="0087651A" w:rsidP="00536AC6">
            <w:pPr>
              <w:rPr>
                <w:sz w:val="18"/>
                <w:szCs w:val="18"/>
              </w:rPr>
            </w:pPr>
            <w:r>
              <w:rPr>
                <w:sz w:val="18"/>
                <w:szCs w:val="18"/>
              </w:rPr>
              <w:t>Employee Expenses</w:t>
            </w:r>
          </w:p>
        </w:tc>
        <w:tc>
          <w:tcPr>
            <w:tcW w:w="1180"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756</w:t>
            </w:r>
          </w:p>
        </w:tc>
        <w:tc>
          <w:tcPr>
            <w:tcW w:w="1050"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814</w:t>
            </w:r>
          </w:p>
        </w:tc>
        <w:tc>
          <w:tcPr>
            <w:tcW w:w="621"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 xml:space="preserve">8 </w:t>
            </w:r>
          </w:p>
        </w:tc>
        <w:tc>
          <w:tcPr>
            <w:tcW w:w="1050"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835</w:t>
            </w:r>
          </w:p>
        </w:tc>
        <w:tc>
          <w:tcPr>
            <w:tcW w:w="1050"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856</w:t>
            </w:r>
          </w:p>
        </w:tc>
        <w:tc>
          <w:tcPr>
            <w:tcW w:w="1050"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877</w:t>
            </w:r>
          </w:p>
        </w:tc>
      </w:tr>
      <w:tr w:rsidR="0087651A" w:rsidTr="00B56568">
        <w:tc>
          <w:tcPr>
            <w:tcW w:w="1049"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439,013</w:t>
            </w:r>
          </w:p>
        </w:tc>
        <w:tc>
          <w:tcPr>
            <w:tcW w:w="2306" w:type="dxa"/>
            <w:tcBorders>
              <w:top w:val="nil"/>
              <w:left w:val="nil"/>
              <w:bottom w:val="nil"/>
              <w:right w:val="nil"/>
            </w:tcBorders>
            <w:shd w:val="clear" w:color="000000" w:fill="FFFFFF"/>
            <w:hideMark/>
          </w:tcPr>
          <w:p w:rsidR="0087651A" w:rsidRDefault="0087651A" w:rsidP="00536AC6">
            <w:pPr>
              <w:rPr>
                <w:sz w:val="18"/>
                <w:szCs w:val="18"/>
              </w:rPr>
            </w:pPr>
            <w:r>
              <w:rPr>
                <w:sz w:val="18"/>
                <w:szCs w:val="18"/>
              </w:rPr>
              <w:t>Superannuation Expenses</w:t>
            </w:r>
          </w:p>
        </w:tc>
        <w:tc>
          <w:tcPr>
            <w:tcW w:w="1180"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521,702</w:t>
            </w:r>
          </w:p>
        </w:tc>
        <w:tc>
          <w:tcPr>
            <w:tcW w:w="1050"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453,513</w:t>
            </w:r>
          </w:p>
        </w:tc>
        <w:tc>
          <w:tcPr>
            <w:tcW w:w="621"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 xml:space="preserve">-13 </w:t>
            </w:r>
          </w:p>
        </w:tc>
        <w:tc>
          <w:tcPr>
            <w:tcW w:w="1050"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465,428</w:t>
            </w:r>
          </w:p>
        </w:tc>
        <w:tc>
          <w:tcPr>
            <w:tcW w:w="1050"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476,978</w:t>
            </w:r>
          </w:p>
        </w:tc>
        <w:tc>
          <w:tcPr>
            <w:tcW w:w="1050"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487,802</w:t>
            </w:r>
          </w:p>
        </w:tc>
      </w:tr>
      <w:tr w:rsidR="0087651A" w:rsidTr="00B56568">
        <w:tc>
          <w:tcPr>
            <w:tcW w:w="1049"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5,568</w:t>
            </w:r>
          </w:p>
        </w:tc>
        <w:tc>
          <w:tcPr>
            <w:tcW w:w="2306" w:type="dxa"/>
            <w:tcBorders>
              <w:top w:val="nil"/>
              <w:left w:val="nil"/>
              <w:bottom w:val="nil"/>
              <w:right w:val="nil"/>
            </w:tcBorders>
            <w:shd w:val="clear" w:color="000000" w:fill="FFFFFF"/>
            <w:hideMark/>
          </w:tcPr>
          <w:p w:rsidR="0087651A" w:rsidRDefault="0087651A" w:rsidP="00536AC6">
            <w:pPr>
              <w:rPr>
                <w:sz w:val="18"/>
                <w:szCs w:val="18"/>
              </w:rPr>
            </w:pPr>
            <w:r>
              <w:rPr>
                <w:sz w:val="18"/>
                <w:szCs w:val="18"/>
              </w:rPr>
              <w:t>Supplies and Services</w:t>
            </w:r>
          </w:p>
        </w:tc>
        <w:tc>
          <w:tcPr>
            <w:tcW w:w="1180"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4,985</w:t>
            </w:r>
          </w:p>
        </w:tc>
        <w:tc>
          <w:tcPr>
            <w:tcW w:w="1050"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5,160</w:t>
            </w:r>
          </w:p>
        </w:tc>
        <w:tc>
          <w:tcPr>
            <w:tcW w:w="621"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 xml:space="preserve">4 </w:t>
            </w:r>
          </w:p>
        </w:tc>
        <w:tc>
          <w:tcPr>
            <w:tcW w:w="1050"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5,245</w:t>
            </w:r>
          </w:p>
        </w:tc>
        <w:tc>
          <w:tcPr>
            <w:tcW w:w="1050"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5,474</w:t>
            </w:r>
          </w:p>
        </w:tc>
        <w:tc>
          <w:tcPr>
            <w:tcW w:w="1050"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5,682</w:t>
            </w:r>
          </w:p>
        </w:tc>
      </w:tr>
      <w:tr w:rsidR="0087651A" w:rsidTr="00B56568">
        <w:tc>
          <w:tcPr>
            <w:tcW w:w="1049"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4,183</w:t>
            </w:r>
          </w:p>
        </w:tc>
        <w:tc>
          <w:tcPr>
            <w:tcW w:w="2306" w:type="dxa"/>
            <w:tcBorders>
              <w:top w:val="nil"/>
              <w:left w:val="nil"/>
              <w:bottom w:val="nil"/>
              <w:right w:val="nil"/>
            </w:tcBorders>
            <w:shd w:val="clear" w:color="000000" w:fill="FFFFFF"/>
            <w:hideMark/>
          </w:tcPr>
          <w:p w:rsidR="0087651A" w:rsidRDefault="0087651A" w:rsidP="00536AC6">
            <w:pPr>
              <w:rPr>
                <w:sz w:val="18"/>
                <w:szCs w:val="18"/>
              </w:rPr>
            </w:pPr>
            <w:r>
              <w:rPr>
                <w:sz w:val="18"/>
                <w:szCs w:val="18"/>
              </w:rPr>
              <w:t>Other Expenses</w:t>
            </w:r>
          </w:p>
        </w:tc>
        <w:tc>
          <w:tcPr>
            <w:tcW w:w="1180"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21,305</w:t>
            </w:r>
          </w:p>
        </w:tc>
        <w:tc>
          <w:tcPr>
            <w:tcW w:w="1050"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3,008</w:t>
            </w:r>
          </w:p>
        </w:tc>
        <w:tc>
          <w:tcPr>
            <w:tcW w:w="621"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 xml:space="preserve">-86 </w:t>
            </w:r>
          </w:p>
        </w:tc>
        <w:tc>
          <w:tcPr>
            <w:tcW w:w="1050"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3,179</w:t>
            </w:r>
          </w:p>
        </w:tc>
        <w:tc>
          <w:tcPr>
            <w:tcW w:w="1050"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3,405</w:t>
            </w:r>
          </w:p>
        </w:tc>
        <w:tc>
          <w:tcPr>
            <w:tcW w:w="1050"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3,648</w:t>
            </w:r>
          </w:p>
        </w:tc>
      </w:tr>
      <w:tr w:rsidR="0087651A" w:rsidTr="00B56568">
        <w:tc>
          <w:tcPr>
            <w:tcW w:w="1049"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 </w:t>
            </w:r>
          </w:p>
        </w:tc>
        <w:tc>
          <w:tcPr>
            <w:tcW w:w="2306" w:type="dxa"/>
            <w:tcBorders>
              <w:top w:val="nil"/>
              <w:left w:val="nil"/>
              <w:bottom w:val="nil"/>
              <w:right w:val="nil"/>
            </w:tcBorders>
            <w:shd w:val="clear" w:color="000000" w:fill="FFFFFF"/>
            <w:hideMark/>
          </w:tcPr>
          <w:p w:rsidR="0087651A" w:rsidRDefault="0087651A" w:rsidP="00536AC6">
            <w:pPr>
              <w:rPr>
                <w:b/>
                <w:bCs/>
                <w:sz w:val="18"/>
                <w:szCs w:val="18"/>
              </w:rPr>
            </w:pPr>
            <w:r>
              <w:rPr>
                <w:b/>
                <w:bCs/>
                <w:sz w:val="18"/>
                <w:szCs w:val="18"/>
              </w:rPr>
              <w:t> </w:t>
            </w:r>
          </w:p>
        </w:tc>
        <w:tc>
          <w:tcPr>
            <w:tcW w:w="1180"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 </w:t>
            </w:r>
          </w:p>
        </w:tc>
      </w:tr>
      <w:tr w:rsidR="0087651A" w:rsidTr="00B56568">
        <w:tc>
          <w:tcPr>
            <w:tcW w:w="1049" w:type="dxa"/>
            <w:tcBorders>
              <w:top w:val="nil"/>
              <w:left w:val="nil"/>
              <w:bottom w:val="nil"/>
              <w:right w:val="nil"/>
            </w:tcBorders>
            <w:shd w:val="clear" w:color="000000" w:fill="FFFFFF"/>
            <w:hideMark/>
          </w:tcPr>
          <w:p w:rsidR="0087651A" w:rsidRDefault="0087651A" w:rsidP="00536AC6">
            <w:pPr>
              <w:ind w:left="-283"/>
              <w:jc w:val="right"/>
              <w:rPr>
                <w:b/>
                <w:bCs/>
                <w:sz w:val="18"/>
                <w:szCs w:val="18"/>
              </w:rPr>
            </w:pPr>
            <w:r>
              <w:rPr>
                <w:b/>
                <w:bCs/>
                <w:sz w:val="18"/>
                <w:szCs w:val="18"/>
              </w:rPr>
              <w:t>449,502</w:t>
            </w:r>
          </w:p>
        </w:tc>
        <w:tc>
          <w:tcPr>
            <w:tcW w:w="2306" w:type="dxa"/>
            <w:tcBorders>
              <w:top w:val="nil"/>
              <w:left w:val="nil"/>
              <w:bottom w:val="nil"/>
              <w:right w:val="nil"/>
            </w:tcBorders>
            <w:shd w:val="clear" w:color="000000" w:fill="FFFFFF"/>
            <w:hideMark/>
          </w:tcPr>
          <w:p w:rsidR="0087651A" w:rsidRDefault="0087651A" w:rsidP="00536AC6">
            <w:pPr>
              <w:rPr>
                <w:b/>
                <w:bCs/>
                <w:sz w:val="18"/>
                <w:szCs w:val="18"/>
              </w:rPr>
            </w:pPr>
            <w:r>
              <w:rPr>
                <w:b/>
                <w:bCs/>
                <w:sz w:val="18"/>
                <w:szCs w:val="18"/>
              </w:rPr>
              <w:t xml:space="preserve">Total </w:t>
            </w:r>
            <w:r w:rsidR="00981E9F">
              <w:rPr>
                <w:b/>
                <w:bCs/>
                <w:sz w:val="18"/>
                <w:szCs w:val="18"/>
              </w:rPr>
              <w:t xml:space="preserve">Ordinary </w:t>
            </w:r>
            <w:r>
              <w:rPr>
                <w:b/>
                <w:bCs/>
                <w:sz w:val="18"/>
                <w:szCs w:val="18"/>
              </w:rPr>
              <w:t>Expenses</w:t>
            </w:r>
          </w:p>
        </w:tc>
        <w:tc>
          <w:tcPr>
            <w:tcW w:w="1180" w:type="dxa"/>
            <w:tcBorders>
              <w:top w:val="nil"/>
              <w:left w:val="nil"/>
              <w:bottom w:val="nil"/>
              <w:right w:val="nil"/>
            </w:tcBorders>
            <w:shd w:val="clear" w:color="000000" w:fill="FFFFFF"/>
            <w:hideMark/>
          </w:tcPr>
          <w:p w:rsidR="0087651A" w:rsidRDefault="0087651A" w:rsidP="00536AC6">
            <w:pPr>
              <w:ind w:left="-283"/>
              <w:jc w:val="right"/>
              <w:rPr>
                <w:b/>
                <w:bCs/>
                <w:sz w:val="18"/>
                <w:szCs w:val="18"/>
              </w:rPr>
            </w:pPr>
            <w:r>
              <w:rPr>
                <w:b/>
                <w:bCs/>
                <w:sz w:val="18"/>
                <w:szCs w:val="18"/>
              </w:rPr>
              <w:t>548,748</w:t>
            </w:r>
          </w:p>
        </w:tc>
        <w:tc>
          <w:tcPr>
            <w:tcW w:w="1050" w:type="dxa"/>
            <w:tcBorders>
              <w:top w:val="nil"/>
              <w:left w:val="nil"/>
              <w:bottom w:val="nil"/>
              <w:right w:val="nil"/>
            </w:tcBorders>
            <w:shd w:val="clear" w:color="000000" w:fill="FFFFFF"/>
            <w:hideMark/>
          </w:tcPr>
          <w:p w:rsidR="0087651A" w:rsidRDefault="0087651A" w:rsidP="00536AC6">
            <w:pPr>
              <w:ind w:left="-283"/>
              <w:jc w:val="right"/>
              <w:rPr>
                <w:b/>
                <w:bCs/>
                <w:sz w:val="18"/>
                <w:szCs w:val="18"/>
              </w:rPr>
            </w:pPr>
            <w:r>
              <w:rPr>
                <w:b/>
                <w:bCs/>
                <w:sz w:val="18"/>
                <w:szCs w:val="18"/>
              </w:rPr>
              <w:t>462,495</w:t>
            </w:r>
          </w:p>
        </w:tc>
        <w:tc>
          <w:tcPr>
            <w:tcW w:w="621" w:type="dxa"/>
            <w:tcBorders>
              <w:top w:val="nil"/>
              <w:left w:val="nil"/>
              <w:bottom w:val="nil"/>
              <w:right w:val="nil"/>
            </w:tcBorders>
            <w:shd w:val="clear" w:color="000000" w:fill="FFFFFF"/>
            <w:hideMark/>
          </w:tcPr>
          <w:p w:rsidR="0087651A" w:rsidRDefault="0087651A" w:rsidP="00536AC6">
            <w:pPr>
              <w:ind w:left="-283"/>
              <w:jc w:val="right"/>
              <w:rPr>
                <w:b/>
                <w:bCs/>
                <w:sz w:val="18"/>
                <w:szCs w:val="18"/>
              </w:rPr>
            </w:pPr>
            <w:r>
              <w:rPr>
                <w:b/>
                <w:bCs/>
                <w:sz w:val="18"/>
                <w:szCs w:val="18"/>
              </w:rPr>
              <w:t xml:space="preserve">-16 </w:t>
            </w:r>
          </w:p>
        </w:tc>
        <w:tc>
          <w:tcPr>
            <w:tcW w:w="1050" w:type="dxa"/>
            <w:tcBorders>
              <w:top w:val="nil"/>
              <w:left w:val="nil"/>
              <w:bottom w:val="nil"/>
              <w:right w:val="nil"/>
            </w:tcBorders>
            <w:shd w:val="clear" w:color="000000" w:fill="FFFFFF"/>
            <w:hideMark/>
          </w:tcPr>
          <w:p w:rsidR="0087651A" w:rsidRDefault="0087651A" w:rsidP="00536AC6">
            <w:pPr>
              <w:ind w:left="-283"/>
              <w:jc w:val="right"/>
              <w:rPr>
                <w:b/>
                <w:bCs/>
                <w:sz w:val="18"/>
                <w:szCs w:val="18"/>
              </w:rPr>
            </w:pPr>
            <w:r>
              <w:rPr>
                <w:b/>
                <w:bCs/>
                <w:sz w:val="18"/>
                <w:szCs w:val="18"/>
              </w:rPr>
              <w:t>474,687</w:t>
            </w:r>
          </w:p>
        </w:tc>
        <w:tc>
          <w:tcPr>
            <w:tcW w:w="1050" w:type="dxa"/>
            <w:tcBorders>
              <w:top w:val="nil"/>
              <w:left w:val="nil"/>
              <w:bottom w:val="nil"/>
              <w:right w:val="nil"/>
            </w:tcBorders>
            <w:shd w:val="clear" w:color="000000" w:fill="FFFFFF"/>
            <w:hideMark/>
          </w:tcPr>
          <w:p w:rsidR="0087651A" w:rsidRDefault="0087651A" w:rsidP="00536AC6">
            <w:pPr>
              <w:ind w:left="-283"/>
              <w:jc w:val="right"/>
              <w:rPr>
                <w:b/>
                <w:bCs/>
                <w:sz w:val="18"/>
                <w:szCs w:val="18"/>
              </w:rPr>
            </w:pPr>
            <w:r>
              <w:rPr>
                <w:b/>
                <w:bCs/>
                <w:sz w:val="18"/>
                <w:szCs w:val="18"/>
              </w:rPr>
              <w:t>486,713</w:t>
            </w:r>
          </w:p>
        </w:tc>
        <w:tc>
          <w:tcPr>
            <w:tcW w:w="1050" w:type="dxa"/>
            <w:tcBorders>
              <w:top w:val="nil"/>
              <w:left w:val="nil"/>
              <w:bottom w:val="nil"/>
              <w:right w:val="nil"/>
            </w:tcBorders>
            <w:shd w:val="clear" w:color="000000" w:fill="FFFFFF"/>
            <w:hideMark/>
          </w:tcPr>
          <w:p w:rsidR="0087651A" w:rsidRDefault="0087651A" w:rsidP="00536AC6">
            <w:pPr>
              <w:ind w:left="-283"/>
              <w:jc w:val="right"/>
              <w:rPr>
                <w:b/>
                <w:bCs/>
                <w:sz w:val="18"/>
                <w:szCs w:val="18"/>
              </w:rPr>
            </w:pPr>
            <w:r>
              <w:rPr>
                <w:b/>
                <w:bCs/>
                <w:sz w:val="18"/>
                <w:szCs w:val="18"/>
              </w:rPr>
              <w:t>498,009</w:t>
            </w:r>
          </w:p>
        </w:tc>
      </w:tr>
      <w:tr w:rsidR="0087651A" w:rsidTr="00B56568">
        <w:tc>
          <w:tcPr>
            <w:tcW w:w="1049"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 </w:t>
            </w:r>
          </w:p>
        </w:tc>
        <w:tc>
          <w:tcPr>
            <w:tcW w:w="2306" w:type="dxa"/>
            <w:tcBorders>
              <w:top w:val="nil"/>
              <w:left w:val="nil"/>
              <w:bottom w:val="nil"/>
              <w:right w:val="nil"/>
            </w:tcBorders>
            <w:shd w:val="clear" w:color="000000" w:fill="FFFFFF"/>
            <w:hideMark/>
          </w:tcPr>
          <w:p w:rsidR="0087651A" w:rsidRDefault="0087651A" w:rsidP="00536AC6">
            <w:pPr>
              <w:rPr>
                <w:sz w:val="18"/>
                <w:szCs w:val="18"/>
              </w:rPr>
            </w:pPr>
            <w:r>
              <w:rPr>
                <w:sz w:val="18"/>
                <w:szCs w:val="18"/>
              </w:rPr>
              <w:t> </w:t>
            </w:r>
          </w:p>
        </w:tc>
        <w:tc>
          <w:tcPr>
            <w:tcW w:w="1180"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 </w:t>
            </w:r>
          </w:p>
        </w:tc>
      </w:tr>
      <w:tr w:rsidR="0087651A" w:rsidTr="00B56568">
        <w:tc>
          <w:tcPr>
            <w:tcW w:w="1049" w:type="dxa"/>
            <w:tcBorders>
              <w:top w:val="nil"/>
              <w:left w:val="nil"/>
              <w:bottom w:val="nil"/>
              <w:right w:val="nil"/>
            </w:tcBorders>
            <w:shd w:val="clear" w:color="000000" w:fill="FFFFFF"/>
            <w:hideMark/>
          </w:tcPr>
          <w:p w:rsidR="0087651A" w:rsidRDefault="0087651A" w:rsidP="00536AC6">
            <w:pPr>
              <w:ind w:left="-283"/>
              <w:jc w:val="right"/>
              <w:rPr>
                <w:b/>
                <w:bCs/>
                <w:sz w:val="18"/>
                <w:szCs w:val="18"/>
              </w:rPr>
            </w:pPr>
            <w:r>
              <w:rPr>
                <w:b/>
                <w:bCs/>
                <w:sz w:val="18"/>
                <w:szCs w:val="18"/>
              </w:rPr>
              <w:t>-267,272</w:t>
            </w:r>
          </w:p>
        </w:tc>
        <w:tc>
          <w:tcPr>
            <w:tcW w:w="2306" w:type="dxa"/>
            <w:tcBorders>
              <w:top w:val="nil"/>
              <w:left w:val="nil"/>
              <w:bottom w:val="nil"/>
              <w:right w:val="nil"/>
            </w:tcBorders>
            <w:shd w:val="clear" w:color="000000" w:fill="FFFFFF"/>
            <w:hideMark/>
          </w:tcPr>
          <w:p w:rsidR="0087651A" w:rsidRDefault="0087651A" w:rsidP="00536AC6">
            <w:pPr>
              <w:rPr>
                <w:b/>
                <w:bCs/>
                <w:sz w:val="18"/>
                <w:szCs w:val="18"/>
              </w:rPr>
            </w:pPr>
            <w:r>
              <w:rPr>
                <w:b/>
                <w:bCs/>
                <w:sz w:val="18"/>
                <w:szCs w:val="18"/>
              </w:rPr>
              <w:t>Operating Result</w:t>
            </w:r>
          </w:p>
        </w:tc>
        <w:tc>
          <w:tcPr>
            <w:tcW w:w="1180" w:type="dxa"/>
            <w:tcBorders>
              <w:top w:val="nil"/>
              <w:left w:val="nil"/>
              <w:bottom w:val="nil"/>
              <w:right w:val="nil"/>
            </w:tcBorders>
            <w:shd w:val="clear" w:color="000000" w:fill="FFFFFF"/>
            <w:hideMark/>
          </w:tcPr>
          <w:p w:rsidR="0087651A" w:rsidRDefault="0087651A" w:rsidP="00536AC6">
            <w:pPr>
              <w:ind w:left="-283"/>
              <w:jc w:val="right"/>
              <w:rPr>
                <w:b/>
                <w:bCs/>
                <w:sz w:val="18"/>
                <w:szCs w:val="18"/>
              </w:rPr>
            </w:pPr>
            <w:r>
              <w:rPr>
                <w:b/>
                <w:bCs/>
                <w:sz w:val="18"/>
                <w:szCs w:val="18"/>
              </w:rPr>
              <w:t>-203,048</w:t>
            </w:r>
          </w:p>
        </w:tc>
        <w:tc>
          <w:tcPr>
            <w:tcW w:w="1050" w:type="dxa"/>
            <w:tcBorders>
              <w:top w:val="nil"/>
              <w:left w:val="nil"/>
              <w:bottom w:val="nil"/>
              <w:right w:val="nil"/>
            </w:tcBorders>
            <w:shd w:val="clear" w:color="000000" w:fill="FFFFFF"/>
            <w:hideMark/>
          </w:tcPr>
          <w:p w:rsidR="0087651A" w:rsidRDefault="0087651A" w:rsidP="00536AC6">
            <w:pPr>
              <w:ind w:left="-283"/>
              <w:jc w:val="right"/>
              <w:rPr>
                <w:b/>
                <w:bCs/>
                <w:sz w:val="18"/>
                <w:szCs w:val="18"/>
              </w:rPr>
            </w:pPr>
            <w:r>
              <w:rPr>
                <w:b/>
                <w:bCs/>
                <w:sz w:val="18"/>
                <w:szCs w:val="18"/>
              </w:rPr>
              <w:t>-264,364</w:t>
            </w:r>
          </w:p>
        </w:tc>
        <w:tc>
          <w:tcPr>
            <w:tcW w:w="621" w:type="dxa"/>
            <w:tcBorders>
              <w:top w:val="nil"/>
              <w:left w:val="nil"/>
              <w:bottom w:val="nil"/>
              <w:right w:val="nil"/>
            </w:tcBorders>
            <w:shd w:val="clear" w:color="000000" w:fill="FFFFFF"/>
            <w:hideMark/>
          </w:tcPr>
          <w:p w:rsidR="0087651A" w:rsidRDefault="0087651A" w:rsidP="00536AC6">
            <w:pPr>
              <w:ind w:left="-283"/>
              <w:jc w:val="right"/>
              <w:rPr>
                <w:b/>
                <w:bCs/>
                <w:sz w:val="18"/>
                <w:szCs w:val="18"/>
              </w:rPr>
            </w:pPr>
            <w:r>
              <w:rPr>
                <w:b/>
                <w:bCs/>
                <w:sz w:val="18"/>
                <w:szCs w:val="18"/>
              </w:rPr>
              <w:t xml:space="preserve">-30 </w:t>
            </w:r>
          </w:p>
        </w:tc>
        <w:tc>
          <w:tcPr>
            <w:tcW w:w="1050" w:type="dxa"/>
            <w:tcBorders>
              <w:top w:val="nil"/>
              <w:left w:val="nil"/>
              <w:bottom w:val="nil"/>
              <w:right w:val="nil"/>
            </w:tcBorders>
            <w:shd w:val="clear" w:color="000000" w:fill="FFFFFF"/>
            <w:hideMark/>
          </w:tcPr>
          <w:p w:rsidR="0087651A" w:rsidRDefault="0087651A" w:rsidP="00536AC6">
            <w:pPr>
              <w:ind w:left="-283"/>
              <w:jc w:val="right"/>
              <w:rPr>
                <w:b/>
                <w:bCs/>
                <w:sz w:val="18"/>
                <w:szCs w:val="18"/>
              </w:rPr>
            </w:pPr>
            <w:r>
              <w:rPr>
                <w:b/>
                <w:bCs/>
                <w:sz w:val="18"/>
                <w:szCs w:val="18"/>
              </w:rPr>
              <w:t>-261,956</w:t>
            </w:r>
          </w:p>
        </w:tc>
        <w:tc>
          <w:tcPr>
            <w:tcW w:w="1050" w:type="dxa"/>
            <w:tcBorders>
              <w:top w:val="nil"/>
              <w:left w:val="nil"/>
              <w:bottom w:val="nil"/>
              <w:right w:val="nil"/>
            </w:tcBorders>
            <w:shd w:val="clear" w:color="000000" w:fill="FFFFFF"/>
            <w:hideMark/>
          </w:tcPr>
          <w:p w:rsidR="0087651A" w:rsidRDefault="0087651A" w:rsidP="00536AC6">
            <w:pPr>
              <w:ind w:left="-283"/>
              <w:jc w:val="right"/>
              <w:rPr>
                <w:b/>
                <w:bCs/>
                <w:sz w:val="18"/>
                <w:szCs w:val="18"/>
              </w:rPr>
            </w:pPr>
            <w:r>
              <w:rPr>
                <w:b/>
                <w:bCs/>
                <w:sz w:val="18"/>
                <w:szCs w:val="18"/>
              </w:rPr>
              <w:t>-258,241</w:t>
            </w:r>
          </w:p>
        </w:tc>
        <w:tc>
          <w:tcPr>
            <w:tcW w:w="1050" w:type="dxa"/>
            <w:tcBorders>
              <w:top w:val="nil"/>
              <w:left w:val="nil"/>
              <w:bottom w:val="nil"/>
              <w:right w:val="nil"/>
            </w:tcBorders>
            <w:shd w:val="clear" w:color="000000" w:fill="FFFFFF"/>
            <w:hideMark/>
          </w:tcPr>
          <w:p w:rsidR="0087651A" w:rsidRDefault="0087651A" w:rsidP="00536AC6">
            <w:pPr>
              <w:ind w:left="-283"/>
              <w:jc w:val="right"/>
              <w:rPr>
                <w:b/>
                <w:bCs/>
                <w:sz w:val="18"/>
                <w:szCs w:val="18"/>
              </w:rPr>
            </w:pPr>
            <w:r>
              <w:rPr>
                <w:b/>
                <w:bCs/>
                <w:sz w:val="18"/>
                <w:szCs w:val="18"/>
              </w:rPr>
              <w:t>-252,608</w:t>
            </w:r>
          </w:p>
        </w:tc>
      </w:tr>
      <w:tr w:rsidR="0087651A" w:rsidTr="00B56568">
        <w:tc>
          <w:tcPr>
            <w:tcW w:w="1049" w:type="dxa"/>
            <w:tcBorders>
              <w:top w:val="nil"/>
              <w:left w:val="nil"/>
              <w:bottom w:val="nil"/>
              <w:right w:val="nil"/>
            </w:tcBorders>
            <w:shd w:val="clear" w:color="000000" w:fill="FFFFFF"/>
            <w:hideMark/>
          </w:tcPr>
          <w:p w:rsidR="0087651A" w:rsidRDefault="0087651A" w:rsidP="00536AC6">
            <w:pPr>
              <w:ind w:left="-283"/>
              <w:jc w:val="right"/>
              <w:rPr>
                <w:b/>
                <w:bCs/>
                <w:sz w:val="18"/>
                <w:szCs w:val="18"/>
              </w:rPr>
            </w:pPr>
            <w:r>
              <w:rPr>
                <w:b/>
                <w:bCs/>
                <w:sz w:val="18"/>
                <w:szCs w:val="18"/>
              </w:rPr>
              <w:t> </w:t>
            </w:r>
          </w:p>
        </w:tc>
        <w:tc>
          <w:tcPr>
            <w:tcW w:w="2306" w:type="dxa"/>
            <w:tcBorders>
              <w:top w:val="nil"/>
              <w:left w:val="nil"/>
              <w:bottom w:val="nil"/>
              <w:right w:val="nil"/>
            </w:tcBorders>
            <w:shd w:val="clear" w:color="000000" w:fill="FFFFFF"/>
            <w:hideMark/>
          </w:tcPr>
          <w:p w:rsidR="0087651A" w:rsidRDefault="0087651A" w:rsidP="00536AC6">
            <w:pPr>
              <w:rPr>
                <w:b/>
                <w:bCs/>
                <w:sz w:val="18"/>
                <w:szCs w:val="18"/>
              </w:rPr>
            </w:pPr>
            <w:r>
              <w:rPr>
                <w:b/>
                <w:bCs/>
                <w:sz w:val="18"/>
                <w:szCs w:val="18"/>
              </w:rPr>
              <w:t> </w:t>
            </w:r>
          </w:p>
        </w:tc>
        <w:tc>
          <w:tcPr>
            <w:tcW w:w="1180" w:type="dxa"/>
            <w:tcBorders>
              <w:top w:val="nil"/>
              <w:left w:val="nil"/>
              <w:bottom w:val="nil"/>
              <w:right w:val="nil"/>
            </w:tcBorders>
            <w:shd w:val="clear" w:color="000000" w:fill="FFFFFF"/>
            <w:hideMark/>
          </w:tcPr>
          <w:p w:rsidR="0087651A" w:rsidRDefault="0087651A" w:rsidP="00536AC6">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87651A" w:rsidRDefault="0087651A" w:rsidP="00536AC6">
            <w:pPr>
              <w:ind w:left="-283"/>
              <w:jc w:val="right"/>
              <w:rPr>
                <w:b/>
                <w:bCs/>
                <w:sz w:val="18"/>
                <w:szCs w:val="18"/>
              </w:rPr>
            </w:pPr>
            <w:r>
              <w:rPr>
                <w:b/>
                <w:bCs/>
                <w:sz w:val="18"/>
                <w:szCs w:val="18"/>
              </w:rPr>
              <w:t> </w:t>
            </w:r>
          </w:p>
        </w:tc>
        <w:tc>
          <w:tcPr>
            <w:tcW w:w="621" w:type="dxa"/>
            <w:tcBorders>
              <w:top w:val="nil"/>
              <w:left w:val="nil"/>
              <w:bottom w:val="nil"/>
              <w:right w:val="nil"/>
            </w:tcBorders>
            <w:shd w:val="clear" w:color="000000" w:fill="FFFFFF"/>
            <w:hideMark/>
          </w:tcPr>
          <w:p w:rsidR="0087651A" w:rsidRDefault="0087651A" w:rsidP="00536AC6">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87651A" w:rsidRDefault="0087651A" w:rsidP="00536AC6">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87651A" w:rsidRDefault="0087651A" w:rsidP="00536AC6">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87651A" w:rsidRDefault="0087651A" w:rsidP="00536AC6">
            <w:pPr>
              <w:ind w:left="-283"/>
              <w:jc w:val="right"/>
              <w:rPr>
                <w:b/>
                <w:bCs/>
                <w:sz w:val="18"/>
                <w:szCs w:val="18"/>
              </w:rPr>
            </w:pPr>
            <w:r>
              <w:rPr>
                <w:b/>
                <w:bCs/>
                <w:sz w:val="18"/>
                <w:szCs w:val="18"/>
              </w:rPr>
              <w:t> </w:t>
            </w:r>
          </w:p>
        </w:tc>
      </w:tr>
      <w:tr w:rsidR="0087651A" w:rsidTr="00B56568">
        <w:tc>
          <w:tcPr>
            <w:tcW w:w="1049"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 </w:t>
            </w:r>
          </w:p>
        </w:tc>
        <w:tc>
          <w:tcPr>
            <w:tcW w:w="3486" w:type="dxa"/>
            <w:gridSpan w:val="2"/>
            <w:tcBorders>
              <w:top w:val="nil"/>
              <w:left w:val="nil"/>
              <w:bottom w:val="nil"/>
              <w:right w:val="nil"/>
            </w:tcBorders>
            <w:shd w:val="clear" w:color="000000" w:fill="FFFFFF"/>
            <w:hideMark/>
          </w:tcPr>
          <w:p w:rsidR="0087651A" w:rsidRDefault="0087651A" w:rsidP="00536AC6">
            <w:pPr>
              <w:rPr>
                <w:sz w:val="18"/>
                <w:szCs w:val="18"/>
              </w:rPr>
            </w:pPr>
            <w:r>
              <w:rPr>
                <w:b/>
                <w:bCs/>
                <w:sz w:val="18"/>
                <w:szCs w:val="18"/>
              </w:rPr>
              <w:t>Other Comprehensive Income</w:t>
            </w:r>
            <w:r>
              <w:rPr>
                <w:sz w:val="18"/>
                <w:szCs w:val="18"/>
              </w:rPr>
              <w:t> </w:t>
            </w:r>
          </w:p>
        </w:tc>
        <w:tc>
          <w:tcPr>
            <w:tcW w:w="1050"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 </w:t>
            </w:r>
          </w:p>
        </w:tc>
      </w:tr>
      <w:tr w:rsidR="0087651A" w:rsidTr="00B56568">
        <w:tc>
          <w:tcPr>
            <w:tcW w:w="1049"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 </w:t>
            </w:r>
          </w:p>
        </w:tc>
        <w:tc>
          <w:tcPr>
            <w:tcW w:w="3486" w:type="dxa"/>
            <w:gridSpan w:val="2"/>
            <w:tcBorders>
              <w:top w:val="nil"/>
              <w:left w:val="nil"/>
              <w:bottom w:val="nil"/>
              <w:right w:val="nil"/>
            </w:tcBorders>
            <w:shd w:val="clear" w:color="000000" w:fill="FFFFFF"/>
            <w:hideMark/>
          </w:tcPr>
          <w:p w:rsidR="0087651A" w:rsidRPr="00F70B65" w:rsidRDefault="005F6BE4" w:rsidP="00981E9F">
            <w:pPr>
              <w:spacing w:after="120"/>
              <w:ind w:left="142" w:hanging="142"/>
              <w:rPr>
                <w:i/>
                <w:iCs/>
                <w:sz w:val="18"/>
                <w:szCs w:val="18"/>
              </w:rPr>
            </w:pPr>
            <w:r>
              <w:rPr>
                <w:i/>
                <w:iCs/>
                <w:sz w:val="18"/>
                <w:szCs w:val="18"/>
              </w:rPr>
              <w:t>Items that</w:t>
            </w:r>
            <w:r w:rsidR="00981E9F">
              <w:rPr>
                <w:i/>
                <w:iCs/>
                <w:sz w:val="18"/>
                <w:szCs w:val="18"/>
              </w:rPr>
              <w:t xml:space="preserve"> will not be reclassified </w:t>
            </w:r>
            <w:r>
              <w:rPr>
                <w:i/>
                <w:iCs/>
                <w:sz w:val="18"/>
                <w:szCs w:val="18"/>
              </w:rPr>
              <w:t>subsequently to p</w:t>
            </w:r>
            <w:r w:rsidR="0087651A">
              <w:rPr>
                <w:i/>
                <w:iCs/>
                <w:sz w:val="18"/>
                <w:szCs w:val="18"/>
              </w:rPr>
              <w:t xml:space="preserve">rofit or </w:t>
            </w:r>
            <w:r>
              <w:rPr>
                <w:i/>
                <w:iCs/>
                <w:sz w:val="18"/>
                <w:szCs w:val="18"/>
              </w:rPr>
              <w:t>l</w:t>
            </w:r>
            <w:r w:rsidR="0087651A">
              <w:rPr>
                <w:i/>
                <w:iCs/>
                <w:sz w:val="18"/>
                <w:szCs w:val="18"/>
              </w:rPr>
              <w:t>oss</w:t>
            </w:r>
            <w:r w:rsidR="0087651A">
              <w:rPr>
                <w:sz w:val="18"/>
                <w:szCs w:val="18"/>
              </w:rPr>
              <w:t> </w:t>
            </w:r>
          </w:p>
        </w:tc>
        <w:tc>
          <w:tcPr>
            <w:tcW w:w="1050"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 </w:t>
            </w:r>
          </w:p>
        </w:tc>
      </w:tr>
      <w:tr w:rsidR="0087651A" w:rsidTr="00B56568">
        <w:tc>
          <w:tcPr>
            <w:tcW w:w="1049"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0</w:t>
            </w:r>
          </w:p>
        </w:tc>
        <w:tc>
          <w:tcPr>
            <w:tcW w:w="2306" w:type="dxa"/>
            <w:tcBorders>
              <w:top w:val="nil"/>
              <w:left w:val="nil"/>
              <w:bottom w:val="nil"/>
              <w:right w:val="nil"/>
            </w:tcBorders>
            <w:shd w:val="clear" w:color="000000" w:fill="FFFFFF"/>
            <w:hideMark/>
          </w:tcPr>
          <w:p w:rsidR="0087651A" w:rsidRDefault="0087651A" w:rsidP="00536AC6">
            <w:pPr>
              <w:rPr>
                <w:sz w:val="18"/>
                <w:szCs w:val="18"/>
              </w:rPr>
            </w:pPr>
            <w:r>
              <w:rPr>
                <w:sz w:val="18"/>
                <w:szCs w:val="18"/>
              </w:rPr>
              <w:t xml:space="preserve">Superannuation Prior Year </w:t>
            </w:r>
            <w:r>
              <w:rPr>
                <w:sz w:val="18"/>
                <w:szCs w:val="18"/>
              </w:rPr>
              <w:br/>
              <w:t xml:space="preserve">   Actuarial Movement</w:t>
            </w:r>
          </w:p>
        </w:tc>
        <w:tc>
          <w:tcPr>
            <w:tcW w:w="1180"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2,776,338</w:t>
            </w:r>
          </w:p>
        </w:tc>
        <w:tc>
          <w:tcPr>
            <w:tcW w:w="1050"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0</w:t>
            </w:r>
          </w:p>
        </w:tc>
        <w:tc>
          <w:tcPr>
            <w:tcW w:w="621"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 xml:space="preserve">-100 </w:t>
            </w:r>
          </w:p>
        </w:tc>
        <w:tc>
          <w:tcPr>
            <w:tcW w:w="1050"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0</w:t>
            </w:r>
          </w:p>
        </w:tc>
        <w:tc>
          <w:tcPr>
            <w:tcW w:w="1050"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0</w:t>
            </w:r>
          </w:p>
        </w:tc>
        <w:tc>
          <w:tcPr>
            <w:tcW w:w="1050" w:type="dxa"/>
            <w:tcBorders>
              <w:top w:val="nil"/>
              <w:left w:val="nil"/>
              <w:bottom w:val="nil"/>
              <w:right w:val="nil"/>
            </w:tcBorders>
            <w:shd w:val="clear" w:color="000000" w:fill="FFFFFF"/>
            <w:hideMark/>
          </w:tcPr>
          <w:p w:rsidR="0087651A" w:rsidRDefault="0087651A" w:rsidP="00536AC6">
            <w:pPr>
              <w:ind w:left="-283"/>
              <w:jc w:val="right"/>
              <w:rPr>
                <w:sz w:val="18"/>
                <w:szCs w:val="18"/>
              </w:rPr>
            </w:pPr>
            <w:r>
              <w:rPr>
                <w:sz w:val="18"/>
                <w:szCs w:val="18"/>
              </w:rPr>
              <w:t>0</w:t>
            </w:r>
          </w:p>
        </w:tc>
      </w:tr>
      <w:tr w:rsidR="0087651A" w:rsidTr="00B56568">
        <w:tc>
          <w:tcPr>
            <w:tcW w:w="1049" w:type="dxa"/>
            <w:tcBorders>
              <w:top w:val="nil"/>
              <w:left w:val="nil"/>
              <w:bottom w:val="nil"/>
              <w:right w:val="nil"/>
            </w:tcBorders>
            <w:shd w:val="clear" w:color="000000" w:fill="FFFFFF"/>
            <w:hideMark/>
          </w:tcPr>
          <w:p w:rsidR="0087651A" w:rsidRDefault="0087651A" w:rsidP="00536AC6">
            <w:pPr>
              <w:ind w:left="-283"/>
              <w:jc w:val="right"/>
              <w:rPr>
                <w:b/>
                <w:bCs/>
                <w:sz w:val="18"/>
                <w:szCs w:val="18"/>
              </w:rPr>
            </w:pPr>
            <w:r>
              <w:rPr>
                <w:b/>
                <w:bCs/>
                <w:sz w:val="18"/>
                <w:szCs w:val="18"/>
              </w:rPr>
              <w:t> </w:t>
            </w:r>
          </w:p>
        </w:tc>
        <w:tc>
          <w:tcPr>
            <w:tcW w:w="2306" w:type="dxa"/>
            <w:tcBorders>
              <w:top w:val="nil"/>
              <w:left w:val="nil"/>
              <w:bottom w:val="nil"/>
              <w:right w:val="nil"/>
            </w:tcBorders>
            <w:shd w:val="clear" w:color="000000" w:fill="FFFFFF"/>
            <w:hideMark/>
          </w:tcPr>
          <w:p w:rsidR="0087651A" w:rsidRDefault="0087651A" w:rsidP="00536AC6">
            <w:pPr>
              <w:rPr>
                <w:b/>
                <w:bCs/>
                <w:sz w:val="18"/>
                <w:szCs w:val="18"/>
              </w:rPr>
            </w:pPr>
            <w:r>
              <w:rPr>
                <w:b/>
                <w:bCs/>
                <w:sz w:val="18"/>
                <w:szCs w:val="18"/>
              </w:rPr>
              <w:t> </w:t>
            </w:r>
          </w:p>
        </w:tc>
        <w:tc>
          <w:tcPr>
            <w:tcW w:w="1180" w:type="dxa"/>
            <w:tcBorders>
              <w:top w:val="nil"/>
              <w:left w:val="nil"/>
              <w:bottom w:val="nil"/>
              <w:right w:val="nil"/>
            </w:tcBorders>
            <w:shd w:val="clear" w:color="000000" w:fill="FFFFFF"/>
            <w:hideMark/>
          </w:tcPr>
          <w:p w:rsidR="0087651A" w:rsidRDefault="0087651A" w:rsidP="00536AC6">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87651A" w:rsidRDefault="0087651A" w:rsidP="00536AC6">
            <w:pPr>
              <w:ind w:left="-283"/>
              <w:jc w:val="right"/>
              <w:rPr>
                <w:b/>
                <w:bCs/>
                <w:sz w:val="18"/>
                <w:szCs w:val="18"/>
              </w:rPr>
            </w:pPr>
            <w:r>
              <w:rPr>
                <w:b/>
                <w:bCs/>
                <w:sz w:val="18"/>
                <w:szCs w:val="18"/>
              </w:rPr>
              <w:t> </w:t>
            </w:r>
          </w:p>
        </w:tc>
        <w:tc>
          <w:tcPr>
            <w:tcW w:w="621" w:type="dxa"/>
            <w:tcBorders>
              <w:top w:val="nil"/>
              <w:left w:val="nil"/>
              <w:bottom w:val="nil"/>
              <w:right w:val="nil"/>
            </w:tcBorders>
            <w:shd w:val="clear" w:color="000000" w:fill="FFFFFF"/>
            <w:hideMark/>
          </w:tcPr>
          <w:p w:rsidR="0087651A" w:rsidRDefault="0087651A" w:rsidP="00536AC6">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87651A" w:rsidRDefault="0087651A" w:rsidP="00536AC6">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87651A" w:rsidRDefault="0087651A" w:rsidP="00536AC6">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87651A" w:rsidRDefault="0087651A" w:rsidP="00536AC6">
            <w:pPr>
              <w:ind w:left="-283"/>
              <w:jc w:val="right"/>
              <w:rPr>
                <w:b/>
                <w:bCs/>
                <w:sz w:val="18"/>
                <w:szCs w:val="18"/>
              </w:rPr>
            </w:pPr>
            <w:r>
              <w:rPr>
                <w:b/>
                <w:bCs/>
                <w:sz w:val="18"/>
                <w:szCs w:val="18"/>
              </w:rPr>
              <w:t> </w:t>
            </w:r>
          </w:p>
        </w:tc>
      </w:tr>
      <w:tr w:rsidR="0087651A" w:rsidTr="00B56568">
        <w:tc>
          <w:tcPr>
            <w:tcW w:w="1049" w:type="dxa"/>
            <w:tcBorders>
              <w:top w:val="nil"/>
              <w:left w:val="nil"/>
              <w:bottom w:val="nil"/>
              <w:right w:val="nil"/>
            </w:tcBorders>
            <w:shd w:val="clear" w:color="000000" w:fill="FFFFFF"/>
            <w:hideMark/>
          </w:tcPr>
          <w:p w:rsidR="0087651A" w:rsidRDefault="0087651A" w:rsidP="00536AC6">
            <w:pPr>
              <w:ind w:left="-283"/>
              <w:jc w:val="right"/>
              <w:rPr>
                <w:b/>
                <w:bCs/>
                <w:sz w:val="18"/>
                <w:szCs w:val="18"/>
              </w:rPr>
            </w:pPr>
            <w:r>
              <w:rPr>
                <w:b/>
                <w:bCs/>
                <w:sz w:val="18"/>
                <w:szCs w:val="18"/>
              </w:rPr>
              <w:t>0</w:t>
            </w:r>
          </w:p>
        </w:tc>
        <w:tc>
          <w:tcPr>
            <w:tcW w:w="2306" w:type="dxa"/>
            <w:tcBorders>
              <w:top w:val="nil"/>
              <w:left w:val="nil"/>
              <w:bottom w:val="nil"/>
              <w:right w:val="nil"/>
            </w:tcBorders>
            <w:shd w:val="clear" w:color="000000" w:fill="FFFFFF"/>
            <w:hideMark/>
          </w:tcPr>
          <w:p w:rsidR="0087651A" w:rsidRDefault="0087651A" w:rsidP="00536AC6">
            <w:pPr>
              <w:rPr>
                <w:b/>
                <w:bCs/>
                <w:sz w:val="18"/>
                <w:szCs w:val="18"/>
              </w:rPr>
            </w:pPr>
            <w:r>
              <w:rPr>
                <w:b/>
                <w:bCs/>
                <w:sz w:val="18"/>
                <w:szCs w:val="18"/>
              </w:rPr>
              <w:t>Total Other Comprehensive</w:t>
            </w:r>
            <w:r>
              <w:rPr>
                <w:b/>
                <w:bCs/>
                <w:sz w:val="18"/>
                <w:szCs w:val="18"/>
              </w:rPr>
              <w:br/>
              <w:t xml:space="preserve">   Income</w:t>
            </w:r>
          </w:p>
        </w:tc>
        <w:tc>
          <w:tcPr>
            <w:tcW w:w="1180" w:type="dxa"/>
            <w:tcBorders>
              <w:top w:val="nil"/>
              <w:left w:val="nil"/>
              <w:bottom w:val="nil"/>
              <w:right w:val="nil"/>
            </w:tcBorders>
            <w:shd w:val="clear" w:color="000000" w:fill="FFFFFF"/>
            <w:hideMark/>
          </w:tcPr>
          <w:p w:rsidR="0087651A" w:rsidRDefault="0087651A" w:rsidP="00536AC6">
            <w:pPr>
              <w:ind w:left="-283"/>
              <w:jc w:val="right"/>
              <w:rPr>
                <w:b/>
                <w:bCs/>
                <w:sz w:val="18"/>
                <w:szCs w:val="18"/>
              </w:rPr>
            </w:pPr>
            <w:r>
              <w:rPr>
                <w:b/>
                <w:bCs/>
                <w:sz w:val="18"/>
                <w:szCs w:val="18"/>
              </w:rPr>
              <w:t>2,776,338</w:t>
            </w:r>
          </w:p>
        </w:tc>
        <w:tc>
          <w:tcPr>
            <w:tcW w:w="1050" w:type="dxa"/>
            <w:tcBorders>
              <w:top w:val="nil"/>
              <w:left w:val="nil"/>
              <w:bottom w:val="nil"/>
              <w:right w:val="nil"/>
            </w:tcBorders>
            <w:shd w:val="clear" w:color="000000" w:fill="FFFFFF"/>
            <w:hideMark/>
          </w:tcPr>
          <w:p w:rsidR="0087651A" w:rsidRDefault="0087651A" w:rsidP="00536AC6">
            <w:pPr>
              <w:ind w:left="-283"/>
              <w:jc w:val="right"/>
              <w:rPr>
                <w:b/>
                <w:bCs/>
                <w:sz w:val="18"/>
                <w:szCs w:val="18"/>
              </w:rPr>
            </w:pPr>
            <w:r>
              <w:rPr>
                <w:b/>
                <w:bCs/>
                <w:sz w:val="18"/>
                <w:szCs w:val="18"/>
              </w:rPr>
              <w:t>0</w:t>
            </w:r>
          </w:p>
        </w:tc>
        <w:tc>
          <w:tcPr>
            <w:tcW w:w="621" w:type="dxa"/>
            <w:tcBorders>
              <w:top w:val="nil"/>
              <w:left w:val="nil"/>
              <w:bottom w:val="nil"/>
              <w:right w:val="nil"/>
            </w:tcBorders>
            <w:shd w:val="clear" w:color="000000" w:fill="FFFFFF"/>
            <w:hideMark/>
          </w:tcPr>
          <w:p w:rsidR="0087651A" w:rsidRDefault="0087651A" w:rsidP="00536AC6">
            <w:pPr>
              <w:ind w:left="-283"/>
              <w:jc w:val="right"/>
              <w:rPr>
                <w:b/>
                <w:bCs/>
                <w:sz w:val="18"/>
                <w:szCs w:val="18"/>
              </w:rPr>
            </w:pPr>
            <w:r>
              <w:rPr>
                <w:b/>
                <w:bCs/>
                <w:sz w:val="18"/>
                <w:szCs w:val="18"/>
              </w:rPr>
              <w:t xml:space="preserve">-100 </w:t>
            </w:r>
          </w:p>
        </w:tc>
        <w:tc>
          <w:tcPr>
            <w:tcW w:w="1050" w:type="dxa"/>
            <w:tcBorders>
              <w:top w:val="nil"/>
              <w:left w:val="nil"/>
              <w:bottom w:val="nil"/>
              <w:right w:val="nil"/>
            </w:tcBorders>
            <w:shd w:val="clear" w:color="000000" w:fill="FFFFFF"/>
            <w:hideMark/>
          </w:tcPr>
          <w:p w:rsidR="0087651A" w:rsidRDefault="0087651A" w:rsidP="00536AC6">
            <w:pPr>
              <w:ind w:left="-283"/>
              <w:jc w:val="right"/>
              <w:rPr>
                <w:b/>
                <w:bCs/>
                <w:sz w:val="18"/>
                <w:szCs w:val="18"/>
              </w:rPr>
            </w:pPr>
            <w:r>
              <w:rPr>
                <w:b/>
                <w:bCs/>
                <w:sz w:val="18"/>
                <w:szCs w:val="18"/>
              </w:rPr>
              <w:t>0</w:t>
            </w:r>
          </w:p>
        </w:tc>
        <w:tc>
          <w:tcPr>
            <w:tcW w:w="1050" w:type="dxa"/>
            <w:tcBorders>
              <w:top w:val="nil"/>
              <w:left w:val="nil"/>
              <w:bottom w:val="nil"/>
              <w:right w:val="nil"/>
            </w:tcBorders>
            <w:shd w:val="clear" w:color="000000" w:fill="FFFFFF"/>
            <w:hideMark/>
          </w:tcPr>
          <w:p w:rsidR="0087651A" w:rsidRDefault="0087651A" w:rsidP="00536AC6">
            <w:pPr>
              <w:ind w:left="-283"/>
              <w:jc w:val="right"/>
              <w:rPr>
                <w:b/>
                <w:bCs/>
                <w:sz w:val="18"/>
                <w:szCs w:val="18"/>
              </w:rPr>
            </w:pPr>
            <w:r>
              <w:rPr>
                <w:b/>
                <w:bCs/>
                <w:sz w:val="18"/>
                <w:szCs w:val="18"/>
              </w:rPr>
              <w:t>0</w:t>
            </w:r>
          </w:p>
        </w:tc>
        <w:tc>
          <w:tcPr>
            <w:tcW w:w="1050" w:type="dxa"/>
            <w:tcBorders>
              <w:top w:val="nil"/>
              <w:left w:val="nil"/>
              <w:bottom w:val="nil"/>
              <w:right w:val="nil"/>
            </w:tcBorders>
            <w:shd w:val="clear" w:color="000000" w:fill="FFFFFF"/>
            <w:hideMark/>
          </w:tcPr>
          <w:p w:rsidR="0087651A" w:rsidRDefault="0087651A" w:rsidP="00536AC6">
            <w:pPr>
              <w:ind w:left="-283"/>
              <w:jc w:val="right"/>
              <w:rPr>
                <w:b/>
                <w:bCs/>
                <w:sz w:val="18"/>
                <w:szCs w:val="18"/>
              </w:rPr>
            </w:pPr>
            <w:r>
              <w:rPr>
                <w:b/>
                <w:bCs/>
                <w:sz w:val="18"/>
                <w:szCs w:val="18"/>
              </w:rPr>
              <w:t>0</w:t>
            </w:r>
          </w:p>
        </w:tc>
      </w:tr>
      <w:tr w:rsidR="0087651A" w:rsidTr="00B56568">
        <w:tc>
          <w:tcPr>
            <w:tcW w:w="1049" w:type="dxa"/>
            <w:tcBorders>
              <w:top w:val="nil"/>
              <w:left w:val="nil"/>
              <w:bottom w:val="nil"/>
              <w:right w:val="nil"/>
            </w:tcBorders>
            <w:shd w:val="clear" w:color="000000" w:fill="FFFFFF"/>
            <w:hideMark/>
          </w:tcPr>
          <w:p w:rsidR="0087651A" w:rsidRDefault="0087651A" w:rsidP="00536AC6">
            <w:pPr>
              <w:ind w:left="-283"/>
              <w:jc w:val="right"/>
              <w:rPr>
                <w:b/>
                <w:bCs/>
                <w:sz w:val="18"/>
                <w:szCs w:val="18"/>
              </w:rPr>
            </w:pPr>
            <w:r>
              <w:rPr>
                <w:b/>
                <w:bCs/>
                <w:sz w:val="18"/>
                <w:szCs w:val="18"/>
              </w:rPr>
              <w:t> </w:t>
            </w:r>
          </w:p>
        </w:tc>
        <w:tc>
          <w:tcPr>
            <w:tcW w:w="2306" w:type="dxa"/>
            <w:tcBorders>
              <w:top w:val="nil"/>
              <w:left w:val="nil"/>
              <w:bottom w:val="nil"/>
              <w:right w:val="nil"/>
            </w:tcBorders>
            <w:shd w:val="clear" w:color="000000" w:fill="FFFFFF"/>
            <w:hideMark/>
          </w:tcPr>
          <w:p w:rsidR="0087651A" w:rsidRDefault="0087651A" w:rsidP="00536AC6">
            <w:pPr>
              <w:rPr>
                <w:b/>
                <w:bCs/>
                <w:sz w:val="18"/>
                <w:szCs w:val="18"/>
              </w:rPr>
            </w:pPr>
            <w:r>
              <w:rPr>
                <w:b/>
                <w:bCs/>
                <w:sz w:val="18"/>
                <w:szCs w:val="18"/>
              </w:rPr>
              <w:t> </w:t>
            </w:r>
          </w:p>
        </w:tc>
        <w:tc>
          <w:tcPr>
            <w:tcW w:w="1180" w:type="dxa"/>
            <w:tcBorders>
              <w:top w:val="nil"/>
              <w:left w:val="nil"/>
              <w:bottom w:val="nil"/>
              <w:right w:val="nil"/>
            </w:tcBorders>
            <w:shd w:val="clear" w:color="000000" w:fill="FFFFFF"/>
            <w:hideMark/>
          </w:tcPr>
          <w:p w:rsidR="0087651A" w:rsidRDefault="0087651A" w:rsidP="00536AC6">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87651A" w:rsidRDefault="0087651A" w:rsidP="00536AC6">
            <w:pPr>
              <w:ind w:left="-283"/>
              <w:jc w:val="right"/>
              <w:rPr>
                <w:b/>
                <w:bCs/>
                <w:sz w:val="18"/>
                <w:szCs w:val="18"/>
              </w:rPr>
            </w:pPr>
            <w:r>
              <w:rPr>
                <w:b/>
                <w:bCs/>
                <w:sz w:val="18"/>
                <w:szCs w:val="18"/>
              </w:rPr>
              <w:t> </w:t>
            </w:r>
          </w:p>
        </w:tc>
        <w:tc>
          <w:tcPr>
            <w:tcW w:w="621" w:type="dxa"/>
            <w:tcBorders>
              <w:top w:val="nil"/>
              <w:left w:val="nil"/>
              <w:bottom w:val="nil"/>
              <w:right w:val="nil"/>
            </w:tcBorders>
            <w:shd w:val="clear" w:color="000000" w:fill="FFFFFF"/>
            <w:hideMark/>
          </w:tcPr>
          <w:p w:rsidR="0087651A" w:rsidRDefault="0087651A" w:rsidP="00536AC6">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87651A" w:rsidRDefault="0087651A" w:rsidP="00536AC6">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87651A" w:rsidRDefault="0087651A" w:rsidP="00536AC6">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87651A" w:rsidRDefault="0087651A" w:rsidP="00536AC6">
            <w:pPr>
              <w:ind w:left="-283"/>
              <w:jc w:val="right"/>
              <w:rPr>
                <w:b/>
                <w:bCs/>
                <w:sz w:val="18"/>
                <w:szCs w:val="18"/>
              </w:rPr>
            </w:pPr>
            <w:r>
              <w:rPr>
                <w:b/>
                <w:bCs/>
                <w:sz w:val="18"/>
                <w:szCs w:val="18"/>
              </w:rPr>
              <w:t> </w:t>
            </w:r>
          </w:p>
        </w:tc>
      </w:tr>
      <w:tr w:rsidR="0087651A" w:rsidTr="00B56568">
        <w:tc>
          <w:tcPr>
            <w:tcW w:w="1049" w:type="dxa"/>
            <w:tcBorders>
              <w:top w:val="nil"/>
              <w:left w:val="nil"/>
              <w:bottom w:val="nil"/>
              <w:right w:val="nil"/>
            </w:tcBorders>
            <w:shd w:val="clear" w:color="000000" w:fill="FFFFFF"/>
            <w:hideMark/>
          </w:tcPr>
          <w:p w:rsidR="0087651A" w:rsidRDefault="0087651A" w:rsidP="00536AC6">
            <w:pPr>
              <w:ind w:left="-283"/>
              <w:jc w:val="right"/>
              <w:rPr>
                <w:b/>
                <w:bCs/>
                <w:sz w:val="18"/>
                <w:szCs w:val="18"/>
              </w:rPr>
            </w:pPr>
            <w:r>
              <w:rPr>
                <w:b/>
                <w:bCs/>
                <w:sz w:val="18"/>
                <w:szCs w:val="18"/>
              </w:rPr>
              <w:t>-267,272</w:t>
            </w:r>
          </w:p>
        </w:tc>
        <w:tc>
          <w:tcPr>
            <w:tcW w:w="2306" w:type="dxa"/>
            <w:tcBorders>
              <w:top w:val="nil"/>
              <w:left w:val="nil"/>
              <w:bottom w:val="nil"/>
              <w:right w:val="nil"/>
            </w:tcBorders>
            <w:shd w:val="clear" w:color="000000" w:fill="FFFFFF"/>
            <w:hideMark/>
          </w:tcPr>
          <w:p w:rsidR="0087651A" w:rsidRDefault="0087651A" w:rsidP="00536AC6">
            <w:pPr>
              <w:rPr>
                <w:b/>
                <w:bCs/>
                <w:sz w:val="18"/>
                <w:szCs w:val="18"/>
              </w:rPr>
            </w:pPr>
            <w:r>
              <w:rPr>
                <w:b/>
                <w:bCs/>
                <w:sz w:val="18"/>
                <w:szCs w:val="18"/>
              </w:rPr>
              <w:t>Total Comprehensive</w:t>
            </w:r>
            <w:r>
              <w:rPr>
                <w:b/>
                <w:bCs/>
                <w:sz w:val="18"/>
                <w:szCs w:val="18"/>
              </w:rPr>
              <w:br/>
              <w:t xml:space="preserve">   Income</w:t>
            </w:r>
          </w:p>
        </w:tc>
        <w:tc>
          <w:tcPr>
            <w:tcW w:w="1180" w:type="dxa"/>
            <w:tcBorders>
              <w:top w:val="nil"/>
              <w:left w:val="nil"/>
              <w:bottom w:val="nil"/>
              <w:right w:val="nil"/>
            </w:tcBorders>
            <w:shd w:val="clear" w:color="000000" w:fill="FFFFFF"/>
            <w:hideMark/>
          </w:tcPr>
          <w:p w:rsidR="0087651A" w:rsidRDefault="0087651A" w:rsidP="00536AC6">
            <w:pPr>
              <w:ind w:left="-283"/>
              <w:jc w:val="right"/>
              <w:rPr>
                <w:b/>
                <w:bCs/>
                <w:sz w:val="18"/>
                <w:szCs w:val="18"/>
              </w:rPr>
            </w:pPr>
            <w:r>
              <w:rPr>
                <w:b/>
                <w:bCs/>
                <w:sz w:val="18"/>
                <w:szCs w:val="18"/>
              </w:rPr>
              <w:t>2,573,290</w:t>
            </w:r>
          </w:p>
        </w:tc>
        <w:tc>
          <w:tcPr>
            <w:tcW w:w="1050" w:type="dxa"/>
            <w:tcBorders>
              <w:top w:val="nil"/>
              <w:left w:val="nil"/>
              <w:bottom w:val="nil"/>
              <w:right w:val="nil"/>
            </w:tcBorders>
            <w:shd w:val="clear" w:color="000000" w:fill="FFFFFF"/>
            <w:hideMark/>
          </w:tcPr>
          <w:p w:rsidR="0087651A" w:rsidRDefault="0087651A" w:rsidP="00536AC6">
            <w:pPr>
              <w:ind w:left="-283"/>
              <w:jc w:val="right"/>
              <w:rPr>
                <w:b/>
                <w:bCs/>
                <w:sz w:val="18"/>
                <w:szCs w:val="18"/>
              </w:rPr>
            </w:pPr>
            <w:r>
              <w:rPr>
                <w:b/>
                <w:bCs/>
                <w:sz w:val="18"/>
                <w:szCs w:val="18"/>
              </w:rPr>
              <w:t>-264,364</w:t>
            </w:r>
          </w:p>
        </w:tc>
        <w:tc>
          <w:tcPr>
            <w:tcW w:w="621" w:type="dxa"/>
            <w:tcBorders>
              <w:top w:val="nil"/>
              <w:left w:val="nil"/>
              <w:bottom w:val="nil"/>
              <w:right w:val="nil"/>
            </w:tcBorders>
            <w:shd w:val="clear" w:color="000000" w:fill="FFFFFF"/>
            <w:hideMark/>
          </w:tcPr>
          <w:p w:rsidR="0087651A" w:rsidRDefault="0087651A" w:rsidP="00536AC6">
            <w:pPr>
              <w:ind w:left="-283"/>
              <w:jc w:val="right"/>
              <w:rPr>
                <w:b/>
                <w:bCs/>
                <w:sz w:val="18"/>
                <w:szCs w:val="18"/>
              </w:rPr>
            </w:pPr>
            <w:r>
              <w:rPr>
                <w:b/>
                <w:bCs/>
                <w:sz w:val="18"/>
                <w:szCs w:val="18"/>
              </w:rPr>
              <w:t xml:space="preserve">-110 </w:t>
            </w:r>
          </w:p>
        </w:tc>
        <w:tc>
          <w:tcPr>
            <w:tcW w:w="1050" w:type="dxa"/>
            <w:tcBorders>
              <w:top w:val="nil"/>
              <w:left w:val="nil"/>
              <w:bottom w:val="nil"/>
              <w:right w:val="nil"/>
            </w:tcBorders>
            <w:shd w:val="clear" w:color="000000" w:fill="FFFFFF"/>
            <w:hideMark/>
          </w:tcPr>
          <w:p w:rsidR="0087651A" w:rsidRDefault="0087651A" w:rsidP="00536AC6">
            <w:pPr>
              <w:ind w:left="-283"/>
              <w:jc w:val="right"/>
              <w:rPr>
                <w:b/>
                <w:bCs/>
                <w:sz w:val="18"/>
                <w:szCs w:val="18"/>
              </w:rPr>
            </w:pPr>
            <w:r>
              <w:rPr>
                <w:b/>
                <w:bCs/>
                <w:sz w:val="18"/>
                <w:szCs w:val="18"/>
              </w:rPr>
              <w:t>-261,956</w:t>
            </w:r>
          </w:p>
        </w:tc>
        <w:tc>
          <w:tcPr>
            <w:tcW w:w="1050" w:type="dxa"/>
            <w:tcBorders>
              <w:top w:val="nil"/>
              <w:left w:val="nil"/>
              <w:bottom w:val="nil"/>
              <w:right w:val="nil"/>
            </w:tcBorders>
            <w:shd w:val="clear" w:color="000000" w:fill="FFFFFF"/>
            <w:hideMark/>
          </w:tcPr>
          <w:p w:rsidR="0087651A" w:rsidRDefault="0087651A" w:rsidP="00536AC6">
            <w:pPr>
              <w:ind w:left="-283"/>
              <w:jc w:val="right"/>
              <w:rPr>
                <w:b/>
                <w:bCs/>
                <w:sz w:val="18"/>
                <w:szCs w:val="18"/>
              </w:rPr>
            </w:pPr>
            <w:r>
              <w:rPr>
                <w:b/>
                <w:bCs/>
                <w:sz w:val="18"/>
                <w:szCs w:val="18"/>
              </w:rPr>
              <w:t>-258,241</w:t>
            </w:r>
          </w:p>
        </w:tc>
        <w:tc>
          <w:tcPr>
            <w:tcW w:w="1050" w:type="dxa"/>
            <w:tcBorders>
              <w:top w:val="nil"/>
              <w:left w:val="nil"/>
              <w:bottom w:val="nil"/>
              <w:right w:val="nil"/>
            </w:tcBorders>
            <w:shd w:val="clear" w:color="000000" w:fill="FFFFFF"/>
            <w:hideMark/>
          </w:tcPr>
          <w:p w:rsidR="0087651A" w:rsidRDefault="0087651A" w:rsidP="00536AC6">
            <w:pPr>
              <w:ind w:left="-283"/>
              <w:jc w:val="right"/>
              <w:rPr>
                <w:b/>
                <w:bCs/>
                <w:sz w:val="18"/>
                <w:szCs w:val="18"/>
              </w:rPr>
            </w:pPr>
            <w:r>
              <w:rPr>
                <w:b/>
                <w:bCs/>
                <w:sz w:val="18"/>
                <w:szCs w:val="18"/>
              </w:rPr>
              <w:t>-252,608</w:t>
            </w:r>
          </w:p>
        </w:tc>
      </w:tr>
      <w:tr w:rsidR="0087651A" w:rsidTr="00B56568">
        <w:tc>
          <w:tcPr>
            <w:tcW w:w="1049" w:type="dxa"/>
            <w:tcBorders>
              <w:top w:val="nil"/>
              <w:left w:val="nil"/>
              <w:bottom w:val="single" w:sz="4" w:space="0" w:color="auto"/>
              <w:right w:val="nil"/>
            </w:tcBorders>
            <w:shd w:val="clear" w:color="000000" w:fill="FFFFFF"/>
            <w:hideMark/>
          </w:tcPr>
          <w:p w:rsidR="0087651A" w:rsidRDefault="0087651A" w:rsidP="00536AC6">
            <w:pPr>
              <w:ind w:left="-283"/>
              <w:jc w:val="right"/>
              <w:rPr>
                <w:sz w:val="18"/>
                <w:szCs w:val="18"/>
              </w:rPr>
            </w:pPr>
            <w:r>
              <w:rPr>
                <w:sz w:val="18"/>
                <w:szCs w:val="18"/>
              </w:rPr>
              <w:t> </w:t>
            </w:r>
          </w:p>
        </w:tc>
        <w:tc>
          <w:tcPr>
            <w:tcW w:w="2306" w:type="dxa"/>
            <w:tcBorders>
              <w:top w:val="nil"/>
              <w:left w:val="nil"/>
              <w:bottom w:val="single" w:sz="4" w:space="0" w:color="auto"/>
              <w:right w:val="nil"/>
            </w:tcBorders>
            <w:shd w:val="clear" w:color="000000" w:fill="FFFFFF"/>
            <w:hideMark/>
          </w:tcPr>
          <w:p w:rsidR="0087651A" w:rsidRDefault="0087651A" w:rsidP="00536AC6">
            <w:pPr>
              <w:rPr>
                <w:sz w:val="18"/>
                <w:szCs w:val="18"/>
              </w:rPr>
            </w:pPr>
            <w:r>
              <w:rPr>
                <w:sz w:val="18"/>
                <w:szCs w:val="18"/>
              </w:rPr>
              <w:t> </w:t>
            </w:r>
          </w:p>
        </w:tc>
        <w:tc>
          <w:tcPr>
            <w:tcW w:w="1180" w:type="dxa"/>
            <w:tcBorders>
              <w:top w:val="nil"/>
              <w:left w:val="nil"/>
              <w:bottom w:val="single" w:sz="4" w:space="0" w:color="auto"/>
              <w:right w:val="nil"/>
            </w:tcBorders>
            <w:shd w:val="clear" w:color="000000" w:fill="FFFFFF"/>
            <w:hideMark/>
          </w:tcPr>
          <w:p w:rsidR="0087651A" w:rsidRDefault="0087651A" w:rsidP="00536AC6">
            <w:pPr>
              <w:ind w:left="-283"/>
              <w:jc w:val="right"/>
              <w:rPr>
                <w:sz w:val="18"/>
                <w:szCs w:val="18"/>
              </w:rPr>
            </w:pPr>
            <w:r>
              <w:rPr>
                <w:sz w:val="18"/>
                <w:szCs w:val="18"/>
              </w:rPr>
              <w:t> </w:t>
            </w:r>
          </w:p>
        </w:tc>
        <w:tc>
          <w:tcPr>
            <w:tcW w:w="1050" w:type="dxa"/>
            <w:tcBorders>
              <w:top w:val="nil"/>
              <w:left w:val="nil"/>
              <w:bottom w:val="single" w:sz="4" w:space="0" w:color="auto"/>
              <w:right w:val="nil"/>
            </w:tcBorders>
            <w:shd w:val="clear" w:color="000000" w:fill="FFFFFF"/>
            <w:hideMark/>
          </w:tcPr>
          <w:p w:rsidR="0087651A" w:rsidRDefault="0087651A" w:rsidP="00536AC6">
            <w:pPr>
              <w:ind w:left="-283"/>
              <w:jc w:val="right"/>
              <w:rPr>
                <w:sz w:val="18"/>
                <w:szCs w:val="18"/>
              </w:rPr>
            </w:pPr>
            <w:r>
              <w:rPr>
                <w:sz w:val="18"/>
                <w:szCs w:val="18"/>
              </w:rPr>
              <w:t> </w:t>
            </w:r>
          </w:p>
        </w:tc>
        <w:tc>
          <w:tcPr>
            <w:tcW w:w="621" w:type="dxa"/>
            <w:tcBorders>
              <w:top w:val="nil"/>
              <w:left w:val="nil"/>
              <w:bottom w:val="single" w:sz="4" w:space="0" w:color="auto"/>
              <w:right w:val="nil"/>
            </w:tcBorders>
            <w:shd w:val="clear" w:color="000000" w:fill="FFFFFF"/>
            <w:hideMark/>
          </w:tcPr>
          <w:p w:rsidR="0087651A" w:rsidRDefault="0087651A" w:rsidP="00536AC6">
            <w:pPr>
              <w:ind w:left="-283"/>
              <w:jc w:val="right"/>
              <w:rPr>
                <w:sz w:val="18"/>
                <w:szCs w:val="18"/>
              </w:rPr>
            </w:pPr>
            <w:r>
              <w:rPr>
                <w:sz w:val="18"/>
                <w:szCs w:val="18"/>
              </w:rPr>
              <w:t> </w:t>
            </w:r>
          </w:p>
        </w:tc>
        <w:tc>
          <w:tcPr>
            <w:tcW w:w="1050" w:type="dxa"/>
            <w:tcBorders>
              <w:top w:val="nil"/>
              <w:left w:val="nil"/>
              <w:bottom w:val="single" w:sz="4" w:space="0" w:color="auto"/>
              <w:right w:val="nil"/>
            </w:tcBorders>
            <w:shd w:val="clear" w:color="000000" w:fill="FFFFFF"/>
            <w:hideMark/>
          </w:tcPr>
          <w:p w:rsidR="0087651A" w:rsidRDefault="0087651A" w:rsidP="00536AC6">
            <w:pPr>
              <w:ind w:left="-283"/>
              <w:jc w:val="right"/>
              <w:rPr>
                <w:sz w:val="18"/>
                <w:szCs w:val="18"/>
              </w:rPr>
            </w:pPr>
            <w:r>
              <w:rPr>
                <w:sz w:val="18"/>
                <w:szCs w:val="18"/>
              </w:rPr>
              <w:t> </w:t>
            </w:r>
          </w:p>
        </w:tc>
        <w:tc>
          <w:tcPr>
            <w:tcW w:w="1050" w:type="dxa"/>
            <w:tcBorders>
              <w:top w:val="nil"/>
              <w:left w:val="nil"/>
              <w:bottom w:val="single" w:sz="4" w:space="0" w:color="auto"/>
              <w:right w:val="nil"/>
            </w:tcBorders>
            <w:shd w:val="clear" w:color="000000" w:fill="FFFFFF"/>
            <w:hideMark/>
          </w:tcPr>
          <w:p w:rsidR="0087651A" w:rsidRDefault="0087651A" w:rsidP="00536AC6">
            <w:pPr>
              <w:ind w:left="-283"/>
              <w:jc w:val="right"/>
              <w:rPr>
                <w:sz w:val="18"/>
                <w:szCs w:val="18"/>
              </w:rPr>
            </w:pPr>
            <w:r>
              <w:rPr>
                <w:sz w:val="18"/>
                <w:szCs w:val="18"/>
              </w:rPr>
              <w:t> </w:t>
            </w:r>
          </w:p>
        </w:tc>
        <w:tc>
          <w:tcPr>
            <w:tcW w:w="1050" w:type="dxa"/>
            <w:tcBorders>
              <w:top w:val="nil"/>
              <w:left w:val="nil"/>
              <w:bottom w:val="single" w:sz="4" w:space="0" w:color="auto"/>
              <w:right w:val="nil"/>
            </w:tcBorders>
            <w:shd w:val="clear" w:color="000000" w:fill="FFFFFF"/>
            <w:hideMark/>
          </w:tcPr>
          <w:p w:rsidR="0087651A" w:rsidRDefault="0087651A" w:rsidP="00536AC6">
            <w:pPr>
              <w:ind w:left="-283"/>
              <w:jc w:val="right"/>
              <w:rPr>
                <w:sz w:val="18"/>
                <w:szCs w:val="18"/>
              </w:rPr>
            </w:pPr>
            <w:r>
              <w:rPr>
                <w:sz w:val="18"/>
                <w:szCs w:val="18"/>
              </w:rPr>
              <w:t> </w:t>
            </w:r>
          </w:p>
        </w:tc>
      </w:tr>
    </w:tbl>
    <w:p w:rsidR="00B56568" w:rsidRDefault="00B56568" w:rsidP="00B56568">
      <w:pPr>
        <w:pStyle w:val="NoteHeading0"/>
      </w:pPr>
      <w:r>
        <w:t>Note:</w:t>
      </w:r>
    </w:p>
    <w:p w:rsidR="0028326A" w:rsidRPr="00DF2E34" w:rsidRDefault="0028326A" w:rsidP="00DB27AD">
      <w:pPr>
        <w:pStyle w:val="AINotes"/>
        <w:numPr>
          <w:ilvl w:val="0"/>
          <w:numId w:val="28"/>
        </w:numPr>
      </w:pPr>
      <w:r>
        <w:rPr>
          <w:lang w:val="en-US"/>
        </w:rPr>
        <w:t>Interest received from investments with the Territory Banking Account is no longer presented as Interest Income.  These amounts are now reflected under the line item Distribution from the Territory Banking Account.  This treatment is not reflected in the 2012</w:t>
      </w:r>
      <w:r>
        <w:rPr>
          <w:lang w:val="en-US"/>
        </w:rPr>
        <w:noBreakHyphen/>
        <w:t>13 Budget figures.</w:t>
      </w:r>
    </w:p>
    <w:p w:rsidR="00E85F3C" w:rsidRPr="00B87E1E" w:rsidRDefault="006E48D6" w:rsidP="004B1F76">
      <w:pPr>
        <w:pStyle w:val="Heading3Centred"/>
        <w:rPr>
          <w:rFonts w:ascii="Times New Roman" w:hAnsi="Times New Roman"/>
          <w:sz w:val="18"/>
        </w:rPr>
      </w:pPr>
      <w:r>
        <w:br w:type="page"/>
      </w:r>
    </w:p>
    <w:tbl>
      <w:tblPr>
        <w:tblW w:w="9393" w:type="dxa"/>
        <w:tblLook w:val="04A0"/>
      </w:tblPr>
      <w:tblGrid>
        <w:gridCol w:w="1054"/>
        <w:gridCol w:w="2315"/>
        <w:gridCol w:w="1184"/>
        <w:gridCol w:w="1054"/>
        <w:gridCol w:w="624"/>
        <w:gridCol w:w="1054"/>
        <w:gridCol w:w="1054"/>
        <w:gridCol w:w="1054"/>
      </w:tblGrid>
      <w:tr w:rsidR="00536AC6" w:rsidTr="005F6BE4">
        <w:trPr>
          <w:tblHeader/>
        </w:trPr>
        <w:tc>
          <w:tcPr>
            <w:tcW w:w="9393" w:type="dxa"/>
            <w:gridSpan w:val="8"/>
            <w:tcBorders>
              <w:top w:val="nil"/>
              <w:left w:val="nil"/>
              <w:bottom w:val="nil"/>
              <w:right w:val="nil"/>
            </w:tcBorders>
            <w:shd w:val="clear" w:color="000000" w:fill="FFFFFF"/>
            <w:noWrap/>
            <w:vAlign w:val="bottom"/>
            <w:hideMark/>
          </w:tcPr>
          <w:p w:rsidR="00536AC6" w:rsidRDefault="00536AC6" w:rsidP="00536AC6">
            <w:pPr>
              <w:jc w:val="center"/>
              <w:rPr>
                <w:rFonts w:ascii="Arial" w:hAnsi="Arial" w:cs="Arial"/>
                <w:b/>
                <w:bCs/>
                <w:szCs w:val="24"/>
              </w:rPr>
            </w:pPr>
            <w:bookmarkStart w:id="1" w:name="Temp"/>
            <w:bookmarkEnd w:id="1"/>
            <w:r>
              <w:rPr>
                <w:rFonts w:ascii="Arial" w:hAnsi="Arial" w:cs="Arial"/>
                <w:b/>
                <w:bCs/>
              </w:rPr>
              <w:lastRenderedPageBreak/>
              <w:t>Superannuation Provision Account</w:t>
            </w:r>
          </w:p>
        </w:tc>
      </w:tr>
      <w:tr w:rsidR="00536AC6" w:rsidTr="005F6BE4">
        <w:trPr>
          <w:tblHeader/>
        </w:trPr>
        <w:tc>
          <w:tcPr>
            <w:tcW w:w="9393" w:type="dxa"/>
            <w:gridSpan w:val="8"/>
            <w:tcBorders>
              <w:top w:val="nil"/>
              <w:left w:val="nil"/>
              <w:bottom w:val="nil"/>
              <w:right w:val="nil"/>
            </w:tcBorders>
            <w:shd w:val="clear" w:color="000000" w:fill="FFFFFF"/>
            <w:noWrap/>
            <w:vAlign w:val="bottom"/>
            <w:hideMark/>
          </w:tcPr>
          <w:p w:rsidR="00536AC6" w:rsidRDefault="00536AC6" w:rsidP="00536AC6">
            <w:pPr>
              <w:spacing w:after="60"/>
              <w:jc w:val="center"/>
              <w:rPr>
                <w:rFonts w:ascii="Arial" w:hAnsi="Arial" w:cs="Arial"/>
                <w:b/>
                <w:bCs/>
                <w:szCs w:val="24"/>
              </w:rPr>
            </w:pPr>
            <w:r>
              <w:rPr>
                <w:rFonts w:ascii="Arial" w:hAnsi="Arial" w:cs="Arial"/>
                <w:b/>
                <w:bCs/>
              </w:rPr>
              <w:t>Statement of Assets and Liabilities on Behalf of the Territory</w:t>
            </w:r>
          </w:p>
        </w:tc>
      </w:tr>
      <w:tr w:rsidR="00536AC6" w:rsidTr="005F6BE4">
        <w:trPr>
          <w:tblHeader/>
        </w:trPr>
        <w:tc>
          <w:tcPr>
            <w:tcW w:w="1054" w:type="dxa"/>
            <w:tcBorders>
              <w:top w:val="single" w:sz="4" w:space="0" w:color="auto"/>
              <w:left w:val="nil"/>
              <w:bottom w:val="nil"/>
              <w:right w:val="nil"/>
            </w:tcBorders>
            <w:shd w:val="clear" w:color="000000" w:fill="FFFFFF"/>
            <w:noWrap/>
            <w:hideMark/>
          </w:tcPr>
          <w:p w:rsidR="00536AC6" w:rsidRDefault="00536AC6" w:rsidP="00536AC6">
            <w:pPr>
              <w:ind w:left="-283"/>
              <w:jc w:val="right"/>
              <w:rPr>
                <w:b/>
                <w:bCs/>
                <w:sz w:val="18"/>
                <w:szCs w:val="18"/>
              </w:rPr>
            </w:pPr>
            <w:r>
              <w:rPr>
                <w:b/>
                <w:bCs/>
                <w:sz w:val="18"/>
                <w:szCs w:val="18"/>
              </w:rPr>
              <w:t>Budget</w:t>
            </w:r>
          </w:p>
        </w:tc>
        <w:tc>
          <w:tcPr>
            <w:tcW w:w="2315" w:type="dxa"/>
            <w:tcBorders>
              <w:top w:val="single" w:sz="4" w:space="0" w:color="auto"/>
              <w:left w:val="nil"/>
              <w:bottom w:val="nil"/>
              <w:right w:val="nil"/>
            </w:tcBorders>
            <w:shd w:val="clear" w:color="000000" w:fill="FFFFFF"/>
            <w:noWrap/>
            <w:hideMark/>
          </w:tcPr>
          <w:p w:rsidR="00536AC6" w:rsidRDefault="00536AC6" w:rsidP="00536AC6">
            <w:pPr>
              <w:rPr>
                <w:b/>
                <w:bCs/>
                <w:sz w:val="18"/>
                <w:szCs w:val="18"/>
              </w:rPr>
            </w:pPr>
            <w:r>
              <w:rPr>
                <w:b/>
                <w:bCs/>
                <w:sz w:val="18"/>
                <w:szCs w:val="18"/>
              </w:rPr>
              <w:t> </w:t>
            </w:r>
          </w:p>
        </w:tc>
        <w:tc>
          <w:tcPr>
            <w:tcW w:w="1184" w:type="dxa"/>
            <w:tcBorders>
              <w:top w:val="single" w:sz="4" w:space="0" w:color="auto"/>
              <w:left w:val="nil"/>
              <w:bottom w:val="nil"/>
              <w:right w:val="nil"/>
            </w:tcBorders>
            <w:shd w:val="clear" w:color="000000" w:fill="FFFFFF"/>
            <w:noWrap/>
            <w:hideMark/>
          </w:tcPr>
          <w:p w:rsidR="00536AC6" w:rsidRDefault="00536AC6" w:rsidP="00536AC6">
            <w:pPr>
              <w:ind w:left="-283"/>
              <w:jc w:val="right"/>
              <w:rPr>
                <w:b/>
                <w:bCs/>
                <w:sz w:val="18"/>
                <w:szCs w:val="18"/>
              </w:rPr>
            </w:pPr>
            <w:r>
              <w:rPr>
                <w:b/>
                <w:bCs/>
                <w:sz w:val="18"/>
                <w:szCs w:val="18"/>
              </w:rPr>
              <w:t>Est. Outcome</w:t>
            </w:r>
          </w:p>
        </w:tc>
        <w:tc>
          <w:tcPr>
            <w:tcW w:w="1054" w:type="dxa"/>
            <w:tcBorders>
              <w:top w:val="single" w:sz="4" w:space="0" w:color="auto"/>
              <w:left w:val="nil"/>
              <w:bottom w:val="nil"/>
              <w:right w:val="nil"/>
            </w:tcBorders>
            <w:shd w:val="clear" w:color="000000" w:fill="FFFFFF"/>
            <w:noWrap/>
            <w:hideMark/>
          </w:tcPr>
          <w:p w:rsidR="00536AC6" w:rsidRDefault="00536AC6" w:rsidP="00536AC6">
            <w:pPr>
              <w:ind w:left="-283"/>
              <w:jc w:val="right"/>
              <w:rPr>
                <w:b/>
                <w:bCs/>
                <w:sz w:val="18"/>
                <w:szCs w:val="18"/>
              </w:rPr>
            </w:pPr>
            <w:r>
              <w:rPr>
                <w:b/>
                <w:bCs/>
                <w:sz w:val="18"/>
                <w:szCs w:val="18"/>
              </w:rPr>
              <w:t>Budget</w:t>
            </w:r>
          </w:p>
        </w:tc>
        <w:tc>
          <w:tcPr>
            <w:tcW w:w="624" w:type="dxa"/>
            <w:tcBorders>
              <w:top w:val="single" w:sz="4" w:space="0" w:color="auto"/>
              <w:left w:val="nil"/>
              <w:bottom w:val="nil"/>
              <w:right w:val="nil"/>
            </w:tcBorders>
            <w:shd w:val="clear" w:color="000000" w:fill="FFFFFF"/>
            <w:noWrap/>
            <w:hideMark/>
          </w:tcPr>
          <w:p w:rsidR="00536AC6" w:rsidRDefault="00536AC6" w:rsidP="00536AC6">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hideMark/>
          </w:tcPr>
          <w:p w:rsidR="00536AC6" w:rsidRDefault="00536AC6" w:rsidP="00536AC6">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536AC6" w:rsidRDefault="00536AC6" w:rsidP="00536AC6">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536AC6" w:rsidRDefault="00536AC6" w:rsidP="00536AC6">
            <w:pPr>
              <w:ind w:left="-283"/>
              <w:jc w:val="right"/>
              <w:rPr>
                <w:b/>
                <w:bCs/>
                <w:sz w:val="18"/>
                <w:szCs w:val="18"/>
              </w:rPr>
            </w:pPr>
            <w:r>
              <w:rPr>
                <w:b/>
                <w:bCs/>
                <w:sz w:val="18"/>
                <w:szCs w:val="18"/>
              </w:rPr>
              <w:t>Estimate</w:t>
            </w:r>
          </w:p>
        </w:tc>
      </w:tr>
      <w:tr w:rsidR="00536AC6" w:rsidTr="005F6BE4">
        <w:trPr>
          <w:tblHeader/>
        </w:trPr>
        <w:tc>
          <w:tcPr>
            <w:tcW w:w="1054" w:type="dxa"/>
            <w:tcBorders>
              <w:top w:val="nil"/>
              <w:left w:val="nil"/>
              <w:bottom w:val="nil"/>
              <w:right w:val="nil"/>
            </w:tcBorders>
            <w:shd w:val="clear" w:color="000000" w:fill="FFFFFF"/>
            <w:hideMark/>
          </w:tcPr>
          <w:p w:rsidR="00536AC6" w:rsidRDefault="00536AC6" w:rsidP="00536AC6">
            <w:pPr>
              <w:ind w:left="-283"/>
              <w:jc w:val="right"/>
              <w:rPr>
                <w:b/>
                <w:bCs/>
                <w:sz w:val="16"/>
                <w:szCs w:val="16"/>
              </w:rPr>
            </w:pPr>
            <w:r>
              <w:rPr>
                <w:b/>
                <w:bCs/>
                <w:sz w:val="16"/>
                <w:szCs w:val="16"/>
              </w:rPr>
              <w:t>as at 30/6/13</w:t>
            </w:r>
          </w:p>
        </w:tc>
        <w:tc>
          <w:tcPr>
            <w:tcW w:w="2315" w:type="dxa"/>
            <w:tcBorders>
              <w:top w:val="nil"/>
              <w:left w:val="nil"/>
              <w:bottom w:val="nil"/>
              <w:right w:val="nil"/>
            </w:tcBorders>
            <w:shd w:val="clear" w:color="000000" w:fill="FFFFFF"/>
            <w:noWrap/>
            <w:hideMark/>
          </w:tcPr>
          <w:p w:rsidR="00536AC6" w:rsidRDefault="00536AC6" w:rsidP="00536AC6">
            <w:pPr>
              <w:rPr>
                <w:b/>
                <w:bCs/>
                <w:sz w:val="16"/>
                <w:szCs w:val="16"/>
              </w:rPr>
            </w:pPr>
            <w:r>
              <w:rPr>
                <w:b/>
                <w:bCs/>
                <w:sz w:val="16"/>
                <w:szCs w:val="16"/>
              </w:rPr>
              <w:t xml:space="preserve"> </w:t>
            </w:r>
          </w:p>
        </w:tc>
        <w:tc>
          <w:tcPr>
            <w:tcW w:w="1184" w:type="dxa"/>
            <w:tcBorders>
              <w:top w:val="nil"/>
              <w:left w:val="nil"/>
              <w:bottom w:val="nil"/>
              <w:right w:val="nil"/>
            </w:tcBorders>
            <w:shd w:val="clear" w:color="000000" w:fill="FFFFFF"/>
            <w:hideMark/>
          </w:tcPr>
          <w:p w:rsidR="00536AC6" w:rsidRDefault="00536AC6" w:rsidP="00536AC6">
            <w:pPr>
              <w:ind w:left="-283"/>
              <w:jc w:val="right"/>
              <w:rPr>
                <w:b/>
                <w:bCs/>
                <w:sz w:val="16"/>
                <w:szCs w:val="16"/>
              </w:rPr>
            </w:pPr>
            <w:r>
              <w:rPr>
                <w:b/>
                <w:bCs/>
                <w:sz w:val="16"/>
                <w:szCs w:val="16"/>
              </w:rPr>
              <w:t>as at 30/6/13</w:t>
            </w:r>
          </w:p>
        </w:tc>
        <w:tc>
          <w:tcPr>
            <w:tcW w:w="1054" w:type="dxa"/>
            <w:tcBorders>
              <w:top w:val="nil"/>
              <w:left w:val="nil"/>
              <w:bottom w:val="nil"/>
              <w:right w:val="nil"/>
            </w:tcBorders>
            <w:shd w:val="clear" w:color="000000" w:fill="FFFFFF"/>
            <w:hideMark/>
          </w:tcPr>
          <w:p w:rsidR="00536AC6" w:rsidRDefault="00536AC6" w:rsidP="00536AC6">
            <w:pPr>
              <w:ind w:left="-283"/>
              <w:jc w:val="right"/>
              <w:rPr>
                <w:b/>
                <w:bCs/>
                <w:sz w:val="16"/>
                <w:szCs w:val="16"/>
              </w:rPr>
            </w:pPr>
            <w:r>
              <w:rPr>
                <w:b/>
                <w:bCs/>
                <w:sz w:val="16"/>
                <w:szCs w:val="16"/>
              </w:rPr>
              <w:t>as at 30/6/14</w:t>
            </w:r>
          </w:p>
        </w:tc>
        <w:tc>
          <w:tcPr>
            <w:tcW w:w="624" w:type="dxa"/>
            <w:tcBorders>
              <w:top w:val="nil"/>
              <w:left w:val="nil"/>
              <w:bottom w:val="nil"/>
              <w:right w:val="nil"/>
            </w:tcBorders>
            <w:shd w:val="clear" w:color="000000" w:fill="FFFFFF"/>
            <w:hideMark/>
          </w:tcPr>
          <w:p w:rsidR="00536AC6" w:rsidRDefault="00536AC6" w:rsidP="00536AC6">
            <w:pPr>
              <w:ind w:left="-283"/>
              <w:jc w:val="right"/>
              <w:rPr>
                <w:b/>
                <w:bCs/>
                <w:sz w:val="16"/>
                <w:szCs w:val="16"/>
              </w:rPr>
            </w:pPr>
            <w:proofErr w:type="spellStart"/>
            <w:r>
              <w:rPr>
                <w:b/>
                <w:bCs/>
                <w:sz w:val="16"/>
                <w:szCs w:val="16"/>
              </w:rPr>
              <w:t>Var</w:t>
            </w:r>
            <w:proofErr w:type="spellEnd"/>
          </w:p>
        </w:tc>
        <w:tc>
          <w:tcPr>
            <w:tcW w:w="1054" w:type="dxa"/>
            <w:tcBorders>
              <w:top w:val="nil"/>
              <w:left w:val="nil"/>
              <w:bottom w:val="nil"/>
              <w:right w:val="nil"/>
            </w:tcBorders>
            <w:shd w:val="clear" w:color="000000" w:fill="FFFFFF"/>
            <w:hideMark/>
          </w:tcPr>
          <w:p w:rsidR="00536AC6" w:rsidRDefault="00536AC6" w:rsidP="00536AC6">
            <w:pPr>
              <w:ind w:left="-283"/>
              <w:jc w:val="right"/>
              <w:rPr>
                <w:b/>
                <w:bCs/>
                <w:sz w:val="16"/>
                <w:szCs w:val="16"/>
              </w:rPr>
            </w:pPr>
            <w:r>
              <w:rPr>
                <w:b/>
                <w:bCs/>
                <w:sz w:val="16"/>
                <w:szCs w:val="16"/>
              </w:rPr>
              <w:t>as at 30/6/15</w:t>
            </w:r>
          </w:p>
        </w:tc>
        <w:tc>
          <w:tcPr>
            <w:tcW w:w="1054" w:type="dxa"/>
            <w:tcBorders>
              <w:top w:val="nil"/>
              <w:left w:val="nil"/>
              <w:bottom w:val="nil"/>
              <w:right w:val="nil"/>
            </w:tcBorders>
            <w:shd w:val="clear" w:color="000000" w:fill="FFFFFF"/>
            <w:hideMark/>
          </w:tcPr>
          <w:p w:rsidR="00536AC6" w:rsidRDefault="00536AC6" w:rsidP="00536AC6">
            <w:pPr>
              <w:ind w:left="-283"/>
              <w:jc w:val="right"/>
              <w:rPr>
                <w:b/>
                <w:bCs/>
                <w:sz w:val="16"/>
                <w:szCs w:val="16"/>
              </w:rPr>
            </w:pPr>
            <w:r>
              <w:rPr>
                <w:b/>
                <w:bCs/>
                <w:sz w:val="16"/>
                <w:szCs w:val="16"/>
              </w:rPr>
              <w:t>as at 30/6/16</w:t>
            </w:r>
          </w:p>
        </w:tc>
        <w:tc>
          <w:tcPr>
            <w:tcW w:w="1054" w:type="dxa"/>
            <w:tcBorders>
              <w:top w:val="nil"/>
              <w:left w:val="nil"/>
              <w:bottom w:val="nil"/>
              <w:right w:val="nil"/>
            </w:tcBorders>
            <w:shd w:val="clear" w:color="000000" w:fill="FFFFFF"/>
            <w:hideMark/>
          </w:tcPr>
          <w:p w:rsidR="00536AC6" w:rsidRDefault="00536AC6" w:rsidP="00536AC6">
            <w:pPr>
              <w:ind w:left="-283"/>
              <w:jc w:val="right"/>
              <w:rPr>
                <w:b/>
                <w:bCs/>
                <w:sz w:val="16"/>
                <w:szCs w:val="16"/>
              </w:rPr>
            </w:pPr>
            <w:r>
              <w:rPr>
                <w:b/>
                <w:bCs/>
                <w:sz w:val="16"/>
                <w:szCs w:val="16"/>
              </w:rPr>
              <w:t>as at 30/6/17</w:t>
            </w:r>
          </w:p>
        </w:tc>
      </w:tr>
      <w:tr w:rsidR="00536AC6" w:rsidTr="005F6BE4">
        <w:trPr>
          <w:tblHeader/>
        </w:trPr>
        <w:tc>
          <w:tcPr>
            <w:tcW w:w="1054" w:type="dxa"/>
            <w:tcBorders>
              <w:top w:val="nil"/>
              <w:left w:val="nil"/>
              <w:bottom w:val="single" w:sz="4" w:space="0" w:color="auto"/>
              <w:right w:val="nil"/>
            </w:tcBorders>
            <w:shd w:val="clear" w:color="000000" w:fill="FFFFFF"/>
            <w:noWrap/>
            <w:hideMark/>
          </w:tcPr>
          <w:p w:rsidR="00536AC6" w:rsidRDefault="00536AC6" w:rsidP="00536AC6">
            <w:pPr>
              <w:ind w:left="-283"/>
              <w:jc w:val="right"/>
              <w:rPr>
                <w:b/>
                <w:bCs/>
                <w:sz w:val="18"/>
                <w:szCs w:val="18"/>
              </w:rPr>
            </w:pPr>
            <w:r>
              <w:rPr>
                <w:b/>
                <w:bCs/>
                <w:sz w:val="18"/>
                <w:szCs w:val="18"/>
              </w:rPr>
              <w:t>$'000</w:t>
            </w:r>
          </w:p>
        </w:tc>
        <w:tc>
          <w:tcPr>
            <w:tcW w:w="2315" w:type="dxa"/>
            <w:tcBorders>
              <w:top w:val="nil"/>
              <w:left w:val="nil"/>
              <w:bottom w:val="single" w:sz="4" w:space="0" w:color="auto"/>
              <w:right w:val="nil"/>
            </w:tcBorders>
            <w:shd w:val="clear" w:color="000000" w:fill="FFFFFF"/>
            <w:noWrap/>
            <w:hideMark/>
          </w:tcPr>
          <w:p w:rsidR="00536AC6" w:rsidRDefault="00536AC6" w:rsidP="00536AC6">
            <w:pPr>
              <w:rPr>
                <w:sz w:val="18"/>
                <w:szCs w:val="18"/>
              </w:rPr>
            </w:pPr>
            <w:r>
              <w:rPr>
                <w:sz w:val="18"/>
                <w:szCs w:val="18"/>
              </w:rPr>
              <w:t> </w:t>
            </w:r>
          </w:p>
        </w:tc>
        <w:tc>
          <w:tcPr>
            <w:tcW w:w="1184" w:type="dxa"/>
            <w:tcBorders>
              <w:top w:val="nil"/>
              <w:left w:val="nil"/>
              <w:bottom w:val="single" w:sz="4" w:space="0" w:color="auto"/>
              <w:right w:val="nil"/>
            </w:tcBorders>
            <w:shd w:val="clear" w:color="000000" w:fill="FFFFFF"/>
            <w:noWrap/>
            <w:hideMark/>
          </w:tcPr>
          <w:p w:rsidR="00536AC6" w:rsidRDefault="00536AC6" w:rsidP="00536AC6">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536AC6" w:rsidRDefault="00536AC6" w:rsidP="00536AC6">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hideMark/>
          </w:tcPr>
          <w:p w:rsidR="00536AC6" w:rsidRDefault="00536AC6" w:rsidP="00536AC6">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hideMark/>
          </w:tcPr>
          <w:p w:rsidR="00536AC6" w:rsidRDefault="00536AC6" w:rsidP="00536AC6">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536AC6" w:rsidRDefault="00536AC6" w:rsidP="00536AC6">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536AC6" w:rsidRDefault="00536AC6" w:rsidP="00536AC6">
            <w:pPr>
              <w:ind w:left="-283"/>
              <w:jc w:val="right"/>
              <w:rPr>
                <w:b/>
                <w:bCs/>
                <w:sz w:val="18"/>
                <w:szCs w:val="18"/>
              </w:rPr>
            </w:pPr>
            <w:r>
              <w:rPr>
                <w:b/>
                <w:bCs/>
                <w:sz w:val="18"/>
                <w:szCs w:val="18"/>
              </w:rPr>
              <w:t>$'000</w:t>
            </w:r>
          </w:p>
        </w:tc>
      </w:tr>
      <w:tr w:rsidR="00536AC6" w:rsidTr="005F6BE4">
        <w:trPr>
          <w:tblHeader/>
        </w:trPr>
        <w:tc>
          <w:tcPr>
            <w:tcW w:w="105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 </w:t>
            </w:r>
          </w:p>
        </w:tc>
        <w:tc>
          <w:tcPr>
            <w:tcW w:w="2315" w:type="dxa"/>
            <w:tcBorders>
              <w:top w:val="nil"/>
              <w:left w:val="nil"/>
              <w:bottom w:val="nil"/>
              <w:right w:val="nil"/>
            </w:tcBorders>
            <w:shd w:val="clear" w:color="000000" w:fill="FFFFFF"/>
            <w:noWrap/>
            <w:hideMark/>
          </w:tcPr>
          <w:p w:rsidR="00536AC6" w:rsidRDefault="00536AC6" w:rsidP="00536AC6">
            <w:pPr>
              <w:rPr>
                <w:sz w:val="18"/>
                <w:szCs w:val="18"/>
              </w:rPr>
            </w:pPr>
            <w:r>
              <w:rPr>
                <w:sz w:val="18"/>
                <w:szCs w:val="18"/>
              </w:rPr>
              <w:t> </w:t>
            </w:r>
          </w:p>
        </w:tc>
        <w:tc>
          <w:tcPr>
            <w:tcW w:w="118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i/>
                <w:iCs/>
                <w:sz w:val="18"/>
                <w:szCs w:val="18"/>
              </w:rPr>
            </w:pPr>
            <w:r>
              <w:rPr>
                <w:i/>
                <w:iCs/>
                <w:sz w:val="18"/>
                <w:szCs w:val="18"/>
              </w:rPr>
              <w:t> </w:t>
            </w:r>
          </w:p>
        </w:tc>
        <w:tc>
          <w:tcPr>
            <w:tcW w:w="624" w:type="dxa"/>
            <w:tcBorders>
              <w:top w:val="nil"/>
              <w:left w:val="nil"/>
              <w:bottom w:val="nil"/>
              <w:right w:val="nil"/>
            </w:tcBorders>
            <w:shd w:val="clear" w:color="000000" w:fill="FFFFFF"/>
            <w:noWrap/>
            <w:hideMark/>
          </w:tcPr>
          <w:p w:rsidR="00536AC6" w:rsidRDefault="00536AC6" w:rsidP="00536AC6">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i/>
                <w:iCs/>
                <w:sz w:val="18"/>
                <w:szCs w:val="18"/>
              </w:rPr>
            </w:pPr>
            <w:r>
              <w:rPr>
                <w:i/>
                <w:iCs/>
                <w:sz w:val="18"/>
                <w:szCs w:val="18"/>
              </w:rPr>
              <w:t> </w:t>
            </w:r>
          </w:p>
        </w:tc>
      </w:tr>
      <w:tr w:rsidR="00536AC6" w:rsidTr="005F6BE4">
        <w:tc>
          <w:tcPr>
            <w:tcW w:w="1054" w:type="dxa"/>
            <w:tcBorders>
              <w:top w:val="nil"/>
              <w:left w:val="nil"/>
              <w:bottom w:val="nil"/>
              <w:right w:val="nil"/>
            </w:tcBorders>
            <w:shd w:val="clear" w:color="000000" w:fill="FFFFFF"/>
            <w:hideMark/>
          </w:tcPr>
          <w:p w:rsidR="00536AC6" w:rsidRDefault="00536AC6" w:rsidP="00536AC6">
            <w:pPr>
              <w:ind w:left="-283"/>
              <w:jc w:val="right"/>
              <w:rPr>
                <w:b/>
                <w:bCs/>
                <w:sz w:val="18"/>
                <w:szCs w:val="18"/>
              </w:rPr>
            </w:pPr>
            <w:r>
              <w:rPr>
                <w:b/>
                <w:bCs/>
                <w:sz w:val="18"/>
                <w:szCs w:val="18"/>
              </w:rPr>
              <w:t> </w:t>
            </w:r>
          </w:p>
        </w:tc>
        <w:tc>
          <w:tcPr>
            <w:tcW w:w="2315" w:type="dxa"/>
            <w:tcBorders>
              <w:top w:val="nil"/>
              <w:left w:val="nil"/>
              <w:bottom w:val="nil"/>
              <w:right w:val="nil"/>
            </w:tcBorders>
            <w:shd w:val="clear" w:color="000000" w:fill="FFFFFF"/>
            <w:hideMark/>
          </w:tcPr>
          <w:p w:rsidR="00536AC6" w:rsidRDefault="00536AC6" w:rsidP="00536AC6">
            <w:pPr>
              <w:rPr>
                <w:b/>
                <w:bCs/>
                <w:sz w:val="18"/>
                <w:szCs w:val="18"/>
              </w:rPr>
            </w:pPr>
            <w:r>
              <w:rPr>
                <w:b/>
                <w:bCs/>
                <w:sz w:val="18"/>
                <w:szCs w:val="18"/>
              </w:rPr>
              <w:t>Current Assets</w:t>
            </w:r>
          </w:p>
        </w:tc>
        <w:tc>
          <w:tcPr>
            <w:tcW w:w="1184" w:type="dxa"/>
            <w:tcBorders>
              <w:top w:val="nil"/>
              <w:left w:val="nil"/>
              <w:bottom w:val="nil"/>
              <w:right w:val="nil"/>
            </w:tcBorders>
            <w:shd w:val="clear" w:color="000000" w:fill="FFFFFF"/>
            <w:hideMark/>
          </w:tcPr>
          <w:p w:rsidR="00536AC6" w:rsidRDefault="00536AC6" w:rsidP="00536AC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536AC6" w:rsidRDefault="00536AC6" w:rsidP="00536AC6">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hideMark/>
          </w:tcPr>
          <w:p w:rsidR="00536AC6" w:rsidRDefault="00536AC6" w:rsidP="00536AC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536AC6" w:rsidRDefault="00536AC6" w:rsidP="00536AC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536AC6" w:rsidRDefault="00536AC6" w:rsidP="00536AC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536AC6" w:rsidRDefault="00536AC6" w:rsidP="00536AC6">
            <w:pPr>
              <w:ind w:left="-283"/>
              <w:jc w:val="right"/>
              <w:rPr>
                <w:b/>
                <w:bCs/>
                <w:sz w:val="18"/>
                <w:szCs w:val="18"/>
              </w:rPr>
            </w:pPr>
            <w:r>
              <w:rPr>
                <w:b/>
                <w:bCs/>
                <w:sz w:val="18"/>
                <w:szCs w:val="18"/>
              </w:rPr>
              <w:t> </w:t>
            </w:r>
          </w:p>
        </w:tc>
      </w:tr>
      <w:tr w:rsidR="00536AC6" w:rsidTr="005F6BE4">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500</w:t>
            </w:r>
          </w:p>
        </w:tc>
        <w:tc>
          <w:tcPr>
            <w:tcW w:w="2315" w:type="dxa"/>
            <w:tcBorders>
              <w:top w:val="nil"/>
              <w:left w:val="nil"/>
              <w:bottom w:val="nil"/>
              <w:right w:val="nil"/>
            </w:tcBorders>
            <w:shd w:val="clear" w:color="000000" w:fill="FFFFFF"/>
            <w:hideMark/>
          </w:tcPr>
          <w:p w:rsidR="00536AC6" w:rsidRDefault="00536AC6" w:rsidP="005F6BE4">
            <w:pPr>
              <w:rPr>
                <w:sz w:val="18"/>
                <w:szCs w:val="18"/>
              </w:rPr>
            </w:pPr>
            <w:r>
              <w:rPr>
                <w:sz w:val="18"/>
                <w:szCs w:val="18"/>
              </w:rPr>
              <w:t>Cash and Cash</w:t>
            </w:r>
            <w:r w:rsidR="005F6BE4">
              <w:rPr>
                <w:sz w:val="18"/>
                <w:szCs w:val="18"/>
              </w:rPr>
              <w:t xml:space="preserve"> </w:t>
            </w:r>
            <w:r>
              <w:rPr>
                <w:sz w:val="18"/>
                <w:szCs w:val="18"/>
              </w:rPr>
              <w:t>Equivalents</w:t>
            </w:r>
          </w:p>
        </w:tc>
        <w:tc>
          <w:tcPr>
            <w:tcW w:w="118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500</w:t>
            </w:r>
          </w:p>
        </w:tc>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500</w:t>
            </w:r>
          </w:p>
        </w:tc>
        <w:tc>
          <w:tcPr>
            <w:tcW w:w="62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500</w:t>
            </w:r>
          </w:p>
        </w:tc>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500</w:t>
            </w:r>
          </w:p>
        </w:tc>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500</w:t>
            </w:r>
          </w:p>
        </w:tc>
      </w:tr>
      <w:tr w:rsidR="00536AC6" w:rsidTr="005F6BE4">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132</w:t>
            </w:r>
          </w:p>
        </w:tc>
        <w:tc>
          <w:tcPr>
            <w:tcW w:w="2315" w:type="dxa"/>
            <w:tcBorders>
              <w:top w:val="nil"/>
              <w:left w:val="nil"/>
              <w:bottom w:val="nil"/>
              <w:right w:val="nil"/>
            </w:tcBorders>
            <w:shd w:val="clear" w:color="000000" w:fill="FFFFFF"/>
            <w:hideMark/>
          </w:tcPr>
          <w:p w:rsidR="00536AC6" w:rsidRDefault="00536AC6" w:rsidP="00536AC6">
            <w:pPr>
              <w:rPr>
                <w:sz w:val="18"/>
                <w:szCs w:val="18"/>
              </w:rPr>
            </w:pPr>
            <w:r>
              <w:rPr>
                <w:sz w:val="18"/>
                <w:szCs w:val="18"/>
              </w:rPr>
              <w:t>Receivables</w:t>
            </w:r>
          </w:p>
        </w:tc>
        <w:tc>
          <w:tcPr>
            <w:tcW w:w="118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79</w:t>
            </w:r>
          </w:p>
        </w:tc>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79</w:t>
            </w:r>
          </w:p>
        </w:tc>
        <w:tc>
          <w:tcPr>
            <w:tcW w:w="62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79</w:t>
            </w:r>
          </w:p>
        </w:tc>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79</w:t>
            </w:r>
          </w:p>
        </w:tc>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79</w:t>
            </w:r>
          </w:p>
        </w:tc>
      </w:tr>
      <w:tr w:rsidR="00536AC6" w:rsidTr="005F6BE4">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c>
          <w:tcPr>
            <w:tcW w:w="2315" w:type="dxa"/>
            <w:tcBorders>
              <w:top w:val="nil"/>
              <w:left w:val="nil"/>
              <w:bottom w:val="nil"/>
              <w:right w:val="nil"/>
            </w:tcBorders>
            <w:shd w:val="clear" w:color="000000" w:fill="FFFFFF"/>
            <w:hideMark/>
          </w:tcPr>
          <w:p w:rsidR="00536AC6" w:rsidRDefault="00536AC6" w:rsidP="00536AC6">
            <w:pPr>
              <w:rPr>
                <w:sz w:val="18"/>
                <w:szCs w:val="18"/>
              </w:rPr>
            </w:pPr>
            <w:r>
              <w:rPr>
                <w:sz w:val="18"/>
                <w:szCs w:val="18"/>
              </w:rPr>
              <w:t> </w:t>
            </w:r>
          </w:p>
        </w:tc>
        <w:tc>
          <w:tcPr>
            <w:tcW w:w="118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r>
      <w:tr w:rsidR="00536AC6" w:rsidTr="005F6BE4">
        <w:tc>
          <w:tcPr>
            <w:tcW w:w="1054" w:type="dxa"/>
            <w:tcBorders>
              <w:top w:val="nil"/>
              <w:left w:val="nil"/>
              <w:bottom w:val="nil"/>
              <w:right w:val="nil"/>
            </w:tcBorders>
            <w:shd w:val="clear" w:color="000000" w:fill="FFFFFF"/>
            <w:hideMark/>
          </w:tcPr>
          <w:p w:rsidR="00536AC6" w:rsidRDefault="00536AC6" w:rsidP="00536AC6">
            <w:pPr>
              <w:ind w:left="-283"/>
              <w:jc w:val="right"/>
              <w:rPr>
                <w:b/>
                <w:bCs/>
                <w:sz w:val="18"/>
                <w:szCs w:val="18"/>
              </w:rPr>
            </w:pPr>
            <w:r>
              <w:rPr>
                <w:b/>
                <w:bCs/>
                <w:sz w:val="18"/>
                <w:szCs w:val="18"/>
              </w:rPr>
              <w:t>632</w:t>
            </w:r>
          </w:p>
        </w:tc>
        <w:tc>
          <w:tcPr>
            <w:tcW w:w="2315" w:type="dxa"/>
            <w:tcBorders>
              <w:top w:val="nil"/>
              <w:left w:val="nil"/>
              <w:bottom w:val="nil"/>
              <w:right w:val="nil"/>
            </w:tcBorders>
            <w:shd w:val="clear" w:color="000000" w:fill="FFFFFF"/>
            <w:hideMark/>
          </w:tcPr>
          <w:p w:rsidR="00536AC6" w:rsidRDefault="00536AC6" w:rsidP="00536AC6">
            <w:pPr>
              <w:rPr>
                <w:b/>
                <w:bCs/>
                <w:sz w:val="18"/>
                <w:szCs w:val="18"/>
              </w:rPr>
            </w:pPr>
            <w:r>
              <w:rPr>
                <w:b/>
                <w:bCs/>
                <w:sz w:val="18"/>
                <w:szCs w:val="18"/>
              </w:rPr>
              <w:t>Total Current Assets</w:t>
            </w:r>
          </w:p>
        </w:tc>
        <w:tc>
          <w:tcPr>
            <w:tcW w:w="1184" w:type="dxa"/>
            <w:tcBorders>
              <w:top w:val="nil"/>
              <w:left w:val="nil"/>
              <w:bottom w:val="nil"/>
              <w:right w:val="nil"/>
            </w:tcBorders>
            <w:shd w:val="clear" w:color="000000" w:fill="FFFFFF"/>
            <w:hideMark/>
          </w:tcPr>
          <w:p w:rsidR="00536AC6" w:rsidRDefault="00536AC6" w:rsidP="00536AC6">
            <w:pPr>
              <w:ind w:left="-283"/>
              <w:jc w:val="right"/>
              <w:rPr>
                <w:b/>
                <w:bCs/>
                <w:sz w:val="18"/>
                <w:szCs w:val="18"/>
              </w:rPr>
            </w:pPr>
            <w:r>
              <w:rPr>
                <w:b/>
                <w:bCs/>
                <w:sz w:val="18"/>
                <w:szCs w:val="18"/>
              </w:rPr>
              <w:t>579</w:t>
            </w:r>
          </w:p>
        </w:tc>
        <w:tc>
          <w:tcPr>
            <w:tcW w:w="1054" w:type="dxa"/>
            <w:tcBorders>
              <w:top w:val="nil"/>
              <w:left w:val="nil"/>
              <w:bottom w:val="nil"/>
              <w:right w:val="nil"/>
            </w:tcBorders>
            <w:shd w:val="clear" w:color="000000" w:fill="FFFFFF"/>
            <w:hideMark/>
          </w:tcPr>
          <w:p w:rsidR="00536AC6" w:rsidRDefault="00536AC6" w:rsidP="00536AC6">
            <w:pPr>
              <w:ind w:left="-283"/>
              <w:jc w:val="right"/>
              <w:rPr>
                <w:b/>
                <w:bCs/>
                <w:sz w:val="18"/>
                <w:szCs w:val="18"/>
              </w:rPr>
            </w:pPr>
            <w:r>
              <w:rPr>
                <w:b/>
                <w:bCs/>
                <w:sz w:val="18"/>
                <w:szCs w:val="18"/>
              </w:rPr>
              <w:t>579</w:t>
            </w:r>
          </w:p>
        </w:tc>
        <w:tc>
          <w:tcPr>
            <w:tcW w:w="624" w:type="dxa"/>
            <w:tcBorders>
              <w:top w:val="nil"/>
              <w:left w:val="nil"/>
              <w:bottom w:val="nil"/>
              <w:right w:val="nil"/>
            </w:tcBorders>
            <w:shd w:val="clear" w:color="000000" w:fill="FFFFFF"/>
            <w:hideMark/>
          </w:tcPr>
          <w:p w:rsidR="00536AC6" w:rsidRDefault="00536AC6" w:rsidP="00536AC6">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536AC6" w:rsidRDefault="00536AC6" w:rsidP="00536AC6">
            <w:pPr>
              <w:ind w:left="-283"/>
              <w:jc w:val="right"/>
              <w:rPr>
                <w:b/>
                <w:bCs/>
                <w:sz w:val="18"/>
                <w:szCs w:val="18"/>
              </w:rPr>
            </w:pPr>
            <w:r>
              <w:rPr>
                <w:b/>
                <w:bCs/>
                <w:sz w:val="18"/>
                <w:szCs w:val="18"/>
              </w:rPr>
              <w:t>579</w:t>
            </w:r>
          </w:p>
        </w:tc>
        <w:tc>
          <w:tcPr>
            <w:tcW w:w="1054" w:type="dxa"/>
            <w:tcBorders>
              <w:top w:val="nil"/>
              <w:left w:val="nil"/>
              <w:bottom w:val="nil"/>
              <w:right w:val="nil"/>
            </w:tcBorders>
            <w:shd w:val="clear" w:color="000000" w:fill="FFFFFF"/>
            <w:hideMark/>
          </w:tcPr>
          <w:p w:rsidR="00536AC6" w:rsidRDefault="00536AC6" w:rsidP="00536AC6">
            <w:pPr>
              <w:ind w:left="-283"/>
              <w:jc w:val="right"/>
              <w:rPr>
                <w:b/>
                <w:bCs/>
                <w:sz w:val="18"/>
                <w:szCs w:val="18"/>
              </w:rPr>
            </w:pPr>
            <w:r>
              <w:rPr>
                <w:b/>
                <w:bCs/>
                <w:sz w:val="18"/>
                <w:szCs w:val="18"/>
              </w:rPr>
              <w:t>579</w:t>
            </w:r>
          </w:p>
        </w:tc>
        <w:tc>
          <w:tcPr>
            <w:tcW w:w="1054" w:type="dxa"/>
            <w:tcBorders>
              <w:top w:val="nil"/>
              <w:left w:val="nil"/>
              <w:bottom w:val="nil"/>
              <w:right w:val="nil"/>
            </w:tcBorders>
            <w:shd w:val="clear" w:color="000000" w:fill="FFFFFF"/>
            <w:hideMark/>
          </w:tcPr>
          <w:p w:rsidR="00536AC6" w:rsidRDefault="00536AC6" w:rsidP="00536AC6">
            <w:pPr>
              <w:ind w:left="-283"/>
              <w:jc w:val="right"/>
              <w:rPr>
                <w:b/>
                <w:bCs/>
                <w:sz w:val="18"/>
                <w:szCs w:val="18"/>
              </w:rPr>
            </w:pPr>
            <w:r>
              <w:rPr>
                <w:b/>
                <w:bCs/>
                <w:sz w:val="18"/>
                <w:szCs w:val="18"/>
              </w:rPr>
              <w:t>579</w:t>
            </w:r>
          </w:p>
        </w:tc>
      </w:tr>
      <w:tr w:rsidR="00536AC6" w:rsidTr="005F6BE4">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c>
          <w:tcPr>
            <w:tcW w:w="2315" w:type="dxa"/>
            <w:tcBorders>
              <w:top w:val="nil"/>
              <w:left w:val="nil"/>
              <w:bottom w:val="nil"/>
              <w:right w:val="nil"/>
            </w:tcBorders>
            <w:shd w:val="clear" w:color="000000" w:fill="FFFFFF"/>
            <w:hideMark/>
          </w:tcPr>
          <w:p w:rsidR="00536AC6" w:rsidRDefault="00536AC6" w:rsidP="00536AC6">
            <w:pPr>
              <w:rPr>
                <w:b/>
                <w:bCs/>
                <w:sz w:val="18"/>
                <w:szCs w:val="18"/>
              </w:rPr>
            </w:pPr>
            <w:r>
              <w:rPr>
                <w:b/>
                <w:bCs/>
                <w:sz w:val="18"/>
                <w:szCs w:val="18"/>
              </w:rPr>
              <w:t> </w:t>
            </w:r>
          </w:p>
        </w:tc>
        <w:tc>
          <w:tcPr>
            <w:tcW w:w="118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r>
      <w:tr w:rsidR="00536AC6" w:rsidTr="005F6BE4">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c>
          <w:tcPr>
            <w:tcW w:w="2315" w:type="dxa"/>
            <w:tcBorders>
              <w:top w:val="nil"/>
              <w:left w:val="nil"/>
              <w:bottom w:val="nil"/>
              <w:right w:val="nil"/>
            </w:tcBorders>
            <w:shd w:val="clear" w:color="000000" w:fill="FFFFFF"/>
            <w:hideMark/>
          </w:tcPr>
          <w:p w:rsidR="00536AC6" w:rsidRDefault="00536AC6" w:rsidP="00536AC6">
            <w:pPr>
              <w:rPr>
                <w:b/>
                <w:bCs/>
                <w:sz w:val="18"/>
                <w:szCs w:val="18"/>
              </w:rPr>
            </w:pPr>
            <w:r>
              <w:rPr>
                <w:b/>
                <w:bCs/>
                <w:sz w:val="18"/>
                <w:szCs w:val="18"/>
              </w:rPr>
              <w:t>Non Current Assets</w:t>
            </w:r>
          </w:p>
        </w:tc>
        <w:tc>
          <w:tcPr>
            <w:tcW w:w="118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r>
      <w:tr w:rsidR="00536AC6" w:rsidTr="005F6BE4">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2,504,641</w:t>
            </w:r>
          </w:p>
        </w:tc>
        <w:tc>
          <w:tcPr>
            <w:tcW w:w="2315" w:type="dxa"/>
            <w:tcBorders>
              <w:top w:val="nil"/>
              <w:left w:val="nil"/>
              <w:bottom w:val="nil"/>
              <w:right w:val="nil"/>
            </w:tcBorders>
            <w:shd w:val="clear" w:color="000000" w:fill="FFFFFF"/>
            <w:hideMark/>
          </w:tcPr>
          <w:p w:rsidR="00536AC6" w:rsidRDefault="00536AC6" w:rsidP="00536AC6">
            <w:pPr>
              <w:rPr>
                <w:sz w:val="18"/>
                <w:szCs w:val="18"/>
              </w:rPr>
            </w:pPr>
            <w:r>
              <w:rPr>
                <w:sz w:val="18"/>
                <w:szCs w:val="18"/>
              </w:rPr>
              <w:t>Investments</w:t>
            </w:r>
          </w:p>
        </w:tc>
        <w:tc>
          <w:tcPr>
            <w:tcW w:w="118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2,577,646</w:t>
            </w:r>
          </w:p>
        </w:tc>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2,766,679</w:t>
            </w:r>
          </w:p>
        </w:tc>
        <w:tc>
          <w:tcPr>
            <w:tcW w:w="62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xml:space="preserve">7 </w:t>
            </w:r>
          </w:p>
        </w:tc>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2,970,033</w:t>
            </w:r>
          </w:p>
        </w:tc>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3,188,644</w:t>
            </w:r>
          </w:p>
        </w:tc>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3,423,708</w:t>
            </w:r>
          </w:p>
        </w:tc>
      </w:tr>
      <w:tr w:rsidR="00536AC6" w:rsidTr="005F6BE4">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c>
          <w:tcPr>
            <w:tcW w:w="2315" w:type="dxa"/>
            <w:tcBorders>
              <w:top w:val="nil"/>
              <w:left w:val="nil"/>
              <w:bottom w:val="nil"/>
              <w:right w:val="nil"/>
            </w:tcBorders>
            <w:shd w:val="clear" w:color="000000" w:fill="FFFFFF"/>
            <w:hideMark/>
          </w:tcPr>
          <w:p w:rsidR="00536AC6" w:rsidRDefault="00536AC6" w:rsidP="00536AC6">
            <w:pPr>
              <w:rPr>
                <w:sz w:val="18"/>
                <w:szCs w:val="18"/>
              </w:rPr>
            </w:pPr>
            <w:r>
              <w:rPr>
                <w:sz w:val="18"/>
                <w:szCs w:val="18"/>
              </w:rPr>
              <w:t> </w:t>
            </w:r>
          </w:p>
        </w:tc>
        <w:tc>
          <w:tcPr>
            <w:tcW w:w="118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r>
      <w:tr w:rsidR="00536AC6" w:rsidTr="005F6BE4">
        <w:tc>
          <w:tcPr>
            <w:tcW w:w="1054" w:type="dxa"/>
            <w:tcBorders>
              <w:top w:val="nil"/>
              <w:left w:val="nil"/>
              <w:bottom w:val="nil"/>
              <w:right w:val="nil"/>
            </w:tcBorders>
            <w:shd w:val="clear" w:color="000000" w:fill="FFFFFF"/>
            <w:hideMark/>
          </w:tcPr>
          <w:p w:rsidR="00536AC6" w:rsidRDefault="00536AC6" w:rsidP="00536AC6">
            <w:pPr>
              <w:ind w:left="-283"/>
              <w:jc w:val="right"/>
              <w:rPr>
                <w:b/>
                <w:bCs/>
                <w:sz w:val="18"/>
                <w:szCs w:val="18"/>
              </w:rPr>
            </w:pPr>
            <w:r>
              <w:rPr>
                <w:b/>
                <w:bCs/>
                <w:sz w:val="18"/>
                <w:szCs w:val="18"/>
              </w:rPr>
              <w:t>2,504,641</w:t>
            </w:r>
          </w:p>
        </w:tc>
        <w:tc>
          <w:tcPr>
            <w:tcW w:w="2315" w:type="dxa"/>
            <w:tcBorders>
              <w:top w:val="nil"/>
              <w:left w:val="nil"/>
              <w:bottom w:val="nil"/>
              <w:right w:val="nil"/>
            </w:tcBorders>
            <w:shd w:val="clear" w:color="000000" w:fill="FFFFFF"/>
            <w:hideMark/>
          </w:tcPr>
          <w:p w:rsidR="00536AC6" w:rsidRDefault="00536AC6" w:rsidP="00536AC6">
            <w:pPr>
              <w:rPr>
                <w:b/>
                <w:bCs/>
                <w:sz w:val="18"/>
                <w:szCs w:val="18"/>
              </w:rPr>
            </w:pPr>
            <w:r>
              <w:rPr>
                <w:b/>
                <w:bCs/>
                <w:sz w:val="18"/>
                <w:szCs w:val="18"/>
              </w:rPr>
              <w:t>Total Non Current Assets</w:t>
            </w:r>
          </w:p>
        </w:tc>
        <w:tc>
          <w:tcPr>
            <w:tcW w:w="1184" w:type="dxa"/>
            <w:tcBorders>
              <w:top w:val="nil"/>
              <w:left w:val="nil"/>
              <w:bottom w:val="nil"/>
              <w:right w:val="nil"/>
            </w:tcBorders>
            <w:shd w:val="clear" w:color="000000" w:fill="FFFFFF"/>
            <w:hideMark/>
          </w:tcPr>
          <w:p w:rsidR="00536AC6" w:rsidRDefault="00536AC6" w:rsidP="00536AC6">
            <w:pPr>
              <w:ind w:left="-283"/>
              <w:jc w:val="right"/>
              <w:rPr>
                <w:b/>
                <w:bCs/>
                <w:sz w:val="18"/>
                <w:szCs w:val="18"/>
              </w:rPr>
            </w:pPr>
            <w:r>
              <w:rPr>
                <w:b/>
                <w:bCs/>
                <w:sz w:val="18"/>
                <w:szCs w:val="18"/>
              </w:rPr>
              <w:t>2,577,646</w:t>
            </w:r>
          </w:p>
        </w:tc>
        <w:tc>
          <w:tcPr>
            <w:tcW w:w="1054" w:type="dxa"/>
            <w:tcBorders>
              <w:top w:val="nil"/>
              <w:left w:val="nil"/>
              <w:bottom w:val="nil"/>
              <w:right w:val="nil"/>
            </w:tcBorders>
            <w:shd w:val="clear" w:color="000000" w:fill="FFFFFF"/>
            <w:hideMark/>
          </w:tcPr>
          <w:p w:rsidR="00536AC6" w:rsidRDefault="00536AC6" w:rsidP="00536AC6">
            <w:pPr>
              <w:ind w:left="-283"/>
              <w:jc w:val="right"/>
              <w:rPr>
                <w:b/>
                <w:bCs/>
                <w:sz w:val="18"/>
                <w:szCs w:val="18"/>
              </w:rPr>
            </w:pPr>
            <w:r>
              <w:rPr>
                <w:b/>
                <w:bCs/>
                <w:sz w:val="18"/>
                <w:szCs w:val="18"/>
              </w:rPr>
              <w:t>2,766,679</w:t>
            </w:r>
          </w:p>
        </w:tc>
        <w:tc>
          <w:tcPr>
            <w:tcW w:w="624" w:type="dxa"/>
            <w:tcBorders>
              <w:top w:val="nil"/>
              <w:left w:val="nil"/>
              <w:bottom w:val="nil"/>
              <w:right w:val="nil"/>
            </w:tcBorders>
            <w:shd w:val="clear" w:color="000000" w:fill="FFFFFF"/>
            <w:hideMark/>
          </w:tcPr>
          <w:p w:rsidR="00536AC6" w:rsidRDefault="00536AC6" w:rsidP="00536AC6">
            <w:pPr>
              <w:ind w:left="-283"/>
              <w:jc w:val="right"/>
              <w:rPr>
                <w:b/>
                <w:bCs/>
                <w:sz w:val="18"/>
                <w:szCs w:val="18"/>
              </w:rPr>
            </w:pPr>
            <w:r>
              <w:rPr>
                <w:b/>
                <w:bCs/>
                <w:sz w:val="18"/>
                <w:szCs w:val="18"/>
              </w:rPr>
              <w:t xml:space="preserve">7 </w:t>
            </w:r>
          </w:p>
        </w:tc>
        <w:tc>
          <w:tcPr>
            <w:tcW w:w="1054" w:type="dxa"/>
            <w:tcBorders>
              <w:top w:val="nil"/>
              <w:left w:val="nil"/>
              <w:bottom w:val="nil"/>
              <w:right w:val="nil"/>
            </w:tcBorders>
            <w:shd w:val="clear" w:color="000000" w:fill="FFFFFF"/>
            <w:hideMark/>
          </w:tcPr>
          <w:p w:rsidR="00536AC6" w:rsidRDefault="00536AC6" w:rsidP="00536AC6">
            <w:pPr>
              <w:ind w:left="-283"/>
              <w:jc w:val="right"/>
              <w:rPr>
                <w:b/>
                <w:bCs/>
                <w:sz w:val="18"/>
                <w:szCs w:val="18"/>
              </w:rPr>
            </w:pPr>
            <w:r>
              <w:rPr>
                <w:b/>
                <w:bCs/>
                <w:sz w:val="18"/>
                <w:szCs w:val="18"/>
              </w:rPr>
              <w:t>2,970,033</w:t>
            </w:r>
          </w:p>
        </w:tc>
        <w:tc>
          <w:tcPr>
            <w:tcW w:w="1054" w:type="dxa"/>
            <w:tcBorders>
              <w:top w:val="nil"/>
              <w:left w:val="nil"/>
              <w:bottom w:val="nil"/>
              <w:right w:val="nil"/>
            </w:tcBorders>
            <w:shd w:val="clear" w:color="000000" w:fill="FFFFFF"/>
            <w:hideMark/>
          </w:tcPr>
          <w:p w:rsidR="00536AC6" w:rsidRDefault="00536AC6" w:rsidP="00536AC6">
            <w:pPr>
              <w:ind w:left="-283"/>
              <w:jc w:val="right"/>
              <w:rPr>
                <w:b/>
                <w:bCs/>
                <w:sz w:val="18"/>
                <w:szCs w:val="18"/>
              </w:rPr>
            </w:pPr>
            <w:r>
              <w:rPr>
                <w:b/>
                <w:bCs/>
                <w:sz w:val="18"/>
                <w:szCs w:val="18"/>
              </w:rPr>
              <w:t>3,188,644</w:t>
            </w:r>
          </w:p>
        </w:tc>
        <w:tc>
          <w:tcPr>
            <w:tcW w:w="1054" w:type="dxa"/>
            <w:tcBorders>
              <w:top w:val="nil"/>
              <w:left w:val="nil"/>
              <w:bottom w:val="nil"/>
              <w:right w:val="nil"/>
            </w:tcBorders>
            <w:shd w:val="clear" w:color="000000" w:fill="FFFFFF"/>
            <w:hideMark/>
          </w:tcPr>
          <w:p w:rsidR="00536AC6" w:rsidRDefault="00536AC6" w:rsidP="00536AC6">
            <w:pPr>
              <w:ind w:left="-283"/>
              <w:jc w:val="right"/>
              <w:rPr>
                <w:b/>
                <w:bCs/>
                <w:sz w:val="18"/>
                <w:szCs w:val="18"/>
              </w:rPr>
            </w:pPr>
            <w:r>
              <w:rPr>
                <w:b/>
                <w:bCs/>
                <w:sz w:val="18"/>
                <w:szCs w:val="18"/>
              </w:rPr>
              <w:t>3,423,708</w:t>
            </w:r>
          </w:p>
        </w:tc>
      </w:tr>
      <w:tr w:rsidR="00536AC6" w:rsidTr="005F6BE4">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c>
          <w:tcPr>
            <w:tcW w:w="2315" w:type="dxa"/>
            <w:tcBorders>
              <w:top w:val="nil"/>
              <w:left w:val="nil"/>
              <w:bottom w:val="nil"/>
              <w:right w:val="nil"/>
            </w:tcBorders>
            <w:shd w:val="clear" w:color="000000" w:fill="FFFFFF"/>
            <w:hideMark/>
          </w:tcPr>
          <w:p w:rsidR="00536AC6" w:rsidRDefault="00536AC6" w:rsidP="00536AC6">
            <w:pPr>
              <w:rPr>
                <w:sz w:val="18"/>
                <w:szCs w:val="18"/>
              </w:rPr>
            </w:pPr>
            <w:r>
              <w:rPr>
                <w:sz w:val="18"/>
                <w:szCs w:val="18"/>
              </w:rPr>
              <w:t> </w:t>
            </w:r>
          </w:p>
        </w:tc>
        <w:tc>
          <w:tcPr>
            <w:tcW w:w="118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r>
      <w:tr w:rsidR="00536AC6" w:rsidTr="005F6BE4">
        <w:tc>
          <w:tcPr>
            <w:tcW w:w="1054" w:type="dxa"/>
            <w:tcBorders>
              <w:top w:val="nil"/>
              <w:left w:val="nil"/>
              <w:bottom w:val="nil"/>
              <w:right w:val="nil"/>
            </w:tcBorders>
            <w:shd w:val="clear" w:color="000000" w:fill="FFFFFF"/>
            <w:hideMark/>
          </w:tcPr>
          <w:p w:rsidR="00536AC6" w:rsidRDefault="00536AC6" w:rsidP="00536AC6">
            <w:pPr>
              <w:ind w:left="-283"/>
              <w:jc w:val="right"/>
              <w:rPr>
                <w:b/>
                <w:bCs/>
                <w:sz w:val="18"/>
                <w:szCs w:val="18"/>
              </w:rPr>
            </w:pPr>
            <w:r>
              <w:rPr>
                <w:b/>
                <w:bCs/>
                <w:sz w:val="18"/>
                <w:szCs w:val="18"/>
              </w:rPr>
              <w:t>2,505,273</w:t>
            </w:r>
          </w:p>
        </w:tc>
        <w:tc>
          <w:tcPr>
            <w:tcW w:w="2315" w:type="dxa"/>
            <w:tcBorders>
              <w:top w:val="nil"/>
              <w:left w:val="nil"/>
              <w:bottom w:val="nil"/>
              <w:right w:val="nil"/>
            </w:tcBorders>
            <w:shd w:val="clear" w:color="000000" w:fill="FFFFFF"/>
            <w:hideMark/>
          </w:tcPr>
          <w:p w:rsidR="00536AC6" w:rsidRDefault="00536AC6" w:rsidP="00536AC6">
            <w:pPr>
              <w:rPr>
                <w:b/>
                <w:bCs/>
                <w:sz w:val="18"/>
                <w:szCs w:val="18"/>
              </w:rPr>
            </w:pPr>
            <w:r>
              <w:rPr>
                <w:b/>
                <w:bCs/>
                <w:sz w:val="18"/>
                <w:szCs w:val="18"/>
              </w:rPr>
              <w:t>TOTAL ASSETS</w:t>
            </w:r>
          </w:p>
        </w:tc>
        <w:tc>
          <w:tcPr>
            <w:tcW w:w="1184" w:type="dxa"/>
            <w:tcBorders>
              <w:top w:val="nil"/>
              <w:left w:val="nil"/>
              <w:bottom w:val="nil"/>
              <w:right w:val="nil"/>
            </w:tcBorders>
            <w:shd w:val="clear" w:color="000000" w:fill="FFFFFF"/>
            <w:hideMark/>
          </w:tcPr>
          <w:p w:rsidR="00536AC6" w:rsidRDefault="00536AC6" w:rsidP="00536AC6">
            <w:pPr>
              <w:ind w:left="-283"/>
              <w:jc w:val="right"/>
              <w:rPr>
                <w:b/>
                <w:bCs/>
                <w:sz w:val="18"/>
                <w:szCs w:val="18"/>
              </w:rPr>
            </w:pPr>
            <w:r>
              <w:rPr>
                <w:b/>
                <w:bCs/>
                <w:sz w:val="18"/>
                <w:szCs w:val="18"/>
              </w:rPr>
              <w:t>2,578,225</w:t>
            </w:r>
          </w:p>
        </w:tc>
        <w:tc>
          <w:tcPr>
            <w:tcW w:w="1054" w:type="dxa"/>
            <w:tcBorders>
              <w:top w:val="nil"/>
              <w:left w:val="nil"/>
              <w:bottom w:val="nil"/>
              <w:right w:val="nil"/>
            </w:tcBorders>
            <w:shd w:val="clear" w:color="000000" w:fill="FFFFFF"/>
            <w:hideMark/>
          </w:tcPr>
          <w:p w:rsidR="00536AC6" w:rsidRDefault="00536AC6" w:rsidP="00536AC6">
            <w:pPr>
              <w:ind w:left="-283"/>
              <w:jc w:val="right"/>
              <w:rPr>
                <w:b/>
                <w:bCs/>
                <w:sz w:val="18"/>
                <w:szCs w:val="18"/>
              </w:rPr>
            </w:pPr>
            <w:r>
              <w:rPr>
                <w:b/>
                <w:bCs/>
                <w:sz w:val="18"/>
                <w:szCs w:val="18"/>
              </w:rPr>
              <w:t>2,767,258</w:t>
            </w:r>
          </w:p>
        </w:tc>
        <w:tc>
          <w:tcPr>
            <w:tcW w:w="624" w:type="dxa"/>
            <w:tcBorders>
              <w:top w:val="nil"/>
              <w:left w:val="nil"/>
              <w:bottom w:val="nil"/>
              <w:right w:val="nil"/>
            </w:tcBorders>
            <w:shd w:val="clear" w:color="000000" w:fill="FFFFFF"/>
            <w:hideMark/>
          </w:tcPr>
          <w:p w:rsidR="00536AC6" w:rsidRDefault="00536AC6" w:rsidP="00536AC6">
            <w:pPr>
              <w:ind w:left="-283"/>
              <w:jc w:val="right"/>
              <w:rPr>
                <w:b/>
                <w:bCs/>
                <w:sz w:val="18"/>
                <w:szCs w:val="18"/>
              </w:rPr>
            </w:pPr>
            <w:r>
              <w:rPr>
                <w:b/>
                <w:bCs/>
                <w:sz w:val="18"/>
                <w:szCs w:val="18"/>
              </w:rPr>
              <w:t xml:space="preserve">7 </w:t>
            </w:r>
          </w:p>
        </w:tc>
        <w:tc>
          <w:tcPr>
            <w:tcW w:w="1054" w:type="dxa"/>
            <w:tcBorders>
              <w:top w:val="nil"/>
              <w:left w:val="nil"/>
              <w:bottom w:val="nil"/>
              <w:right w:val="nil"/>
            </w:tcBorders>
            <w:shd w:val="clear" w:color="000000" w:fill="FFFFFF"/>
            <w:hideMark/>
          </w:tcPr>
          <w:p w:rsidR="00536AC6" w:rsidRDefault="00536AC6" w:rsidP="00536AC6">
            <w:pPr>
              <w:ind w:left="-283"/>
              <w:jc w:val="right"/>
              <w:rPr>
                <w:b/>
                <w:bCs/>
                <w:sz w:val="18"/>
                <w:szCs w:val="18"/>
              </w:rPr>
            </w:pPr>
            <w:r>
              <w:rPr>
                <w:b/>
                <w:bCs/>
                <w:sz w:val="18"/>
                <w:szCs w:val="18"/>
              </w:rPr>
              <w:t>2,970,612</w:t>
            </w:r>
          </w:p>
        </w:tc>
        <w:tc>
          <w:tcPr>
            <w:tcW w:w="1054" w:type="dxa"/>
            <w:tcBorders>
              <w:top w:val="nil"/>
              <w:left w:val="nil"/>
              <w:bottom w:val="nil"/>
              <w:right w:val="nil"/>
            </w:tcBorders>
            <w:shd w:val="clear" w:color="000000" w:fill="FFFFFF"/>
            <w:hideMark/>
          </w:tcPr>
          <w:p w:rsidR="00536AC6" w:rsidRDefault="00536AC6" w:rsidP="00536AC6">
            <w:pPr>
              <w:ind w:left="-283"/>
              <w:jc w:val="right"/>
              <w:rPr>
                <w:b/>
                <w:bCs/>
                <w:sz w:val="18"/>
                <w:szCs w:val="18"/>
              </w:rPr>
            </w:pPr>
            <w:r>
              <w:rPr>
                <w:b/>
                <w:bCs/>
                <w:sz w:val="18"/>
                <w:szCs w:val="18"/>
              </w:rPr>
              <w:t>3,189,223</w:t>
            </w:r>
          </w:p>
        </w:tc>
        <w:tc>
          <w:tcPr>
            <w:tcW w:w="1054" w:type="dxa"/>
            <w:tcBorders>
              <w:top w:val="nil"/>
              <w:left w:val="nil"/>
              <w:bottom w:val="nil"/>
              <w:right w:val="nil"/>
            </w:tcBorders>
            <w:shd w:val="clear" w:color="000000" w:fill="FFFFFF"/>
            <w:hideMark/>
          </w:tcPr>
          <w:p w:rsidR="00536AC6" w:rsidRDefault="00536AC6" w:rsidP="00536AC6">
            <w:pPr>
              <w:ind w:left="-283"/>
              <w:jc w:val="right"/>
              <w:rPr>
                <w:b/>
                <w:bCs/>
                <w:sz w:val="18"/>
                <w:szCs w:val="18"/>
              </w:rPr>
            </w:pPr>
            <w:r>
              <w:rPr>
                <w:b/>
                <w:bCs/>
                <w:sz w:val="18"/>
                <w:szCs w:val="18"/>
              </w:rPr>
              <w:t>3,424,287</w:t>
            </w:r>
          </w:p>
        </w:tc>
      </w:tr>
      <w:tr w:rsidR="00536AC6" w:rsidTr="005F6BE4">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c>
          <w:tcPr>
            <w:tcW w:w="2315" w:type="dxa"/>
            <w:tcBorders>
              <w:top w:val="nil"/>
              <w:left w:val="nil"/>
              <w:bottom w:val="nil"/>
              <w:right w:val="nil"/>
            </w:tcBorders>
            <w:shd w:val="clear" w:color="000000" w:fill="FFFFFF"/>
            <w:hideMark/>
          </w:tcPr>
          <w:p w:rsidR="00536AC6" w:rsidRDefault="00536AC6" w:rsidP="00536AC6">
            <w:pPr>
              <w:rPr>
                <w:b/>
                <w:bCs/>
                <w:sz w:val="18"/>
                <w:szCs w:val="18"/>
              </w:rPr>
            </w:pPr>
            <w:r>
              <w:rPr>
                <w:b/>
                <w:bCs/>
                <w:sz w:val="18"/>
                <w:szCs w:val="18"/>
              </w:rPr>
              <w:t> </w:t>
            </w:r>
          </w:p>
        </w:tc>
        <w:tc>
          <w:tcPr>
            <w:tcW w:w="118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r>
      <w:tr w:rsidR="00536AC6" w:rsidTr="005F6BE4">
        <w:tc>
          <w:tcPr>
            <w:tcW w:w="1054" w:type="dxa"/>
            <w:tcBorders>
              <w:top w:val="nil"/>
              <w:left w:val="nil"/>
              <w:bottom w:val="nil"/>
              <w:right w:val="nil"/>
            </w:tcBorders>
            <w:shd w:val="clear" w:color="000000" w:fill="FFFFFF"/>
            <w:hideMark/>
          </w:tcPr>
          <w:p w:rsidR="00536AC6" w:rsidRDefault="00536AC6" w:rsidP="00536AC6">
            <w:pPr>
              <w:ind w:left="-283"/>
              <w:jc w:val="right"/>
              <w:rPr>
                <w:b/>
                <w:bCs/>
                <w:sz w:val="18"/>
                <w:szCs w:val="18"/>
              </w:rPr>
            </w:pPr>
            <w:r>
              <w:rPr>
                <w:b/>
                <w:bCs/>
                <w:sz w:val="18"/>
                <w:szCs w:val="18"/>
              </w:rPr>
              <w:t> </w:t>
            </w:r>
          </w:p>
        </w:tc>
        <w:tc>
          <w:tcPr>
            <w:tcW w:w="2315" w:type="dxa"/>
            <w:tcBorders>
              <w:top w:val="nil"/>
              <w:left w:val="nil"/>
              <w:bottom w:val="nil"/>
              <w:right w:val="nil"/>
            </w:tcBorders>
            <w:shd w:val="clear" w:color="000000" w:fill="FFFFFF"/>
            <w:hideMark/>
          </w:tcPr>
          <w:p w:rsidR="00536AC6" w:rsidRDefault="00536AC6" w:rsidP="00536AC6">
            <w:pPr>
              <w:rPr>
                <w:b/>
                <w:bCs/>
                <w:sz w:val="18"/>
                <w:szCs w:val="18"/>
              </w:rPr>
            </w:pPr>
            <w:r>
              <w:rPr>
                <w:b/>
                <w:bCs/>
                <w:sz w:val="18"/>
                <w:szCs w:val="18"/>
              </w:rPr>
              <w:t>Current Liabilities</w:t>
            </w:r>
          </w:p>
        </w:tc>
        <w:tc>
          <w:tcPr>
            <w:tcW w:w="1184" w:type="dxa"/>
            <w:tcBorders>
              <w:top w:val="nil"/>
              <w:left w:val="nil"/>
              <w:bottom w:val="nil"/>
              <w:right w:val="nil"/>
            </w:tcBorders>
            <w:shd w:val="clear" w:color="000000" w:fill="FFFFFF"/>
            <w:hideMark/>
          </w:tcPr>
          <w:p w:rsidR="00536AC6" w:rsidRDefault="00536AC6" w:rsidP="00536AC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536AC6" w:rsidRDefault="00536AC6" w:rsidP="00536AC6">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36AC6" w:rsidRDefault="00536AC6" w:rsidP="00536AC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536AC6" w:rsidRDefault="00536AC6" w:rsidP="00536AC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536AC6" w:rsidRDefault="00536AC6" w:rsidP="00536AC6">
            <w:pPr>
              <w:ind w:left="-283"/>
              <w:jc w:val="right"/>
              <w:rPr>
                <w:b/>
                <w:bCs/>
                <w:sz w:val="18"/>
                <w:szCs w:val="18"/>
              </w:rPr>
            </w:pPr>
            <w:r>
              <w:rPr>
                <w:b/>
                <w:bCs/>
                <w:sz w:val="18"/>
                <w:szCs w:val="18"/>
              </w:rPr>
              <w:t> </w:t>
            </w:r>
          </w:p>
        </w:tc>
      </w:tr>
      <w:tr w:rsidR="00536AC6" w:rsidTr="005F6BE4">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769</w:t>
            </w:r>
          </w:p>
        </w:tc>
        <w:tc>
          <w:tcPr>
            <w:tcW w:w="2315" w:type="dxa"/>
            <w:tcBorders>
              <w:top w:val="nil"/>
              <w:left w:val="nil"/>
              <w:bottom w:val="nil"/>
              <w:right w:val="nil"/>
            </w:tcBorders>
            <w:shd w:val="clear" w:color="000000" w:fill="FFFFFF"/>
            <w:hideMark/>
          </w:tcPr>
          <w:p w:rsidR="00536AC6" w:rsidRDefault="00536AC6" w:rsidP="00536AC6">
            <w:pPr>
              <w:rPr>
                <w:sz w:val="18"/>
                <w:szCs w:val="18"/>
              </w:rPr>
            </w:pPr>
            <w:r>
              <w:rPr>
                <w:sz w:val="18"/>
                <w:szCs w:val="18"/>
              </w:rPr>
              <w:t>Payables</w:t>
            </w:r>
          </w:p>
        </w:tc>
        <w:tc>
          <w:tcPr>
            <w:tcW w:w="118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929</w:t>
            </w:r>
          </w:p>
        </w:tc>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929</w:t>
            </w:r>
          </w:p>
        </w:tc>
        <w:tc>
          <w:tcPr>
            <w:tcW w:w="62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929</w:t>
            </w:r>
          </w:p>
        </w:tc>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929</w:t>
            </w:r>
          </w:p>
        </w:tc>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929</w:t>
            </w:r>
          </w:p>
        </w:tc>
      </w:tr>
      <w:tr w:rsidR="00536AC6" w:rsidTr="005F6BE4">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177,429</w:t>
            </w:r>
          </w:p>
        </w:tc>
        <w:tc>
          <w:tcPr>
            <w:tcW w:w="2315" w:type="dxa"/>
            <w:tcBorders>
              <w:top w:val="nil"/>
              <w:left w:val="nil"/>
              <w:bottom w:val="nil"/>
              <w:right w:val="nil"/>
            </w:tcBorders>
            <w:shd w:val="clear" w:color="000000" w:fill="FFFFFF"/>
            <w:hideMark/>
          </w:tcPr>
          <w:p w:rsidR="00536AC6" w:rsidRDefault="00536AC6" w:rsidP="00536AC6">
            <w:pPr>
              <w:rPr>
                <w:sz w:val="18"/>
                <w:szCs w:val="18"/>
              </w:rPr>
            </w:pPr>
            <w:r>
              <w:rPr>
                <w:sz w:val="18"/>
                <w:szCs w:val="18"/>
              </w:rPr>
              <w:t>Employee Benefits</w:t>
            </w:r>
          </w:p>
        </w:tc>
        <w:tc>
          <w:tcPr>
            <w:tcW w:w="118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178,396</w:t>
            </w:r>
          </w:p>
        </w:tc>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195,863</w:t>
            </w:r>
          </w:p>
        </w:tc>
        <w:tc>
          <w:tcPr>
            <w:tcW w:w="62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xml:space="preserve">10 </w:t>
            </w:r>
          </w:p>
        </w:tc>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213,849</w:t>
            </w:r>
          </w:p>
        </w:tc>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233,987</w:t>
            </w:r>
          </w:p>
        </w:tc>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252,157</w:t>
            </w:r>
          </w:p>
        </w:tc>
      </w:tr>
      <w:tr w:rsidR="00536AC6" w:rsidTr="005F6BE4">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c>
          <w:tcPr>
            <w:tcW w:w="2315" w:type="dxa"/>
            <w:tcBorders>
              <w:top w:val="nil"/>
              <w:left w:val="nil"/>
              <w:bottom w:val="nil"/>
              <w:right w:val="nil"/>
            </w:tcBorders>
            <w:shd w:val="clear" w:color="000000" w:fill="FFFFFF"/>
            <w:hideMark/>
          </w:tcPr>
          <w:p w:rsidR="00536AC6" w:rsidRDefault="00536AC6" w:rsidP="00536AC6">
            <w:pPr>
              <w:rPr>
                <w:sz w:val="18"/>
                <w:szCs w:val="18"/>
              </w:rPr>
            </w:pPr>
            <w:r>
              <w:rPr>
                <w:sz w:val="18"/>
                <w:szCs w:val="18"/>
              </w:rPr>
              <w:t> </w:t>
            </w:r>
          </w:p>
        </w:tc>
        <w:tc>
          <w:tcPr>
            <w:tcW w:w="118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r>
      <w:tr w:rsidR="00536AC6" w:rsidTr="005F6BE4">
        <w:tc>
          <w:tcPr>
            <w:tcW w:w="1054" w:type="dxa"/>
            <w:tcBorders>
              <w:top w:val="nil"/>
              <w:left w:val="nil"/>
              <w:bottom w:val="nil"/>
              <w:right w:val="nil"/>
            </w:tcBorders>
            <w:shd w:val="clear" w:color="000000" w:fill="FFFFFF"/>
            <w:hideMark/>
          </w:tcPr>
          <w:p w:rsidR="00536AC6" w:rsidRDefault="00536AC6" w:rsidP="00536AC6">
            <w:pPr>
              <w:ind w:left="-283"/>
              <w:jc w:val="right"/>
              <w:rPr>
                <w:b/>
                <w:bCs/>
                <w:sz w:val="18"/>
                <w:szCs w:val="18"/>
              </w:rPr>
            </w:pPr>
            <w:r>
              <w:rPr>
                <w:b/>
                <w:bCs/>
                <w:sz w:val="18"/>
                <w:szCs w:val="18"/>
              </w:rPr>
              <w:t>178,198</w:t>
            </w:r>
          </w:p>
        </w:tc>
        <w:tc>
          <w:tcPr>
            <w:tcW w:w="2315" w:type="dxa"/>
            <w:tcBorders>
              <w:top w:val="nil"/>
              <w:left w:val="nil"/>
              <w:bottom w:val="nil"/>
              <w:right w:val="nil"/>
            </w:tcBorders>
            <w:shd w:val="clear" w:color="000000" w:fill="FFFFFF"/>
            <w:hideMark/>
          </w:tcPr>
          <w:p w:rsidR="00536AC6" w:rsidRDefault="00536AC6" w:rsidP="00536AC6">
            <w:pPr>
              <w:rPr>
                <w:b/>
                <w:bCs/>
                <w:sz w:val="18"/>
                <w:szCs w:val="18"/>
              </w:rPr>
            </w:pPr>
            <w:r>
              <w:rPr>
                <w:b/>
                <w:bCs/>
                <w:sz w:val="18"/>
                <w:szCs w:val="18"/>
              </w:rPr>
              <w:t>Total Current Liabilities</w:t>
            </w:r>
          </w:p>
        </w:tc>
        <w:tc>
          <w:tcPr>
            <w:tcW w:w="1184" w:type="dxa"/>
            <w:tcBorders>
              <w:top w:val="nil"/>
              <w:left w:val="nil"/>
              <w:bottom w:val="nil"/>
              <w:right w:val="nil"/>
            </w:tcBorders>
            <w:shd w:val="clear" w:color="000000" w:fill="FFFFFF"/>
            <w:hideMark/>
          </w:tcPr>
          <w:p w:rsidR="00536AC6" w:rsidRDefault="00536AC6" w:rsidP="00536AC6">
            <w:pPr>
              <w:ind w:left="-283"/>
              <w:jc w:val="right"/>
              <w:rPr>
                <w:b/>
                <w:bCs/>
                <w:sz w:val="18"/>
                <w:szCs w:val="18"/>
              </w:rPr>
            </w:pPr>
            <w:r>
              <w:rPr>
                <w:b/>
                <w:bCs/>
                <w:sz w:val="18"/>
                <w:szCs w:val="18"/>
              </w:rPr>
              <w:t>179,325</w:t>
            </w:r>
          </w:p>
        </w:tc>
        <w:tc>
          <w:tcPr>
            <w:tcW w:w="1054" w:type="dxa"/>
            <w:tcBorders>
              <w:top w:val="nil"/>
              <w:left w:val="nil"/>
              <w:bottom w:val="nil"/>
              <w:right w:val="nil"/>
            </w:tcBorders>
            <w:shd w:val="clear" w:color="000000" w:fill="FFFFFF"/>
            <w:hideMark/>
          </w:tcPr>
          <w:p w:rsidR="00536AC6" w:rsidRDefault="00536AC6" w:rsidP="00536AC6">
            <w:pPr>
              <w:ind w:left="-283"/>
              <w:jc w:val="right"/>
              <w:rPr>
                <w:b/>
                <w:bCs/>
                <w:sz w:val="18"/>
                <w:szCs w:val="18"/>
              </w:rPr>
            </w:pPr>
            <w:r>
              <w:rPr>
                <w:b/>
                <w:bCs/>
                <w:sz w:val="18"/>
                <w:szCs w:val="18"/>
              </w:rPr>
              <w:t>196,792</w:t>
            </w:r>
          </w:p>
        </w:tc>
        <w:tc>
          <w:tcPr>
            <w:tcW w:w="624" w:type="dxa"/>
            <w:tcBorders>
              <w:top w:val="nil"/>
              <w:left w:val="nil"/>
              <w:bottom w:val="nil"/>
              <w:right w:val="nil"/>
            </w:tcBorders>
            <w:shd w:val="clear" w:color="000000" w:fill="FFFFFF"/>
            <w:hideMark/>
          </w:tcPr>
          <w:p w:rsidR="00536AC6" w:rsidRDefault="00536AC6" w:rsidP="00536AC6">
            <w:pPr>
              <w:ind w:left="-283"/>
              <w:jc w:val="right"/>
              <w:rPr>
                <w:b/>
                <w:bCs/>
                <w:sz w:val="18"/>
                <w:szCs w:val="18"/>
              </w:rPr>
            </w:pPr>
            <w:r>
              <w:rPr>
                <w:b/>
                <w:bCs/>
                <w:sz w:val="18"/>
                <w:szCs w:val="18"/>
              </w:rPr>
              <w:t xml:space="preserve">10 </w:t>
            </w:r>
          </w:p>
        </w:tc>
        <w:tc>
          <w:tcPr>
            <w:tcW w:w="1054" w:type="dxa"/>
            <w:tcBorders>
              <w:top w:val="nil"/>
              <w:left w:val="nil"/>
              <w:bottom w:val="nil"/>
              <w:right w:val="nil"/>
            </w:tcBorders>
            <w:shd w:val="clear" w:color="000000" w:fill="FFFFFF"/>
            <w:hideMark/>
          </w:tcPr>
          <w:p w:rsidR="00536AC6" w:rsidRDefault="00536AC6" w:rsidP="00536AC6">
            <w:pPr>
              <w:ind w:left="-283"/>
              <w:jc w:val="right"/>
              <w:rPr>
                <w:b/>
                <w:bCs/>
                <w:sz w:val="18"/>
                <w:szCs w:val="18"/>
              </w:rPr>
            </w:pPr>
            <w:r>
              <w:rPr>
                <w:b/>
                <w:bCs/>
                <w:sz w:val="18"/>
                <w:szCs w:val="18"/>
              </w:rPr>
              <w:t>214,778</w:t>
            </w:r>
          </w:p>
        </w:tc>
        <w:tc>
          <w:tcPr>
            <w:tcW w:w="1054" w:type="dxa"/>
            <w:tcBorders>
              <w:top w:val="nil"/>
              <w:left w:val="nil"/>
              <w:bottom w:val="nil"/>
              <w:right w:val="nil"/>
            </w:tcBorders>
            <w:shd w:val="clear" w:color="000000" w:fill="FFFFFF"/>
            <w:hideMark/>
          </w:tcPr>
          <w:p w:rsidR="00536AC6" w:rsidRDefault="00536AC6" w:rsidP="00536AC6">
            <w:pPr>
              <w:ind w:left="-283"/>
              <w:jc w:val="right"/>
              <w:rPr>
                <w:b/>
                <w:bCs/>
                <w:sz w:val="18"/>
                <w:szCs w:val="18"/>
              </w:rPr>
            </w:pPr>
            <w:r>
              <w:rPr>
                <w:b/>
                <w:bCs/>
                <w:sz w:val="18"/>
                <w:szCs w:val="18"/>
              </w:rPr>
              <w:t>234,916</w:t>
            </w:r>
          </w:p>
        </w:tc>
        <w:tc>
          <w:tcPr>
            <w:tcW w:w="1054" w:type="dxa"/>
            <w:tcBorders>
              <w:top w:val="nil"/>
              <w:left w:val="nil"/>
              <w:bottom w:val="nil"/>
              <w:right w:val="nil"/>
            </w:tcBorders>
            <w:shd w:val="clear" w:color="000000" w:fill="FFFFFF"/>
            <w:hideMark/>
          </w:tcPr>
          <w:p w:rsidR="00536AC6" w:rsidRDefault="00536AC6" w:rsidP="00536AC6">
            <w:pPr>
              <w:ind w:left="-283"/>
              <w:jc w:val="right"/>
              <w:rPr>
                <w:b/>
                <w:bCs/>
                <w:sz w:val="18"/>
                <w:szCs w:val="18"/>
              </w:rPr>
            </w:pPr>
            <w:r>
              <w:rPr>
                <w:b/>
                <w:bCs/>
                <w:sz w:val="18"/>
                <w:szCs w:val="18"/>
              </w:rPr>
              <w:t>253,086</w:t>
            </w:r>
          </w:p>
        </w:tc>
      </w:tr>
      <w:tr w:rsidR="00536AC6" w:rsidTr="005F6BE4">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c>
          <w:tcPr>
            <w:tcW w:w="2315" w:type="dxa"/>
            <w:tcBorders>
              <w:top w:val="nil"/>
              <w:left w:val="nil"/>
              <w:bottom w:val="nil"/>
              <w:right w:val="nil"/>
            </w:tcBorders>
            <w:shd w:val="clear" w:color="000000" w:fill="FFFFFF"/>
            <w:hideMark/>
          </w:tcPr>
          <w:p w:rsidR="00536AC6" w:rsidRDefault="00536AC6" w:rsidP="00536AC6">
            <w:pPr>
              <w:rPr>
                <w:sz w:val="18"/>
                <w:szCs w:val="18"/>
              </w:rPr>
            </w:pPr>
            <w:r>
              <w:rPr>
                <w:sz w:val="18"/>
                <w:szCs w:val="18"/>
              </w:rPr>
              <w:t> </w:t>
            </w:r>
          </w:p>
        </w:tc>
        <w:tc>
          <w:tcPr>
            <w:tcW w:w="118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r>
      <w:tr w:rsidR="00536AC6" w:rsidTr="005F6BE4">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c>
          <w:tcPr>
            <w:tcW w:w="2315" w:type="dxa"/>
            <w:tcBorders>
              <w:top w:val="nil"/>
              <w:left w:val="nil"/>
              <w:bottom w:val="nil"/>
              <w:right w:val="nil"/>
            </w:tcBorders>
            <w:shd w:val="clear" w:color="000000" w:fill="FFFFFF"/>
            <w:hideMark/>
          </w:tcPr>
          <w:p w:rsidR="00536AC6" w:rsidRDefault="00536AC6" w:rsidP="00536AC6">
            <w:pPr>
              <w:rPr>
                <w:b/>
                <w:bCs/>
                <w:sz w:val="18"/>
                <w:szCs w:val="18"/>
              </w:rPr>
            </w:pPr>
            <w:r>
              <w:rPr>
                <w:b/>
                <w:bCs/>
                <w:sz w:val="18"/>
                <w:szCs w:val="18"/>
              </w:rPr>
              <w:t>Non Current Liabilities</w:t>
            </w:r>
          </w:p>
        </w:tc>
        <w:tc>
          <w:tcPr>
            <w:tcW w:w="118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r>
      <w:tr w:rsidR="00536AC6" w:rsidTr="005F6BE4">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4,922,533</w:t>
            </w:r>
          </w:p>
        </w:tc>
        <w:tc>
          <w:tcPr>
            <w:tcW w:w="2315" w:type="dxa"/>
            <w:tcBorders>
              <w:top w:val="nil"/>
              <w:left w:val="nil"/>
              <w:bottom w:val="nil"/>
              <w:right w:val="nil"/>
            </w:tcBorders>
            <w:shd w:val="clear" w:color="000000" w:fill="FFFFFF"/>
            <w:hideMark/>
          </w:tcPr>
          <w:p w:rsidR="00536AC6" w:rsidRDefault="00536AC6" w:rsidP="00536AC6">
            <w:pPr>
              <w:rPr>
                <w:sz w:val="18"/>
                <w:szCs w:val="18"/>
              </w:rPr>
            </w:pPr>
            <w:r>
              <w:rPr>
                <w:sz w:val="18"/>
                <w:szCs w:val="18"/>
              </w:rPr>
              <w:t>Employee Benefits</w:t>
            </w:r>
          </w:p>
        </w:tc>
        <w:tc>
          <w:tcPr>
            <w:tcW w:w="118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4,914,124</w:t>
            </w:r>
          </w:p>
        </w:tc>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5,171,838</w:t>
            </w:r>
          </w:p>
        </w:tc>
        <w:tc>
          <w:tcPr>
            <w:tcW w:w="62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xml:space="preserve">5 </w:t>
            </w:r>
          </w:p>
        </w:tc>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5,423,488</w:t>
            </w:r>
          </w:p>
        </w:tc>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5,666,552</w:t>
            </w:r>
          </w:p>
        </w:tc>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5,902,273</w:t>
            </w:r>
          </w:p>
        </w:tc>
      </w:tr>
      <w:tr w:rsidR="00536AC6" w:rsidTr="005F6BE4">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c>
          <w:tcPr>
            <w:tcW w:w="2315" w:type="dxa"/>
            <w:tcBorders>
              <w:top w:val="nil"/>
              <w:left w:val="nil"/>
              <w:bottom w:val="nil"/>
              <w:right w:val="nil"/>
            </w:tcBorders>
            <w:shd w:val="clear" w:color="000000" w:fill="FFFFFF"/>
            <w:hideMark/>
          </w:tcPr>
          <w:p w:rsidR="00536AC6" w:rsidRDefault="00536AC6" w:rsidP="00536AC6">
            <w:pPr>
              <w:rPr>
                <w:sz w:val="18"/>
                <w:szCs w:val="18"/>
              </w:rPr>
            </w:pPr>
            <w:r>
              <w:rPr>
                <w:sz w:val="18"/>
                <w:szCs w:val="18"/>
              </w:rPr>
              <w:t> </w:t>
            </w:r>
          </w:p>
        </w:tc>
        <w:tc>
          <w:tcPr>
            <w:tcW w:w="118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r>
      <w:tr w:rsidR="00536AC6" w:rsidTr="005F6BE4">
        <w:tc>
          <w:tcPr>
            <w:tcW w:w="1054" w:type="dxa"/>
            <w:tcBorders>
              <w:top w:val="nil"/>
              <w:left w:val="nil"/>
              <w:bottom w:val="nil"/>
              <w:right w:val="nil"/>
            </w:tcBorders>
            <w:shd w:val="clear" w:color="000000" w:fill="FFFFFF"/>
            <w:hideMark/>
          </w:tcPr>
          <w:p w:rsidR="00536AC6" w:rsidRDefault="00536AC6" w:rsidP="00536AC6">
            <w:pPr>
              <w:ind w:left="-283"/>
              <w:jc w:val="right"/>
              <w:rPr>
                <w:b/>
                <w:bCs/>
                <w:sz w:val="18"/>
                <w:szCs w:val="18"/>
              </w:rPr>
            </w:pPr>
            <w:r>
              <w:rPr>
                <w:b/>
                <w:bCs/>
                <w:sz w:val="18"/>
                <w:szCs w:val="18"/>
              </w:rPr>
              <w:t>4,922,533</w:t>
            </w:r>
          </w:p>
        </w:tc>
        <w:tc>
          <w:tcPr>
            <w:tcW w:w="2315" w:type="dxa"/>
            <w:tcBorders>
              <w:top w:val="nil"/>
              <w:left w:val="nil"/>
              <w:bottom w:val="nil"/>
              <w:right w:val="nil"/>
            </w:tcBorders>
            <w:shd w:val="clear" w:color="000000" w:fill="FFFFFF"/>
            <w:hideMark/>
          </w:tcPr>
          <w:p w:rsidR="00536AC6" w:rsidRDefault="00536AC6" w:rsidP="00536AC6">
            <w:pPr>
              <w:rPr>
                <w:b/>
                <w:bCs/>
                <w:sz w:val="18"/>
                <w:szCs w:val="18"/>
              </w:rPr>
            </w:pPr>
            <w:r>
              <w:rPr>
                <w:b/>
                <w:bCs/>
                <w:sz w:val="18"/>
                <w:szCs w:val="18"/>
              </w:rPr>
              <w:t>Total Non Current Liabilities</w:t>
            </w:r>
          </w:p>
        </w:tc>
        <w:tc>
          <w:tcPr>
            <w:tcW w:w="1184" w:type="dxa"/>
            <w:tcBorders>
              <w:top w:val="nil"/>
              <w:left w:val="nil"/>
              <w:bottom w:val="nil"/>
              <w:right w:val="nil"/>
            </w:tcBorders>
            <w:shd w:val="clear" w:color="000000" w:fill="FFFFFF"/>
            <w:hideMark/>
          </w:tcPr>
          <w:p w:rsidR="00536AC6" w:rsidRDefault="00536AC6" w:rsidP="00536AC6">
            <w:pPr>
              <w:ind w:left="-283"/>
              <w:jc w:val="right"/>
              <w:rPr>
                <w:b/>
                <w:bCs/>
                <w:sz w:val="18"/>
                <w:szCs w:val="18"/>
              </w:rPr>
            </w:pPr>
            <w:r>
              <w:rPr>
                <w:b/>
                <w:bCs/>
                <w:sz w:val="18"/>
                <w:szCs w:val="18"/>
              </w:rPr>
              <w:t>4,914,124</w:t>
            </w:r>
          </w:p>
        </w:tc>
        <w:tc>
          <w:tcPr>
            <w:tcW w:w="1054" w:type="dxa"/>
            <w:tcBorders>
              <w:top w:val="nil"/>
              <w:left w:val="nil"/>
              <w:bottom w:val="nil"/>
              <w:right w:val="nil"/>
            </w:tcBorders>
            <w:shd w:val="clear" w:color="000000" w:fill="FFFFFF"/>
            <w:hideMark/>
          </w:tcPr>
          <w:p w:rsidR="00536AC6" w:rsidRDefault="00536AC6" w:rsidP="00536AC6">
            <w:pPr>
              <w:ind w:left="-283"/>
              <w:jc w:val="right"/>
              <w:rPr>
                <w:b/>
                <w:bCs/>
                <w:sz w:val="18"/>
                <w:szCs w:val="18"/>
              </w:rPr>
            </w:pPr>
            <w:r>
              <w:rPr>
                <w:b/>
                <w:bCs/>
                <w:sz w:val="18"/>
                <w:szCs w:val="18"/>
              </w:rPr>
              <w:t>5,171,838</w:t>
            </w:r>
          </w:p>
        </w:tc>
        <w:tc>
          <w:tcPr>
            <w:tcW w:w="624" w:type="dxa"/>
            <w:tcBorders>
              <w:top w:val="nil"/>
              <w:left w:val="nil"/>
              <w:bottom w:val="nil"/>
              <w:right w:val="nil"/>
            </w:tcBorders>
            <w:shd w:val="clear" w:color="000000" w:fill="FFFFFF"/>
            <w:hideMark/>
          </w:tcPr>
          <w:p w:rsidR="00536AC6" w:rsidRDefault="00536AC6" w:rsidP="00536AC6">
            <w:pPr>
              <w:ind w:left="-283"/>
              <w:jc w:val="right"/>
              <w:rPr>
                <w:b/>
                <w:bCs/>
                <w:sz w:val="18"/>
                <w:szCs w:val="18"/>
              </w:rPr>
            </w:pPr>
            <w:r>
              <w:rPr>
                <w:b/>
                <w:bCs/>
                <w:sz w:val="18"/>
                <w:szCs w:val="18"/>
              </w:rPr>
              <w:t xml:space="preserve">5 </w:t>
            </w:r>
          </w:p>
        </w:tc>
        <w:tc>
          <w:tcPr>
            <w:tcW w:w="1054" w:type="dxa"/>
            <w:tcBorders>
              <w:top w:val="nil"/>
              <w:left w:val="nil"/>
              <w:bottom w:val="nil"/>
              <w:right w:val="nil"/>
            </w:tcBorders>
            <w:shd w:val="clear" w:color="000000" w:fill="FFFFFF"/>
            <w:hideMark/>
          </w:tcPr>
          <w:p w:rsidR="00536AC6" w:rsidRDefault="00536AC6" w:rsidP="00536AC6">
            <w:pPr>
              <w:ind w:left="-283"/>
              <w:jc w:val="right"/>
              <w:rPr>
                <w:b/>
                <w:bCs/>
                <w:sz w:val="18"/>
                <w:szCs w:val="18"/>
              </w:rPr>
            </w:pPr>
            <w:r>
              <w:rPr>
                <w:b/>
                <w:bCs/>
                <w:sz w:val="18"/>
                <w:szCs w:val="18"/>
              </w:rPr>
              <w:t>5,423,488</w:t>
            </w:r>
          </w:p>
        </w:tc>
        <w:tc>
          <w:tcPr>
            <w:tcW w:w="1054" w:type="dxa"/>
            <w:tcBorders>
              <w:top w:val="nil"/>
              <w:left w:val="nil"/>
              <w:bottom w:val="nil"/>
              <w:right w:val="nil"/>
            </w:tcBorders>
            <w:shd w:val="clear" w:color="000000" w:fill="FFFFFF"/>
            <w:hideMark/>
          </w:tcPr>
          <w:p w:rsidR="00536AC6" w:rsidRDefault="00536AC6" w:rsidP="00536AC6">
            <w:pPr>
              <w:ind w:left="-283"/>
              <w:jc w:val="right"/>
              <w:rPr>
                <w:b/>
                <w:bCs/>
                <w:sz w:val="18"/>
                <w:szCs w:val="18"/>
              </w:rPr>
            </w:pPr>
            <w:r>
              <w:rPr>
                <w:b/>
                <w:bCs/>
                <w:sz w:val="18"/>
                <w:szCs w:val="18"/>
              </w:rPr>
              <w:t>5,666,552</w:t>
            </w:r>
          </w:p>
        </w:tc>
        <w:tc>
          <w:tcPr>
            <w:tcW w:w="1054" w:type="dxa"/>
            <w:tcBorders>
              <w:top w:val="nil"/>
              <w:left w:val="nil"/>
              <w:bottom w:val="nil"/>
              <w:right w:val="nil"/>
            </w:tcBorders>
            <w:shd w:val="clear" w:color="000000" w:fill="FFFFFF"/>
            <w:hideMark/>
          </w:tcPr>
          <w:p w:rsidR="00536AC6" w:rsidRDefault="00536AC6" w:rsidP="00536AC6">
            <w:pPr>
              <w:ind w:left="-283"/>
              <w:jc w:val="right"/>
              <w:rPr>
                <w:b/>
                <w:bCs/>
                <w:sz w:val="18"/>
                <w:szCs w:val="18"/>
              </w:rPr>
            </w:pPr>
            <w:r>
              <w:rPr>
                <w:b/>
                <w:bCs/>
                <w:sz w:val="18"/>
                <w:szCs w:val="18"/>
              </w:rPr>
              <w:t>5,902,273</w:t>
            </w:r>
          </w:p>
        </w:tc>
      </w:tr>
      <w:tr w:rsidR="00536AC6" w:rsidTr="005F6BE4">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c>
          <w:tcPr>
            <w:tcW w:w="2315" w:type="dxa"/>
            <w:tcBorders>
              <w:top w:val="nil"/>
              <w:left w:val="nil"/>
              <w:bottom w:val="nil"/>
              <w:right w:val="nil"/>
            </w:tcBorders>
            <w:shd w:val="clear" w:color="000000" w:fill="FFFFFF"/>
            <w:hideMark/>
          </w:tcPr>
          <w:p w:rsidR="00536AC6" w:rsidRDefault="00536AC6" w:rsidP="00536AC6">
            <w:pPr>
              <w:rPr>
                <w:b/>
                <w:bCs/>
                <w:sz w:val="18"/>
                <w:szCs w:val="18"/>
              </w:rPr>
            </w:pPr>
            <w:r>
              <w:rPr>
                <w:b/>
                <w:bCs/>
                <w:sz w:val="18"/>
                <w:szCs w:val="18"/>
              </w:rPr>
              <w:t> </w:t>
            </w:r>
          </w:p>
        </w:tc>
        <w:tc>
          <w:tcPr>
            <w:tcW w:w="118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r>
      <w:tr w:rsidR="00536AC6" w:rsidTr="005F6BE4">
        <w:tc>
          <w:tcPr>
            <w:tcW w:w="1054" w:type="dxa"/>
            <w:tcBorders>
              <w:top w:val="nil"/>
              <w:left w:val="nil"/>
              <w:bottom w:val="nil"/>
              <w:right w:val="nil"/>
            </w:tcBorders>
            <w:shd w:val="clear" w:color="000000" w:fill="FFFFFF"/>
            <w:hideMark/>
          </w:tcPr>
          <w:p w:rsidR="00536AC6" w:rsidRDefault="00536AC6" w:rsidP="00536AC6">
            <w:pPr>
              <w:ind w:left="-283"/>
              <w:jc w:val="right"/>
              <w:rPr>
                <w:b/>
                <w:bCs/>
                <w:sz w:val="18"/>
                <w:szCs w:val="18"/>
              </w:rPr>
            </w:pPr>
            <w:r>
              <w:rPr>
                <w:b/>
                <w:bCs/>
                <w:sz w:val="18"/>
                <w:szCs w:val="18"/>
              </w:rPr>
              <w:t>5,100,731</w:t>
            </w:r>
          </w:p>
        </w:tc>
        <w:tc>
          <w:tcPr>
            <w:tcW w:w="2315" w:type="dxa"/>
            <w:tcBorders>
              <w:top w:val="nil"/>
              <w:left w:val="nil"/>
              <w:bottom w:val="nil"/>
              <w:right w:val="nil"/>
            </w:tcBorders>
            <w:shd w:val="clear" w:color="000000" w:fill="FFFFFF"/>
            <w:hideMark/>
          </w:tcPr>
          <w:p w:rsidR="00536AC6" w:rsidRDefault="00536AC6" w:rsidP="00536AC6">
            <w:pPr>
              <w:rPr>
                <w:b/>
                <w:bCs/>
                <w:sz w:val="18"/>
                <w:szCs w:val="18"/>
              </w:rPr>
            </w:pPr>
            <w:r>
              <w:rPr>
                <w:b/>
                <w:bCs/>
                <w:sz w:val="18"/>
                <w:szCs w:val="18"/>
              </w:rPr>
              <w:t>TOTAL LIABILITIES</w:t>
            </w:r>
          </w:p>
        </w:tc>
        <w:tc>
          <w:tcPr>
            <w:tcW w:w="1184" w:type="dxa"/>
            <w:tcBorders>
              <w:top w:val="nil"/>
              <w:left w:val="nil"/>
              <w:bottom w:val="nil"/>
              <w:right w:val="nil"/>
            </w:tcBorders>
            <w:shd w:val="clear" w:color="000000" w:fill="FFFFFF"/>
            <w:hideMark/>
          </w:tcPr>
          <w:p w:rsidR="00536AC6" w:rsidRDefault="00536AC6" w:rsidP="00536AC6">
            <w:pPr>
              <w:ind w:left="-283"/>
              <w:jc w:val="right"/>
              <w:rPr>
                <w:b/>
                <w:bCs/>
                <w:sz w:val="18"/>
                <w:szCs w:val="18"/>
              </w:rPr>
            </w:pPr>
            <w:r>
              <w:rPr>
                <w:b/>
                <w:bCs/>
                <w:sz w:val="18"/>
                <w:szCs w:val="18"/>
              </w:rPr>
              <w:t>5,093,449</w:t>
            </w:r>
          </w:p>
        </w:tc>
        <w:tc>
          <w:tcPr>
            <w:tcW w:w="1054" w:type="dxa"/>
            <w:tcBorders>
              <w:top w:val="nil"/>
              <w:left w:val="nil"/>
              <w:bottom w:val="nil"/>
              <w:right w:val="nil"/>
            </w:tcBorders>
            <w:shd w:val="clear" w:color="000000" w:fill="FFFFFF"/>
            <w:hideMark/>
          </w:tcPr>
          <w:p w:rsidR="00536AC6" w:rsidRDefault="00536AC6" w:rsidP="00536AC6">
            <w:pPr>
              <w:ind w:left="-283"/>
              <w:jc w:val="right"/>
              <w:rPr>
                <w:b/>
                <w:bCs/>
                <w:sz w:val="18"/>
                <w:szCs w:val="18"/>
              </w:rPr>
            </w:pPr>
            <w:r>
              <w:rPr>
                <w:b/>
                <w:bCs/>
                <w:sz w:val="18"/>
                <w:szCs w:val="18"/>
              </w:rPr>
              <w:t>5,368,630</w:t>
            </w:r>
          </w:p>
        </w:tc>
        <w:tc>
          <w:tcPr>
            <w:tcW w:w="624" w:type="dxa"/>
            <w:tcBorders>
              <w:top w:val="nil"/>
              <w:left w:val="nil"/>
              <w:bottom w:val="nil"/>
              <w:right w:val="nil"/>
            </w:tcBorders>
            <w:shd w:val="clear" w:color="000000" w:fill="FFFFFF"/>
            <w:hideMark/>
          </w:tcPr>
          <w:p w:rsidR="00536AC6" w:rsidRDefault="00536AC6" w:rsidP="00536AC6">
            <w:pPr>
              <w:ind w:left="-283"/>
              <w:jc w:val="right"/>
              <w:rPr>
                <w:b/>
                <w:bCs/>
                <w:sz w:val="18"/>
                <w:szCs w:val="18"/>
              </w:rPr>
            </w:pPr>
            <w:r>
              <w:rPr>
                <w:b/>
                <w:bCs/>
                <w:sz w:val="18"/>
                <w:szCs w:val="18"/>
              </w:rPr>
              <w:t xml:space="preserve">5 </w:t>
            </w:r>
          </w:p>
        </w:tc>
        <w:tc>
          <w:tcPr>
            <w:tcW w:w="1054" w:type="dxa"/>
            <w:tcBorders>
              <w:top w:val="nil"/>
              <w:left w:val="nil"/>
              <w:bottom w:val="nil"/>
              <w:right w:val="nil"/>
            </w:tcBorders>
            <w:shd w:val="clear" w:color="000000" w:fill="FFFFFF"/>
            <w:hideMark/>
          </w:tcPr>
          <w:p w:rsidR="00536AC6" w:rsidRDefault="00536AC6" w:rsidP="00536AC6">
            <w:pPr>
              <w:ind w:left="-283"/>
              <w:jc w:val="right"/>
              <w:rPr>
                <w:b/>
                <w:bCs/>
                <w:sz w:val="18"/>
                <w:szCs w:val="18"/>
              </w:rPr>
            </w:pPr>
            <w:r>
              <w:rPr>
                <w:b/>
                <w:bCs/>
                <w:sz w:val="18"/>
                <w:szCs w:val="18"/>
              </w:rPr>
              <w:t>5,638,266</w:t>
            </w:r>
          </w:p>
        </w:tc>
        <w:tc>
          <w:tcPr>
            <w:tcW w:w="1054" w:type="dxa"/>
            <w:tcBorders>
              <w:top w:val="nil"/>
              <w:left w:val="nil"/>
              <w:bottom w:val="nil"/>
              <w:right w:val="nil"/>
            </w:tcBorders>
            <w:shd w:val="clear" w:color="000000" w:fill="FFFFFF"/>
            <w:hideMark/>
          </w:tcPr>
          <w:p w:rsidR="00536AC6" w:rsidRDefault="00536AC6" w:rsidP="00536AC6">
            <w:pPr>
              <w:ind w:left="-283"/>
              <w:jc w:val="right"/>
              <w:rPr>
                <w:b/>
                <w:bCs/>
                <w:sz w:val="18"/>
                <w:szCs w:val="18"/>
              </w:rPr>
            </w:pPr>
            <w:r>
              <w:rPr>
                <w:b/>
                <w:bCs/>
                <w:sz w:val="18"/>
                <w:szCs w:val="18"/>
              </w:rPr>
              <w:t>5,901,468</w:t>
            </w:r>
          </w:p>
        </w:tc>
        <w:tc>
          <w:tcPr>
            <w:tcW w:w="1054" w:type="dxa"/>
            <w:tcBorders>
              <w:top w:val="nil"/>
              <w:left w:val="nil"/>
              <w:bottom w:val="nil"/>
              <w:right w:val="nil"/>
            </w:tcBorders>
            <w:shd w:val="clear" w:color="000000" w:fill="FFFFFF"/>
            <w:hideMark/>
          </w:tcPr>
          <w:p w:rsidR="00536AC6" w:rsidRDefault="00536AC6" w:rsidP="00536AC6">
            <w:pPr>
              <w:ind w:left="-283"/>
              <w:jc w:val="right"/>
              <w:rPr>
                <w:b/>
                <w:bCs/>
                <w:sz w:val="18"/>
                <w:szCs w:val="18"/>
              </w:rPr>
            </w:pPr>
            <w:r>
              <w:rPr>
                <w:b/>
                <w:bCs/>
                <w:sz w:val="18"/>
                <w:szCs w:val="18"/>
              </w:rPr>
              <w:t>6,155,359</w:t>
            </w:r>
          </w:p>
        </w:tc>
      </w:tr>
      <w:tr w:rsidR="00536AC6" w:rsidTr="005F6BE4">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c>
          <w:tcPr>
            <w:tcW w:w="2315" w:type="dxa"/>
            <w:tcBorders>
              <w:top w:val="nil"/>
              <w:left w:val="nil"/>
              <w:bottom w:val="nil"/>
              <w:right w:val="nil"/>
            </w:tcBorders>
            <w:shd w:val="clear" w:color="000000" w:fill="FFFFFF"/>
            <w:hideMark/>
          </w:tcPr>
          <w:p w:rsidR="00536AC6" w:rsidRDefault="00536AC6" w:rsidP="00536AC6">
            <w:pPr>
              <w:rPr>
                <w:sz w:val="18"/>
                <w:szCs w:val="18"/>
              </w:rPr>
            </w:pPr>
            <w:r>
              <w:rPr>
                <w:sz w:val="18"/>
                <w:szCs w:val="18"/>
              </w:rPr>
              <w:t> </w:t>
            </w:r>
          </w:p>
        </w:tc>
        <w:tc>
          <w:tcPr>
            <w:tcW w:w="118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r>
      <w:tr w:rsidR="00536AC6" w:rsidTr="005F6BE4">
        <w:tc>
          <w:tcPr>
            <w:tcW w:w="1054" w:type="dxa"/>
            <w:tcBorders>
              <w:top w:val="nil"/>
              <w:left w:val="nil"/>
              <w:bottom w:val="nil"/>
              <w:right w:val="nil"/>
            </w:tcBorders>
            <w:shd w:val="clear" w:color="000000" w:fill="FFFFFF"/>
            <w:hideMark/>
          </w:tcPr>
          <w:p w:rsidR="00536AC6" w:rsidRDefault="00536AC6" w:rsidP="00536AC6">
            <w:pPr>
              <w:ind w:left="-283"/>
              <w:jc w:val="right"/>
              <w:rPr>
                <w:b/>
                <w:bCs/>
                <w:sz w:val="18"/>
                <w:szCs w:val="18"/>
              </w:rPr>
            </w:pPr>
            <w:r>
              <w:rPr>
                <w:b/>
                <w:bCs/>
                <w:sz w:val="18"/>
                <w:szCs w:val="18"/>
              </w:rPr>
              <w:t>-2,595,458</w:t>
            </w:r>
          </w:p>
        </w:tc>
        <w:tc>
          <w:tcPr>
            <w:tcW w:w="2315" w:type="dxa"/>
            <w:tcBorders>
              <w:top w:val="nil"/>
              <w:left w:val="nil"/>
              <w:bottom w:val="nil"/>
              <w:right w:val="nil"/>
            </w:tcBorders>
            <w:shd w:val="clear" w:color="000000" w:fill="FFFFFF"/>
            <w:hideMark/>
          </w:tcPr>
          <w:p w:rsidR="00536AC6" w:rsidRDefault="00536AC6" w:rsidP="00536AC6">
            <w:pPr>
              <w:rPr>
                <w:b/>
                <w:bCs/>
                <w:sz w:val="18"/>
                <w:szCs w:val="18"/>
              </w:rPr>
            </w:pPr>
            <w:r>
              <w:rPr>
                <w:b/>
                <w:bCs/>
                <w:sz w:val="18"/>
                <w:szCs w:val="18"/>
              </w:rPr>
              <w:t>NET ASSETS</w:t>
            </w:r>
          </w:p>
        </w:tc>
        <w:tc>
          <w:tcPr>
            <w:tcW w:w="1184" w:type="dxa"/>
            <w:tcBorders>
              <w:top w:val="nil"/>
              <w:left w:val="nil"/>
              <w:bottom w:val="nil"/>
              <w:right w:val="nil"/>
            </w:tcBorders>
            <w:shd w:val="clear" w:color="000000" w:fill="FFFFFF"/>
            <w:hideMark/>
          </w:tcPr>
          <w:p w:rsidR="00536AC6" w:rsidRDefault="00536AC6" w:rsidP="00536AC6">
            <w:pPr>
              <w:ind w:left="-283"/>
              <w:jc w:val="right"/>
              <w:rPr>
                <w:b/>
                <w:bCs/>
                <w:sz w:val="18"/>
                <w:szCs w:val="18"/>
              </w:rPr>
            </w:pPr>
            <w:r>
              <w:rPr>
                <w:b/>
                <w:bCs/>
                <w:sz w:val="18"/>
                <w:szCs w:val="18"/>
              </w:rPr>
              <w:t>-2,515,224</w:t>
            </w:r>
          </w:p>
        </w:tc>
        <w:tc>
          <w:tcPr>
            <w:tcW w:w="1054" w:type="dxa"/>
            <w:tcBorders>
              <w:top w:val="nil"/>
              <w:left w:val="nil"/>
              <w:bottom w:val="nil"/>
              <w:right w:val="nil"/>
            </w:tcBorders>
            <w:shd w:val="clear" w:color="000000" w:fill="FFFFFF"/>
            <w:hideMark/>
          </w:tcPr>
          <w:p w:rsidR="00536AC6" w:rsidRDefault="00536AC6" w:rsidP="00536AC6">
            <w:pPr>
              <w:ind w:left="-283"/>
              <w:jc w:val="right"/>
              <w:rPr>
                <w:b/>
                <w:bCs/>
                <w:sz w:val="18"/>
                <w:szCs w:val="18"/>
              </w:rPr>
            </w:pPr>
            <w:r>
              <w:rPr>
                <w:b/>
                <w:bCs/>
                <w:sz w:val="18"/>
                <w:szCs w:val="18"/>
              </w:rPr>
              <w:t>-2,601,372</w:t>
            </w:r>
          </w:p>
        </w:tc>
        <w:tc>
          <w:tcPr>
            <w:tcW w:w="624" w:type="dxa"/>
            <w:tcBorders>
              <w:top w:val="nil"/>
              <w:left w:val="nil"/>
              <w:bottom w:val="nil"/>
              <w:right w:val="nil"/>
            </w:tcBorders>
            <w:shd w:val="clear" w:color="000000" w:fill="FFFFFF"/>
            <w:hideMark/>
          </w:tcPr>
          <w:p w:rsidR="00536AC6" w:rsidRDefault="00536AC6" w:rsidP="00536AC6">
            <w:pPr>
              <w:ind w:left="-283"/>
              <w:jc w:val="right"/>
              <w:rPr>
                <w:b/>
                <w:bCs/>
                <w:sz w:val="18"/>
                <w:szCs w:val="18"/>
              </w:rPr>
            </w:pPr>
            <w:r>
              <w:rPr>
                <w:b/>
                <w:bCs/>
                <w:sz w:val="18"/>
                <w:szCs w:val="18"/>
              </w:rPr>
              <w:t xml:space="preserve">-3 </w:t>
            </w:r>
          </w:p>
        </w:tc>
        <w:tc>
          <w:tcPr>
            <w:tcW w:w="1054" w:type="dxa"/>
            <w:tcBorders>
              <w:top w:val="nil"/>
              <w:left w:val="nil"/>
              <w:bottom w:val="nil"/>
              <w:right w:val="nil"/>
            </w:tcBorders>
            <w:shd w:val="clear" w:color="000000" w:fill="FFFFFF"/>
            <w:hideMark/>
          </w:tcPr>
          <w:p w:rsidR="00536AC6" w:rsidRDefault="00536AC6" w:rsidP="00536AC6">
            <w:pPr>
              <w:ind w:left="-283"/>
              <w:jc w:val="right"/>
              <w:rPr>
                <w:b/>
                <w:bCs/>
                <w:sz w:val="18"/>
                <w:szCs w:val="18"/>
              </w:rPr>
            </w:pPr>
            <w:r>
              <w:rPr>
                <w:b/>
                <w:bCs/>
                <w:sz w:val="18"/>
                <w:szCs w:val="18"/>
              </w:rPr>
              <w:t>-2,667,654</w:t>
            </w:r>
          </w:p>
        </w:tc>
        <w:tc>
          <w:tcPr>
            <w:tcW w:w="1054" w:type="dxa"/>
            <w:tcBorders>
              <w:top w:val="nil"/>
              <w:left w:val="nil"/>
              <w:bottom w:val="nil"/>
              <w:right w:val="nil"/>
            </w:tcBorders>
            <w:shd w:val="clear" w:color="000000" w:fill="FFFFFF"/>
            <w:hideMark/>
          </w:tcPr>
          <w:p w:rsidR="00536AC6" w:rsidRDefault="00536AC6" w:rsidP="00536AC6">
            <w:pPr>
              <w:ind w:left="-283"/>
              <w:jc w:val="right"/>
              <w:rPr>
                <w:b/>
                <w:bCs/>
                <w:sz w:val="18"/>
                <w:szCs w:val="18"/>
              </w:rPr>
            </w:pPr>
            <w:r>
              <w:rPr>
                <w:b/>
                <w:bCs/>
                <w:sz w:val="18"/>
                <w:szCs w:val="18"/>
              </w:rPr>
              <w:t>-2,712,245</w:t>
            </w:r>
          </w:p>
        </w:tc>
        <w:tc>
          <w:tcPr>
            <w:tcW w:w="1054" w:type="dxa"/>
            <w:tcBorders>
              <w:top w:val="nil"/>
              <w:left w:val="nil"/>
              <w:bottom w:val="nil"/>
              <w:right w:val="nil"/>
            </w:tcBorders>
            <w:shd w:val="clear" w:color="000000" w:fill="FFFFFF"/>
            <w:hideMark/>
          </w:tcPr>
          <w:p w:rsidR="00536AC6" w:rsidRDefault="00536AC6" w:rsidP="00536AC6">
            <w:pPr>
              <w:ind w:left="-283"/>
              <w:jc w:val="right"/>
              <w:rPr>
                <w:b/>
                <w:bCs/>
                <w:sz w:val="18"/>
                <w:szCs w:val="18"/>
              </w:rPr>
            </w:pPr>
            <w:r>
              <w:rPr>
                <w:b/>
                <w:bCs/>
                <w:sz w:val="18"/>
                <w:szCs w:val="18"/>
              </w:rPr>
              <w:t>-2,731,072</w:t>
            </w:r>
          </w:p>
        </w:tc>
      </w:tr>
      <w:tr w:rsidR="00536AC6" w:rsidTr="005F6BE4">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c>
          <w:tcPr>
            <w:tcW w:w="2315" w:type="dxa"/>
            <w:tcBorders>
              <w:top w:val="nil"/>
              <w:left w:val="nil"/>
              <w:bottom w:val="nil"/>
              <w:right w:val="nil"/>
            </w:tcBorders>
            <w:shd w:val="clear" w:color="000000" w:fill="FFFFFF"/>
            <w:hideMark/>
          </w:tcPr>
          <w:p w:rsidR="00536AC6" w:rsidRDefault="00536AC6" w:rsidP="00536AC6">
            <w:pPr>
              <w:rPr>
                <w:b/>
                <w:bCs/>
                <w:sz w:val="18"/>
                <w:szCs w:val="18"/>
              </w:rPr>
            </w:pPr>
            <w:r>
              <w:rPr>
                <w:b/>
                <w:bCs/>
                <w:sz w:val="18"/>
                <w:szCs w:val="18"/>
              </w:rPr>
              <w:t> </w:t>
            </w:r>
          </w:p>
        </w:tc>
        <w:tc>
          <w:tcPr>
            <w:tcW w:w="118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r>
      <w:tr w:rsidR="00536AC6" w:rsidTr="005F6BE4">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c>
          <w:tcPr>
            <w:tcW w:w="3499" w:type="dxa"/>
            <w:gridSpan w:val="2"/>
            <w:tcBorders>
              <w:top w:val="nil"/>
              <w:left w:val="nil"/>
              <w:bottom w:val="nil"/>
              <w:right w:val="nil"/>
            </w:tcBorders>
            <w:shd w:val="clear" w:color="000000" w:fill="FFFFFF"/>
            <w:hideMark/>
          </w:tcPr>
          <w:p w:rsidR="00536AC6" w:rsidRDefault="00536AC6" w:rsidP="00536AC6">
            <w:pPr>
              <w:rPr>
                <w:sz w:val="18"/>
                <w:szCs w:val="18"/>
              </w:rPr>
            </w:pPr>
            <w:r>
              <w:rPr>
                <w:b/>
                <w:bCs/>
                <w:sz w:val="18"/>
                <w:szCs w:val="18"/>
              </w:rPr>
              <w:t>REPRESENTED BY FUNDS EMPLOYED</w:t>
            </w:r>
            <w:r>
              <w:rPr>
                <w:sz w:val="18"/>
                <w:szCs w:val="18"/>
              </w:rPr>
              <w:t xml:space="preserve"> </w:t>
            </w:r>
          </w:p>
        </w:tc>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r>
      <w:tr w:rsidR="00536AC6" w:rsidTr="005F6BE4">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c>
          <w:tcPr>
            <w:tcW w:w="2315" w:type="dxa"/>
            <w:tcBorders>
              <w:top w:val="nil"/>
              <w:left w:val="nil"/>
              <w:bottom w:val="nil"/>
              <w:right w:val="nil"/>
            </w:tcBorders>
            <w:shd w:val="clear" w:color="000000" w:fill="FFFFFF"/>
            <w:hideMark/>
          </w:tcPr>
          <w:p w:rsidR="00536AC6" w:rsidRDefault="00536AC6" w:rsidP="00536AC6">
            <w:pPr>
              <w:rPr>
                <w:b/>
                <w:bCs/>
                <w:sz w:val="18"/>
                <w:szCs w:val="18"/>
              </w:rPr>
            </w:pPr>
            <w:r>
              <w:rPr>
                <w:b/>
                <w:bCs/>
                <w:sz w:val="18"/>
                <w:szCs w:val="18"/>
              </w:rPr>
              <w:t> </w:t>
            </w:r>
          </w:p>
        </w:tc>
        <w:tc>
          <w:tcPr>
            <w:tcW w:w="118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r>
      <w:tr w:rsidR="00536AC6" w:rsidTr="005F6BE4">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-2,595,458</w:t>
            </w:r>
          </w:p>
        </w:tc>
        <w:tc>
          <w:tcPr>
            <w:tcW w:w="2315" w:type="dxa"/>
            <w:tcBorders>
              <w:top w:val="nil"/>
              <w:left w:val="nil"/>
              <w:bottom w:val="nil"/>
              <w:right w:val="nil"/>
            </w:tcBorders>
            <w:shd w:val="clear" w:color="000000" w:fill="FFFFFF"/>
            <w:hideMark/>
          </w:tcPr>
          <w:p w:rsidR="00536AC6" w:rsidRDefault="00536AC6" w:rsidP="00536AC6">
            <w:pPr>
              <w:rPr>
                <w:sz w:val="18"/>
                <w:szCs w:val="18"/>
              </w:rPr>
            </w:pPr>
            <w:r>
              <w:rPr>
                <w:sz w:val="18"/>
                <w:szCs w:val="18"/>
              </w:rPr>
              <w:t>Accumulated Funds</w:t>
            </w:r>
          </w:p>
        </w:tc>
        <w:tc>
          <w:tcPr>
            <w:tcW w:w="118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-2,515,224</w:t>
            </w:r>
          </w:p>
        </w:tc>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-2,601,372</w:t>
            </w:r>
          </w:p>
        </w:tc>
        <w:tc>
          <w:tcPr>
            <w:tcW w:w="62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xml:space="preserve">-3 </w:t>
            </w:r>
          </w:p>
        </w:tc>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-2,667,654</w:t>
            </w:r>
          </w:p>
        </w:tc>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-2,712,245</w:t>
            </w:r>
          </w:p>
        </w:tc>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-2,731,072</w:t>
            </w:r>
          </w:p>
        </w:tc>
      </w:tr>
      <w:tr w:rsidR="00536AC6" w:rsidTr="005F6BE4">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c>
          <w:tcPr>
            <w:tcW w:w="2315" w:type="dxa"/>
            <w:tcBorders>
              <w:top w:val="nil"/>
              <w:left w:val="nil"/>
              <w:bottom w:val="nil"/>
              <w:right w:val="nil"/>
            </w:tcBorders>
            <w:shd w:val="clear" w:color="000000" w:fill="FFFFFF"/>
            <w:hideMark/>
          </w:tcPr>
          <w:p w:rsidR="00536AC6" w:rsidRDefault="00536AC6" w:rsidP="00536AC6">
            <w:pPr>
              <w:rPr>
                <w:b/>
                <w:bCs/>
                <w:sz w:val="18"/>
                <w:szCs w:val="18"/>
              </w:rPr>
            </w:pPr>
            <w:r>
              <w:rPr>
                <w:b/>
                <w:bCs/>
                <w:sz w:val="18"/>
                <w:szCs w:val="18"/>
              </w:rPr>
              <w:t> </w:t>
            </w:r>
          </w:p>
        </w:tc>
        <w:tc>
          <w:tcPr>
            <w:tcW w:w="118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36AC6" w:rsidRDefault="00536AC6" w:rsidP="00536AC6">
            <w:pPr>
              <w:ind w:left="-283"/>
              <w:jc w:val="right"/>
              <w:rPr>
                <w:sz w:val="18"/>
                <w:szCs w:val="18"/>
              </w:rPr>
            </w:pPr>
            <w:r>
              <w:rPr>
                <w:sz w:val="18"/>
                <w:szCs w:val="18"/>
              </w:rPr>
              <w:t> </w:t>
            </w:r>
          </w:p>
        </w:tc>
      </w:tr>
      <w:tr w:rsidR="00536AC6" w:rsidTr="005F6BE4">
        <w:tc>
          <w:tcPr>
            <w:tcW w:w="1054" w:type="dxa"/>
            <w:tcBorders>
              <w:top w:val="nil"/>
              <w:left w:val="nil"/>
              <w:bottom w:val="nil"/>
              <w:right w:val="nil"/>
            </w:tcBorders>
            <w:shd w:val="clear" w:color="000000" w:fill="FFFFFF"/>
            <w:hideMark/>
          </w:tcPr>
          <w:p w:rsidR="00536AC6" w:rsidRDefault="00536AC6" w:rsidP="00536AC6">
            <w:pPr>
              <w:ind w:left="-283"/>
              <w:jc w:val="right"/>
              <w:rPr>
                <w:b/>
                <w:bCs/>
                <w:sz w:val="18"/>
                <w:szCs w:val="18"/>
              </w:rPr>
            </w:pPr>
            <w:r>
              <w:rPr>
                <w:b/>
                <w:bCs/>
                <w:sz w:val="18"/>
                <w:szCs w:val="18"/>
              </w:rPr>
              <w:t>-2,595,458</w:t>
            </w:r>
          </w:p>
        </w:tc>
        <w:tc>
          <w:tcPr>
            <w:tcW w:w="2315" w:type="dxa"/>
            <w:tcBorders>
              <w:top w:val="nil"/>
              <w:left w:val="nil"/>
              <w:bottom w:val="nil"/>
              <w:right w:val="nil"/>
            </w:tcBorders>
            <w:shd w:val="clear" w:color="000000" w:fill="FFFFFF"/>
            <w:hideMark/>
          </w:tcPr>
          <w:p w:rsidR="00536AC6" w:rsidRDefault="00536AC6" w:rsidP="00536AC6">
            <w:pPr>
              <w:rPr>
                <w:b/>
                <w:bCs/>
                <w:sz w:val="18"/>
                <w:szCs w:val="18"/>
              </w:rPr>
            </w:pPr>
            <w:r>
              <w:rPr>
                <w:b/>
                <w:bCs/>
                <w:sz w:val="18"/>
                <w:szCs w:val="18"/>
              </w:rPr>
              <w:t>TOTAL FUNDS EMPLOYED</w:t>
            </w:r>
          </w:p>
        </w:tc>
        <w:tc>
          <w:tcPr>
            <w:tcW w:w="1184" w:type="dxa"/>
            <w:tcBorders>
              <w:top w:val="nil"/>
              <w:left w:val="nil"/>
              <w:bottom w:val="nil"/>
              <w:right w:val="nil"/>
            </w:tcBorders>
            <w:shd w:val="clear" w:color="000000" w:fill="FFFFFF"/>
            <w:hideMark/>
          </w:tcPr>
          <w:p w:rsidR="00536AC6" w:rsidRDefault="00536AC6" w:rsidP="00536AC6">
            <w:pPr>
              <w:ind w:left="-283"/>
              <w:jc w:val="right"/>
              <w:rPr>
                <w:b/>
                <w:bCs/>
                <w:sz w:val="18"/>
                <w:szCs w:val="18"/>
              </w:rPr>
            </w:pPr>
            <w:r>
              <w:rPr>
                <w:b/>
                <w:bCs/>
                <w:sz w:val="18"/>
                <w:szCs w:val="18"/>
              </w:rPr>
              <w:t>-2,515,224</w:t>
            </w:r>
          </w:p>
        </w:tc>
        <w:tc>
          <w:tcPr>
            <w:tcW w:w="1054" w:type="dxa"/>
            <w:tcBorders>
              <w:top w:val="nil"/>
              <w:left w:val="nil"/>
              <w:bottom w:val="nil"/>
              <w:right w:val="nil"/>
            </w:tcBorders>
            <w:shd w:val="clear" w:color="000000" w:fill="FFFFFF"/>
            <w:hideMark/>
          </w:tcPr>
          <w:p w:rsidR="00536AC6" w:rsidRDefault="00536AC6" w:rsidP="00536AC6">
            <w:pPr>
              <w:ind w:left="-283"/>
              <w:jc w:val="right"/>
              <w:rPr>
                <w:b/>
                <w:bCs/>
                <w:sz w:val="18"/>
                <w:szCs w:val="18"/>
              </w:rPr>
            </w:pPr>
            <w:r>
              <w:rPr>
                <w:b/>
                <w:bCs/>
                <w:sz w:val="18"/>
                <w:szCs w:val="18"/>
              </w:rPr>
              <w:t>-2,601,372</w:t>
            </w:r>
          </w:p>
        </w:tc>
        <w:tc>
          <w:tcPr>
            <w:tcW w:w="624" w:type="dxa"/>
            <w:tcBorders>
              <w:top w:val="nil"/>
              <w:left w:val="nil"/>
              <w:bottom w:val="nil"/>
              <w:right w:val="nil"/>
            </w:tcBorders>
            <w:shd w:val="clear" w:color="000000" w:fill="FFFFFF"/>
            <w:hideMark/>
          </w:tcPr>
          <w:p w:rsidR="00536AC6" w:rsidRDefault="00536AC6" w:rsidP="00536AC6">
            <w:pPr>
              <w:ind w:left="-283"/>
              <w:jc w:val="right"/>
              <w:rPr>
                <w:b/>
                <w:bCs/>
                <w:sz w:val="18"/>
                <w:szCs w:val="18"/>
              </w:rPr>
            </w:pPr>
            <w:r>
              <w:rPr>
                <w:b/>
                <w:bCs/>
                <w:sz w:val="18"/>
                <w:szCs w:val="18"/>
              </w:rPr>
              <w:t xml:space="preserve">-3 </w:t>
            </w:r>
          </w:p>
        </w:tc>
        <w:tc>
          <w:tcPr>
            <w:tcW w:w="1054" w:type="dxa"/>
            <w:tcBorders>
              <w:top w:val="nil"/>
              <w:left w:val="nil"/>
              <w:bottom w:val="nil"/>
              <w:right w:val="nil"/>
            </w:tcBorders>
            <w:shd w:val="clear" w:color="000000" w:fill="FFFFFF"/>
            <w:hideMark/>
          </w:tcPr>
          <w:p w:rsidR="00536AC6" w:rsidRDefault="00536AC6" w:rsidP="00536AC6">
            <w:pPr>
              <w:ind w:left="-283"/>
              <w:jc w:val="right"/>
              <w:rPr>
                <w:b/>
                <w:bCs/>
                <w:sz w:val="18"/>
                <w:szCs w:val="18"/>
              </w:rPr>
            </w:pPr>
            <w:r>
              <w:rPr>
                <w:b/>
                <w:bCs/>
                <w:sz w:val="18"/>
                <w:szCs w:val="18"/>
              </w:rPr>
              <w:t>-2,667,654</w:t>
            </w:r>
          </w:p>
        </w:tc>
        <w:tc>
          <w:tcPr>
            <w:tcW w:w="1054" w:type="dxa"/>
            <w:tcBorders>
              <w:top w:val="nil"/>
              <w:left w:val="nil"/>
              <w:bottom w:val="nil"/>
              <w:right w:val="nil"/>
            </w:tcBorders>
            <w:shd w:val="clear" w:color="000000" w:fill="FFFFFF"/>
            <w:hideMark/>
          </w:tcPr>
          <w:p w:rsidR="00536AC6" w:rsidRDefault="00536AC6" w:rsidP="00536AC6">
            <w:pPr>
              <w:ind w:left="-283"/>
              <w:jc w:val="right"/>
              <w:rPr>
                <w:b/>
                <w:bCs/>
                <w:sz w:val="18"/>
                <w:szCs w:val="18"/>
              </w:rPr>
            </w:pPr>
            <w:r>
              <w:rPr>
                <w:b/>
                <w:bCs/>
                <w:sz w:val="18"/>
                <w:szCs w:val="18"/>
              </w:rPr>
              <w:t>-2,712,245</w:t>
            </w:r>
          </w:p>
        </w:tc>
        <w:tc>
          <w:tcPr>
            <w:tcW w:w="1054" w:type="dxa"/>
            <w:tcBorders>
              <w:top w:val="nil"/>
              <w:left w:val="nil"/>
              <w:bottom w:val="nil"/>
              <w:right w:val="nil"/>
            </w:tcBorders>
            <w:shd w:val="clear" w:color="000000" w:fill="FFFFFF"/>
            <w:hideMark/>
          </w:tcPr>
          <w:p w:rsidR="00536AC6" w:rsidRDefault="00536AC6" w:rsidP="00536AC6">
            <w:pPr>
              <w:ind w:left="-283"/>
              <w:jc w:val="right"/>
              <w:rPr>
                <w:b/>
                <w:bCs/>
                <w:sz w:val="18"/>
                <w:szCs w:val="18"/>
              </w:rPr>
            </w:pPr>
            <w:r>
              <w:rPr>
                <w:b/>
                <w:bCs/>
                <w:sz w:val="18"/>
                <w:szCs w:val="18"/>
              </w:rPr>
              <w:t>-2,731,072</w:t>
            </w:r>
          </w:p>
        </w:tc>
      </w:tr>
      <w:tr w:rsidR="00981E9F" w:rsidTr="005F6BE4">
        <w:tc>
          <w:tcPr>
            <w:tcW w:w="1054" w:type="dxa"/>
            <w:tcBorders>
              <w:top w:val="nil"/>
              <w:left w:val="nil"/>
              <w:bottom w:val="single" w:sz="4" w:space="0" w:color="auto"/>
              <w:right w:val="nil"/>
            </w:tcBorders>
            <w:shd w:val="clear" w:color="000000" w:fill="FFFFFF"/>
            <w:hideMark/>
          </w:tcPr>
          <w:p w:rsidR="00981E9F" w:rsidRDefault="00981E9F" w:rsidP="00536AC6">
            <w:pPr>
              <w:ind w:left="-283"/>
              <w:jc w:val="right"/>
              <w:rPr>
                <w:sz w:val="18"/>
                <w:szCs w:val="18"/>
              </w:rPr>
            </w:pPr>
          </w:p>
        </w:tc>
        <w:tc>
          <w:tcPr>
            <w:tcW w:w="2315" w:type="dxa"/>
            <w:tcBorders>
              <w:top w:val="nil"/>
              <w:left w:val="nil"/>
              <w:bottom w:val="single" w:sz="4" w:space="0" w:color="auto"/>
              <w:right w:val="nil"/>
            </w:tcBorders>
            <w:shd w:val="clear" w:color="000000" w:fill="FFFFFF"/>
            <w:hideMark/>
          </w:tcPr>
          <w:p w:rsidR="00981E9F" w:rsidRDefault="00981E9F" w:rsidP="00536AC6">
            <w:pPr>
              <w:rPr>
                <w:sz w:val="18"/>
                <w:szCs w:val="18"/>
              </w:rPr>
            </w:pPr>
          </w:p>
        </w:tc>
        <w:tc>
          <w:tcPr>
            <w:tcW w:w="1184" w:type="dxa"/>
            <w:tcBorders>
              <w:top w:val="nil"/>
              <w:left w:val="nil"/>
              <w:bottom w:val="single" w:sz="4" w:space="0" w:color="auto"/>
              <w:right w:val="nil"/>
            </w:tcBorders>
            <w:shd w:val="clear" w:color="000000" w:fill="FFFFFF"/>
            <w:hideMark/>
          </w:tcPr>
          <w:p w:rsidR="00981E9F" w:rsidRDefault="00981E9F" w:rsidP="00536AC6">
            <w:pPr>
              <w:ind w:left="-283"/>
              <w:jc w:val="right"/>
              <w:rPr>
                <w:sz w:val="18"/>
                <w:szCs w:val="18"/>
              </w:rPr>
            </w:pPr>
          </w:p>
        </w:tc>
        <w:tc>
          <w:tcPr>
            <w:tcW w:w="1054" w:type="dxa"/>
            <w:tcBorders>
              <w:top w:val="nil"/>
              <w:left w:val="nil"/>
              <w:bottom w:val="single" w:sz="4" w:space="0" w:color="auto"/>
              <w:right w:val="nil"/>
            </w:tcBorders>
            <w:shd w:val="clear" w:color="000000" w:fill="FFFFFF"/>
            <w:hideMark/>
          </w:tcPr>
          <w:p w:rsidR="00981E9F" w:rsidRDefault="00981E9F" w:rsidP="00536AC6">
            <w:pPr>
              <w:ind w:left="-283"/>
              <w:jc w:val="right"/>
              <w:rPr>
                <w:sz w:val="18"/>
                <w:szCs w:val="18"/>
              </w:rPr>
            </w:pPr>
          </w:p>
        </w:tc>
        <w:tc>
          <w:tcPr>
            <w:tcW w:w="624" w:type="dxa"/>
            <w:tcBorders>
              <w:top w:val="nil"/>
              <w:left w:val="nil"/>
              <w:bottom w:val="single" w:sz="4" w:space="0" w:color="auto"/>
              <w:right w:val="nil"/>
            </w:tcBorders>
            <w:shd w:val="clear" w:color="000000" w:fill="FFFFFF"/>
            <w:hideMark/>
          </w:tcPr>
          <w:p w:rsidR="00981E9F" w:rsidRDefault="00981E9F" w:rsidP="00536AC6">
            <w:pPr>
              <w:ind w:left="-283"/>
              <w:jc w:val="right"/>
              <w:rPr>
                <w:sz w:val="18"/>
                <w:szCs w:val="18"/>
              </w:rPr>
            </w:pPr>
          </w:p>
        </w:tc>
        <w:tc>
          <w:tcPr>
            <w:tcW w:w="1054" w:type="dxa"/>
            <w:tcBorders>
              <w:top w:val="nil"/>
              <w:left w:val="nil"/>
              <w:bottom w:val="single" w:sz="4" w:space="0" w:color="auto"/>
              <w:right w:val="nil"/>
            </w:tcBorders>
            <w:shd w:val="clear" w:color="000000" w:fill="FFFFFF"/>
            <w:hideMark/>
          </w:tcPr>
          <w:p w:rsidR="00981E9F" w:rsidRDefault="00981E9F" w:rsidP="00536AC6">
            <w:pPr>
              <w:ind w:left="-283"/>
              <w:jc w:val="right"/>
              <w:rPr>
                <w:sz w:val="18"/>
                <w:szCs w:val="18"/>
              </w:rPr>
            </w:pPr>
          </w:p>
        </w:tc>
        <w:tc>
          <w:tcPr>
            <w:tcW w:w="1054" w:type="dxa"/>
            <w:tcBorders>
              <w:top w:val="nil"/>
              <w:left w:val="nil"/>
              <w:bottom w:val="single" w:sz="4" w:space="0" w:color="auto"/>
              <w:right w:val="nil"/>
            </w:tcBorders>
            <w:shd w:val="clear" w:color="000000" w:fill="FFFFFF"/>
            <w:hideMark/>
          </w:tcPr>
          <w:p w:rsidR="00981E9F" w:rsidRDefault="00981E9F" w:rsidP="00536AC6">
            <w:pPr>
              <w:ind w:left="-283"/>
              <w:jc w:val="right"/>
              <w:rPr>
                <w:sz w:val="18"/>
                <w:szCs w:val="18"/>
              </w:rPr>
            </w:pPr>
          </w:p>
        </w:tc>
        <w:tc>
          <w:tcPr>
            <w:tcW w:w="1054" w:type="dxa"/>
            <w:tcBorders>
              <w:top w:val="nil"/>
              <w:left w:val="nil"/>
              <w:bottom w:val="single" w:sz="4" w:space="0" w:color="auto"/>
              <w:right w:val="nil"/>
            </w:tcBorders>
            <w:shd w:val="clear" w:color="000000" w:fill="FFFFFF"/>
            <w:hideMark/>
          </w:tcPr>
          <w:p w:rsidR="00981E9F" w:rsidRDefault="00981E9F" w:rsidP="00536AC6">
            <w:pPr>
              <w:ind w:left="-283"/>
              <w:jc w:val="right"/>
              <w:rPr>
                <w:sz w:val="18"/>
                <w:szCs w:val="18"/>
              </w:rPr>
            </w:pPr>
          </w:p>
        </w:tc>
      </w:tr>
    </w:tbl>
    <w:p w:rsidR="005F6BE4" w:rsidRDefault="005F6BE4">
      <w:r>
        <w:br w:type="page"/>
      </w:r>
    </w:p>
    <w:tbl>
      <w:tblPr>
        <w:tblW w:w="9393" w:type="dxa"/>
        <w:tblLook w:val="04A0"/>
      </w:tblPr>
      <w:tblGrid>
        <w:gridCol w:w="1054"/>
        <w:gridCol w:w="2315"/>
        <w:gridCol w:w="1184"/>
        <w:gridCol w:w="1054"/>
        <w:gridCol w:w="624"/>
        <w:gridCol w:w="1054"/>
        <w:gridCol w:w="1054"/>
        <w:gridCol w:w="1054"/>
      </w:tblGrid>
      <w:tr w:rsidR="00536AC6" w:rsidTr="005F6BE4">
        <w:trPr>
          <w:tblHeader/>
        </w:trPr>
        <w:tc>
          <w:tcPr>
            <w:tcW w:w="9393" w:type="dxa"/>
            <w:gridSpan w:val="8"/>
            <w:tcBorders>
              <w:top w:val="nil"/>
              <w:left w:val="nil"/>
              <w:bottom w:val="nil"/>
              <w:right w:val="nil"/>
            </w:tcBorders>
            <w:shd w:val="clear" w:color="000000" w:fill="FFFFFF"/>
            <w:noWrap/>
            <w:vAlign w:val="bottom"/>
            <w:hideMark/>
          </w:tcPr>
          <w:p w:rsidR="00536AC6" w:rsidRDefault="006E48D6" w:rsidP="00536AC6">
            <w:pPr>
              <w:jc w:val="center"/>
              <w:rPr>
                <w:rFonts w:ascii="Arial" w:hAnsi="Arial" w:cs="Arial"/>
                <w:b/>
                <w:bCs/>
                <w:szCs w:val="24"/>
              </w:rPr>
            </w:pPr>
            <w:r>
              <w:lastRenderedPageBreak/>
              <w:br w:type="page"/>
            </w:r>
            <w:r w:rsidR="00536AC6">
              <w:rPr>
                <w:rFonts w:ascii="Arial" w:hAnsi="Arial" w:cs="Arial"/>
                <w:b/>
                <w:bCs/>
              </w:rPr>
              <w:t>Superannuation Provision Account</w:t>
            </w:r>
          </w:p>
        </w:tc>
      </w:tr>
      <w:tr w:rsidR="00536AC6" w:rsidTr="005F6BE4">
        <w:trPr>
          <w:tblHeader/>
        </w:trPr>
        <w:tc>
          <w:tcPr>
            <w:tcW w:w="9393" w:type="dxa"/>
            <w:gridSpan w:val="8"/>
            <w:tcBorders>
              <w:top w:val="nil"/>
              <w:left w:val="nil"/>
              <w:bottom w:val="nil"/>
              <w:right w:val="nil"/>
            </w:tcBorders>
            <w:shd w:val="clear" w:color="000000" w:fill="FFFFFF"/>
            <w:noWrap/>
            <w:vAlign w:val="bottom"/>
            <w:hideMark/>
          </w:tcPr>
          <w:p w:rsidR="00536AC6" w:rsidRDefault="00536AC6" w:rsidP="00536AC6">
            <w:pPr>
              <w:spacing w:after="60"/>
              <w:jc w:val="center"/>
              <w:rPr>
                <w:rFonts w:ascii="Arial" w:hAnsi="Arial" w:cs="Arial"/>
                <w:b/>
                <w:bCs/>
                <w:szCs w:val="24"/>
              </w:rPr>
            </w:pPr>
            <w:r>
              <w:rPr>
                <w:rFonts w:ascii="Arial" w:hAnsi="Arial" w:cs="Arial"/>
                <w:b/>
                <w:bCs/>
              </w:rPr>
              <w:t>Statement of Changes in Equity on Behalf of the Territory</w:t>
            </w:r>
          </w:p>
        </w:tc>
      </w:tr>
      <w:tr w:rsidR="00536AC6" w:rsidTr="005F6BE4">
        <w:trPr>
          <w:tblHeader/>
        </w:trPr>
        <w:tc>
          <w:tcPr>
            <w:tcW w:w="1054" w:type="dxa"/>
            <w:tcBorders>
              <w:top w:val="single" w:sz="4" w:space="0" w:color="auto"/>
              <w:left w:val="nil"/>
              <w:bottom w:val="nil"/>
              <w:right w:val="nil"/>
            </w:tcBorders>
            <w:shd w:val="clear" w:color="000000" w:fill="FFFFFF"/>
            <w:noWrap/>
            <w:hideMark/>
          </w:tcPr>
          <w:p w:rsidR="00536AC6" w:rsidRDefault="00536AC6" w:rsidP="00536AC6">
            <w:pPr>
              <w:ind w:left="-283"/>
              <w:jc w:val="right"/>
              <w:rPr>
                <w:b/>
                <w:bCs/>
                <w:sz w:val="18"/>
                <w:szCs w:val="18"/>
              </w:rPr>
            </w:pPr>
            <w:r>
              <w:rPr>
                <w:b/>
                <w:bCs/>
                <w:sz w:val="18"/>
                <w:szCs w:val="18"/>
              </w:rPr>
              <w:t>Budget</w:t>
            </w:r>
          </w:p>
        </w:tc>
        <w:tc>
          <w:tcPr>
            <w:tcW w:w="2315" w:type="dxa"/>
            <w:tcBorders>
              <w:top w:val="single" w:sz="4" w:space="0" w:color="auto"/>
              <w:left w:val="nil"/>
              <w:bottom w:val="nil"/>
              <w:right w:val="nil"/>
            </w:tcBorders>
            <w:shd w:val="clear" w:color="000000" w:fill="FFFFFF"/>
            <w:noWrap/>
            <w:hideMark/>
          </w:tcPr>
          <w:p w:rsidR="00536AC6" w:rsidRDefault="00536AC6" w:rsidP="00536AC6">
            <w:pPr>
              <w:rPr>
                <w:b/>
                <w:bCs/>
                <w:sz w:val="18"/>
                <w:szCs w:val="18"/>
              </w:rPr>
            </w:pPr>
            <w:r>
              <w:rPr>
                <w:b/>
                <w:bCs/>
                <w:sz w:val="18"/>
                <w:szCs w:val="18"/>
              </w:rPr>
              <w:t xml:space="preserve"> </w:t>
            </w:r>
          </w:p>
        </w:tc>
        <w:tc>
          <w:tcPr>
            <w:tcW w:w="1184" w:type="dxa"/>
            <w:tcBorders>
              <w:top w:val="single" w:sz="4" w:space="0" w:color="auto"/>
              <w:left w:val="nil"/>
              <w:bottom w:val="nil"/>
              <w:right w:val="nil"/>
            </w:tcBorders>
            <w:shd w:val="clear" w:color="000000" w:fill="FFFFFF"/>
            <w:noWrap/>
            <w:hideMark/>
          </w:tcPr>
          <w:p w:rsidR="00536AC6" w:rsidRDefault="00536AC6" w:rsidP="00536AC6">
            <w:pPr>
              <w:ind w:left="-283"/>
              <w:jc w:val="right"/>
              <w:rPr>
                <w:b/>
                <w:bCs/>
                <w:sz w:val="18"/>
                <w:szCs w:val="18"/>
              </w:rPr>
            </w:pPr>
            <w:r>
              <w:rPr>
                <w:b/>
                <w:bCs/>
                <w:sz w:val="18"/>
                <w:szCs w:val="18"/>
              </w:rPr>
              <w:t>Est. Outcome</w:t>
            </w:r>
          </w:p>
        </w:tc>
        <w:tc>
          <w:tcPr>
            <w:tcW w:w="1054" w:type="dxa"/>
            <w:tcBorders>
              <w:top w:val="single" w:sz="4" w:space="0" w:color="auto"/>
              <w:left w:val="nil"/>
              <w:bottom w:val="nil"/>
              <w:right w:val="nil"/>
            </w:tcBorders>
            <w:shd w:val="clear" w:color="000000" w:fill="FFFFFF"/>
            <w:noWrap/>
            <w:hideMark/>
          </w:tcPr>
          <w:p w:rsidR="00536AC6" w:rsidRDefault="00536AC6" w:rsidP="00536AC6">
            <w:pPr>
              <w:ind w:left="-283"/>
              <w:jc w:val="right"/>
              <w:rPr>
                <w:b/>
                <w:bCs/>
                <w:sz w:val="18"/>
                <w:szCs w:val="18"/>
              </w:rPr>
            </w:pPr>
            <w:r>
              <w:rPr>
                <w:b/>
                <w:bCs/>
                <w:sz w:val="18"/>
                <w:szCs w:val="18"/>
              </w:rPr>
              <w:t>Budget</w:t>
            </w:r>
          </w:p>
        </w:tc>
        <w:tc>
          <w:tcPr>
            <w:tcW w:w="624" w:type="dxa"/>
            <w:tcBorders>
              <w:top w:val="single" w:sz="4" w:space="0" w:color="auto"/>
              <w:left w:val="nil"/>
              <w:bottom w:val="nil"/>
              <w:right w:val="nil"/>
            </w:tcBorders>
            <w:shd w:val="clear" w:color="000000" w:fill="FFFFFF"/>
            <w:noWrap/>
            <w:hideMark/>
          </w:tcPr>
          <w:p w:rsidR="00536AC6" w:rsidRDefault="00536AC6" w:rsidP="00536AC6">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hideMark/>
          </w:tcPr>
          <w:p w:rsidR="00536AC6" w:rsidRDefault="00536AC6" w:rsidP="00536AC6">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536AC6" w:rsidRDefault="00536AC6" w:rsidP="00536AC6">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536AC6" w:rsidRDefault="00536AC6" w:rsidP="00536AC6">
            <w:pPr>
              <w:ind w:left="-283"/>
              <w:jc w:val="right"/>
              <w:rPr>
                <w:b/>
                <w:bCs/>
                <w:sz w:val="18"/>
                <w:szCs w:val="18"/>
              </w:rPr>
            </w:pPr>
            <w:r>
              <w:rPr>
                <w:b/>
                <w:bCs/>
                <w:sz w:val="18"/>
                <w:szCs w:val="18"/>
              </w:rPr>
              <w:t>Estimate</w:t>
            </w:r>
          </w:p>
        </w:tc>
      </w:tr>
      <w:tr w:rsidR="00536AC6" w:rsidTr="005F6BE4">
        <w:trPr>
          <w:tblHeader/>
        </w:trPr>
        <w:tc>
          <w:tcPr>
            <w:tcW w:w="1054" w:type="dxa"/>
            <w:tcBorders>
              <w:top w:val="nil"/>
              <w:left w:val="nil"/>
              <w:bottom w:val="nil"/>
              <w:right w:val="nil"/>
            </w:tcBorders>
            <w:shd w:val="clear" w:color="000000" w:fill="FFFFFF"/>
            <w:hideMark/>
          </w:tcPr>
          <w:p w:rsidR="00536AC6" w:rsidRDefault="00536AC6" w:rsidP="00536AC6">
            <w:pPr>
              <w:ind w:left="-283"/>
              <w:jc w:val="right"/>
              <w:rPr>
                <w:b/>
                <w:bCs/>
                <w:sz w:val="16"/>
                <w:szCs w:val="16"/>
              </w:rPr>
            </w:pPr>
            <w:r>
              <w:rPr>
                <w:b/>
                <w:bCs/>
                <w:sz w:val="16"/>
                <w:szCs w:val="16"/>
              </w:rPr>
              <w:t>as at 30/6/13</w:t>
            </w:r>
          </w:p>
        </w:tc>
        <w:tc>
          <w:tcPr>
            <w:tcW w:w="2315" w:type="dxa"/>
            <w:tcBorders>
              <w:top w:val="nil"/>
              <w:left w:val="nil"/>
              <w:bottom w:val="nil"/>
              <w:right w:val="nil"/>
            </w:tcBorders>
            <w:shd w:val="clear" w:color="000000" w:fill="FFFFFF"/>
            <w:noWrap/>
            <w:hideMark/>
          </w:tcPr>
          <w:p w:rsidR="00536AC6" w:rsidRDefault="00536AC6" w:rsidP="00536AC6">
            <w:pPr>
              <w:rPr>
                <w:b/>
                <w:bCs/>
                <w:sz w:val="16"/>
                <w:szCs w:val="16"/>
              </w:rPr>
            </w:pPr>
            <w:r>
              <w:rPr>
                <w:b/>
                <w:bCs/>
                <w:sz w:val="16"/>
                <w:szCs w:val="16"/>
              </w:rPr>
              <w:t xml:space="preserve"> </w:t>
            </w:r>
          </w:p>
        </w:tc>
        <w:tc>
          <w:tcPr>
            <w:tcW w:w="1184" w:type="dxa"/>
            <w:tcBorders>
              <w:top w:val="nil"/>
              <w:left w:val="nil"/>
              <w:bottom w:val="nil"/>
              <w:right w:val="nil"/>
            </w:tcBorders>
            <w:shd w:val="clear" w:color="000000" w:fill="FFFFFF"/>
            <w:hideMark/>
          </w:tcPr>
          <w:p w:rsidR="00536AC6" w:rsidRDefault="00536AC6" w:rsidP="00536AC6">
            <w:pPr>
              <w:ind w:left="-283"/>
              <w:jc w:val="right"/>
              <w:rPr>
                <w:b/>
                <w:bCs/>
                <w:sz w:val="16"/>
                <w:szCs w:val="16"/>
              </w:rPr>
            </w:pPr>
            <w:r>
              <w:rPr>
                <w:b/>
                <w:bCs/>
                <w:sz w:val="16"/>
                <w:szCs w:val="16"/>
              </w:rPr>
              <w:t>as at 30/6/13</w:t>
            </w:r>
          </w:p>
        </w:tc>
        <w:tc>
          <w:tcPr>
            <w:tcW w:w="1054" w:type="dxa"/>
            <w:tcBorders>
              <w:top w:val="nil"/>
              <w:left w:val="nil"/>
              <w:bottom w:val="nil"/>
              <w:right w:val="nil"/>
            </w:tcBorders>
            <w:shd w:val="clear" w:color="000000" w:fill="FFFFFF"/>
            <w:hideMark/>
          </w:tcPr>
          <w:p w:rsidR="00536AC6" w:rsidRDefault="00536AC6" w:rsidP="00536AC6">
            <w:pPr>
              <w:ind w:left="-283"/>
              <w:jc w:val="right"/>
              <w:rPr>
                <w:b/>
                <w:bCs/>
                <w:sz w:val="16"/>
                <w:szCs w:val="16"/>
              </w:rPr>
            </w:pPr>
            <w:r>
              <w:rPr>
                <w:b/>
                <w:bCs/>
                <w:sz w:val="16"/>
                <w:szCs w:val="16"/>
              </w:rPr>
              <w:t>as at 30/6/14</w:t>
            </w:r>
          </w:p>
        </w:tc>
        <w:tc>
          <w:tcPr>
            <w:tcW w:w="624" w:type="dxa"/>
            <w:tcBorders>
              <w:top w:val="nil"/>
              <w:left w:val="nil"/>
              <w:bottom w:val="nil"/>
              <w:right w:val="nil"/>
            </w:tcBorders>
            <w:shd w:val="clear" w:color="000000" w:fill="FFFFFF"/>
            <w:hideMark/>
          </w:tcPr>
          <w:p w:rsidR="00536AC6" w:rsidRDefault="00536AC6" w:rsidP="00536AC6">
            <w:pPr>
              <w:ind w:left="-283"/>
              <w:jc w:val="right"/>
              <w:rPr>
                <w:b/>
                <w:bCs/>
                <w:sz w:val="16"/>
                <w:szCs w:val="16"/>
              </w:rPr>
            </w:pPr>
            <w:proofErr w:type="spellStart"/>
            <w:r>
              <w:rPr>
                <w:b/>
                <w:bCs/>
                <w:sz w:val="16"/>
                <w:szCs w:val="16"/>
              </w:rPr>
              <w:t>Var</w:t>
            </w:r>
            <w:proofErr w:type="spellEnd"/>
          </w:p>
        </w:tc>
        <w:tc>
          <w:tcPr>
            <w:tcW w:w="1054" w:type="dxa"/>
            <w:tcBorders>
              <w:top w:val="nil"/>
              <w:left w:val="nil"/>
              <w:bottom w:val="nil"/>
              <w:right w:val="nil"/>
            </w:tcBorders>
            <w:shd w:val="clear" w:color="000000" w:fill="FFFFFF"/>
            <w:hideMark/>
          </w:tcPr>
          <w:p w:rsidR="00536AC6" w:rsidRDefault="00536AC6" w:rsidP="00536AC6">
            <w:pPr>
              <w:ind w:left="-283"/>
              <w:jc w:val="right"/>
              <w:rPr>
                <w:b/>
                <w:bCs/>
                <w:sz w:val="16"/>
                <w:szCs w:val="16"/>
              </w:rPr>
            </w:pPr>
            <w:r>
              <w:rPr>
                <w:b/>
                <w:bCs/>
                <w:sz w:val="16"/>
                <w:szCs w:val="16"/>
              </w:rPr>
              <w:t>as at 30/6/15</w:t>
            </w:r>
          </w:p>
        </w:tc>
        <w:tc>
          <w:tcPr>
            <w:tcW w:w="1054" w:type="dxa"/>
            <w:tcBorders>
              <w:top w:val="nil"/>
              <w:left w:val="nil"/>
              <w:bottom w:val="nil"/>
              <w:right w:val="nil"/>
            </w:tcBorders>
            <w:shd w:val="clear" w:color="000000" w:fill="FFFFFF"/>
            <w:hideMark/>
          </w:tcPr>
          <w:p w:rsidR="00536AC6" w:rsidRDefault="00536AC6" w:rsidP="00536AC6">
            <w:pPr>
              <w:ind w:left="-283"/>
              <w:jc w:val="right"/>
              <w:rPr>
                <w:b/>
                <w:bCs/>
                <w:sz w:val="16"/>
                <w:szCs w:val="16"/>
              </w:rPr>
            </w:pPr>
            <w:r>
              <w:rPr>
                <w:b/>
                <w:bCs/>
                <w:sz w:val="16"/>
                <w:szCs w:val="16"/>
              </w:rPr>
              <w:t>as at 30/6/16</w:t>
            </w:r>
          </w:p>
        </w:tc>
        <w:tc>
          <w:tcPr>
            <w:tcW w:w="1054" w:type="dxa"/>
            <w:tcBorders>
              <w:top w:val="nil"/>
              <w:left w:val="nil"/>
              <w:bottom w:val="nil"/>
              <w:right w:val="nil"/>
            </w:tcBorders>
            <w:shd w:val="clear" w:color="000000" w:fill="FFFFFF"/>
            <w:hideMark/>
          </w:tcPr>
          <w:p w:rsidR="00536AC6" w:rsidRDefault="00536AC6" w:rsidP="00536AC6">
            <w:pPr>
              <w:ind w:left="-283"/>
              <w:jc w:val="right"/>
              <w:rPr>
                <w:b/>
                <w:bCs/>
                <w:sz w:val="16"/>
                <w:szCs w:val="16"/>
              </w:rPr>
            </w:pPr>
            <w:r>
              <w:rPr>
                <w:b/>
                <w:bCs/>
                <w:sz w:val="16"/>
                <w:szCs w:val="16"/>
              </w:rPr>
              <w:t>as at 30/6/17</w:t>
            </w:r>
          </w:p>
        </w:tc>
      </w:tr>
      <w:tr w:rsidR="00536AC6" w:rsidTr="005F6BE4">
        <w:trPr>
          <w:tblHeader/>
        </w:trPr>
        <w:tc>
          <w:tcPr>
            <w:tcW w:w="1054" w:type="dxa"/>
            <w:tcBorders>
              <w:top w:val="nil"/>
              <w:left w:val="nil"/>
              <w:bottom w:val="single" w:sz="4" w:space="0" w:color="auto"/>
              <w:right w:val="nil"/>
            </w:tcBorders>
            <w:shd w:val="clear" w:color="000000" w:fill="FFFFFF"/>
            <w:noWrap/>
            <w:hideMark/>
          </w:tcPr>
          <w:p w:rsidR="00536AC6" w:rsidRDefault="00536AC6" w:rsidP="00536AC6">
            <w:pPr>
              <w:ind w:left="-283"/>
              <w:jc w:val="right"/>
              <w:rPr>
                <w:b/>
                <w:bCs/>
                <w:sz w:val="18"/>
                <w:szCs w:val="18"/>
              </w:rPr>
            </w:pPr>
            <w:r>
              <w:rPr>
                <w:b/>
                <w:bCs/>
                <w:sz w:val="18"/>
                <w:szCs w:val="18"/>
              </w:rPr>
              <w:t>$'000</w:t>
            </w:r>
          </w:p>
        </w:tc>
        <w:tc>
          <w:tcPr>
            <w:tcW w:w="2315" w:type="dxa"/>
            <w:tcBorders>
              <w:top w:val="nil"/>
              <w:left w:val="nil"/>
              <w:bottom w:val="single" w:sz="4" w:space="0" w:color="auto"/>
              <w:right w:val="nil"/>
            </w:tcBorders>
            <w:shd w:val="clear" w:color="000000" w:fill="FFFFFF"/>
            <w:noWrap/>
            <w:hideMark/>
          </w:tcPr>
          <w:p w:rsidR="00536AC6" w:rsidRDefault="00536AC6" w:rsidP="00536AC6">
            <w:pPr>
              <w:rPr>
                <w:sz w:val="18"/>
                <w:szCs w:val="18"/>
              </w:rPr>
            </w:pPr>
            <w:r>
              <w:rPr>
                <w:sz w:val="18"/>
                <w:szCs w:val="18"/>
              </w:rPr>
              <w:t xml:space="preserve"> </w:t>
            </w:r>
          </w:p>
        </w:tc>
        <w:tc>
          <w:tcPr>
            <w:tcW w:w="1184" w:type="dxa"/>
            <w:tcBorders>
              <w:top w:val="nil"/>
              <w:left w:val="nil"/>
              <w:bottom w:val="single" w:sz="4" w:space="0" w:color="auto"/>
              <w:right w:val="nil"/>
            </w:tcBorders>
            <w:shd w:val="clear" w:color="000000" w:fill="FFFFFF"/>
            <w:noWrap/>
            <w:hideMark/>
          </w:tcPr>
          <w:p w:rsidR="00536AC6" w:rsidRDefault="00536AC6" w:rsidP="00536AC6">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536AC6" w:rsidRDefault="00536AC6" w:rsidP="00536AC6">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hideMark/>
          </w:tcPr>
          <w:p w:rsidR="00536AC6" w:rsidRDefault="00536AC6" w:rsidP="00536AC6">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hideMark/>
          </w:tcPr>
          <w:p w:rsidR="00536AC6" w:rsidRDefault="00536AC6" w:rsidP="00536AC6">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536AC6" w:rsidRDefault="00536AC6" w:rsidP="00536AC6">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536AC6" w:rsidRDefault="00536AC6" w:rsidP="00536AC6">
            <w:pPr>
              <w:ind w:left="-283"/>
              <w:jc w:val="right"/>
              <w:rPr>
                <w:b/>
                <w:bCs/>
                <w:sz w:val="18"/>
                <w:szCs w:val="18"/>
              </w:rPr>
            </w:pPr>
            <w:r>
              <w:rPr>
                <w:b/>
                <w:bCs/>
                <w:sz w:val="18"/>
                <w:szCs w:val="18"/>
              </w:rPr>
              <w:t>$'000</w:t>
            </w:r>
          </w:p>
        </w:tc>
      </w:tr>
      <w:tr w:rsidR="00536AC6" w:rsidTr="005F6BE4">
        <w:trPr>
          <w:tblHeader/>
        </w:trPr>
        <w:tc>
          <w:tcPr>
            <w:tcW w:w="105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 </w:t>
            </w:r>
          </w:p>
        </w:tc>
        <w:tc>
          <w:tcPr>
            <w:tcW w:w="2315" w:type="dxa"/>
            <w:tcBorders>
              <w:top w:val="nil"/>
              <w:left w:val="nil"/>
              <w:bottom w:val="nil"/>
              <w:right w:val="nil"/>
            </w:tcBorders>
            <w:shd w:val="clear" w:color="000000" w:fill="FFFFFF"/>
            <w:noWrap/>
            <w:hideMark/>
          </w:tcPr>
          <w:p w:rsidR="00536AC6" w:rsidRDefault="00536AC6" w:rsidP="00536AC6">
            <w:pPr>
              <w:rPr>
                <w:sz w:val="18"/>
                <w:szCs w:val="18"/>
              </w:rPr>
            </w:pPr>
            <w:r>
              <w:rPr>
                <w:sz w:val="18"/>
                <w:szCs w:val="18"/>
              </w:rPr>
              <w:t> </w:t>
            </w:r>
          </w:p>
        </w:tc>
        <w:tc>
          <w:tcPr>
            <w:tcW w:w="118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 </w:t>
            </w:r>
          </w:p>
        </w:tc>
      </w:tr>
      <w:tr w:rsidR="00536AC6" w:rsidTr="005F6BE4">
        <w:tc>
          <w:tcPr>
            <w:tcW w:w="105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 </w:t>
            </w:r>
          </w:p>
        </w:tc>
        <w:tc>
          <w:tcPr>
            <w:tcW w:w="2315" w:type="dxa"/>
            <w:tcBorders>
              <w:top w:val="nil"/>
              <w:left w:val="nil"/>
              <w:bottom w:val="nil"/>
              <w:right w:val="nil"/>
            </w:tcBorders>
            <w:shd w:val="clear" w:color="000000" w:fill="FFFFFF"/>
            <w:noWrap/>
            <w:hideMark/>
          </w:tcPr>
          <w:p w:rsidR="00536AC6" w:rsidRDefault="00536AC6" w:rsidP="00536AC6">
            <w:pPr>
              <w:rPr>
                <w:b/>
                <w:bCs/>
                <w:sz w:val="18"/>
                <w:szCs w:val="18"/>
              </w:rPr>
            </w:pPr>
            <w:r>
              <w:rPr>
                <w:b/>
                <w:bCs/>
                <w:sz w:val="18"/>
                <w:szCs w:val="18"/>
              </w:rPr>
              <w:t>Opening Equity</w:t>
            </w:r>
          </w:p>
        </w:tc>
        <w:tc>
          <w:tcPr>
            <w:tcW w:w="118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 </w:t>
            </w:r>
          </w:p>
        </w:tc>
      </w:tr>
      <w:tr w:rsidR="00536AC6" w:rsidTr="005F6BE4">
        <w:tc>
          <w:tcPr>
            <w:tcW w:w="105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 </w:t>
            </w:r>
          </w:p>
        </w:tc>
        <w:tc>
          <w:tcPr>
            <w:tcW w:w="2315" w:type="dxa"/>
            <w:tcBorders>
              <w:top w:val="nil"/>
              <w:left w:val="nil"/>
              <w:bottom w:val="nil"/>
              <w:right w:val="nil"/>
            </w:tcBorders>
            <w:shd w:val="clear" w:color="000000" w:fill="FFFFFF"/>
            <w:noWrap/>
            <w:hideMark/>
          </w:tcPr>
          <w:p w:rsidR="00536AC6" w:rsidRDefault="00536AC6" w:rsidP="00536AC6">
            <w:pPr>
              <w:rPr>
                <w:sz w:val="18"/>
                <w:szCs w:val="18"/>
              </w:rPr>
            </w:pPr>
            <w:r>
              <w:rPr>
                <w:sz w:val="18"/>
                <w:szCs w:val="18"/>
              </w:rPr>
              <w:t> </w:t>
            </w:r>
          </w:p>
        </w:tc>
        <w:tc>
          <w:tcPr>
            <w:tcW w:w="118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 </w:t>
            </w:r>
          </w:p>
        </w:tc>
      </w:tr>
      <w:tr w:rsidR="00536AC6" w:rsidTr="005F6BE4">
        <w:tc>
          <w:tcPr>
            <w:tcW w:w="105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-2,475,835</w:t>
            </w:r>
          </w:p>
        </w:tc>
        <w:tc>
          <w:tcPr>
            <w:tcW w:w="2315" w:type="dxa"/>
            <w:tcBorders>
              <w:top w:val="nil"/>
              <w:left w:val="nil"/>
              <w:bottom w:val="nil"/>
              <w:right w:val="nil"/>
            </w:tcBorders>
            <w:shd w:val="clear" w:color="000000" w:fill="FFFFFF"/>
            <w:noWrap/>
            <w:hideMark/>
          </w:tcPr>
          <w:p w:rsidR="00536AC6" w:rsidRDefault="00536AC6" w:rsidP="00536AC6">
            <w:pPr>
              <w:rPr>
                <w:sz w:val="18"/>
                <w:szCs w:val="18"/>
              </w:rPr>
            </w:pPr>
            <w:r>
              <w:rPr>
                <w:sz w:val="18"/>
                <w:szCs w:val="18"/>
              </w:rPr>
              <w:t>Opening Accumulated Funds</w:t>
            </w:r>
          </w:p>
        </w:tc>
        <w:tc>
          <w:tcPr>
            <w:tcW w:w="118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-5,236,163</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-2,515,224</w:t>
            </w:r>
          </w:p>
        </w:tc>
        <w:tc>
          <w:tcPr>
            <w:tcW w:w="62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 xml:space="preserve">52 </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-2,601,372</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-2,667,654</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-2,712,245</w:t>
            </w:r>
          </w:p>
        </w:tc>
      </w:tr>
      <w:tr w:rsidR="00536AC6" w:rsidTr="005F6BE4">
        <w:tc>
          <w:tcPr>
            <w:tcW w:w="105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 </w:t>
            </w:r>
          </w:p>
        </w:tc>
        <w:tc>
          <w:tcPr>
            <w:tcW w:w="2315" w:type="dxa"/>
            <w:tcBorders>
              <w:top w:val="nil"/>
              <w:left w:val="nil"/>
              <w:bottom w:val="nil"/>
              <w:right w:val="nil"/>
            </w:tcBorders>
            <w:shd w:val="clear" w:color="000000" w:fill="FFFFFF"/>
            <w:noWrap/>
            <w:hideMark/>
          </w:tcPr>
          <w:p w:rsidR="00536AC6" w:rsidRDefault="00536AC6" w:rsidP="00536AC6">
            <w:pPr>
              <w:rPr>
                <w:sz w:val="18"/>
                <w:szCs w:val="18"/>
              </w:rPr>
            </w:pPr>
            <w:r>
              <w:rPr>
                <w:sz w:val="18"/>
                <w:szCs w:val="18"/>
              </w:rPr>
              <w:t> </w:t>
            </w:r>
          </w:p>
        </w:tc>
        <w:tc>
          <w:tcPr>
            <w:tcW w:w="118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 </w:t>
            </w:r>
          </w:p>
        </w:tc>
      </w:tr>
      <w:tr w:rsidR="00536AC6" w:rsidTr="005F6BE4">
        <w:tc>
          <w:tcPr>
            <w:tcW w:w="1054" w:type="dxa"/>
            <w:tcBorders>
              <w:top w:val="nil"/>
              <w:left w:val="nil"/>
              <w:bottom w:val="nil"/>
              <w:right w:val="nil"/>
            </w:tcBorders>
            <w:shd w:val="clear" w:color="000000" w:fill="FFFFFF"/>
            <w:noWrap/>
            <w:hideMark/>
          </w:tcPr>
          <w:p w:rsidR="00536AC6" w:rsidRDefault="00536AC6" w:rsidP="00536AC6">
            <w:pPr>
              <w:ind w:left="-283"/>
              <w:jc w:val="right"/>
              <w:rPr>
                <w:b/>
                <w:bCs/>
                <w:sz w:val="18"/>
                <w:szCs w:val="18"/>
              </w:rPr>
            </w:pPr>
            <w:r>
              <w:rPr>
                <w:b/>
                <w:bCs/>
                <w:sz w:val="18"/>
                <w:szCs w:val="18"/>
              </w:rPr>
              <w:t>-2,475,835</w:t>
            </w:r>
          </w:p>
        </w:tc>
        <w:tc>
          <w:tcPr>
            <w:tcW w:w="2315" w:type="dxa"/>
            <w:tcBorders>
              <w:top w:val="nil"/>
              <w:left w:val="nil"/>
              <w:bottom w:val="nil"/>
              <w:right w:val="nil"/>
            </w:tcBorders>
            <w:shd w:val="clear" w:color="000000" w:fill="FFFFFF"/>
            <w:hideMark/>
          </w:tcPr>
          <w:p w:rsidR="00536AC6" w:rsidRDefault="00536AC6" w:rsidP="00536AC6">
            <w:pPr>
              <w:rPr>
                <w:b/>
                <w:bCs/>
                <w:sz w:val="18"/>
                <w:szCs w:val="18"/>
              </w:rPr>
            </w:pPr>
            <w:r>
              <w:rPr>
                <w:b/>
                <w:bCs/>
                <w:sz w:val="18"/>
                <w:szCs w:val="18"/>
              </w:rPr>
              <w:t>Balance at the Start of the</w:t>
            </w:r>
            <w:r>
              <w:rPr>
                <w:b/>
                <w:bCs/>
                <w:sz w:val="18"/>
                <w:szCs w:val="18"/>
              </w:rPr>
              <w:br/>
              <w:t xml:space="preserve">   Reporting Period</w:t>
            </w:r>
          </w:p>
        </w:tc>
        <w:tc>
          <w:tcPr>
            <w:tcW w:w="1184" w:type="dxa"/>
            <w:tcBorders>
              <w:top w:val="nil"/>
              <w:left w:val="nil"/>
              <w:bottom w:val="nil"/>
              <w:right w:val="nil"/>
            </w:tcBorders>
            <w:shd w:val="clear" w:color="000000" w:fill="FFFFFF"/>
            <w:noWrap/>
            <w:hideMark/>
          </w:tcPr>
          <w:p w:rsidR="00536AC6" w:rsidRDefault="00536AC6" w:rsidP="00536AC6">
            <w:pPr>
              <w:ind w:left="-283"/>
              <w:jc w:val="right"/>
              <w:rPr>
                <w:b/>
                <w:bCs/>
                <w:sz w:val="18"/>
                <w:szCs w:val="18"/>
              </w:rPr>
            </w:pPr>
            <w:r>
              <w:rPr>
                <w:b/>
                <w:bCs/>
                <w:sz w:val="18"/>
                <w:szCs w:val="18"/>
              </w:rPr>
              <w:t>-5,236,163</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b/>
                <w:bCs/>
                <w:sz w:val="18"/>
                <w:szCs w:val="18"/>
              </w:rPr>
            </w:pPr>
            <w:r>
              <w:rPr>
                <w:b/>
                <w:bCs/>
                <w:sz w:val="18"/>
                <w:szCs w:val="18"/>
              </w:rPr>
              <w:t>-2,515,224</w:t>
            </w:r>
          </w:p>
        </w:tc>
        <w:tc>
          <w:tcPr>
            <w:tcW w:w="624" w:type="dxa"/>
            <w:tcBorders>
              <w:top w:val="nil"/>
              <w:left w:val="nil"/>
              <w:bottom w:val="nil"/>
              <w:right w:val="nil"/>
            </w:tcBorders>
            <w:shd w:val="clear" w:color="000000" w:fill="FFFFFF"/>
            <w:noWrap/>
            <w:hideMark/>
          </w:tcPr>
          <w:p w:rsidR="00536AC6" w:rsidRDefault="00536AC6" w:rsidP="00536AC6">
            <w:pPr>
              <w:ind w:left="-283"/>
              <w:jc w:val="right"/>
              <w:rPr>
                <w:b/>
                <w:bCs/>
                <w:sz w:val="18"/>
                <w:szCs w:val="18"/>
              </w:rPr>
            </w:pPr>
            <w:r>
              <w:rPr>
                <w:b/>
                <w:bCs/>
                <w:sz w:val="18"/>
                <w:szCs w:val="18"/>
              </w:rPr>
              <w:t xml:space="preserve">52 </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b/>
                <w:bCs/>
                <w:sz w:val="18"/>
                <w:szCs w:val="18"/>
              </w:rPr>
            </w:pPr>
            <w:r>
              <w:rPr>
                <w:b/>
                <w:bCs/>
                <w:sz w:val="18"/>
                <w:szCs w:val="18"/>
              </w:rPr>
              <w:t>-2,601,372</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b/>
                <w:bCs/>
                <w:sz w:val="18"/>
                <w:szCs w:val="18"/>
              </w:rPr>
            </w:pPr>
            <w:r>
              <w:rPr>
                <w:b/>
                <w:bCs/>
                <w:sz w:val="18"/>
                <w:szCs w:val="18"/>
              </w:rPr>
              <w:t>-2,667,654</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b/>
                <w:bCs/>
                <w:sz w:val="18"/>
                <w:szCs w:val="18"/>
              </w:rPr>
            </w:pPr>
            <w:r>
              <w:rPr>
                <w:b/>
                <w:bCs/>
                <w:sz w:val="18"/>
                <w:szCs w:val="18"/>
              </w:rPr>
              <w:t>-2,712,245</w:t>
            </w:r>
          </w:p>
        </w:tc>
      </w:tr>
      <w:tr w:rsidR="00536AC6" w:rsidTr="005F6BE4">
        <w:tc>
          <w:tcPr>
            <w:tcW w:w="1054" w:type="dxa"/>
            <w:tcBorders>
              <w:top w:val="nil"/>
              <w:left w:val="nil"/>
              <w:bottom w:val="nil"/>
              <w:right w:val="nil"/>
            </w:tcBorders>
            <w:shd w:val="clear" w:color="000000" w:fill="FFFFFF"/>
            <w:noWrap/>
            <w:hideMark/>
          </w:tcPr>
          <w:p w:rsidR="00536AC6" w:rsidRDefault="00536AC6" w:rsidP="00536AC6">
            <w:pPr>
              <w:ind w:left="-283"/>
              <w:jc w:val="right"/>
              <w:rPr>
                <w:b/>
                <w:bCs/>
                <w:sz w:val="18"/>
                <w:szCs w:val="18"/>
              </w:rPr>
            </w:pPr>
            <w:r>
              <w:rPr>
                <w:b/>
                <w:bCs/>
                <w:sz w:val="18"/>
                <w:szCs w:val="18"/>
              </w:rPr>
              <w:t> </w:t>
            </w:r>
          </w:p>
        </w:tc>
        <w:tc>
          <w:tcPr>
            <w:tcW w:w="2315" w:type="dxa"/>
            <w:tcBorders>
              <w:top w:val="nil"/>
              <w:left w:val="nil"/>
              <w:bottom w:val="nil"/>
              <w:right w:val="nil"/>
            </w:tcBorders>
            <w:shd w:val="clear" w:color="000000" w:fill="FFFFFF"/>
            <w:noWrap/>
            <w:hideMark/>
          </w:tcPr>
          <w:p w:rsidR="00536AC6" w:rsidRDefault="00536AC6" w:rsidP="00536AC6">
            <w:pPr>
              <w:rPr>
                <w:sz w:val="18"/>
                <w:szCs w:val="18"/>
              </w:rPr>
            </w:pPr>
            <w:r>
              <w:rPr>
                <w:sz w:val="18"/>
                <w:szCs w:val="18"/>
              </w:rPr>
              <w:t> </w:t>
            </w:r>
          </w:p>
        </w:tc>
        <w:tc>
          <w:tcPr>
            <w:tcW w:w="118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b/>
                <w:bCs/>
                <w:sz w:val="18"/>
                <w:szCs w:val="18"/>
              </w:rPr>
            </w:pPr>
            <w:r>
              <w:rPr>
                <w:b/>
                <w:bCs/>
                <w:sz w:val="18"/>
                <w:szCs w:val="18"/>
              </w:rPr>
              <w:t> </w:t>
            </w:r>
          </w:p>
        </w:tc>
      </w:tr>
      <w:tr w:rsidR="00536AC6" w:rsidTr="005F6BE4">
        <w:tc>
          <w:tcPr>
            <w:tcW w:w="105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 </w:t>
            </w:r>
          </w:p>
        </w:tc>
        <w:tc>
          <w:tcPr>
            <w:tcW w:w="2315" w:type="dxa"/>
            <w:tcBorders>
              <w:top w:val="nil"/>
              <w:left w:val="nil"/>
              <w:bottom w:val="nil"/>
              <w:right w:val="nil"/>
            </w:tcBorders>
            <w:shd w:val="clear" w:color="000000" w:fill="FFFFFF"/>
            <w:noWrap/>
            <w:hideMark/>
          </w:tcPr>
          <w:p w:rsidR="00536AC6" w:rsidRDefault="00536AC6" w:rsidP="00536AC6">
            <w:pPr>
              <w:rPr>
                <w:b/>
                <w:bCs/>
                <w:sz w:val="18"/>
                <w:szCs w:val="18"/>
              </w:rPr>
            </w:pPr>
            <w:r>
              <w:rPr>
                <w:b/>
                <w:bCs/>
                <w:sz w:val="18"/>
                <w:szCs w:val="18"/>
              </w:rPr>
              <w:t>Comprehensive Income</w:t>
            </w:r>
          </w:p>
        </w:tc>
        <w:tc>
          <w:tcPr>
            <w:tcW w:w="118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 </w:t>
            </w:r>
          </w:p>
        </w:tc>
      </w:tr>
      <w:tr w:rsidR="00536AC6" w:rsidTr="005F6BE4">
        <w:tc>
          <w:tcPr>
            <w:tcW w:w="105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 </w:t>
            </w:r>
          </w:p>
        </w:tc>
        <w:tc>
          <w:tcPr>
            <w:tcW w:w="2315" w:type="dxa"/>
            <w:tcBorders>
              <w:top w:val="nil"/>
              <w:left w:val="nil"/>
              <w:bottom w:val="nil"/>
              <w:right w:val="nil"/>
            </w:tcBorders>
            <w:shd w:val="clear" w:color="000000" w:fill="FFFFFF"/>
            <w:noWrap/>
            <w:hideMark/>
          </w:tcPr>
          <w:p w:rsidR="00536AC6" w:rsidRDefault="00536AC6" w:rsidP="00536AC6">
            <w:pPr>
              <w:rPr>
                <w:b/>
                <w:bCs/>
                <w:sz w:val="18"/>
                <w:szCs w:val="18"/>
              </w:rPr>
            </w:pPr>
            <w:r>
              <w:rPr>
                <w:b/>
                <w:bCs/>
                <w:sz w:val="18"/>
                <w:szCs w:val="18"/>
              </w:rPr>
              <w:t> </w:t>
            </w:r>
          </w:p>
        </w:tc>
        <w:tc>
          <w:tcPr>
            <w:tcW w:w="118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 </w:t>
            </w:r>
          </w:p>
        </w:tc>
      </w:tr>
      <w:tr w:rsidR="00536AC6" w:rsidTr="005F6BE4">
        <w:tc>
          <w:tcPr>
            <w:tcW w:w="105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0</w:t>
            </w:r>
          </w:p>
        </w:tc>
        <w:tc>
          <w:tcPr>
            <w:tcW w:w="2315" w:type="dxa"/>
            <w:tcBorders>
              <w:top w:val="nil"/>
              <w:left w:val="nil"/>
              <w:bottom w:val="nil"/>
              <w:right w:val="nil"/>
            </w:tcBorders>
            <w:shd w:val="clear" w:color="000000" w:fill="FFFFFF"/>
            <w:hideMark/>
          </w:tcPr>
          <w:p w:rsidR="00536AC6" w:rsidRDefault="00536AC6" w:rsidP="00536AC6">
            <w:pPr>
              <w:rPr>
                <w:sz w:val="18"/>
                <w:szCs w:val="18"/>
              </w:rPr>
            </w:pPr>
            <w:r>
              <w:rPr>
                <w:sz w:val="18"/>
                <w:szCs w:val="18"/>
              </w:rPr>
              <w:t>Superannuation Prior Year</w:t>
            </w:r>
            <w:r>
              <w:rPr>
                <w:sz w:val="18"/>
                <w:szCs w:val="18"/>
              </w:rPr>
              <w:br/>
              <w:t xml:space="preserve">   Actuarial Movement</w:t>
            </w:r>
          </w:p>
        </w:tc>
        <w:tc>
          <w:tcPr>
            <w:tcW w:w="118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2,776,338</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0</w:t>
            </w:r>
          </w:p>
        </w:tc>
      </w:tr>
      <w:tr w:rsidR="00536AC6" w:rsidTr="005F6BE4">
        <w:tc>
          <w:tcPr>
            <w:tcW w:w="105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-267,272</w:t>
            </w:r>
          </w:p>
        </w:tc>
        <w:tc>
          <w:tcPr>
            <w:tcW w:w="2315" w:type="dxa"/>
            <w:tcBorders>
              <w:top w:val="nil"/>
              <w:left w:val="nil"/>
              <w:bottom w:val="nil"/>
              <w:right w:val="nil"/>
            </w:tcBorders>
            <w:shd w:val="clear" w:color="000000" w:fill="FFFFFF"/>
            <w:hideMark/>
          </w:tcPr>
          <w:p w:rsidR="00536AC6" w:rsidRDefault="00536AC6" w:rsidP="00536AC6">
            <w:pPr>
              <w:rPr>
                <w:sz w:val="18"/>
                <w:szCs w:val="18"/>
              </w:rPr>
            </w:pPr>
            <w:r>
              <w:rPr>
                <w:sz w:val="18"/>
                <w:szCs w:val="18"/>
              </w:rPr>
              <w:t>Operating Result for the</w:t>
            </w:r>
            <w:r>
              <w:rPr>
                <w:sz w:val="18"/>
                <w:szCs w:val="18"/>
              </w:rPr>
              <w:br/>
              <w:t xml:space="preserve">   Period</w:t>
            </w:r>
          </w:p>
        </w:tc>
        <w:tc>
          <w:tcPr>
            <w:tcW w:w="118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-203,048</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-264,364</w:t>
            </w:r>
          </w:p>
        </w:tc>
        <w:tc>
          <w:tcPr>
            <w:tcW w:w="62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 xml:space="preserve">-30 </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-261,956</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-258,241</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-252,608</w:t>
            </w:r>
          </w:p>
        </w:tc>
      </w:tr>
      <w:tr w:rsidR="00536AC6" w:rsidTr="005F6BE4">
        <w:tc>
          <w:tcPr>
            <w:tcW w:w="105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 </w:t>
            </w:r>
          </w:p>
        </w:tc>
        <w:tc>
          <w:tcPr>
            <w:tcW w:w="2315" w:type="dxa"/>
            <w:tcBorders>
              <w:top w:val="nil"/>
              <w:left w:val="nil"/>
              <w:bottom w:val="nil"/>
              <w:right w:val="nil"/>
            </w:tcBorders>
            <w:shd w:val="clear" w:color="000000" w:fill="FFFFFF"/>
            <w:noWrap/>
            <w:hideMark/>
          </w:tcPr>
          <w:p w:rsidR="00536AC6" w:rsidRDefault="00536AC6" w:rsidP="00536AC6">
            <w:pPr>
              <w:rPr>
                <w:sz w:val="18"/>
                <w:szCs w:val="18"/>
              </w:rPr>
            </w:pPr>
            <w:r>
              <w:rPr>
                <w:sz w:val="18"/>
                <w:szCs w:val="18"/>
              </w:rPr>
              <w:t> </w:t>
            </w:r>
          </w:p>
        </w:tc>
        <w:tc>
          <w:tcPr>
            <w:tcW w:w="1184" w:type="dxa"/>
            <w:tcBorders>
              <w:top w:val="nil"/>
              <w:left w:val="nil"/>
              <w:bottom w:val="nil"/>
              <w:right w:val="nil"/>
            </w:tcBorders>
            <w:shd w:val="clear" w:color="000000" w:fill="FFFFFF"/>
            <w:noWrap/>
            <w:hideMark/>
          </w:tcPr>
          <w:p w:rsidR="00536AC6" w:rsidRDefault="00536AC6" w:rsidP="00536AC6">
            <w:pPr>
              <w:ind w:left="-283"/>
              <w:jc w:val="right"/>
              <w:rPr>
                <w:rFonts w:ascii="Arial" w:hAnsi="Arial" w:cs="Arial"/>
                <w:sz w:val="16"/>
                <w:szCs w:val="16"/>
              </w:rPr>
            </w:pPr>
            <w:r>
              <w:rPr>
                <w:rFonts w:ascii="Arial" w:hAnsi="Arial" w:cs="Arial"/>
                <w:sz w:val="16"/>
                <w:szCs w:val="16"/>
              </w:rPr>
              <w:t> </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 </w:t>
            </w:r>
          </w:p>
        </w:tc>
      </w:tr>
      <w:tr w:rsidR="00536AC6" w:rsidTr="005F6BE4">
        <w:tc>
          <w:tcPr>
            <w:tcW w:w="1054" w:type="dxa"/>
            <w:tcBorders>
              <w:top w:val="nil"/>
              <w:left w:val="nil"/>
              <w:bottom w:val="nil"/>
              <w:right w:val="nil"/>
            </w:tcBorders>
            <w:shd w:val="clear" w:color="000000" w:fill="FFFFFF"/>
            <w:noWrap/>
            <w:hideMark/>
          </w:tcPr>
          <w:p w:rsidR="00536AC6" w:rsidRDefault="00536AC6" w:rsidP="00536AC6">
            <w:pPr>
              <w:ind w:left="-283"/>
              <w:jc w:val="right"/>
              <w:rPr>
                <w:b/>
                <w:bCs/>
                <w:sz w:val="18"/>
                <w:szCs w:val="18"/>
              </w:rPr>
            </w:pPr>
            <w:r>
              <w:rPr>
                <w:b/>
                <w:bCs/>
                <w:sz w:val="18"/>
                <w:szCs w:val="18"/>
              </w:rPr>
              <w:t>-267,272</w:t>
            </w:r>
          </w:p>
        </w:tc>
        <w:tc>
          <w:tcPr>
            <w:tcW w:w="2315" w:type="dxa"/>
            <w:tcBorders>
              <w:top w:val="nil"/>
              <w:left w:val="nil"/>
              <w:bottom w:val="nil"/>
              <w:right w:val="nil"/>
            </w:tcBorders>
            <w:shd w:val="clear" w:color="000000" w:fill="FFFFFF"/>
            <w:hideMark/>
          </w:tcPr>
          <w:p w:rsidR="00536AC6" w:rsidRDefault="00536AC6" w:rsidP="00536AC6">
            <w:pPr>
              <w:rPr>
                <w:b/>
                <w:bCs/>
                <w:sz w:val="18"/>
                <w:szCs w:val="18"/>
              </w:rPr>
            </w:pPr>
            <w:r>
              <w:rPr>
                <w:b/>
                <w:bCs/>
                <w:sz w:val="18"/>
                <w:szCs w:val="18"/>
              </w:rPr>
              <w:t>Total Comprehensive</w:t>
            </w:r>
            <w:r>
              <w:rPr>
                <w:b/>
                <w:bCs/>
                <w:sz w:val="18"/>
                <w:szCs w:val="18"/>
              </w:rPr>
              <w:br/>
              <w:t xml:space="preserve">   Income</w:t>
            </w:r>
          </w:p>
        </w:tc>
        <w:tc>
          <w:tcPr>
            <w:tcW w:w="1184" w:type="dxa"/>
            <w:tcBorders>
              <w:top w:val="nil"/>
              <w:left w:val="nil"/>
              <w:bottom w:val="nil"/>
              <w:right w:val="nil"/>
            </w:tcBorders>
            <w:shd w:val="clear" w:color="000000" w:fill="FFFFFF"/>
            <w:noWrap/>
            <w:hideMark/>
          </w:tcPr>
          <w:p w:rsidR="00536AC6" w:rsidRDefault="00536AC6" w:rsidP="00536AC6">
            <w:pPr>
              <w:ind w:left="-283"/>
              <w:jc w:val="right"/>
              <w:rPr>
                <w:b/>
                <w:bCs/>
                <w:sz w:val="18"/>
                <w:szCs w:val="18"/>
              </w:rPr>
            </w:pPr>
            <w:r>
              <w:rPr>
                <w:b/>
                <w:bCs/>
                <w:sz w:val="18"/>
                <w:szCs w:val="18"/>
              </w:rPr>
              <w:t>2,573,290</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b/>
                <w:bCs/>
                <w:sz w:val="18"/>
                <w:szCs w:val="18"/>
              </w:rPr>
            </w:pPr>
            <w:r>
              <w:rPr>
                <w:b/>
                <w:bCs/>
                <w:sz w:val="18"/>
                <w:szCs w:val="18"/>
              </w:rPr>
              <w:t>-264,364</w:t>
            </w:r>
          </w:p>
        </w:tc>
        <w:tc>
          <w:tcPr>
            <w:tcW w:w="624" w:type="dxa"/>
            <w:tcBorders>
              <w:top w:val="nil"/>
              <w:left w:val="nil"/>
              <w:bottom w:val="nil"/>
              <w:right w:val="nil"/>
            </w:tcBorders>
            <w:shd w:val="clear" w:color="000000" w:fill="FFFFFF"/>
            <w:noWrap/>
            <w:hideMark/>
          </w:tcPr>
          <w:p w:rsidR="00536AC6" w:rsidRDefault="00536AC6" w:rsidP="00536AC6">
            <w:pPr>
              <w:ind w:left="-283"/>
              <w:jc w:val="right"/>
              <w:rPr>
                <w:b/>
                <w:bCs/>
                <w:sz w:val="18"/>
                <w:szCs w:val="18"/>
              </w:rPr>
            </w:pPr>
            <w:r>
              <w:rPr>
                <w:b/>
                <w:bCs/>
                <w:sz w:val="18"/>
                <w:szCs w:val="18"/>
              </w:rPr>
              <w:t xml:space="preserve">-110 </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b/>
                <w:bCs/>
                <w:sz w:val="18"/>
                <w:szCs w:val="18"/>
              </w:rPr>
            </w:pPr>
            <w:r>
              <w:rPr>
                <w:b/>
                <w:bCs/>
                <w:sz w:val="18"/>
                <w:szCs w:val="18"/>
              </w:rPr>
              <w:t>-261,956</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b/>
                <w:bCs/>
                <w:sz w:val="18"/>
                <w:szCs w:val="18"/>
              </w:rPr>
            </w:pPr>
            <w:r>
              <w:rPr>
                <w:b/>
                <w:bCs/>
                <w:sz w:val="18"/>
                <w:szCs w:val="18"/>
              </w:rPr>
              <w:t>-258,241</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b/>
                <w:bCs/>
                <w:sz w:val="18"/>
                <w:szCs w:val="18"/>
              </w:rPr>
            </w:pPr>
            <w:r>
              <w:rPr>
                <w:b/>
                <w:bCs/>
                <w:sz w:val="18"/>
                <w:szCs w:val="18"/>
              </w:rPr>
              <w:t>-252,608</w:t>
            </w:r>
          </w:p>
        </w:tc>
      </w:tr>
      <w:tr w:rsidR="00536AC6" w:rsidTr="005F6BE4">
        <w:tc>
          <w:tcPr>
            <w:tcW w:w="105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 </w:t>
            </w:r>
          </w:p>
        </w:tc>
        <w:tc>
          <w:tcPr>
            <w:tcW w:w="2315" w:type="dxa"/>
            <w:tcBorders>
              <w:top w:val="nil"/>
              <w:left w:val="nil"/>
              <w:bottom w:val="nil"/>
              <w:right w:val="nil"/>
            </w:tcBorders>
            <w:shd w:val="clear" w:color="000000" w:fill="FFFFFF"/>
            <w:noWrap/>
            <w:hideMark/>
          </w:tcPr>
          <w:p w:rsidR="00536AC6" w:rsidRDefault="00536AC6" w:rsidP="00536AC6">
            <w:pPr>
              <w:rPr>
                <w:sz w:val="18"/>
                <w:szCs w:val="18"/>
              </w:rPr>
            </w:pPr>
            <w:r>
              <w:rPr>
                <w:sz w:val="18"/>
                <w:szCs w:val="18"/>
              </w:rPr>
              <w:t> </w:t>
            </w:r>
          </w:p>
        </w:tc>
        <w:tc>
          <w:tcPr>
            <w:tcW w:w="118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 </w:t>
            </w:r>
          </w:p>
        </w:tc>
      </w:tr>
      <w:tr w:rsidR="00536AC6" w:rsidTr="005F6BE4">
        <w:tc>
          <w:tcPr>
            <w:tcW w:w="1054" w:type="dxa"/>
            <w:tcBorders>
              <w:top w:val="nil"/>
              <w:left w:val="nil"/>
              <w:bottom w:val="nil"/>
              <w:right w:val="nil"/>
            </w:tcBorders>
            <w:shd w:val="clear" w:color="000000" w:fill="FFFFFF"/>
            <w:noWrap/>
            <w:hideMark/>
          </w:tcPr>
          <w:p w:rsidR="00536AC6" w:rsidRDefault="00536AC6" w:rsidP="00536AC6">
            <w:pPr>
              <w:ind w:left="-283"/>
              <w:jc w:val="right"/>
              <w:rPr>
                <w:b/>
                <w:bCs/>
                <w:sz w:val="18"/>
                <w:szCs w:val="18"/>
              </w:rPr>
            </w:pPr>
            <w:r>
              <w:rPr>
                <w:b/>
                <w:bCs/>
                <w:sz w:val="18"/>
                <w:szCs w:val="18"/>
              </w:rPr>
              <w:t>0</w:t>
            </w:r>
          </w:p>
        </w:tc>
        <w:tc>
          <w:tcPr>
            <w:tcW w:w="2315" w:type="dxa"/>
            <w:tcBorders>
              <w:top w:val="nil"/>
              <w:left w:val="nil"/>
              <w:bottom w:val="nil"/>
              <w:right w:val="nil"/>
            </w:tcBorders>
            <w:shd w:val="clear" w:color="000000" w:fill="FFFFFF"/>
            <w:noWrap/>
            <w:hideMark/>
          </w:tcPr>
          <w:p w:rsidR="00536AC6" w:rsidRDefault="00536AC6" w:rsidP="00536AC6">
            <w:pPr>
              <w:rPr>
                <w:b/>
                <w:bCs/>
                <w:sz w:val="18"/>
                <w:szCs w:val="18"/>
              </w:rPr>
            </w:pPr>
            <w:r>
              <w:rPr>
                <w:b/>
                <w:bCs/>
                <w:sz w:val="18"/>
                <w:szCs w:val="18"/>
              </w:rPr>
              <w:t>Total Movement in Reserves</w:t>
            </w:r>
          </w:p>
        </w:tc>
        <w:tc>
          <w:tcPr>
            <w:tcW w:w="1184" w:type="dxa"/>
            <w:tcBorders>
              <w:top w:val="nil"/>
              <w:left w:val="nil"/>
              <w:bottom w:val="nil"/>
              <w:right w:val="nil"/>
            </w:tcBorders>
            <w:shd w:val="clear" w:color="000000" w:fill="FFFFFF"/>
            <w:noWrap/>
            <w:hideMark/>
          </w:tcPr>
          <w:p w:rsidR="00536AC6" w:rsidRDefault="00536AC6" w:rsidP="00536AC6">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536AC6" w:rsidRDefault="00536AC6" w:rsidP="00536AC6">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b/>
                <w:bCs/>
                <w:sz w:val="18"/>
                <w:szCs w:val="18"/>
              </w:rPr>
            </w:pPr>
            <w:r>
              <w:rPr>
                <w:b/>
                <w:bCs/>
                <w:sz w:val="18"/>
                <w:szCs w:val="18"/>
              </w:rPr>
              <w:t>0</w:t>
            </w:r>
          </w:p>
        </w:tc>
      </w:tr>
      <w:tr w:rsidR="00536AC6" w:rsidTr="005F6BE4">
        <w:tc>
          <w:tcPr>
            <w:tcW w:w="105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 </w:t>
            </w:r>
          </w:p>
        </w:tc>
        <w:tc>
          <w:tcPr>
            <w:tcW w:w="2315" w:type="dxa"/>
            <w:tcBorders>
              <w:top w:val="nil"/>
              <w:left w:val="nil"/>
              <w:bottom w:val="nil"/>
              <w:right w:val="nil"/>
            </w:tcBorders>
            <w:shd w:val="clear" w:color="000000" w:fill="FFFFFF"/>
            <w:noWrap/>
            <w:hideMark/>
          </w:tcPr>
          <w:p w:rsidR="00536AC6" w:rsidRDefault="00536AC6" w:rsidP="00536AC6">
            <w:pPr>
              <w:rPr>
                <w:sz w:val="18"/>
                <w:szCs w:val="18"/>
              </w:rPr>
            </w:pPr>
            <w:r>
              <w:rPr>
                <w:sz w:val="18"/>
                <w:szCs w:val="18"/>
              </w:rPr>
              <w:t> </w:t>
            </w:r>
          </w:p>
        </w:tc>
        <w:tc>
          <w:tcPr>
            <w:tcW w:w="118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 </w:t>
            </w:r>
          </w:p>
        </w:tc>
      </w:tr>
      <w:tr w:rsidR="00536AC6" w:rsidTr="005F6BE4">
        <w:tc>
          <w:tcPr>
            <w:tcW w:w="105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 </w:t>
            </w:r>
          </w:p>
        </w:tc>
        <w:tc>
          <w:tcPr>
            <w:tcW w:w="3499" w:type="dxa"/>
            <w:gridSpan w:val="2"/>
            <w:tcBorders>
              <w:top w:val="nil"/>
              <w:left w:val="nil"/>
              <w:bottom w:val="nil"/>
              <w:right w:val="nil"/>
            </w:tcBorders>
            <w:shd w:val="clear" w:color="000000" w:fill="FFFFFF"/>
            <w:hideMark/>
          </w:tcPr>
          <w:p w:rsidR="00536AC6" w:rsidRDefault="00536AC6" w:rsidP="00981E9F">
            <w:pPr>
              <w:ind w:left="142" w:hanging="142"/>
              <w:rPr>
                <w:b/>
                <w:bCs/>
                <w:sz w:val="18"/>
                <w:szCs w:val="18"/>
              </w:rPr>
            </w:pPr>
            <w:r>
              <w:rPr>
                <w:b/>
                <w:bCs/>
                <w:sz w:val="18"/>
                <w:szCs w:val="18"/>
              </w:rPr>
              <w:t xml:space="preserve">Transactions Involving Owners </w:t>
            </w:r>
          </w:p>
          <w:p w:rsidR="00536AC6" w:rsidRDefault="00981E9F" w:rsidP="00981E9F">
            <w:pPr>
              <w:spacing w:after="60"/>
              <w:ind w:left="142" w:hanging="142"/>
              <w:rPr>
                <w:sz w:val="18"/>
                <w:szCs w:val="18"/>
              </w:rPr>
            </w:pPr>
            <w:r>
              <w:rPr>
                <w:b/>
                <w:bCs/>
                <w:sz w:val="18"/>
                <w:szCs w:val="18"/>
              </w:rPr>
              <w:t xml:space="preserve">   </w:t>
            </w:r>
            <w:r w:rsidR="00536AC6">
              <w:rPr>
                <w:b/>
                <w:bCs/>
                <w:sz w:val="18"/>
                <w:szCs w:val="18"/>
              </w:rPr>
              <w:t>Affecting Accumulated Funds</w:t>
            </w:r>
            <w:r w:rsidR="00536AC6">
              <w:rPr>
                <w:sz w:val="18"/>
                <w:szCs w:val="18"/>
              </w:rPr>
              <w:t xml:space="preserve"> </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 </w:t>
            </w:r>
          </w:p>
        </w:tc>
      </w:tr>
      <w:tr w:rsidR="00536AC6" w:rsidTr="005F6BE4">
        <w:tc>
          <w:tcPr>
            <w:tcW w:w="105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147,649</w:t>
            </w:r>
          </w:p>
        </w:tc>
        <w:tc>
          <w:tcPr>
            <w:tcW w:w="2315" w:type="dxa"/>
            <w:tcBorders>
              <w:top w:val="nil"/>
              <w:left w:val="nil"/>
              <w:bottom w:val="nil"/>
              <w:right w:val="nil"/>
            </w:tcBorders>
            <w:shd w:val="clear" w:color="000000" w:fill="FFFFFF"/>
            <w:noWrap/>
            <w:hideMark/>
          </w:tcPr>
          <w:p w:rsidR="00536AC6" w:rsidRDefault="00536AC6" w:rsidP="00536AC6">
            <w:pPr>
              <w:rPr>
                <w:sz w:val="18"/>
                <w:szCs w:val="18"/>
              </w:rPr>
            </w:pPr>
            <w:r>
              <w:rPr>
                <w:sz w:val="18"/>
                <w:szCs w:val="18"/>
              </w:rPr>
              <w:t>Capital Injections</w:t>
            </w:r>
          </w:p>
        </w:tc>
        <w:tc>
          <w:tcPr>
            <w:tcW w:w="118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147,649</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178,216</w:t>
            </w:r>
          </w:p>
        </w:tc>
        <w:tc>
          <w:tcPr>
            <w:tcW w:w="62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 xml:space="preserve">21 </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195,674</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213,650</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233,781</w:t>
            </w:r>
          </w:p>
        </w:tc>
      </w:tr>
      <w:tr w:rsidR="00536AC6" w:rsidTr="005F6BE4">
        <w:tc>
          <w:tcPr>
            <w:tcW w:w="105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 </w:t>
            </w:r>
          </w:p>
        </w:tc>
        <w:tc>
          <w:tcPr>
            <w:tcW w:w="2315" w:type="dxa"/>
            <w:tcBorders>
              <w:top w:val="nil"/>
              <w:left w:val="nil"/>
              <w:bottom w:val="nil"/>
              <w:right w:val="nil"/>
            </w:tcBorders>
            <w:shd w:val="clear" w:color="000000" w:fill="FFFFFF"/>
            <w:noWrap/>
            <w:hideMark/>
          </w:tcPr>
          <w:p w:rsidR="00536AC6" w:rsidRDefault="00536AC6" w:rsidP="00536AC6">
            <w:pPr>
              <w:rPr>
                <w:sz w:val="18"/>
                <w:szCs w:val="18"/>
              </w:rPr>
            </w:pPr>
            <w:r>
              <w:rPr>
                <w:sz w:val="18"/>
                <w:szCs w:val="18"/>
              </w:rPr>
              <w:t> </w:t>
            </w:r>
          </w:p>
        </w:tc>
        <w:tc>
          <w:tcPr>
            <w:tcW w:w="118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 </w:t>
            </w:r>
          </w:p>
        </w:tc>
      </w:tr>
      <w:tr w:rsidR="00536AC6" w:rsidTr="005F6BE4">
        <w:tc>
          <w:tcPr>
            <w:tcW w:w="1054" w:type="dxa"/>
            <w:tcBorders>
              <w:top w:val="nil"/>
              <w:left w:val="nil"/>
              <w:bottom w:val="nil"/>
              <w:right w:val="nil"/>
            </w:tcBorders>
            <w:shd w:val="clear" w:color="000000" w:fill="FFFFFF"/>
            <w:noWrap/>
            <w:hideMark/>
          </w:tcPr>
          <w:p w:rsidR="00536AC6" w:rsidRDefault="00536AC6" w:rsidP="00536AC6">
            <w:pPr>
              <w:ind w:left="-283"/>
              <w:jc w:val="right"/>
              <w:rPr>
                <w:b/>
                <w:bCs/>
                <w:sz w:val="18"/>
                <w:szCs w:val="18"/>
              </w:rPr>
            </w:pPr>
            <w:r>
              <w:rPr>
                <w:b/>
                <w:bCs/>
                <w:sz w:val="18"/>
                <w:szCs w:val="18"/>
              </w:rPr>
              <w:t>147,649</w:t>
            </w:r>
          </w:p>
        </w:tc>
        <w:tc>
          <w:tcPr>
            <w:tcW w:w="2315" w:type="dxa"/>
            <w:tcBorders>
              <w:top w:val="nil"/>
              <w:left w:val="nil"/>
              <w:bottom w:val="nil"/>
              <w:right w:val="nil"/>
            </w:tcBorders>
            <w:shd w:val="clear" w:color="000000" w:fill="FFFFFF"/>
            <w:hideMark/>
          </w:tcPr>
          <w:p w:rsidR="00536AC6" w:rsidRDefault="00536AC6" w:rsidP="00536AC6">
            <w:pPr>
              <w:rPr>
                <w:b/>
                <w:bCs/>
                <w:sz w:val="18"/>
                <w:szCs w:val="18"/>
              </w:rPr>
            </w:pPr>
            <w:r>
              <w:rPr>
                <w:b/>
                <w:bCs/>
                <w:sz w:val="18"/>
                <w:szCs w:val="18"/>
              </w:rPr>
              <w:t>Total Transactions Involving</w:t>
            </w:r>
            <w:r>
              <w:rPr>
                <w:b/>
                <w:bCs/>
                <w:sz w:val="18"/>
                <w:szCs w:val="18"/>
              </w:rPr>
              <w:br/>
              <w:t xml:space="preserve">   Owners Affecting</w:t>
            </w:r>
            <w:r>
              <w:rPr>
                <w:b/>
                <w:bCs/>
                <w:sz w:val="18"/>
                <w:szCs w:val="18"/>
              </w:rPr>
              <w:br/>
              <w:t xml:space="preserve">   Accumulated Funds</w:t>
            </w:r>
          </w:p>
        </w:tc>
        <w:tc>
          <w:tcPr>
            <w:tcW w:w="1184" w:type="dxa"/>
            <w:tcBorders>
              <w:top w:val="nil"/>
              <w:left w:val="nil"/>
              <w:bottom w:val="nil"/>
              <w:right w:val="nil"/>
            </w:tcBorders>
            <w:shd w:val="clear" w:color="000000" w:fill="FFFFFF"/>
            <w:noWrap/>
            <w:hideMark/>
          </w:tcPr>
          <w:p w:rsidR="00536AC6" w:rsidRDefault="00536AC6" w:rsidP="00536AC6">
            <w:pPr>
              <w:ind w:left="-283"/>
              <w:jc w:val="right"/>
              <w:rPr>
                <w:b/>
                <w:bCs/>
                <w:sz w:val="18"/>
                <w:szCs w:val="18"/>
              </w:rPr>
            </w:pPr>
            <w:r>
              <w:rPr>
                <w:b/>
                <w:bCs/>
                <w:sz w:val="18"/>
                <w:szCs w:val="18"/>
              </w:rPr>
              <w:t>147,649</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b/>
                <w:bCs/>
                <w:sz w:val="18"/>
                <w:szCs w:val="18"/>
              </w:rPr>
            </w:pPr>
            <w:r>
              <w:rPr>
                <w:b/>
                <w:bCs/>
                <w:sz w:val="18"/>
                <w:szCs w:val="18"/>
              </w:rPr>
              <w:t>178,216</w:t>
            </w:r>
          </w:p>
        </w:tc>
        <w:tc>
          <w:tcPr>
            <w:tcW w:w="624" w:type="dxa"/>
            <w:tcBorders>
              <w:top w:val="nil"/>
              <w:left w:val="nil"/>
              <w:bottom w:val="nil"/>
              <w:right w:val="nil"/>
            </w:tcBorders>
            <w:shd w:val="clear" w:color="000000" w:fill="FFFFFF"/>
            <w:noWrap/>
            <w:hideMark/>
          </w:tcPr>
          <w:p w:rsidR="00536AC6" w:rsidRDefault="00536AC6" w:rsidP="00536AC6">
            <w:pPr>
              <w:ind w:left="-283"/>
              <w:jc w:val="right"/>
              <w:rPr>
                <w:b/>
                <w:bCs/>
                <w:sz w:val="18"/>
                <w:szCs w:val="18"/>
              </w:rPr>
            </w:pPr>
            <w:r>
              <w:rPr>
                <w:b/>
                <w:bCs/>
                <w:sz w:val="18"/>
                <w:szCs w:val="18"/>
              </w:rPr>
              <w:t xml:space="preserve">21 </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b/>
                <w:bCs/>
                <w:sz w:val="18"/>
                <w:szCs w:val="18"/>
              </w:rPr>
            </w:pPr>
            <w:r>
              <w:rPr>
                <w:b/>
                <w:bCs/>
                <w:sz w:val="18"/>
                <w:szCs w:val="18"/>
              </w:rPr>
              <w:t>195,674</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b/>
                <w:bCs/>
                <w:sz w:val="18"/>
                <w:szCs w:val="18"/>
              </w:rPr>
            </w:pPr>
            <w:r>
              <w:rPr>
                <w:b/>
                <w:bCs/>
                <w:sz w:val="18"/>
                <w:szCs w:val="18"/>
              </w:rPr>
              <w:t>213,650</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b/>
                <w:bCs/>
                <w:sz w:val="18"/>
                <w:szCs w:val="18"/>
              </w:rPr>
            </w:pPr>
            <w:r>
              <w:rPr>
                <w:b/>
                <w:bCs/>
                <w:sz w:val="18"/>
                <w:szCs w:val="18"/>
              </w:rPr>
              <w:t>233,781</w:t>
            </w:r>
          </w:p>
        </w:tc>
      </w:tr>
      <w:tr w:rsidR="00536AC6" w:rsidTr="005F6BE4">
        <w:tc>
          <w:tcPr>
            <w:tcW w:w="1054" w:type="dxa"/>
            <w:tcBorders>
              <w:top w:val="nil"/>
              <w:left w:val="nil"/>
              <w:bottom w:val="nil"/>
              <w:right w:val="nil"/>
            </w:tcBorders>
            <w:shd w:val="clear" w:color="000000" w:fill="FFFFFF"/>
            <w:noWrap/>
            <w:hideMark/>
          </w:tcPr>
          <w:p w:rsidR="00536AC6" w:rsidRDefault="00536AC6" w:rsidP="00536AC6">
            <w:pPr>
              <w:ind w:left="-283"/>
              <w:jc w:val="right"/>
              <w:rPr>
                <w:b/>
                <w:bCs/>
                <w:sz w:val="18"/>
                <w:szCs w:val="18"/>
              </w:rPr>
            </w:pPr>
            <w:r>
              <w:rPr>
                <w:b/>
                <w:bCs/>
                <w:sz w:val="18"/>
                <w:szCs w:val="18"/>
              </w:rPr>
              <w:t> </w:t>
            </w:r>
          </w:p>
        </w:tc>
        <w:tc>
          <w:tcPr>
            <w:tcW w:w="2315" w:type="dxa"/>
            <w:tcBorders>
              <w:top w:val="nil"/>
              <w:left w:val="nil"/>
              <w:bottom w:val="nil"/>
              <w:right w:val="nil"/>
            </w:tcBorders>
            <w:shd w:val="clear" w:color="000000" w:fill="FFFFFF"/>
            <w:noWrap/>
            <w:hideMark/>
          </w:tcPr>
          <w:p w:rsidR="00536AC6" w:rsidRDefault="00536AC6" w:rsidP="00536AC6">
            <w:pPr>
              <w:rPr>
                <w:sz w:val="18"/>
                <w:szCs w:val="18"/>
              </w:rPr>
            </w:pPr>
            <w:r>
              <w:rPr>
                <w:sz w:val="18"/>
                <w:szCs w:val="18"/>
              </w:rPr>
              <w:t> </w:t>
            </w:r>
          </w:p>
        </w:tc>
        <w:tc>
          <w:tcPr>
            <w:tcW w:w="1184" w:type="dxa"/>
            <w:tcBorders>
              <w:top w:val="nil"/>
              <w:left w:val="nil"/>
              <w:bottom w:val="nil"/>
              <w:right w:val="nil"/>
            </w:tcBorders>
            <w:shd w:val="clear" w:color="000000" w:fill="FFFFFF"/>
            <w:noWrap/>
            <w:hideMark/>
          </w:tcPr>
          <w:p w:rsidR="00536AC6" w:rsidRDefault="00536AC6" w:rsidP="00536AC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b/>
                <w:bCs/>
                <w:sz w:val="18"/>
                <w:szCs w:val="18"/>
              </w:rPr>
            </w:pPr>
            <w:r>
              <w:rPr>
                <w:b/>
                <w:bCs/>
                <w:sz w:val="18"/>
                <w:szCs w:val="18"/>
              </w:rPr>
              <w:t> </w:t>
            </w:r>
          </w:p>
        </w:tc>
      </w:tr>
      <w:tr w:rsidR="00536AC6" w:rsidTr="005F6BE4">
        <w:tc>
          <w:tcPr>
            <w:tcW w:w="1054" w:type="dxa"/>
            <w:tcBorders>
              <w:top w:val="nil"/>
              <w:left w:val="nil"/>
              <w:bottom w:val="nil"/>
              <w:right w:val="nil"/>
            </w:tcBorders>
            <w:shd w:val="clear" w:color="000000" w:fill="FFFFFF"/>
            <w:noWrap/>
            <w:hideMark/>
          </w:tcPr>
          <w:p w:rsidR="00536AC6" w:rsidRDefault="00536AC6" w:rsidP="00536AC6">
            <w:pPr>
              <w:ind w:left="-283"/>
              <w:jc w:val="right"/>
              <w:rPr>
                <w:b/>
                <w:bCs/>
                <w:sz w:val="18"/>
                <w:szCs w:val="18"/>
              </w:rPr>
            </w:pPr>
            <w:r>
              <w:rPr>
                <w:b/>
                <w:bCs/>
                <w:sz w:val="18"/>
                <w:szCs w:val="18"/>
              </w:rPr>
              <w:t> </w:t>
            </w:r>
          </w:p>
        </w:tc>
        <w:tc>
          <w:tcPr>
            <w:tcW w:w="2315" w:type="dxa"/>
            <w:tcBorders>
              <w:top w:val="nil"/>
              <w:left w:val="nil"/>
              <w:bottom w:val="nil"/>
              <w:right w:val="nil"/>
            </w:tcBorders>
            <w:shd w:val="clear" w:color="000000" w:fill="FFFFFF"/>
            <w:noWrap/>
            <w:hideMark/>
          </w:tcPr>
          <w:p w:rsidR="00536AC6" w:rsidRDefault="00536AC6" w:rsidP="00536AC6">
            <w:pPr>
              <w:rPr>
                <w:b/>
                <w:bCs/>
                <w:sz w:val="18"/>
                <w:szCs w:val="18"/>
              </w:rPr>
            </w:pPr>
            <w:r>
              <w:rPr>
                <w:b/>
                <w:bCs/>
                <w:sz w:val="18"/>
                <w:szCs w:val="18"/>
              </w:rPr>
              <w:t>Closing Equity</w:t>
            </w:r>
          </w:p>
        </w:tc>
        <w:tc>
          <w:tcPr>
            <w:tcW w:w="1184" w:type="dxa"/>
            <w:tcBorders>
              <w:top w:val="nil"/>
              <w:left w:val="nil"/>
              <w:bottom w:val="nil"/>
              <w:right w:val="nil"/>
            </w:tcBorders>
            <w:shd w:val="clear" w:color="000000" w:fill="FFFFFF"/>
            <w:noWrap/>
            <w:hideMark/>
          </w:tcPr>
          <w:p w:rsidR="00536AC6" w:rsidRDefault="00536AC6" w:rsidP="00536AC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b/>
                <w:bCs/>
                <w:sz w:val="18"/>
                <w:szCs w:val="18"/>
              </w:rPr>
            </w:pPr>
            <w:r>
              <w:rPr>
                <w:b/>
                <w:bCs/>
                <w:sz w:val="18"/>
                <w:szCs w:val="18"/>
              </w:rPr>
              <w:t> </w:t>
            </w:r>
          </w:p>
        </w:tc>
      </w:tr>
      <w:tr w:rsidR="00536AC6" w:rsidTr="005F6BE4">
        <w:tc>
          <w:tcPr>
            <w:tcW w:w="1054" w:type="dxa"/>
            <w:tcBorders>
              <w:top w:val="nil"/>
              <w:left w:val="nil"/>
              <w:bottom w:val="nil"/>
              <w:right w:val="nil"/>
            </w:tcBorders>
            <w:shd w:val="clear" w:color="000000" w:fill="FFFFFF"/>
            <w:noWrap/>
            <w:hideMark/>
          </w:tcPr>
          <w:p w:rsidR="00536AC6" w:rsidRDefault="00536AC6" w:rsidP="00536AC6">
            <w:pPr>
              <w:ind w:left="-283"/>
              <w:jc w:val="right"/>
              <w:rPr>
                <w:b/>
                <w:bCs/>
                <w:sz w:val="18"/>
                <w:szCs w:val="18"/>
              </w:rPr>
            </w:pPr>
            <w:r>
              <w:rPr>
                <w:b/>
                <w:bCs/>
                <w:sz w:val="18"/>
                <w:szCs w:val="18"/>
              </w:rPr>
              <w:t> </w:t>
            </w:r>
          </w:p>
        </w:tc>
        <w:tc>
          <w:tcPr>
            <w:tcW w:w="2315" w:type="dxa"/>
            <w:tcBorders>
              <w:top w:val="nil"/>
              <w:left w:val="nil"/>
              <w:bottom w:val="nil"/>
              <w:right w:val="nil"/>
            </w:tcBorders>
            <w:shd w:val="clear" w:color="000000" w:fill="FFFFFF"/>
            <w:noWrap/>
            <w:hideMark/>
          </w:tcPr>
          <w:p w:rsidR="00536AC6" w:rsidRDefault="00536AC6" w:rsidP="00536AC6">
            <w:pPr>
              <w:rPr>
                <w:sz w:val="18"/>
                <w:szCs w:val="18"/>
              </w:rPr>
            </w:pPr>
            <w:r>
              <w:rPr>
                <w:sz w:val="18"/>
                <w:szCs w:val="18"/>
              </w:rPr>
              <w:t> </w:t>
            </w:r>
          </w:p>
        </w:tc>
        <w:tc>
          <w:tcPr>
            <w:tcW w:w="1184" w:type="dxa"/>
            <w:tcBorders>
              <w:top w:val="nil"/>
              <w:left w:val="nil"/>
              <w:bottom w:val="nil"/>
              <w:right w:val="nil"/>
            </w:tcBorders>
            <w:shd w:val="clear" w:color="000000" w:fill="FFFFFF"/>
            <w:noWrap/>
            <w:hideMark/>
          </w:tcPr>
          <w:p w:rsidR="00536AC6" w:rsidRDefault="00536AC6" w:rsidP="00536AC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b/>
                <w:bCs/>
                <w:sz w:val="18"/>
                <w:szCs w:val="18"/>
              </w:rPr>
            </w:pPr>
            <w:r>
              <w:rPr>
                <w:b/>
                <w:bCs/>
                <w:sz w:val="18"/>
                <w:szCs w:val="18"/>
              </w:rPr>
              <w:t> </w:t>
            </w:r>
          </w:p>
        </w:tc>
      </w:tr>
      <w:tr w:rsidR="00536AC6" w:rsidTr="005F6BE4">
        <w:tc>
          <w:tcPr>
            <w:tcW w:w="105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-2,595,458</w:t>
            </w:r>
          </w:p>
        </w:tc>
        <w:tc>
          <w:tcPr>
            <w:tcW w:w="2315" w:type="dxa"/>
            <w:tcBorders>
              <w:top w:val="nil"/>
              <w:left w:val="nil"/>
              <w:bottom w:val="nil"/>
              <w:right w:val="nil"/>
            </w:tcBorders>
            <w:shd w:val="clear" w:color="000000" w:fill="FFFFFF"/>
            <w:noWrap/>
            <w:hideMark/>
          </w:tcPr>
          <w:p w:rsidR="00536AC6" w:rsidRDefault="00536AC6" w:rsidP="00536AC6">
            <w:pPr>
              <w:rPr>
                <w:sz w:val="18"/>
                <w:szCs w:val="18"/>
              </w:rPr>
            </w:pPr>
            <w:r>
              <w:rPr>
                <w:sz w:val="18"/>
                <w:szCs w:val="18"/>
              </w:rPr>
              <w:t>Closing Accumulated Funds</w:t>
            </w:r>
          </w:p>
        </w:tc>
        <w:tc>
          <w:tcPr>
            <w:tcW w:w="118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-2,515,224</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-2,601,372</w:t>
            </w:r>
          </w:p>
        </w:tc>
        <w:tc>
          <w:tcPr>
            <w:tcW w:w="62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 xml:space="preserve">-3 </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-2,667,654</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-2,712,245</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-2,731,072</w:t>
            </w:r>
          </w:p>
        </w:tc>
      </w:tr>
      <w:tr w:rsidR="00536AC6" w:rsidTr="005F6BE4">
        <w:tc>
          <w:tcPr>
            <w:tcW w:w="105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 </w:t>
            </w:r>
          </w:p>
        </w:tc>
        <w:tc>
          <w:tcPr>
            <w:tcW w:w="2315" w:type="dxa"/>
            <w:tcBorders>
              <w:top w:val="nil"/>
              <w:left w:val="nil"/>
              <w:bottom w:val="nil"/>
              <w:right w:val="nil"/>
            </w:tcBorders>
            <w:shd w:val="clear" w:color="000000" w:fill="FFFFFF"/>
            <w:noWrap/>
            <w:hideMark/>
          </w:tcPr>
          <w:p w:rsidR="00536AC6" w:rsidRDefault="00536AC6" w:rsidP="00536AC6">
            <w:pPr>
              <w:rPr>
                <w:sz w:val="18"/>
                <w:szCs w:val="18"/>
              </w:rPr>
            </w:pPr>
            <w:r>
              <w:rPr>
                <w:sz w:val="18"/>
                <w:szCs w:val="18"/>
              </w:rPr>
              <w:t> </w:t>
            </w:r>
          </w:p>
        </w:tc>
        <w:tc>
          <w:tcPr>
            <w:tcW w:w="118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sz w:val="18"/>
                <w:szCs w:val="18"/>
              </w:rPr>
            </w:pPr>
            <w:r>
              <w:rPr>
                <w:sz w:val="18"/>
                <w:szCs w:val="18"/>
              </w:rPr>
              <w:t> </w:t>
            </w:r>
          </w:p>
        </w:tc>
      </w:tr>
      <w:tr w:rsidR="00536AC6" w:rsidTr="005F6BE4">
        <w:tc>
          <w:tcPr>
            <w:tcW w:w="1054" w:type="dxa"/>
            <w:tcBorders>
              <w:top w:val="nil"/>
              <w:left w:val="nil"/>
              <w:bottom w:val="nil"/>
              <w:right w:val="nil"/>
            </w:tcBorders>
            <w:shd w:val="clear" w:color="000000" w:fill="FFFFFF"/>
            <w:noWrap/>
            <w:hideMark/>
          </w:tcPr>
          <w:p w:rsidR="00536AC6" w:rsidRDefault="00536AC6" w:rsidP="00536AC6">
            <w:pPr>
              <w:ind w:left="-283"/>
              <w:jc w:val="right"/>
              <w:rPr>
                <w:b/>
                <w:bCs/>
                <w:sz w:val="18"/>
                <w:szCs w:val="18"/>
              </w:rPr>
            </w:pPr>
            <w:r>
              <w:rPr>
                <w:b/>
                <w:bCs/>
                <w:sz w:val="18"/>
                <w:szCs w:val="18"/>
              </w:rPr>
              <w:t>-2,595,458</w:t>
            </w:r>
          </w:p>
        </w:tc>
        <w:tc>
          <w:tcPr>
            <w:tcW w:w="2315" w:type="dxa"/>
            <w:tcBorders>
              <w:top w:val="nil"/>
              <w:left w:val="nil"/>
              <w:bottom w:val="nil"/>
              <w:right w:val="nil"/>
            </w:tcBorders>
            <w:shd w:val="clear" w:color="000000" w:fill="FFFFFF"/>
            <w:hideMark/>
          </w:tcPr>
          <w:p w:rsidR="00536AC6" w:rsidRDefault="00536AC6" w:rsidP="00536AC6">
            <w:pPr>
              <w:rPr>
                <w:b/>
                <w:bCs/>
                <w:sz w:val="18"/>
                <w:szCs w:val="18"/>
              </w:rPr>
            </w:pPr>
            <w:r>
              <w:rPr>
                <w:b/>
                <w:bCs/>
                <w:sz w:val="18"/>
                <w:szCs w:val="18"/>
              </w:rPr>
              <w:t>Balance at the End of the</w:t>
            </w:r>
            <w:r>
              <w:rPr>
                <w:b/>
                <w:bCs/>
                <w:sz w:val="18"/>
                <w:szCs w:val="18"/>
              </w:rPr>
              <w:br/>
              <w:t xml:space="preserve">   Reporting Period</w:t>
            </w:r>
          </w:p>
        </w:tc>
        <w:tc>
          <w:tcPr>
            <w:tcW w:w="1184" w:type="dxa"/>
            <w:tcBorders>
              <w:top w:val="nil"/>
              <w:left w:val="nil"/>
              <w:bottom w:val="nil"/>
              <w:right w:val="nil"/>
            </w:tcBorders>
            <w:shd w:val="clear" w:color="000000" w:fill="FFFFFF"/>
            <w:noWrap/>
            <w:hideMark/>
          </w:tcPr>
          <w:p w:rsidR="00536AC6" w:rsidRDefault="00536AC6" w:rsidP="00536AC6">
            <w:pPr>
              <w:ind w:left="-283"/>
              <w:jc w:val="right"/>
              <w:rPr>
                <w:b/>
                <w:bCs/>
                <w:sz w:val="18"/>
                <w:szCs w:val="18"/>
              </w:rPr>
            </w:pPr>
            <w:r>
              <w:rPr>
                <w:b/>
                <w:bCs/>
                <w:sz w:val="18"/>
                <w:szCs w:val="18"/>
              </w:rPr>
              <w:t>-2,515,224</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b/>
                <w:bCs/>
                <w:sz w:val="18"/>
                <w:szCs w:val="18"/>
              </w:rPr>
            </w:pPr>
            <w:r>
              <w:rPr>
                <w:b/>
                <w:bCs/>
                <w:sz w:val="18"/>
                <w:szCs w:val="18"/>
              </w:rPr>
              <w:t>-2,601,372</w:t>
            </w:r>
          </w:p>
        </w:tc>
        <w:tc>
          <w:tcPr>
            <w:tcW w:w="624" w:type="dxa"/>
            <w:tcBorders>
              <w:top w:val="nil"/>
              <w:left w:val="nil"/>
              <w:bottom w:val="nil"/>
              <w:right w:val="nil"/>
            </w:tcBorders>
            <w:shd w:val="clear" w:color="000000" w:fill="FFFFFF"/>
            <w:noWrap/>
            <w:hideMark/>
          </w:tcPr>
          <w:p w:rsidR="00536AC6" w:rsidRDefault="00536AC6" w:rsidP="00536AC6">
            <w:pPr>
              <w:ind w:left="-283"/>
              <w:jc w:val="right"/>
              <w:rPr>
                <w:b/>
                <w:bCs/>
                <w:sz w:val="18"/>
                <w:szCs w:val="18"/>
              </w:rPr>
            </w:pPr>
            <w:r>
              <w:rPr>
                <w:b/>
                <w:bCs/>
                <w:sz w:val="18"/>
                <w:szCs w:val="18"/>
              </w:rPr>
              <w:t xml:space="preserve">-3 </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b/>
                <w:bCs/>
                <w:sz w:val="18"/>
                <w:szCs w:val="18"/>
              </w:rPr>
            </w:pPr>
            <w:r>
              <w:rPr>
                <w:b/>
                <w:bCs/>
                <w:sz w:val="18"/>
                <w:szCs w:val="18"/>
              </w:rPr>
              <w:t>-2,667,654</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b/>
                <w:bCs/>
                <w:sz w:val="18"/>
                <w:szCs w:val="18"/>
              </w:rPr>
            </w:pPr>
            <w:r>
              <w:rPr>
                <w:b/>
                <w:bCs/>
                <w:sz w:val="18"/>
                <w:szCs w:val="18"/>
              </w:rPr>
              <w:t>-2,712,245</w:t>
            </w:r>
          </w:p>
        </w:tc>
        <w:tc>
          <w:tcPr>
            <w:tcW w:w="1054" w:type="dxa"/>
            <w:tcBorders>
              <w:top w:val="nil"/>
              <w:left w:val="nil"/>
              <w:bottom w:val="nil"/>
              <w:right w:val="nil"/>
            </w:tcBorders>
            <w:shd w:val="clear" w:color="000000" w:fill="FFFFFF"/>
            <w:noWrap/>
            <w:hideMark/>
          </w:tcPr>
          <w:p w:rsidR="00536AC6" w:rsidRDefault="00536AC6" w:rsidP="00536AC6">
            <w:pPr>
              <w:ind w:left="-283"/>
              <w:jc w:val="right"/>
              <w:rPr>
                <w:b/>
                <w:bCs/>
                <w:sz w:val="18"/>
                <w:szCs w:val="18"/>
              </w:rPr>
            </w:pPr>
            <w:r>
              <w:rPr>
                <w:b/>
                <w:bCs/>
                <w:sz w:val="18"/>
                <w:szCs w:val="18"/>
              </w:rPr>
              <w:t>-2,731,072</w:t>
            </w:r>
          </w:p>
        </w:tc>
      </w:tr>
      <w:tr w:rsidR="00536AC6" w:rsidTr="005F6BE4">
        <w:tc>
          <w:tcPr>
            <w:tcW w:w="1054" w:type="dxa"/>
            <w:tcBorders>
              <w:top w:val="nil"/>
              <w:left w:val="nil"/>
              <w:bottom w:val="single" w:sz="4" w:space="0" w:color="auto"/>
              <w:right w:val="nil"/>
            </w:tcBorders>
            <w:shd w:val="clear" w:color="000000" w:fill="FFFFFF"/>
            <w:noWrap/>
            <w:hideMark/>
          </w:tcPr>
          <w:p w:rsidR="00536AC6" w:rsidRDefault="00536AC6" w:rsidP="00536AC6">
            <w:pPr>
              <w:ind w:left="-283"/>
              <w:jc w:val="right"/>
              <w:rPr>
                <w:b/>
                <w:bCs/>
                <w:sz w:val="18"/>
                <w:szCs w:val="18"/>
              </w:rPr>
            </w:pPr>
            <w:r>
              <w:rPr>
                <w:b/>
                <w:bCs/>
                <w:sz w:val="18"/>
                <w:szCs w:val="18"/>
              </w:rPr>
              <w:t> </w:t>
            </w:r>
          </w:p>
        </w:tc>
        <w:tc>
          <w:tcPr>
            <w:tcW w:w="2315" w:type="dxa"/>
            <w:tcBorders>
              <w:top w:val="nil"/>
              <w:left w:val="nil"/>
              <w:bottom w:val="single" w:sz="4" w:space="0" w:color="auto"/>
              <w:right w:val="nil"/>
            </w:tcBorders>
            <w:shd w:val="clear" w:color="000000" w:fill="FFFFFF"/>
            <w:noWrap/>
            <w:hideMark/>
          </w:tcPr>
          <w:p w:rsidR="00536AC6" w:rsidRDefault="00536AC6" w:rsidP="00536AC6">
            <w:pPr>
              <w:rPr>
                <w:b/>
                <w:bCs/>
                <w:sz w:val="18"/>
                <w:szCs w:val="18"/>
              </w:rPr>
            </w:pPr>
            <w:r>
              <w:rPr>
                <w:b/>
                <w:bCs/>
                <w:sz w:val="18"/>
                <w:szCs w:val="18"/>
              </w:rPr>
              <w:t> </w:t>
            </w:r>
          </w:p>
        </w:tc>
        <w:tc>
          <w:tcPr>
            <w:tcW w:w="1184" w:type="dxa"/>
            <w:tcBorders>
              <w:top w:val="nil"/>
              <w:left w:val="nil"/>
              <w:bottom w:val="single" w:sz="4" w:space="0" w:color="auto"/>
              <w:right w:val="nil"/>
            </w:tcBorders>
            <w:shd w:val="clear" w:color="000000" w:fill="FFFFFF"/>
            <w:noWrap/>
            <w:hideMark/>
          </w:tcPr>
          <w:p w:rsidR="00536AC6" w:rsidRDefault="00536AC6" w:rsidP="00536AC6">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536AC6" w:rsidRDefault="00536AC6" w:rsidP="00536AC6">
            <w:pPr>
              <w:ind w:left="-283"/>
              <w:jc w:val="right"/>
              <w:rPr>
                <w:b/>
                <w:bCs/>
                <w:sz w:val="18"/>
                <w:szCs w:val="18"/>
              </w:rPr>
            </w:pPr>
            <w:r>
              <w:rPr>
                <w:b/>
                <w:bCs/>
                <w:sz w:val="18"/>
                <w:szCs w:val="18"/>
              </w:rPr>
              <w:t> </w:t>
            </w:r>
          </w:p>
        </w:tc>
        <w:tc>
          <w:tcPr>
            <w:tcW w:w="624" w:type="dxa"/>
            <w:tcBorders>
              <w:top w:val="nil"/>
              <w:left w:val="nil"/>
              <w:bottom w:val="single" w:sz="4" w:space="0" w:color="auto"/>
              <w:right w:val="nil"/>
            </w:tcBorders>
            <w:shd w:val="clear" w:color="000000" w:fill="FFFFFF"/>
            <w:noWrap/>
            <w:hideMark/>
          </w:tcPr>
          <w:p w:rsidR="00536AC6" w:rsidRDefault="00536AC6" w:rsidP="00536AC6">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536AC6" w:rsidRDefault="00536AC6" w:rsidP="00536AC6">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536AC6" w:rsidRDefault="00536AC6" w:rsidP="00536AC6">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536AC6" w:rsidRDefault="00536AC6" w:rsidP="00536AC6">
            <w:pPr>
              <w:ind w:left="-283"/>
              <w:jc w:val="right"/>
              <w:rPr>
                <w:b/>
                <w:bCs/>
                <w:sz w:val="18"/>
                <w:szCs w:val="18"/>
              </w:rPr>
            </w:pPr>
            <w:r>
              <w:rPr>
                <w:b/>
                <w:bCs/>
                <w:sz w:val="18"/>
                <w:szCs w:val="18"/>
              </w:rPr>
              <w:t> </w:t>
            </w:r>
          </w:p>
        </w:tc>
      </w:tr>
    </w:tbl>
    <w:p w:rsidR="007D3E6F" w:rsidRDefault="004B1F76" w:rsidP="00E85F3C">
      <w:r>
        <w:br w:type="page"/>
      </w:r>
    </w:p>
    <w:tbl>
      <w:tblPr>
        <w:tblW w:w="9392" w:type="dxa"/>
        <w:tblLook w:val="04A0"/>
      </w:tblPr>
      <w:tblGrid>
        <w:gridCol w:w="1054"/>
        <w:gridCol w:w="2314"/>
        <w:gridCol w:w="1184"/>
        <w:gridCol w:w="1054"/>
        <w:gridCol w:w="624"/>
        <w:gridCol w:w="1054"/>
        <w:gridCol w:w="1054"/>
        <w:gridCol w:w="1054"/>
      </w:tblGrid>
      <w:tr w:rsidR="007D3E6F" w:rsidTr="007D3E6F">
        <w:trPr>
          <w:tblHeader/>
        </w:trPr>
        <w:tc>
          <w:tcPr>
            <w:tcW w:w="9392" w:type="dxa"/>
            <w:gridSpan w:val="8"/>
            <w:tcBorders>
              <w:top w:val="nil"/>
              <w:left w:val="nil"/>
              <w:bottom w:val="nil"/>
              <w:right w:val="nil"/>
            </w:tcBorders>
            <w:shd w:val="clear" w:color="000000" w:fill="FFFFFF"/>
            <w:noWrap/>
            <w:vAlign w:val="bottom"/>
            <w:hideMark/>
          </w:tcPr>
          <w:p w:rsidR="007D3E6F" w:rsidRDefault="007D3E6F" w:rsidP="007D3E6F">
            <w:pPr>
              <w:jc w:val="center"/>
              <w:rPr>
                <w:rFonts w:ascii="Arial" w:hAnsi="Arial" w:cs="Arial"/>
                <w:b/>
                <w:bCs/>
                <w:szCs w:val="24"/>
              </w:rPr>
            </w:pPr>
            <w:r>
              <w:rPr>
                <w:rFonts w:ascii="Arial" w:hAnsi="Arial" w:cs="Arial"/>
                <w:b/>
                <w:bCs/>
              </w:rPr>
              <w:lastRenderedPageBreak/>
              <w:t>Superannuation Provision Account</w:t>
            </w:r>
          </w:p>
        </w:tc>
      </w:tr>
      <w:tr w:rsidR="007D3E6F" w:rsidTr="007D3E6F">
        <w:trPr>
          <w:tblHeader/>
        </w:trPr>
        <w:tc>
          <w:tcPr>
            <w:tcW w:w="9392" w:type="dxa"/>
            <w:gridSpan w:val="8"/>
            <w:tcBorders>
              <w:top w:val="nil"/>
              <w:left w:val="nil"/>
              <w:bottom w:val="nil"/>
              <w:right w:val="nil"/>
            </w:tcBorders>
            <w:shd w:val="clear" w:color="000000" w:fill="FFFFFF"/>
            <w:noWrap/>
            <w:vAlign w:val="bottom"/>
            <w:hideMark/>
          </w:tcPr>
          <w:p w:rsidR="007D3E6F" w:rsidRDefault="007D3E6F" w:rsidP="007D3E6F">
            <w:pPr>
              <w:spacing w:after="60"/>
              <w:jc w:val="center"/>
              <w:rPr>
                <w:rFonts w:ascii="Arial" w:hAnsi="Arial" w:cs="Arial"/>
                <w:b/>
                <w:bCs/>
                <w:szCs w:val="24"/>
              </w:rPr>
            </w:pPr>
            <w:r>
              <w:rPr>
                <w:rFonts w:ascii="Arial" w:hAnsi="Arial" w:cs="Arial"/>
                <w:b/>
                <w:bCs/>
              </w:rPr>
              <w:t>Statement of Cash Flows on Behalf of the Territory</w:t>
            </w:r>
          </w:p>
        </w:tc>
      </w:tr>
      <w:tr w:rsidR="007D3E6F" w:rsidTr="007D3E6F">
        <w:trPr>
          <w:tblHeader/>
        </w:trPr>
        <w:tc>
          <w:tcPr>
            <w:tcW w:w="1054" w:type="dxa"/>
            <w:tcBorders>
              <w:top w:val="single" w:sz="4" w:space="0" w:color="auto"/>
              <w:left w:val="nil"/>
              <w:bottom w:val="nil"/>
              <w:right w:val="nil"/>
            </w:tcBorders>
            <w:shd w:val="clear" w:color="000000" w:fill="FFFFFF"/>
            <w:noWrap/>
            <w:vAlign w:val="bottom"/>
            <w:hideMark/>
          </w:tcPr>
          <w:p w:rsidR="007D3E6F" w:rsidRDefault="007D3E6F" w:rsidP="007D3E6F">
            <w:pPr>
              <w:ind w:left="-283"/>
              <w:jc w:val="right"/>
              <w:rPr>
                <w:b/>
                <w:bCs/>
                <w:sz w:val="18"/>
                <w:szCs w:val="18"/>
              </w:rPr>
            </w:pPr>
            <w:r>
              <w:rPr>
                <w:b/>
                <w:bCs/>
                <w:sz w:val="18"/>
                <w:szCs w:val="18"/>
              </w:rPr>
              <w:t>2012-13</w:t>
            </w:r>
          </w:p>
        </w:tc>
        <w:tc>
          <w:tcPr>
            <w:tcW w:w="2314" w:type="dxa"/>
            <w:tcBorders>
              <w:top w:val="single" w:sz="4" w:space="0" w:color="auto"/>
              <w:left w:val="nil"/>
              <w:bottom w:val="nil"/>
              <w:right w:val="nil"/>
            </w:tcBorders>
            <w:shd w:val="clear" w:color="000000" w:fill="FFFFFF"/>
            <w:noWrap/>
            <w:vAlign w:val="bottom"/>
            <w:hideMark/>
          </w:tcPr>
          <w:p w:rsidR="007D3E6F" w:rsidRDefault="007D3E6F" w:rsidP="007D3E6F">
            <w:pPr>
              <w:rPr>
                <w:b/>
                <w:bCs/>
                <w:sz w:val="18"/>
                <w:szCs w:val="18"/>
              </w:rPr>
            </w:pPr>
            <w:r>
              <w:rPr>
                <w:b/>
                <w:bCs/>
                <w:sz w:val="18"/>
                <w:szCs w:val="18"/>
              </w:rPr>
              <w:t> </w:t>
            </w:r>
          </w:p>
        </w:tc>
        <w:tc>
          <w:tcPr>
            <w:tcW w:w="1184" w:type="dxa"/>
            <w:tcBorders>
              <w:top w:val="single" w:sz="4" w:space="0" w:color="auto"/>
              <w:left w:val="nil"/>
              <w:bottom w:val="nil"/>
              <w:right w:val="nil"/>
            </w:tcBorders>
            <w:shd w:val="clear" w:color="000000" w:fill="FFFFFF"/>
            <w:noWrap/>
            <w:vAlign w:val="bottom"/>
            <w:hideMark/>
          </w:tcPr>
          <w:p w:rsidR="007D3E6F" w:rsidRDefault="007D3E6F" w:rsidP="007D3E6F">
            <w:pPr>
              <w:ind w:left="-283"/>
              <w:jc w:val="right"/>
              <w:rPr>
                <w:b/>
                <w:bCs/>
                <w:sz w:val="18"/>
                <w:szCs w:val="18"/>
              </w:rPr>
            </w:pPr>
            <w:r>
              <w:rPr>
                <w:b/>
                <w:bCs/>
                <w:sz w:val="18"/>
                <w:szCs w:val="18"/>
              </w:rPr>
              <w:t>2012-13</w:t>
            </w:r>
          </w:p>
        </w:tc>
        <w:tc>
          <w:tcPr>
            <w:tcW w:w="1054" w:type="dxa"/>
            <w:tcBorders>
              <w:top w:val="single" w:sz="4" w:space="0" w:color="auto"/>
              <w:left w:val="nil"/>
              <w:bottom w:val="nil"/>
              <w:right w:val="nil"/>
            </w:tcBorders>
            <w:shd w:val="clear" w:color="000000" w:fill="FFFFFF"/>
            <w:noWrap/>
            <w:vAlign w:val="bottom"/>
            <w:hideMark/>
          </w:tcPr>
          <w:p w:rsidR="007D3E6F" w:rsidRDefault="007D3E6F" w:rsidP="007D3E6F">
            <w:pPr>
              <w:ind w:left="-283"/>
              <w:jc w:val="right"/>
              <w:rPr>
                <w:b/>
                <w:bCs/>
                <w:sz w:val="18"/>
                <w:szCs w:val="18"/>
              </w:rPr>
            </w:pPr>
            <w:r>
              <w:rPr>
                <w:b/>
                <w:bCs/>
                <w:sz w:val="18"/>
                <w:szCs w:val="18"/>
              </w:rPr>
              <w:t>2013-14</w:t>
            </w:r>
          </w:p>
        </w:tc>
        <w:tc>
          <w:tcPr>
            <w:tcW w:w="624" w:type="dxa"/>
            <w:tcBorders>
              <w:top w:val="single" w:sz="4" w:space="0" w:color="auto"/>
              <w:left w:val="nil"/>
              <w:bottom w:val="nil"/>
              <w:right w:val="nil"/>
            </w:tcBorders>
            <w:shd w:val="clear" w:color="000000" w:fill="FFFFFF"/>
            <w:noWrap/>
            <w:vAlign w:val="bottom"/>
            <w:hideMark/>
          </w:tcPr>
          <w:p w:rsidR="007D3E6F" w:rsidRDefault="007D3E6F" w:rsidP="007D3E6F">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vAlign w:val="bottom"/>
            <w:hideMark/>
          </w:tcPr>
          <w:p w:rsidR="007D3E6F" w:rsidRDefault="007D3E6F" w:rsidP="007D3E6F">
            <w:pPr>
              <w:ind w:left="-283"/>
              <w:jc w:val="right"/>
              <w:rPr>
                <w:b/>
                <w:bCs/>
                <w:sz w:val="18"/>
                <w:szCs w:val="18"/>
              </w:rPr>
            </w:pPr>
            <w:r>
              <w:rPr>
                <w:b/>
                <w:bCs/>
                <w:sz w:val="18"/>
                <w:szCs w:val="18"/>
              </w:rPr>
              <w:t>2014-15</w:t>
            </w:r>
          </w:p>
        </w:tc>
        <w:tc>
          <w:tcPr>
            <w:tcW w:w="1054" w:type="dxa"/>
            <w:tcBorders>
              <w:top w:val="single" w:sz="4" w:space="0" w:color="auto"/>
              <w:left w:val="nil"/>
              <w:bottom w:val="nil"/>
              <w:right w:val="nil"/>
            </w:tcBorders>
            <w:shd w:val="clear" w:color="000000" w:fill="FFFFFF"/>
            <w:noWrap/>
            <w:vAlign w:val="bottom"/>
            <w:hideMark/>
          </w:tcPr>
          <w:p w:rsidR="007D3E6F" w:rsidRDefault="007D3E6F" w:rsidP="007D3E6F">
            <w:pPr>
              <w:ind w:left="-283"/>
              <w:jc w:val="right"/>
              <w:rPr>
                <w:b/>
                <w:bCs/>
                <w:sz w:val="18"/>
                <w:szCs w:val="18"/>
              </w:rPr>
            </w:pPr>
            <w:r>
              <w:rPr>
                <w:b/>
                <w:bCs/>
                <w:sz w:val="18"/>
                <w:szCs w:val="18"/>
              </w:rPr>
              <w:t>2015-16</w:t>
            </w:r>
          </w:p>
        </w:tc>
        <w:tc>
          <w:tcPr>
            <w:tcW w:w="1054" w:type="dxa"/>
            <w:tcBorders>
              <w:top w:val="single" w:sz="4" w:space="0" w:color="auto"/>
              <w:left w:val="nil"/>
              <w:bottom w:val="nil"/>
              <w:right w:val="nil"/>
            </w:tcBorders>
            <w:shd w:val="clear" w:color="000000" w:fill="FFFFFF"/>
            <w:noWrap/>
            <w:vAlign w:val="bottom"/>
            <w:hideMark/>
          </w:tcPr>
          <w:p w:rsidR="007D3E6F" w:rsidRDefault="007D3E6F" w:rsidP="007D3E6F">
            <w:pPr>
              <w:ind w:left="-283"/>
              <w:jc w:val="right"/>
              <w:rPr>
                <w:b/>
                <w:bCs/>
                <w:sz w:val="18"/>
                <w:szCs w:val="18"/>
              </w:rPr>
            </w:pPr>
            <w:r>
              <w:rPr>
                <w:b/>
                <w:bCs/>
                <w:sz w:val="18"/>
                <w:szCs w:val="18"/>
              </w:rPr>
              <w:t>2016-17</w:t>
            </w:r>
          </w:p>
        </w:tc>
      </w:tr>
      <w:tr w:rsidR="007D3E6F" w:rsidTr="007D3E6F">
        <w:trPr>
          <w:tblHeader/>
        </w:trPr>
        <w:tc>
          <w:tcPr>
            <w:tcW w:w="1054" w:type="dxa"/>
            <w:tcBorders>
              <w:top w:val="nil"/>
              <w:left w:val="nil"/>
              <w:bottom w:val="nil"/>
              <w:right w:val="nil"/>
            </w:tcBorders>
            <w:shd w:val="clear" w:color="000000" w:fill="FFFFFF"/>
            <w:hideMark/>
          </w:tcPr>
          <w:p w:rsidR="007D3E6F" w:rsidRDefault="007D3E6F" w:rsidP="007D3E6F">
            <w:pPr>
              <w:ind w:left="-283"/>
              <w:jc w:val="right"/>
              <w:rPr>
                <w:b/>
                <w:bCs/>
                <w:sz w:val="18"/>
                <w:szCs w:val="18"/>
              </w:rPr>
            </w:pPr>
            <w:r>
              <w:rPr>
                <w:b/>
                <w:bCs/>
                <w:sz w:val="18"/>
                <w:szCs w:val="18"/>
              </w:rPr>
              <w:t>Budget</w:t>
            </w:r>
          </w:p>
        </w:tc>
        <w:tc>
          <w:tcPr>
            <w:tcW w:w="2314" w:type="dxa"/>
            <w:tcBorders>
              <w:top w:val="nil"/>
              <w:left w:val="nil"/>
              <w:bottom w:val="nil"/>
              <w:right w:val="nil"/>
            </w:tcBorders>
            <w:shd w:val="clear" w:color="000000" w:fill="FFFFFF"/>
            <w:noWrap/>
            <w:vAlign w:val="bottom"/>
            <w:hideMark/>
          </w:tcPr>
          <w:p w:rsidR="007D3E6F" w:rsidRDefault="007D3E6F" w:rsidP="007D3E6F">
            <w:pPr>
              <w:rPr>
                <w:b/>
                <w:bCs/>
                <w:sz w:val="18"/>
                <w:szCs w:val="18"/>
              </w:rPr>
            </w:pPr>
            <w:r>
              <w:rPr>
                <w:b/>
                <w:bCs/>
                <w:sz w:val="18"/>
                <w:szCs w:val="18"/>
              </w:rPr>
              <w:t> </w:t>
            </w:r>
          </w:p>
        </w:tc>
        <w:tc>
          <w:tcPr>
            <w:tcW w:w="1184" w:type="dxa"/>
            <w:tcBorders>
              <w:top w:val="nil"/>
              <w:left w:val="nil"/>
              <w:bottom w:val="nil"/>
              <w:right w:val="nil"/>
            </w:tcBorders>
            <w:shd w:val="clear" w:color="000000" w:fill="FFFFFF"/>
            <w:hideMark/>
          </w:tcPr>
          <w:p w:rsidR="007D3E6F" w:rsidRDefault="007D3E6F" w:rsidP="007D3E6F">
            <w:pPr>
              <w:ind w:left="-283"/>
              <w:jc w:val="right"/>
              <w:rPr>
                <w:b/>
                <w:bCs/>
                <w:sz w:val="18"/>
                <w:szCs w:val="18"/>
              </w:rPr>
            </w:pPr>
            <w:r>
              <w:rPr>
                <w:b/>
                <w:bCs/>
                <w:sz w:val="18"/>
                <w:szCs w:val="18"/>
              </w:rPr>
              <w:t>Est. Outcome</w:t>
            </w:r>
          </w:p>
        </w:tc>
        <w:tc>
          <w:tcPr>
            <w:tcW w:w="1054" w:type="dxa"/>
            <w:tcBorders>
              <w:top w:val="nil"/>
              <w:left w:val="nil"/>
              <w:bottom w:val="nil"/>
              <w:right w:val="nil"/>
            </w:tcBorders>
            <w:shd w:val="clear" w:color="000000" w:fill="FFFFFF"/>
            <w:hideMark/>
          </w:tcPr>
          <w:p w:rsidR="007D3E6F" w:rsidRDefault="007D3E6F" w:rsidP="007D3E6F">
            <w:pPr>
              <w:ind w:left="-283"/>
              <w:jc w:val="right"/>
              <w:rPr>
                <w:b/>
                <w:bCs/>
                <w:sz w:val="18"/>
                <w:szCs w:val="18"/>
              </w:rPr>
            </w:pPr>
            <w:r>
              <w:rPr>
                <w:b/>
                <w:bCs/>
                <w:sz w:val="18"/>
                <w:szCs w:val="18"/>
              </w:rPr>
              <w:t>Budget</w:t>
            </w:r>
          </w:p>
        </w:tc>
        <w:tc>
          <w:tcPr>
            <w:tcW w:w="624" w:type="dxa"/>
            <w:tcBorders>
              <w:top w:val="nil"/>
              <w:left w:val="nil"/>
              <w:bottom w:val="nil"/>
              <w:right w:val="nil"/>
            </w:tcBorders>
            <w:shd w:val="clear" w:color="000000" w:fill="FFFFFF"/>
            <w:hideMark/>
          </w:tcPr>
          <w:p w:rsidR="007D3E6F" w:rsidRDefault="007D3E6F" w:rsidP="007D3E6F">
            <w:pPr>
              <w:ind w:left="-283"/>
              <w:jc w:val="right"/>
              <w:rPr>
                <w:b/>
                <w:bCs/>
                <w:sz w:val="18"/>
                <w:szCs w:val="18"/>
              </w:rPr>
            </w:pPr>
            <w:proofErr w:type="spellStart"/>
            <w:r>
              <w:rPr>
                <w:b/>
                <w:bCs/>
                <w:sz w:val="18"/>
                <w:szCs w:val="18"/>
              </w:rPr>
              <w:t>Var</w:t>
            </w:r>
            <w:proofErr w:type="spellEnd"/>
          </w:p>
        </w:tc>
        <w:tc>
          <w:tcPr>
            <w:tcW w:w="1054" w:type="dxa"/>
            <w:tcBorders>
              <w:top w:val="nil"/>
              <w:left w:val="nil"/>
              <w:bottom w:val="nil"/>
              <w:right w:val="nil"/>
            </w:tcBorders>
            <w:shd w:val="clear" w:color="000000" w:fill="FFFFFF"/>
            <w:noWrap/>
            <w:hideMark/>
          </w:tcPr>
          <w:p w:rsidR="007D3E6F" w:rsidRDefault="007D3E6F" w:rsidP="007D3E6F">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noWrap/>
            <w:hideMark/>
          </w:tcPr>
          <w:p w:rsidR="007D3E6F" w:rsidRDefault="007D3E6F" w:rsidP="007D3E6F">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noWrap/>
            <w:hideMark/>
          </w:tcPr>
          <w:p w:rsidR="007D3E6F" w:rsidRDefault="007D3E6F" w:rsidP="007D3E6F">
            <w:pPr>
              <w:ind w:left="-283"/>
              <w:jc w:val="right"/>
              <w:rPr>
                <w:b/>
                <w:bCs/>
                <w:sz w:val="18"/>
                <w:szCs w:val="18"/>
              </w:rPr>
            </w:pPr>
            <w:r>
              <w:rPr>
                <w:b/>
                <w:bCs/>
                <w:sz w:val="18"/>
                <w:szCs w:val="18"/>
              </w:rPr>
              <w:t>Estimate</w:t>
            </w:r>
          </w:p>
        </w:tc>
      </w:tr>
      <w:tr w:rsidR="007D3E6F" w:rsidTr="007D3E6F">
        <w:trPr>
          <w:tblHeader/>
        </w:trPr>
        <w:tc>
          <w:tcPr>
            <w:tcW w:w="1054" w:type="dxa"/>
            <w:tcBorders>
              <w:top w:val="nil"/>
              <w:left w:val="nil"/>
              <w:bottom w:val="single" w:sz="4" w:space="0" w:color="auto"/>
              <w:right w:val="nil"/>
            </w:tcBorders>
            <w:shd w:val="clear" w:color="000000" w:fill="FFFFFF"/>
            <w:noWrap/>
            <w:vAlign w:val="bottom"/>
            <w:hideMark/>
          </w:tcPr>
          <w:p w:rsidR="007D3E6F" w:rsidRDefault="007D3E6F" w:rsidP="007D3E6F">
            <w:pPr>
              <w:ind w:left="-283"/>
              <w:jc w:val="right"/>
              <w:rPr>
                <w:b/>
                <w:bCs/>
                <w:sz w:val="18"/>
                <w:szCs w:val="18"/>
              </w:rPr>
            </w:pPr>
            <w:r>
              <w:rPr>
                <w:b/>
                <w:bCs/>
                <w:sz w:val="18"/>
                <w:szCs w:val="18"/>
              </w:rPr>
              <w:t>$'000</w:t>
            </w:r>
          </w:p>
        </w:tc>
        <w:tc>
          <w:tcPr>
            <w:tcW w:w="2314" w:type="dxa"/>
            <w:tcBorders>
              <w:top w:val="nil"/>
              <w:left w:val="nil"/>
              <w:bottom w:val="single" w:sz="4" w:space="0" w:color="auto"/>
              <w:right w:val="nil"/>
            </w:tcBorders>
            <w:shd w:val="clear" w:color="000000" w:fill="FFFFFF"/>
            <w:noWrap/>
            <w:vAlign w:val="bottom"/>
            <w:hideMark/>
          </w:tcPr>
          <w:p w:rsidR="007D3E6F" w:rsidRDefault="007D3E6F" w:rsidP="007D3E6F">
            <w:pPr>
              <w:rPr>
                <w:sz w:val="18"/>
                <w:szCs w:val="18"/>
              </w:rPr>
            </w:pPr>
            <w:r>
              <w:rPr>
                <w:sz w:val="18"/>
                <w:szCs w:val="18"/>
              </w:rPr>
              <w:t> </w:t>
            </w:r>
          </w:p>
        </w:tc>
        <w:tc>
          <w:tcPr>
            <w:tcW w:w="1184" w:type="dxa"/>
            <w:tcBorders>
              <w:top w:val="nil"/>
              <w:left w:val="nil"/>
              <w:bottom w:val="single" w:sz="4" w:space="0" w:color="auto"/>
              <w:right w:val="nil"/>
            </w:tcBorders>
            <w:shd w:val="clear" w:color="000000" w:fill="FFFFFF"/>
            <w:noWrap/>
            <w:vAlign w:val="bottom"/>
            <w:hideMark/>
          </w:tcPr>
          <w:p w:rsidR="007D3E6F" w:rsidRDefault="007D3E6F" w:rsidP="007D3E6F">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vAlign w:val="bottom"/>
            <w:hideMark/>
          </w:tcPr>
          <w:p w:rsidR="007D3E6F" w:rsidRDefault="007D3E6F" w:rsidP="007D3E6F">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vAlign w:val="bottom"/>
            <w:hideMark/>
          </w:tcPr>
          <w:p w:rsidR="007D3E6F" w:rsidRDefault="007D3E6F" w:rsidP="007D3E6F">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vAlign w:val="bottom"/>
            <w:hideMark/>
          </w:tcPr>
          <w:p w:rsidR="007D3E6F" w:rsidRDefault="007D3E6F" w:rsidP="007D3E6F">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vAlign w:val="bottom"/>
            <w:hideMark/>
          </w:tcPr>
          <w:p w:rsidR="007D3E6F" w:rsidRDefault="007D3E6F" w:rsidP="007D3E6F">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vAlign w:val="bottom"/>
            <w:hideMark/>
          </w:tcPr>
          <w:p w:rsidR="007D3E6F" w:rsidRDefault="007D3E6F" w:rsidP="007D3E6F">
            <w:pPr>
              <w:ind w:left="-283"/>
              <w:jc w:val="right"/>
              <w:rPr>
                <w:b/>
                <w:bCs/>
                <w:sz w:val="18"/>
                <w:szCs w:val="18"/>
              </w:rPr>
            </w:pPr>
            <w:r>
              <w:rPr>
                <w:b/>
                <w:bCs/>
                <w:sz w:val="18"/>
                <w:szCs w:val="18"/>
              </w:rPr>
              <w:t>$'000</w:t>
            </w:r>
          </w:p>
        </w:tc>
      </w:tr>
      <w:tr w:rsidR="007D3E6F" w:rsidRPr="00F70B65" w:rsidTr="007D3E6F">
        <w:trPr>
          <w:tblHeader/>
        </w:trPr>
        <w:tc>
          <w:tcPr>
            <w:tcW w:w="1054" w:type="dxa"/>
            <w:tcBorders>
              <w:top w:val="nil"/>
              <w:left w:val="nil"/>
              <w:bottom w:val="nil"/>
              <w:right w:val="nil"/>
            </w:tcBorders>
            <w:shd w:val="clear" w:color="000000" w:fill="FFFFFF"/>
            <w:noWrap/>
            <w:vAlign w:val="bottom"/>
            <w:hideMark/>
          </w:tcPr>
          <w:p w:rsidR="007D3E6F" w:rsidRPr="00F70B65" w:rsidRDefault="007D3E6F" w:rsidP="007D3E6F">
            <w:pPr>
              <w:ind w:left="-283"/>
              <w:rPr>
                <w:b/>
                <w:bCs/>
                <w:sz w:val="10"/>
                <w:szCs w:val="10"/>
              </w:rPr>
            </w:pPr>
            <w:r w:rsidRPr="00F70B65">
              <w:rPr>
                <w:b/>
                <w:bCs/>
                <w:sz w:val="10"/>
                <w:szCs w:val="10"/>
              </w:rPr>
              <w:t> </w:t>
            </w:r>
          </w:p>
        </w:tc>
        <w:tc>
          <w:tcPr>
            <w:tcW w:w="2314" w:type="dxa"/>
            <w:tcBorders>
              <w:top w:val="nil"/>
              <w:left w:val="nil"/>
              <w:bottom w:val="nil"/>
              <w:right w:val="nil"/>
            </w:tcBorders>
            <w:shd w:val="clear" w:color="000000" w:fill="FFFFFF"/>
            <w:noWrap/>
            <w:vAlign w:val="bottom"/>
            <w:hideMark/>
          </w:tcPr>
          <w:p w:rsidR="007D3E6F" w:rsidRPr="00F70B65" w:rsidRDefault="007D3E6F" w:rsidP="007D3E6F">
            <w:pPr>
              <w:rPr>
                <w:sz w:val="10"/>
                <w:szCs w:val="10"/>
              </w:rPr>
            </w:pPr>
            <w:r w:rsidRPr="00F70B65">
              <w:rPr>
                <w:sz w:val="10"/>
                <w:szCs w:val="10"/>
              </w:rPr>
              <w:t> </w:t>
            </w:r>
          </w:p>
        </w:tc>
        <w:tc>
          <w:tcPr>
            <w:tcW w:w="1184" w:type="dxa"/>
            <w:tcBorders>
              <w:top w:val="nil"/>
              <w:left w:val="nil"/>
              <w:bottom w:val="nil"/>
              <w:right w:val="nil"/>
            </w:tcBorders>
            <w:shd w:val="clear" w:color="000000" w:fill="FFFFFF"/>
            <w:noWrap/>
            <w:vAlign w:val="bottom"/>
            <w:hideMark/>
          </w:tcPr>
          <w:p w:rsidR="007D3E6F" w:rsidRPr="00F70B65" w:rsidRDefault="007D3E6F" w:rsidP="007D3E6F">
            <w:pPr>
              <w:ind w:left="-283"/>
              <w:rPr>
                <w:sz w:val="10"/>
                <w:szCs w:val="10"/>
              </w:rPr>
            </w:pPr>
            <w:r w:rsidRPr="00F70B65">
              <w:rPr>
                <w:sz w:val="10"/>
                <w:szCs w:val="10"/>
              </w:rPr>
              <w:t> </w:t>
            </w:r>
          </w:p>
        </w:tc>
        <w:tc>
          <w:tcPr>
            <w:tcW w:w="1054" w:type="dxa"/>
            <w:tcBorders>
              <w:top w:val="nil"/>
              <w:left w:val="nil"/>
              <w:bottom w:val="nil"/>
              <w:right w:val="nil"/>
            </w:tcBorders>
            <w:shd w:val="clear" w:color="000000" w:fill="FFFFFF"/>
            <w:noWrap/>
            <w:vAlign w:val="bottom"/>
            <w:hideMark/>
          </w:tcPr>
          <w:p w:rsidR="007D3E6F" w:rsidRPr="00F70B65" w:rsidRDefault="007D3E6F" w:rsidP="007D3E6F">
            <w:pPr>
              <w:ind w:left="-283"/>
              <w:rPr>
                <w:b/>
                <w:bCs/>
                <w:sz w:val="10"/>
                <w:szCs w:val="10"/>
              </w:rPr>
            </w:pPr>
            <w:r w:rsidRPr="00F70B65">
              <w:rPr>
                <w:b/>
                <w:bCs/>
                <w:sz w:val="10"/>
                <w:szCs w:val="10"/>
              </w:rPr>
              <w:t> </w:t>
            </w:r>
          </w:p>
        </w:tc>
        <w:tc>
          <w:tcPr>
            <w:tcW w:w="624" w:type="dxa"/>
            <w:tcBorders>
              <w:top w:val="nil"/>
              <w:left w:val="nil"/>
              <w:bottom w:val="nil"/>
              <w:right w:val="nil"/>
            </w:tcBorders>
            <w:shd w:val="clear" w:color="000000" w:fill="FFFFFF"/>
            <w:noWrap/>
            <w:vAlign w:val="bottom"/>
            <w:hideMark/>
          </w:tcPr>
          <w:p w:rsidR="007D3E6F" w:rsidRPr="00F70B65" w:rsidRDefault="007D3E6F" w:rsidP="007D3E6F">
            <w:pPr>
              <w:ind w:left="-283"/>
              <w:rPr>
                <w:b/>
                <w:bCs/>
                <w:sz w:val="10"/>
                <w:szCs w:val="10"/>
              </w:rPr>
            </w:pPr>
            <w:r w:rsidRPr="00F70B65">
              <w:rPr>
                <w:b/>
                <w:bCs/>
                <w:sz w:val="10"/>
                <w:szCs w:val="10"/>
              </w:rPr>
              <w:t> </w:t>
            </w:r>
          </w:p>
        </w:tc>
        <w:tc>
          <w:tcPr>
            <w:tcW w:w="1054" w:type="dxa"/>
            <w:tcBorders>
              <w:top w:val="nil"/>
              <w:left w:val="nil"/>
              <w:bottom w:val="nil"/>
              <w:right w:val="nil"/>
            </w:tcBorders>
            <w:shd w:val="clear" w:color="000000" w:fill="FFFFFF"/>
            <w:noWrap/>
            <w:vAlign w:val="bottom"/>
            <w:hideMark/>
          </w:tcPr>
          <w:p w:rsidR="007D3E6F" w:rsidRPr="00F70B65" w:rsidRDefault="007D3E6F" w:rsidP="007D3E6F">
            <w:pPr>
              <w:ind w:left="-283"/>
              <w:rPr>
                <w:b/>
                <w:bCs/>
                <w:sz w:val="10"/>
                <w:szCs w:val="10"/>
              </w:rPr>
            </w:pPr>
            <w:r w:rsidRPr="00F70B65">
              <w:rPr>
                <w:b/>
                <w:bCs/>
                <w:sz w:val="10"/>
                <w:szCs w:val="10"/>
              </w:rPr>
              <w:t> </w:t>
            </w:r>
          </w:p>
        </w:tc>
        <w:tc>
          <w:tcPr>
            <w:tcW w:w="1054" w:type="dxa"/>
            <w:tcBorders>
              <w:top w:val="nil"/>
              <w:left w:val="nil"/>
              <w:bottom w:val="nil"/>
              <w:right w:val="nil"/>
            </w:tcBorders>
            <w:shd w:val="clear" w:color="000000" w:fill="FFFFFF"/>
            <w:noWrap/>
            <w:vAlign w:val="bottom"/>
            <w:hideMark/>
          </w:tcPr>
          <w:p w:rsidR="007D3E6F" w:rsidRPr="00F70B65" w:rsidRDefault="007D3E6F" w:rsidP="007D3E6F">
            <w:pPr>
              <w:ind w:left="-283"/>
              <w:rPr>
                <w:b/>
                <w:bCs/>
                <w:sz w:val="10"/>
                <w:szCs w:val="10"/>
              </w:rPr>
            </w:pPr>
            <w:r w:rsidRPr="00F70B65">
              <w:rPr>
                <w:b/>
                <w:bCs/>
                <w:sz w:val="10"/>
                <w:szCs w:val="10"/>
              </w:rPr>
              <w:t> </w:t>
            </w:r>
          </w:p>
        </w:tc>
        <w:tc>
          <w:tcPr>
            <w:tcW w:w="1054" w:type="dxa"/>
            <w:tcBorders>
              <w:top w:val="nil"/>
              <w:left w:val="nil"/>
              <w:bottom w:val="nil"/>
              <w:right w:val="nil"/>
            </w:tcBorders>
            <w:shd w:val="clear" w:color="000000" w:fill="FFFFFF"/>
            <w:noWrap/>
            <w:vAlign w:val="bottom"/>
            <w:hideMark/>
          </w:tcPr>
          <w:p w:rsidR="007D3E6F" w:rsidRPr="00F70B65" w:rsidRDefault="007D3E6F" w:rsidP="007D3E6F">
            <w:pPr>
              <w:ind w:left="-283"/>
              <w:rPr>
                <w:b/>
                <w:bCs/>
                <w:sz w:val="10"/>
                <w:szCs w:val="10"/>
              </w:rPr>
            </w:pPr>
            <w:r w:rsidRPr="00F70B65">
              <w:rPr>
                <w:b/>
                <w:bCs/>
                <w:sz w:val="10"/>
                <w:szCs w:val="10"/>
              </w:rPr>
              <w:t> </w:t>
            </w:r>
          </w:p>
        </w:tc>
      </w:tr>
      <w:tr w:rsidR="007D3E6F" w:rsidTr="007D3E6F">
        <w:tc>
          <w:tcPr>
            <w:tcW w:w="1054" w:type="dxa"/>
            <w:tcBorders>
              <w:top w:val="nil"/>
              <w:left w:val="nil"/>
              <w:bottom w:val="nil"/>
              <w:right w:val="nil"/>
            </w:tcBorders>
            <w:shd w:val="clear" w:color="000000" w:fill="FFFFFF"/>
            <w:noWrap/>
            <w:vAlign w:val="bottom"/>
            <w:hideMark/>
          </w:tcPr>
          <w:p w:rsidR="007D3E6F" w:rsidRDefault="007D3E6F" w:rsidP="007D3E6F">
            <w:pPr>
              <w:ind w:left="-283"/>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7D3E6F" w:rsidRDefault="007D3E6F" w:rsidP="007D3E6F">
            <w:pPr>
              <w:rPr>
                <w:sz w:val="18"/>
                <w:szCs w:val="18"/>
              </w:rPr>
            </w:pPr>
            <w:r>
              <w:rPr>
                <w:b/>
                <w:bCs/>
                <w:sz w:val="18"/>
                <w:szCs w:val="18"/>
              </w:rPr>
              <w:t>CASH FLOWS FROM OPERATING ACTIVITIES</w:t>
            </w:r>
            <w:r>
              <w:rPr>
                <w:sz w:val="18"/>
                <w:szCs w:val="18"/>
              </w:rPr>
              <w:t xml:space="preserve"> </w:t>
            </w:r>
          </w:p>
        </w:tc>
        <w:tc>
          <w:tcPr>
            <w:tcW w:w="1054" w:type="dxa"/>
            <w:tcBorders>
              <w:top w:val="nil"/>
              <w:left w:val="nil"/>
              <w:bottom w:val="nil"/>
              <w:right w:val="nil"/>
            </w:tcBorders>
            <w:shd w:val="clear" w:color="000000" w:fill="FFFFFF"/>
            <w:noWrap/>
            <w:vAlign w:val="bottom"/>
            <w:hideMark/>
          </w:tcPr>
          <w:p w:rsidR="007D3E6F" w:rsidRDefault="007D3E6F" w:rsidP="007D3E6F">
            <w:pPr>
              <w:ind w:left="-283"/>
              <w:rPr>
                <w:sz w:val="18"/>
                <w:szCs w:val="18"/>
              </w:rPr>
            </w:pPr>
            <w:r>
              <w:rPr>
                <w:sz w:val="18"/>
                <w:szCs w:val="18"/>
              </w:rPr>
              <w:t> </w:t>
            </w:r>
          </w:p>
        </w:tc>
        <w:tc>
          <w:tcPr>
            <w:tcW w:w="624" w:type="dxa"/>
            <w:tcBorders>
              <w:top w:val="nil"/>
              <w:left w:val="nil"/>
              <w:bottom w:val="nil"/>
              <w:right w:val="nil"/>
            </w:tcBorders>
            <w:shd w:val="clear" w:color="000000" w:fill="FFFFFF"/>
            <w:noWrap/>
            <w:vAlign w:val="bottom"/>
            <w:hideMark/>
          </w:tcPr>
          <w:p w:rsidR="007D3E6F" w:rsidRDefault="007D3E6F" w:rsidP="007D3E6F">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7D3E6F" w:rsidRDefault="007D3E6F" w:rsidP="007D3E6F">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7D3E6F" w:rsidRDefault="007D3E6F" w:rsidP="007D3E6F">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7D3E6F" w:rsidRDefault="007D3E6F" w:rsidP="007D3E6F">
            <w:pPr>
              <w:ind w:left="-283"/>
              <w:rPr>
                <w:sz w:val="18"/>
                <w:szCs w:val="18"/>
              </w:rPr>
            </w:pPr>
            <w:r>
              <w:rPr>
                <w:sz w:val="18"/>
                <w:szCs w:val="18"/>
              </w:rPr>
              <w:t> </w:t>
            </w:r>
          </w:p>
        </w:tc>
      </w:tr>
      <w:tr w:rsidR="007D3E6F" w:rsidRPr="00F70B65" w:rsidTr="007D3E6F">
        <w:tc>
          <w:tcPr>
            <w:tcW w:w="1054" w:type="dxa"/>
            <w:tcBorders>
              <w:top w:val="nil"/>
              <w:left w:val="nil"/>
              <w:bottom w:val="nil"/>
              <w:right w:val="nil"/>
            </w:tcBorders>
            <w:shd w:val="clear" w:color="000000" w:fill="FFFFFF"/>
            <w:noWrap/>
            <w:vAlign w:val="bottom"/>
            <w:hideMark/>
          </w:tcPr>
          <w:p w:rsidR="007D3E6F" w:rsidRPr="00F70B65" w:rsidRDefault="007D3E6F" w:rsidP="007D3E6F">
            <w:pPr>
              <w:ind w:left="-283"/>
              <w:rPr>
                <w:sz w:val="10"/>
                <w:szCs w:val="10"/>
              </w:rPr>
            </w:pPr>
            <w:r w:rsidRPr="00F70B65">
              <w:rPr>
                <w:sz w:val="10"/>
                <w:szCs w:val="10"/>
              </w:rPr>
              <w:t> </w:t>
            </w:r>
          </w:p>
        </w:tc>
        <w:tc>
          <w:tcPr>
            <w:tcW w:w="2314" w:type="dxa"/>
            <w:tcBorders>
              <w:top w:val="nil"/>
              <w:left w:val="nil"/>
              <w:bottom w:val="nil"/>
              <w:right w:val="nil"/>
            </w:tcBorders>
            <w:shd w:val="clear" w:color="000000" w:fill="FFFFFF"/>
            <w:noWrap/>
            <w:hideMark/>
          </w:tcPr>
          <w:p w:rsidR="007D3E6F" w:rsidRPr="00F70B65" w:rsidRDefault="007D3E6F" w:rsidP="007D3E6F">
            <w:pPr>
              <w:rPr>
                <w:b/>
                <w:bCs/>
                <w:sz w:val="10"/>
                <w:szCs w:val="10"/>
              </w:rPr>
            </w:pPr>
            <w:r w:rsidRPr="00F70B65">
              <w:rPr>
                <w:b/>
                <w:bCs/>
                <w:sz w:val="10"/>
                <w:szCs w:val="10"/>
              </w:rPr>
              <w:t> </w:t>
            </w:r>
          </w:p>
        </w:tc>
        <w:tc>
          <w:tcPr>
            <w:tcW w:w="1184" w:type="dxa"/>
            <w:tcBorders>
              <w:top w:val="nil"/>
              <w:left w:val="nil"/>
              <w:bottom w:val="nil"/>
              <w:right w:val="nil"/>
            </w:tcBorders>
            <w:shd w:val="clear" w:color="000000" w:fill="FFFFFF"/>
            <w:noWrap/>
            <w:hideMark/>
          </w:tcPr>
          <w:p w:rsidR="007D3E6F" w:rsidRPr="00F70B65" w:rsidRDefault="007D3E6F" w:rsidP="007D3E6F">
            <w:pPr>
              <w:ind w:left="-283"/>
              <w:rPr>
                <w:sz w:val="10"/>
                <w:szCs w:val="10"/>
              </w:rPr>
            </w:pPr>
            <w:r w:rsidRPr="00F70B65">
              <w:rPr>
                <w:sz w:val="10"/>
                <w:szCs w:val="10"/>
              </w:rPr>
              <w:t> </w:t>
            </w:r>
          </w:p>
        </w:tc>
        <w:tc>
          <w:tcPr>
            <w:tcW w:w="1054" w:type="dxa"/>
            <w:tcBorders>
              <w:top w:val="nil"/>
              <w:left w:val="nil"/>
              <w:bottom w:val="nil"/>
              <w:right w:val="nil"/>
            </w:tcBorders>
            <w:shd w:val="clear" w:color="000000" w:fill="FFFFFF"/>
            <w:noWrap/>
            <w:vAlign w:val="bottom"/>
            <w:hideMark/>
          </w:tcPr>
          <w:p w:rsidR="007D3E6F" w:rsidRPr="00F70B65" w:rsidRDefault="007D3E6F" w:rsidP="007D3E6F">
            <w:pPr>
              <w:ind w:left="-283"/>
              <w:rPr>
                <w:sz w:val="10"/>
                <w:szCs w:val="10"/>
              </w:rPr>
            </w:pPr>
            <w:r w:rsidRPr="00F70B65">
              <w:rPr>
                <w:sz w:val="10"/>
                <w:szCs w:val="10"/>
              </w:rPr>
              <w:t> </w:t>
            </w:r>
          </w:p>
        </w:tc>
        <w:tc>
          <w:tcPr>
            <w:tcW w:w="624" w:type="dxa"/>
            <w:tcBorders>
              <w:top w:val="nil"/>
              <w:left w:val="nil"/>
              <w:bottom w:val="nil"/>
              <w:right w:val="nil"/>
            </w:tcBorders>
            <w:shd w:val="clear" w:color="000000" w:fill="FFFFFF"/>
            <w:noWrap/>
            <w:vAlign w:val="bottom"/>
            <w:hideMark/>
          </w:tcPr>
          <w:p w:rsidR="007D3E6F" w:rsidRPr="00F70B65" w:rsidRDefault="007D3E6F" w:rsidP="007D3E6F">
            <w:pPr>
              <w:ind w:left="-283"/>
              <w:rPr>
                <w:sz w:val="10"/>
                <w:szCs w:val="10"/>
              </w:rPr>
            </w:pPr>
            <w:r w:rsidRPr="00F70B65">
              <w:rPr>
                <w:sz w:val="10"/>
                <w:szCs w:val="10"/>
              </w:rPr>
              <w:t> </w:t>
            </w:r>
          </w:p>
        </w:tc>
        <w:tc>
          <w:tcPr>
            <w:tcW w:w="1054" w:type="dxa"/>
            <w:tcBorders>
              <w:top w:val="nil"/>
              <w:left w:val="nil"/>
              <w:bottom w:val="nil"/>
              <w:right w:val="nil"/>
            </w:tcBorders>
            <w:shd w:val="clear" w:color="000000" w:fill="FFFFFF"/>
            <w:noWrap/>
            <w:vAlign w:val="bottom"/>
            <w:hideMark/>
          </w:tcPr>
          <w:p w:rsidR="007D3E6F" w:rsidRPr="00F70B65" w:rsidRDefault="007D3E6F" w:rsidP="007D3E6F">
            <w:pPr>
              <w:ind w:left="-283"/>
              <w:rPr>
                <w:sz w:val="10"/>
                <w:szCs w:val="10"/>
              </w:rPr>
            </w:pPr>
            <w:r w:rsidRPr="00F70B65">
              <w:rPr>
                <w:sz w:val="10"/>
                <w:szCs w:val="10"/>
              </w:rPr>
              <w:t> </w:t>
            </w:r>
          </w:p>
        </w:tc>
        <w:tc>
          <w:tcPr>
            <w:tcW w:w="1054" w:type="dxa"/>
            <w:tcBorders>
              <w:top w:val="nil"/>
              <w:left w:val="nil"/>
              <w:bottom w:val="nil"/>
              <w:right w:val="nil"/>
            </w:tcBorders>
            <w:shd w:val="clear" w:color="000000" w:fill="FFFFFF"/>
            <w:noWrap/>
            <w:vAlign w:val="bottom"/>
            <w:hideMark/>
          </w:tcPr>
          <w:p w:rsidR="007D3E6F" w:rsidRPr="00F70B65" w:rsidRDefault="007D3E6F" w:rsidP="007D3E6F">
            <w:pPr>
              <w:ind w:left="-283"/>
              <w:rPr>
                <w:sz w:val="10"/>
                <w:szCs w:val="10"/>
              </w:rPr>
            </w:pPr>
            <w:r w:rsidRPr="00F70B65">
              <w:rPr>
                <w:sz w:val="10"/>
                <w:szCs w:val="10"/>
              </w:rPr>
              <w:t> </w:t>
            </w:r>
          </w:p>
        </w:tc>
        <w:tc>
          <w:tcPr>
            <w:tcW w:w="1054" w:type="dxa"/>
            <w:tcBorders>
              <w:top w:val="nil"/>
              <w:left w:val="nil"/>
              <w:bottom w:val="nil"/>
              <w:right w:val="nil"/>
            </w:tcBorders>
            <w:shd w:val="clear" w:color="000000" w:fill="FFFFFF"/>
            <w:noWrap/>
            <w:vAlign w:val="bottom"/>
            <w:hideMark/>
          </w:tcPr>
          <w:p w:rsidR="007D3E6F" w:rsidRPr="00F70B65" w:rsidRDefault="007D3E6F" w:rsidP="007D3E6F">
            <w:pPr>
              <w:ind w:left="-283"/>
              <w:rPr>
                <w:sz w:val="10"/>
                <w:szCs w:val="10"/>
              </w:rPr>
            </w:pPr>
            <w:r w:rsidRPr="00F70B65">
              <w:rPr>
                <w:sz w:val="10"/>
                <w:szCs w:val="10"/>
              </w:rPr>
              <w:t> </w:t>
            </w:r>
          </w:p>
        </w:tc>
      </w:tr>
      <w:tr w:rsidR="007D3E6F" w:rsidTr="007D3E6F">
        <w:tc>
          <w:tcPr>
            <w:tcW w:w="1054" w:type="dxa"/>
            <w:tcBorders>
              <w:top w:val="nil"/>
              <w:left w:val="nil"/>
              <w:bottom w:val="nil"/>
              <w:right w:val="nil"/>
            </w:tcBorders>
            <w:shd w:val="clear" w:color="000000" w:fill="FFFFFF"/>
            <w:noWrap/>
            <w:vAlign w:val="bottom"/>
            <w:hideMark/>
          </w:tcPr>
          <w:p w:rsidR="007D3E6F" w:rsidRDefault="007D3E6F" w:rsidP="007D3E6F">
            <w:pPr>
              <w:ind w:left="-283"/>
              <w:rPr>
                <w:sz w:val="18"/>
                <w:szCs w:val="18"/>
              </w:rPr>
            </w:pPr>
            <w:r>
              <w:rPr>
                <w:sz w:val="18"/>
                <w:szCs w:val="18"/>
              </w:rPr>
              <w:t> </w:t>
            </w:r>
          </w:p>
        </w:tc>
        <w:tc>
          <w:tcPr>
            <w:tcW w:w="2314" w:type="dxa"/>
            <w:tcBorders>
              <w:top w:val="nil"/>
              <w:left w:val="nil"/>
              <w:bottom w:val="nil"/>
              <w:right w:val="nil"/>
            </w:tcBorders>
            <w:shd w:val="clear" w:color="000000" w:fill="FFFFFF"/>
            <w:noWrap/>
            <w:hideMark/>
          </w:tcPr>
          <w:p w:rsidR="007D3E6F" w:rsidRDefault="007D3E6F" w:rsidP="007D3E6F">
            <w:pPr>
              <w:rPr>
                <w:b/>
                <w:bCs/>
                <w:sz w:val="18"/>
                <w:szCs w:val="18"/>
              </w:rPr>
            </w:pPr>
            <w:r>
              <w:rPr>
                <w:b/>
                <w:bCs/>
                <w:sz w:val="18"/>
                <w:szCs w:val="18"/>
              </w:rPr>
              <w:t>Receipts</w:t>
            </w:r>
          </w:p>
        </w:tc>
        <w:tc>
          <w:tcPr>
            <w:tcW w:w="1184" w:type="dxa"/>
            <w:tcBorders>
              <w:top w:val="nil"/>
              <w:left w:val="nil"/>
              <w:bottom w:val="nil"/>
              <w:right w:val="nil"/>
            </w:tcBorders>
            <w:shd w:val="clear" w:color="000000" w:fill="FFFFFF"/>
            <w:noWrap/>
            <w:hideMark/>
          </w:tcPr>
          <w:p w:rsidR="007D3E6F" w:rsidRDefault="007D3E6F" w:rsidP="007D3E6F">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7D3E6F" w:rsidRDefault="007D3E6F" w:rsidP="007D3E6F">
            <w:pPr>
              <w:ind w:left="-283"/>
              <w:rPr>
                <w:sz w:val="18"/>
                <w:szCs w:val="18"/>
              </w:rPr>
            </w:pPr>
            <w:r>
              <w:rPr>
                <w:sz w:val="18"/>
                <w:szCs w:val="18"/>
              </w:rPr>
              <w:t> </w:t>
            </w:r>
          </w:p>
        </w:tc>
        <w:tc>
          <w:tcPr>
            <w:tcW w:w="624" w:type="dxa"/>
            <w:tcBorders>
              <w:top w:val="nil"/>
              <w:left w:val="nil"/>
              <w:bottom w:val="nil"/>
              <w:right w:val="nil"/>
            </w:tcBorders>
            <w:shd w:val="clear" w:color="000000" w:fill="FFFFFF"/>
            <w:noWrap/>
            <w:vAlign w:val="bottom"/>
            <w:hideMark/>
          </w:tcPr>
          <w:p w:rsidR="007D3E6F" w:rsidRDefault="007D3E6F" w:rsidP="007D3E6F">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7D3E6F" w:rsidRDefault="007D3E6F" w:rsidP="007D3E6F">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7D3E6F" w:rsidRDefault="007D3E6F" w:rsidP="007D3E6F">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7D3E6F" w:rsidRDefault="007D3E6F" w:rsidP="007D3E6F">
            <w:pPr>
              <w:ind w:left="-283"/>
              <w:rPr>
                <w:sz w:val="18"/>
                <w:szCs w:val="18"/>
              </w:rPr>
            </w:pPr>
            <w:r>
              <w:rPr>
                <w:sz w:val="18"/>
                <w:szCs w:val="18"/>
              </w:rPr>
              <w:t> </w:t>
            </w:r>
          </w:p>
        </w:tc>
      </w:tr>
      <w:tr w:rsidR="007D3E6F" w:rsidTr="007D3E6F">
        <w:tc>
          <w:tcPr>
            <w:tcW w:w="1054" w:type="dxa"/>
            <w:tcBorders>
              <w:top w:val="nil"/>
              <w:left w:val="nil"/>
              <w:bottom w:val="nil"/>
              <w:right w:val="nil"/>
            </w:tcBorders>
            <w:shd w:val="clear" w:color="000000" w:fill="FFFFFF"/>
            <w:noWrap/>
            <w:hideMark/>
          </w:tcPr>
          <w:p w:rsidR="007D3E6F" w:rsidRDefault="007D3E6F" w:rsidP="007D3E6F">
            <w:pPr>
              <w:ind w:left="-283"/>
              <w:jc w:val="right"/>
              <w:rPr>
                <w:sz w:val="18"/>
                <w:szCs w:val="18"/>
              </w:rPr>
            </w:pPr>
            <w:r>
              <w:rPr>
                <w:sz w:val="18"/>
                <w:szCs w:val="18"/>
              </w:rPr>
              <w:t>35,589</w:t>
            </w:r>
          </w:p>
        </w:tc>
        <w:tc>
          <w:tcPr>
            <w:tcW w:w="2314" w:type="dxa"/>
            <w:tcBorders>
              <w:top w:val="nil"/>
              <w:left w:val="nil"/>
              <w:bottom w:val="nil"/>
              <w:right w:val="nil"/>
            </w:tcBorders>
            <w:shd w:val="clear" w:color="000000" w:fill="FFFFFF"/>
            <w:noWrap/>
            <w:hideMark/>
          </w:tcPr>
          <w:p w:rsidR="007D3E6F" w:rsidRDefault="007D3E6F" w:rsidP="007D3E6F">
            <w:pPr>
              <w:rPr>
                <w:sz w:val="18"/>
                <w:szCs w:val="18"/>
              </w:rPr>
            </w:pPr>
            <w:r>
              <w:rPr>
                <w:sz w:val="18"/>
                <w:szCs w:val="18"/>
              </w:rPr>
              <w:t>Interest Received</w:t>
            </w:r>
          </w:p>
        </w:tc>
        <w:tc>
          <w:tcPr>
            <w:tcW w:w="1184" w:type="dxa"/>
            <w:tcBorders>
              <w:top w:val="nil"/>
              <w:left w:val="nil"/>
              <w:bottom w:val="nil"/>
              <w:right w:val="nil"/>
            </w:tcBorders>
            <w:shd w:val="clear" w:color="000000" w:fill="FFFFFF"/>
            <w:noWrap/>
            <w:hideMark/>
          </w:tcPr>
          <w:p w:rsidR="007D3E6F" w:rsidRDefault="007D3E6F" w:rsidP="007D3E6F">
            <w:pPr>
              <w:ind w:left="-283"/>
              <w:jc w:val="right"/>
              <w:rPr>
                <w:sz w:val="18"/>
                <w:szCs w:val="18"/>
              </w:rPr>
            </w:pPr>
            <w:r>
              <w:rPr>
                <w:sz w:val="18"/>
                <w:szCs w:val="18"/>
              </w:rPr>
              <w:t>13,701</w:t>
            </w:r>
          </w:p>
        </w:tc>
        <w:tc>
          <w:tcPr>
            <w:tcW w:w="1054" w:type="dxa"/>
            <w:tcBorders>
              <w:top w:val="nil"/>
              <w:left w:val="nil"/>
              <w:bottom w:val="nil"/>
              <w:right w:val="nil"/>
            </w:tcBorders>
            <w:shd w:val="clear" w:color="000000" w:fill="FFFFFF"/>
            <w:noWrap/>
            <w:hideMark/>
          </w:tcPr>
          <w:p w:rsidR="007D3E6F" w:rsidRDefault="007D3E6F" w:rsidP="007D3E6F">
            <w:pPr>
              <w:ind w:left="-283"/>
              <w:jc w:val="right"/>
              <w:rPr>
                <w:sz w:val="18"/>
                <w:szCs w:val="18"/>
              </w:rPr>
            </w:pPr>
            <w:r>
              <w:rPr>
                <w:sz w:val="18"/>
                <w:szCs w:val="18"/>
              </w:rPr>
              <w:t>18,672</w:t>
            </w:r>
          </w:p>
        </w:tc>
        <w:tc>
          <w:tcPr>
            <w:tcW w:w="624" w:type="dxa"/>
            <w:tcBorders>
              <w:top w:val="nil"/>
              <w:left w:val="nil"/>
              <w:bottom w:val="nil"/>
              <w:right w:val="nil"/>
            </w:tcBorders>
            <w:shd w:val="clear" w:color="000000" w:fill="FFFFFF"/>
            <w:noWrap/>
            <w:hideMark/>
          </w:tcPr>
          <w:p w:rsidR="007D3E6F" w:rsidRDefault="007D3E6F" w:rsidP="007D3E6F">
            <w:pPr>
              <w:ind w:left="-283"/>
              <w:jc w:val="right"/>
              <w:rPr>
                <w:sz w:val="18"/>
                <w:szCs w:val="18"/>
              </w:rPr>
            </w:pPr>
            <w:r>
              <w:rPr>
                <w:sz w:val="18"/>
                <w:szCs w:val="18"/>
              </w:rPr>
              <w:t xml:space="preserve">36 </w:t>
            </w:r>
          </w:p>
        </w:tc>
        <w:tc>
          <w:tcPr>
            <w:tcW w:w="1054" w:type="dxa"/>
            <w:tcBorders>
              <w:top w:val="nil"/>
              <w:left w:val="nil"/>
              <w:bottom w:val="nil"/>
              <w:right w:val="nil"/>
            </w:tcBorders>
            <w:shd w:val="clear" w:color="000000" w:fill="FFFFFF"/>
            <w:noWrap/>
            <w:hideMark/>
          </w:tcPr>
          <w:p w:rsidR="007D3E6F" w:rsidRDefault="007D3E6F" w:rsidP="007D3E6F">
            <w:pPr>
              <w:ind w:left="-283"/>
              <w:jc w:val="right"/>
              <w:rPr>
                <w:sz w:val="18"/>
                <w:szCs w:val="18"/>
              </w:rPr>
            </w:pPr>
            <w:r>
              <w:rPr>
                <w:sz w:val="18"/>
                <w:szCs w:val="18"/>
              </w:rPr>
              <w:t>21,560</w:t>
            </w:r>
          </w:p>
        </w:tc>
        <w:tc>
          <w:tcPr>
            <w:tcW w:w="1054" w:type="dxa"/>
            <w:tcBorders>
              <w:top w:val="nil"/>
              <w:left w:val="nil"/>
              <w:bottom w:val="nil"/>
              <w:right w:val="nil"/>
            </w:tcBorders>
            <w:shd w:val="clear" w:color="000000" w:fill="FFFFFF"/>
            <w:noWrap/>
            <w:hideMark/>
          </w:tcPr>
          <w:p w:rsidR="007D3E6F" w:rsidRDefault="007D3E6F" w:rsidP="007D3E6F">
            <w:pPr>
              <w:ind w:left="-283"/>
              <w:jc w:val="right"/>
              <w:rPr>
                <w:sz w:val="18"/>
                <w:szCs w:val="18"/>
              </w:rPr>
            </w:pPr>
            <w:r>
              <w:rPr>
                <w:sz w:val="18"/>
                <w:szCs w:val="18"/>
              </w:rPr>
              <w:t>23,133</w:t>
            </w:r>
          </w:p>
        </w:tc>
        <w:tc>
          <w:tcPr>
            <w:tcW w:w="1054" w:type="dxa"/>
            <w:tcBorders>
              <w:top w:val="nil"/>
              <w:left w:val="nil"/>
              <w:bottom w:val="nil"/>
              <w:right w:val="nil"/>
            </w:tcBorders>
            <w:shd w:val="clear" w:color="000000" w:fill="FFFFFF"/>
            <w:noWrap/>
            <w:hideMark/>
          </w:tcPr>
          <w:p w:rsidR="007D3E6F" w:rsidRDefault="007D3E6F" w:rsidP="007D3E6F">
            <w:pPr>
              <w:ind w:left="-283"/>
              <w:jc w:val="right"/>
              <w:rPr>
                <w:sz w:val="18"/>
                <w:szCs w:val="18"/>
              </w:rPr>
            </w:pPr>
            <w:r>
              <w:rPr>
                <w:sz w:val="18"/>
                <w:szCs w:val="18"/>
              </w:rPr>
              <w:t>24,826</w:t>
            </w:r>
          </w:p>
        </w:tc>
      </w:tr>
      <w:tr w:rsidR="007D3E6F" w:rsidTr="007D3E6F">
        <w:tc>
          <w:tcPr>
            <w:tcW w:w="1054" w:type="dxa"/>
            <w:tcBorders>
              <w:top w:val="nil"/>
              <w:left w:val="nil"/>
              <w:bottom w:val="nil"/>
              <w:right w:val="nil"/>
            </w:tcBorders>
            <w:shd w:val="clear" w:color="000000" w:fill="FFFFFF"/>
            <w:noWrap/>
            <w:hideMark/>
          </w:tcPr>
          <w:p w:rsidR="007D3E6F" w:rsidRDefault="007D3E6F" w:rsidP="007D3E6F">
            <w:pPr>
              <w:ind w:left="-283"/>
              <w:jc w:val="right"/>
              <w:rPr>
                <w:sz w:val="18"/>
                <w:szCs w:val="18"/>
              </w:rPr>
            </w:pPr>
            <w:r>
              <w:rPr>
                <w:sz w:val="18"/>
                <w:szCs w:val="18"/>
              </w:rPr>
              <w:t>0</w:t>
            </w:r>
          </w:p>
        </w:tc>
        <w:tc>
          <w:tcPr>
            <w:tcW w:w="2314" w:type="dxa"/>
            <w:tcBorders>
              <w:top w:val="nil"/>
              <w:left w:val="nil"/>
              <w:bottom w:val="nil"/>
              <w:right w:val="nil"/>
            </w:tcBorders>
            <w:shd w:val="clear" w:color="000000" w:fill="FFFFFF"/>
            <w:hideMark/>
          </w:tcPr>
          <w:p w:rsidR="007D3E6F" w:rsidRDefault="007D3E6F" w:rsidP="007D3E6F">
            <w:pPr>
              <w:spacing w:after="60"/>
              <w:ind w:left="142" w:hanging="142"/>
              <w:rPr>
                <w:sz w:val="18"/>
                <w:szCs w:val="18"/>
              </w:rPr>
            </w:pPr>
            <w:r>
              <w:rPr>
                <w:sz w:val="18"/>
                <w:szCs w:val="18"/>
              </w:rPr>
              <w:t xml:space="preserve">Distribution from Investments with </w:t>
            </w:r>
            <w:r w:rsidR="00981E9F">
              <w:rPr>
                <w:sz w:val="18"/>
                <w:szCs w:val="18"/>
              </w:rPr>
              <w:t>the   Territory Banking Account</w:t>
            </w:r>
            <w:r w:rsidR="00981E9F">
              <w:rPr>
                <w:sz w:val="18"/>
                <w:szCs w:val="18"/>
                <w:vertAlign w:val="superscript"/>
              </w:rPr>
              <w:t>1</w:t>
            </w:r>
          </w:p>
        </w:tc>
        <w:tc>
          <w:tcPr>
            <w:tcW w:w="1184" w:type="dxa"/>
            <w:tcBorders>
              <w:top w:val="nil"/>
              <w:left w:val="nil"/>
              <w:bottom w:val="nil"/>
              <w:right w:val="nil"/>
            </w:tcBorders>
            <w:shd w:val="clear" w:color="000000" w:fill="FFFFFF"/>
            <w:noWrap/>
            <w:hideMark/>
          </w:tcPr>
          <w:p w:rsidR="007D3E6F" w:rsidRDefault="007D3E6F" w:rsidP="007D3E6F">
            <w:pPr>
              <w:ind w:left="-283"/>
              <w:jc w:val="right"/>
              <w:rPr>
                <w:sz w:val="18"/>
                <w:szCs w:val="18"/>
              </w:rPr>
            </w:pPr>
            <w:r>
              <w:rPr>
                <w:sz w:val="18"/>
                <w:szCs w:val="18"/>
              </w:rPr>
              <w:t>8,950</w:t>
            </w:r>
          </w:p>
        </w:tc>
        <w:tc>
          <w:tcPr>
            <w:tcW w:w="1054" w:type="dxa"/>
            <w:tcBorders>
              <w:top w:val="nil"/>
              <w:left w:val="nil"/>
              <w:bottom w:val="nil"/>
              <w:right w:val="nil"/>
            </w:tcBorders>
            <w:shd w:val="clear" w:color="000000" w:fill="FFFFFF"/>
            <w:noWrap/>
            <w:hideMark/>
          </w:tcPr>
          <w:p w:rsidR="007D3E6F" w:rsidRDefault="007D3E6F" w:rsidP="007D3E6F">
            <w:pPr>
              <w:ind w:left="-283"/>
              <w:jc w:val="right"/>
              <w:rPr>
                <w:sz w:val="18"/>
                <w:szCs w:val="18"/>
              </w:rPr>
            </w:pPr>
            <w:r>
              <w:rPr>
                <w:sz w:val="18"/>
                <w:szCs w:val="18"/>
              </w:rPr>
              <w:t>4,947</w:t>
            </w:r>
          </w:p>
        </w:tc>
        <w:tc>
          <w:tcPr>
            <w:tcW w:w="624" w:type="dxa"/>
            <w:tcBorders>
              <w:top w:val="nil"/>
              <w:left w:val="nil"/>
              <w:bottom w:val="nil"/>
              <w:right w:val="nil"/>
            </w:tcBorders>
            <w:shd w:val="clear" w:color="000000" w:fill="FFFFFF"/>
            <w:noWrap/>
            <w:hideMark/>
          </w:tcPr>
          <w:p w:rsidR="007D3E6F" w:rsidRDefault="007D3E6F" w:rsidP="007D3E6F">
            <w:pPr>
              <w:ind w:left="-283"/>
              <w:jc w:val="right"/>
              <w:rPr>
                <w:sz w:val="18"/>
                <w:szCs w:val="18"/>
              </w:rPr>
            </w:pPr>
            <w:r>
              <w:rPr>
                <w:sz w:val="18"/>
                <w:szCs w:val="18"/>
              </w:rPr>
              <w:t xml:space="preserve">-45 </w:t>
            </w:r>
          </w:p>
        </w:tc>
        <w:tc>
          <w:tcPr>
            <w:tcW w:w="1054" w:type="dxa"/>
            <w:tcBorders>
              <w:top w:val="nil"/>
              <w:left w:val="nil"/>
              <w:bottom w:val="nil"/>
              <w:right w:val="nil"/>
            </w:tcBorders>
            <w:shd w:val="clear" w:color="000000" w:fill="FFFFFF"/>
            <w:noWrap/>
            <w:hideMark/>
          </w:tcPr>
          <w:p w:rsidR="007D3E6F" w:rsidRDefault="007D3E6F" w:rsidP="007D3E6F">
            <w:pPr>
              <w:ind w:left="-283"/>
              <w:jc w:val="right"/>
              <w:rPr>
                <w:sz w:val="18"/>
                <w:szCs w:val="18"/>
              </w:rPr>
            </w:pPr>
            <w:r>
              <w:rPr>
                <w:sz w:val="18"/>
                <w:szCs w:val="18"/>
              </w:rPr>
              <w:t>4,281</w:t>
            </w:r>
          </w:p>
        </w:tc>
        <w:tc>
          <w:tcPr>
            <w:tcW w:w="1054" w:type="dxa"/>
            <w:tcBorders>
              <w:top w:val="nil"/>
              <w:left w:val="nil"/>
              <w:bottom w:val="nil"/>
              <w:right w:val="nil"/>
            </w:tcBorders>
            <w:shd w:val="clear" w:color="000000" w:fill="FFFFFF"/>
            <w:noWrap/>
            <w:hideMark/>
          </w:tcPr>
          <w:p w:rsidR="007D3E6F" w:rsidRDefault="007D3E6F" w:rsidP="007D3E6F">
            <w:pPr>
              <w:ind w:left="-283"/>
              <w:jc w:val="right"/>
              <w:rPr>
                <w:sz w:val="18"/>
                <w:szCs w:val="18"/>
              </w:rPr>
            </w:pPr>
            <w:r>
              <w:rPr>
                <w:sz w:val="18"/>
                <w:szCs w:val="18"/>
              </w:rPr>
              <w:t>4,597</w:t>
            </w:r>
          </w:p>
        </w:tc>
        <w:tc>
          <w:tcPr>
            <w:tcW w:w="1054" w:type="dxa"/>
            <w:tcBorders>
              <w:top w:val="nil"/>
              <w:left w:val="nil"/>
              <w:bottom w:val="nil"/>
              <w:right w:val="nil"/>
            </w:tcBorders>
            <w:shd w:val="clear" w:color="000000" w:fill="FFFFFF"/>
            <w:noWrap/>
            <w:hideMark/>
          </w:tcPr>
          <w:p w:rsidR="007D3E6F" w:rsidRDefault="007D3E6F" w:rsidP="007D3E6F">
            <w:pPr>
              <w:ind w:left="-283"/>
              <w:jc w:val="right"/>
              <w:rPr>
                <w:sz w:val="18"/>
                <w:szCs w:val="18"/>
              </w:rPr>
            </w:pPr>
            <w:r>
              <w:rPr>
                <w:sz w:val="18"/>
                <w:szCs w:val="18"/>
              </w:rPr>
              <w:t>4,938</w:t>
            </w:r>
          </w:p>
        </w:tc>
      </w:tr>
      <w:tr w:rsidR="007D3E6F" w:rsidTr="007D3E6F">
        <w:tc>
          <w:tcPr>
            <w:tcW w:w="1054" w:type="dxa"/>
            <w:tcBorders>
              <w:top w:val="nil"/>
              <w:left w:val="nil"/>
              <w:bottom w:val="nil"/>
              <w:right w:val="nil"/>
            </w:tcBorders>
            <w:shd w:val="clear" w:color="000000" w:fill="FFFFFF"/>
            <w:noWrap/>
            <w:hideMark/>
          </w:tcPr>
          <w:p w:rsidR="007D3E6F" w:rsidRDefault="007D3E6F" w:rsidP="007D3E6F">
            <w:pPr>
              <w:ind w:left="-283"/>
              <w:jc w:val="right"/>
              <w:rPr>
                <w:sz w:val="18"/>
                <w:szCs w:val="18"/>
              </w:rPr>
            </w:pPr>
            <w:r>
              <w:rPr>
                <w:sz w:val="18"/>
                <w:szCs w:val="18"/>
              </w:rPr>
              <w:t>69,546</w:t>
            </w:r>
          </w:p>
        </w:tc>
        <w:tc>
          <w:tcPr>
            <w:tcW w:w="2314" w:type="dxa"/>
            <w:tcBorders>
              <w:top w:val="nil"/>
              <w:left w:val="nil"/>
              <w:bottom w:val="nil"/>
              <w:right w:val="nil"/>
            </w:tcBorders>
            <w:shd w:val="clear" w:color="000000" w:fill="FFFFFF"/>
            <w:noWrap/>
            <w:hideMark/>
          </w:tcPr>
          <w:p w:rsidR="007D3E6F" w:rsidRDefault="007D3E6F" w:rsidP="007D3E6F">
            <w:pPr>
              <w:rPr>
                <w:sz w:val="18"/>
                <w:szCs w:val="18"/>
              </w:rPr>
            </w:pPr>
            <w:r>
              <w:rPr>
                <w:sz w:val="18"/>
                <w:szCs w:val="18"/>
              </w:rPr>
              <w:t>Other Receipts</w:t>
            </w:r>
          </w:p>
        </w:tc>
        <w:tc>
          <w:tcPr>
            <w:tcW w:w="1184" w:type="dxa"/>
            <w:tcBorders>
              <w:top w:val="nil"/>
              <w:left w:val="nil"/>
              <w:bottom w:val="nil"/>
              <w:right w:val="nil"/>
            </w:tcBorders>
            <w:shd w:val="clear" w:color="000000" w:fill="FFFFFF"/>
            <w:noWrap/>
            <w:hideMark/>
          </w:tcPr>
          <w:p w:rsidR="007D3E6F" w:rsidRDefault="007D3E6F" w:rsidP="007D3E6F">
            <w:pPr>
              <w:ind w:left="-283"/>
              <w:jc w:val="right"/>
              <w:rPr>
                <w:sz w:val="18"/>
                <w:szCs w:val="18"/>
              </w:rPr>
            </w:pPr>
            <w:r>
              <w:rPr>
                <w:sz w:val="18"/>
                <w:szCs w:val="18"/>
              </w:rPr>
              <w:t>68,660</w:t>
            </w:r>
          </w:p>
        </w:tc>
        <w:tc>
          <w:tcPr>
            <w:tcW w:w="1054" w:type="dxa"/>
            <w:tcBorders>
              <w:top w:val="nil"/>
              <w:left w:val="nil"/>
              <w:bottom w:val="nil"/>
              <w:right w:val="nil"/>
            </w:tcBorders>
            <w:shd w:val="clear" w:color="000000" w:fill="FFFFFF"/>
            <w:noWrap/>
            <w:hideMark/>
          </w:tcPr>
          <w:p w:rsidR="007D3E6F" w:rsidRDefault="007D3E6F" w:rsidP="007D3E6F">
            <w:pPr>
              <w:ind w:left="-283"/>
              <w:jc w:val="right"/>
              <w:rPr>
                <w:sz w:val="18"/>
                <w:szCs w:val="18"/>
              </w:rPr>
            </w:pPr>
            <w:r>
              <w:rPr>
                <w:sz w:val="18"/>
                <w:szCs w:val="18"/>
              </w:rPr>
              <w:t>87,830</w:t>
            </w:r>
          </w:p>
        </w:tc>
        <w:tc>
          <w:tcPr>
            <w:tcW w:w="624" w:type="dxa"/>
            <w:tcBorders>
              <w:top w:val="nil"/>
              <w:left w:val="nil"/>
              <w:bottom w:val="nil"/>
              <w:right w:val="nil"/>
            </w:tcBorders>
            <w:shd w:val="clear" w:color="000000" w:fill="FFFFFF"/>
            <w:noWrap/>
            <w:hideMark/>
          </w:tcPr>
          <w:p w:rsidR="007D3E6F" w:rsidRDefault="007D3E6F" w:rsidP="007D3E6F">
            <w:pPr>
              <w:ind w:left="-283"/>
              <w:jc w:val="right"/>
              <w:rPr>
                <w:sz w:val="18"/>
                <w:szCs w:val="18"/>
              </w:rPr>
            </w:pPr>
            <w:r>
              <w:rPr>
                <w:sz w:val="18"/>
                <w:szCs w:val="18"/>
              </w:rPr>
              <w:t xml:space="preserve">28 </w:t>
            </w:r>
          </w:p>
        </w:tc>
        <w:tc>
          <w:tcPr>
            <w:tcW w:w="1054" w:type="dxa"/>
            <w:tcBorders>
              <w:top w:val="nil"/>
              <w:left w:val="nil"/>
              <w:bottom w:val="nil"/>
              <w:right w:val="nil"/>
            </w:tcBorders>
            <w:shd w:val="clear" w:color="000000" w:fill="FFFFFF"/>
            <w:noWrap/>
            <w:hideMark/>
          </w:tcPr>
          <w:p w:rsidR="007D3E6F" w:rsidRDefault="007D3E6F" w:rsidP="007D3E6F">
            <w:pPr>
              <w:ind w:left="-283"/>
              <w:jc w:val="right"/>
              <w:rPr>
                <w:sz w:val="18"/>
                <w:szCs w:val="18"/>
              </w:rPr>
            </w:pPr>
            <w:r>
              <w:rPr>
                <w:sz w:val="18"/>
                <w:szCs w:val="18"/>
              </w:rPr>
              <w:t>92,804</w:t>
            </w:r>
          </w:p>
        </w:tc>
        <w:tc>
          <w:tcPr>
            <w:tcW w:w="1054" w:type="dxa"/>
            <w:tcBorders>
              <w:top w:val="nil"/>
              <w:left w:val="nil"/>
              <w:bottom w:val="nil"/>
              <w:right w:val="nil"/>
            </w:tcBorders>
            <w:shd w:val="clear" w:color="000000" w:fill="FFFFFF"/>
            <w:noWrap/>
            <w:hideMark/>
          </w:tcPr>
          <w:p w:rsidR="007D3E6F" w:rsidRDefault="007D3E6F" w:rsidP="007D3E6F">
            <w:pPr>
              <w:ind w:left="-283"/>
              <w:jc w:val="right"/>
              <w:rPr>
                <w:sz w:val="18"/>
                <w:szCs w:val="18"/>
              </w:rPr>
            </w:pPr>
            <w:r>
              <w:rPr>
                <w:sz w:val="18"/>
                <w:szCs w:val="18"/>
              </w:rPr>
              <w:t>99,875</w:t>
            </w:r>
          </w:p>
        </w:tc>
        <w:tc>
          <w:tcPr>
            <w:tcW w:w="1054" w:type="dxa"/>
            <w:tcBorders>
              <w:top w:val="nil"/>
              <w:left w:val="nil"/>
              <w:bottom w:val="nil"/>
              <w:right w:val="nil"/>
            </w:tcBorders>
            <w:shd w:val="clear" w:color="000000" w:fill="FFFFFF"/>
            <w:noWrap/>
            <w:hideMark/>
          </w:tcPr>
          <w:p w:rsidR="007D3E6F" w:rsidRDefault="007D3E6F" w:rsidP="007D3E6F">
            <w:pPr>
              <w:ind w:left="-283"/>
              <w:jc w:val="right"/>
              <w:rPr>
                <w:sz w:val="18"/>
                <w:szCs w:val="18"/>
              </w:rPr>
            </w:pPr>
            <w:r>
              <w:rPr>
                <w:sz w:val="18"/>
                <w:szCs w:val="18"/>
              </w:rPr>
              <w:t>107,002</w:t>
            </w:r>
          </w:p>
        </w:tc>
      </w:tr>
      <w:tr w:rsidR="007D3E6F" w:rsidTr="007D3E6F">
        <w:tc>
          <w:tcPr>
            <w:tcW w:w="1054" w:type="dxa"/>
            <w:tcBorders>
              <w:top w:val="nil"/>
              <w:left w:val="nil"/>
              <w:bottom w:val="nil"/>
              <w:right w:val="nil"/>
            </w:tcBorders>
            <w:shd w:val="clear" w:color="000000" w:fill="FFFFFF"/>
            <w:noWrap/>
            <w:hideMark/>
          </w:tcPr>
          <w:p w:rsidR="007D3E6F" w:rsidRDefault="007D3E6F" w:rsidP="007D3E6F">
            <w:pPr>
              <w:ind w:left="-283"/>
              <w:jc w:val="right"/>
              <w:rPr>
                <w:b/>
                <w:bCs/>
                <w:sz w:val="18"/>
                <w:szCs w:val="18"/>
              </w:rPr>
            </w:pPr>
            <w:r>
              <w:rPr>
                <w:b/>
                <w:bCs/>
                <w:sz w:val="18"/>
                <w:szCs w:val="18"/>
              </w:rPr>
              <w:t>105,135</w:t>
            </w:r>
          </w:p>
        </w:tc>
        <w:tc>
          <w:tcPr>
            <w:tcW w:w="2314" w:type="dxa"/>
            <w:tcBorders>
              <w:top w:val="nil"/>
              <w:left w:val="nil"/>
              <w:bottom w:val="nil"/>
              <w:right w:val="nil"/>
            </w:tcBorders>
            <w:shd w:val="clear" w:color="000000" w:fill="FFFFFF"/>
            <w:noWrap/>
            <w:hideMark/>
          </w:tcPr>
          <w:p w:rsidR="007D3E6F" w:rsidRDefault="007D3E6F" w:rsidP="007D3E6F">
            <w:pPr>
              <w:rPr>
                <w:b/>
                <w:bCs/>
                <w:sz w:val="18"/>
                <w:szCs w:val="18"/>
              </w:rPr>
            </w:pPr>
            <w:r>
              <w:rPr>
                <w:b/>
                <w:bCs/>
                <w:sz w:val="18"/>
                <w:szCs w:val="18"/>
              </w:rPr>
              <w:t>Operating Receipts</w:t>
            </w:r>
          </w:p>
        </w:tc>
        <w:tc>
          <w:tcPr>
            <w:tcW w:w="1184" w:type="dxa"/>
            <w:tcBorders>
              <w:top w:val="nil"/>
              <w:left w:val="nil"/>
              <w:bottom w:val="nil"/>
              <w:right w:val="nil"/>
            </w:tcBorders>
            <w:shd w:val="clear" w:color="000000" w:fill="FFFFFF"/>
            <w:noWrap/>
            <w:hideMark/>
          </w:tcPr>
          <w:p w:rsidR="007D3E6F" w:rsidRDefault="007D3E6F" w:rsidP="007D3E6F">
            <w:pPr>
              <w:ind w:left="-283"/>
              <w:jc w:val="right"/>
              <w:rPr>
                <w:b/>
                <w:bCs/>
                <w:sz w:val="18"/>
                <w:szCs w:val="18"/>
              </w:rPr>
            </w:pPr>
            <w:r>
              <w:rPr>
                <w:b/>
                <w:bCs/>
                <w:sz w:val="18"/>
                <w:szCs w:val="18"/>
              </w:rPr>
              <w:t>91,311</w:t>
            </w:r>
          </w:p>
        </w:tc>
        <w:tc>
          <w:tcPr>
            <w:tcW w:w="1054" w:type="dxa"/>
            <w:tcBorders>
              <w:top w:val="nil"/>
              <w:left w:val="nil"/>
              <w:bottom w:val="nil"/>
              <w:right w:val="nil"/>
            </w:tcBorders>
            <w:shd w:val="clear" w:color="000000" w:fill="FFFFFF"/>
            <w:noWrap/>
            <w:hideMark/>
          </w:tcPr>
          <w:p w:rsidR="007D3E6F" w:rsidRDefault="007D3E6F" w:rsidP="007D3E6F">
            <w:pPr>
              <w:ind w:left="-283"/>
              <w:jc w:val="right"/>
              <w:rPr>
                <w:b/>
                <w:bCs/>
                <w:sz w:val="18"/>
                <w:szCs w:val="18"/>
              </w:rPr>
            </w:pPr>
            <w:r>
              <w:rPr>
                <w:b/>
                <w:bCs/>
                <w:sz w:val="18"/>
                <w:szCs w:val="18"/>
              </w:rPr>
              <w:t>111,449</w:t>
            </w:r>
          </w:p>
        </w:tc>
        <w:tc>
          <w:tcPr>
            <w:tcW w:w="624" w:type="dxa"/>
            <w:tcBorders>
              <w:top w:val="nil"/>
              <w:left w:val="nil"/>
              <w:bottom w:val="nil"/>
              <w:right w:val="nil"/>
            </w:tcBorders>
            <w:shd w:val="clear" w:color="000000" w:fill="FFFFFF"/>
            <w:noWrap/>
            <w:hideMark/>
          </w:tcPr>
          <w:p w:rsidR="007D3E6F" w:rsidRDefault="007D3E6F" w:rsidP="007D3E6F">
            <w:pPr>
              <w:ind w:left="-283"/>
              <w:jc w:val="right"/>
              <w:rPr>
                <w:b/>
                <w:bCs/>
                <w:sz w:val="18"/>
                <w:szCs w:val="18"/>
              </w:rPr>
            </w:pPr>
            <w:r>
              <w:rPr>
                <w:b/>
                <w:bCs/>
                <w:sz w:val="18"/>
                <w:szCs w:val="18"/>
              </w:rPr>
              <w:t xml:space="preserve">22 </w:t>
            </w:r>
          </w:p>
        </w:tc>
        <w:tc>
          <w:tcPr>
            <w:tcW w:w="1054" w:type="dxa"/>
            <w:tcBorders>
              <w:top w:val="nil"/>
              <w:left w:val="nil"/>
              <w:bottom w:val="nil"/>
              <w:right w:val="nil"/>
            </w:tcBorders>
            <w:shd w:val="clear" w:color="000000" w:fill="FFFFFF"/>
            <w:noWrap/>
            <w:hideMark/>
          </w:tcPr>
          <w:p w:rsidR="007D3E6F" w:rsidRDefault="007D3E6F" w:rsidP="007D3E6F">
            <w:pPr>
              <w:ind w:left="-283"/>
              <w:jc w:val="right"/>
              <w:rPr>
                <w:b/>
                <w:bCs/>
                <w:sz w:val="18"/>
                <w:szCs w:val="18"/>
              </w:rPr>
            </w:pPr>
            <w:r>
              <w:rPr>
                <w:b/>
                <w:bCs/>
                <w:sz w:val="18"/>
                <w:szCs w:val="18"/>
              </w:rPr>
              <w:t>118,645</w:t>
            </w:r>
          </w:p>
        </w:tc>
        <w:tc>
          <w:tcPr>
            <w:tcW w:w="1054" w:type="dxa"/>
            <w:tcBorders>
              <w:top w:val="nil"/>
              <w:left w:val="nil"/>
              <w:bottom w:val="nil"/>
              <w:right w:val="nil"/>
            </w:tcBorders>
            <w:shd w:val="clear" w:color="000000" w:fill="FFFFFF"/>
            <w:noWrap/>
            <w:hideMark/>
          </w:tcPr>
          <w:p w:rsidR="007D3E6F" w:rsidRDefault="007D3E6F" w:rsidP="007D3E6F">
            <w:pPr>
              <w:ind w:left="-283"/>
              <w:jc w:val="right"/>
              <w:rPr>
                <w:b/>
                <w:bCs/>
                <w:sz w:val="18"/>
                <w:szCs w:val="18"/>
              </w:rPr>
            </w:pPr>
            <w:r>
              <w:rPr>
                <w:b/>
                <w:bCs/>
                <w:sz w:val="18"/>
                <w:szCs w:val="18"/>
              </w:rPr>
              <w:t>127,605</w:t>
            </w:r>
          </w:p>
        </w:tc>
        <w:tc>
          <w:tcPr>
            <w:tcW w:w="1054" w:type="dxa"/>
            <w:tcBorders>
              <w:top w:val="nil"/>
              <w:left w:val="nil"/>
              <w:bottom w:val="nil"/>
              <w:right w:val="nil"/>
            </w:tcBorders>
            <w:shd w:val="clear" w:color="000000" w:fill="FFFFFF"/>
            <w:noWrap/>
            <w:hideMark/>
          </w:tcPr>
          <w:p w:rsidR="007D3E6F" w:rsidRDefault="007D3E6F" w:rsidP="007D3E6F">
            <w:pPr>
              <w:ind w:left="-283"/>
              <w:jc w:val="right"/>
              <w:rPr>
                <w:b/>
                <w:bCs/>
                <w:sz w:val="18"/>
                <w:szCs w:val="18"/>
              </w:rPr>
            </w:pPr>
            <w:r>
              <w:rPr>
                <w:b/>
                <w:bCs/>
                <w:sz w:val="18"/>
                <w:szCs w:val="18"/>
              </w:rPr>
              <w:t>136,766</w:t>
            </w:r>
          </w:p>
        </w:tc>
      </w:tr>
      <w:tr w:rsidR="007D3E6F" w:rsidRPr="00F70B65" w:rsidTr="007D3E6F">
        <w:tc>
          <w:tcPr>
            <w:tcW w:w="1054" w:type="dxa"/>
            <w:tcBorders>
              <w:top w:val="nil"/>
              <w:left w:val="nil"/>
              <w:bottom w:val="nil"/>
              <w:right w:val="nil"/>
            </w:tcBorders>
            <w:shd w:val="clear" w:color="000000" w:fill="FFFFFF"/>
            <w:noWrap/>
            <w:hideMark/>
          </w:tcPr>
          <w:p w:rsidR="007D3E6F" w:rsidRPr="00F70B65" w:rsidRDefault="007D3E6F" w:rsidP="007D3E6F">
            <w:pPr>
              <w:ind w:left="-283"/>
              <w:rPr>
                <w:color w:val="0000FF"/>
                <w:sz w:val="10"/>
                <w:szCs w:val="10"/>
              </w:rPr>
            </w:pPr>
            <w:r w:rsidRPr="00F70B65">
              <w:rPr>
                <w:color w:val="0000FF"/>
                <w:sz w:val="10"/>
                <w:szCs w:val="10"/>
              </w:rPr>
              <w:t> </w:t>
            </w:r>
          </w:p>
        </w:tc>
        <w:tc>
          <w:tcPr>
            <w:tcW w:w="2314" w:type="dxa"/>
            <w:tcBorders>
              <w:top w:val="nil"/>
              <w:left w:val="nil"/>
              <w:bottom w:val="nil"/>
              <w:right w:val="nil"/>
            </w:tcBorders>
            <w:shd w:val="clear" w:color="000000" w:fill="FFFFFF"/>
            <w:noWrap/>
            <w:hideMark/>
          </w:tcPr>
          <w:p w:rsidR="007D3E6F" w:rsidRPr="00F70B65" w:rsidRDefault="007D3E6F" w:rsidP="007D3E6F">
            <w:pPr>
              <w:rPr>
                <w:b/>
                <w:bCs/>
                <w:sz w:val="10"/>
                <w:szCs w:val="10"/>
              </w:rPr>
            </w:pPr>
            <w:r w:rsidRPr="00F70B65">
              <w:rPr>
                <w:b/>
                <w:bCs/>
                <w:sz w:val="10"/>
                <w:szCs w:val="10"/>
              </w:rPr>
              <w:t> </w:t>
            </w:r>
          </w:p>
        </w:tc>
        <w:tc>
          <w:tcPr>
            <w:tcW w:w="1184" w:type="dxa"/>
            <w:tcBorders>
              <w:top w:val="nil"/>
              <w:left w:val="nil"/>
              <w:bottom w:val="nil"/>
              <w:right w:val="nil"/>
            </w:tcBorders>
            <w:shd w:val="clear" w:color="000000" w:fill="FFFFFF"/>
            <w:noWrap/>
            <w:hideMark/>
          </w:tcPr>
          <w:p w:rsidR="007D3E6F" w:rsidRPr="00F70B65" w:rsidRDefault="007D3E6F" w:rsidP="007D3E6F">
            <w:pPr>
              <w:ind w:left="-283"/>
              <w:rPr>
                <w:b/>
                <w:bCs/>
                <w:sz w:val="10"/>
                <w:szCs w:val="10"/>
              </w:rPr>
            </w:pPr>
            <w:r w:rsidRPr="00F70B65">
              <w:rPr>
                <w:b/>
                <w:bCs/>
                <w:sz w:val="10"/>
                <w:szCs w:val="10"/>
              </w:rPr>
              <w:t> </w:t>
            </w:r>
          </w:p>
        </w:tc>
        <w:tc>
          <w:tcPr>
            <w:tcW w:w="1054" w:type="dxa"/>
            <w:tcBorders>
              <w:top w:val="nil"/>
              <w:left w:val="nil"/>
              <w:bottom w:val="nil"/>
              <w:right w:val="nil"/>
            </w:tcBorders>
            <w:shd w:val="clear" w:color="000000" w:fill="FFFFFF"/>
            <w:noWrap/>
            <w:hideMark/>
          </w:tcPr>
          <w:p w:rsidR="007D3E6F" w:rsidRPr="00F70B65" w:rsidRDefault="007D3E6F" w:rsidP="007D3E6F">
            <w:pPr>
              <w:ind w:left="-283"/>
              <w:rPr>
                <w:color w:val="0000FF"/>
                <w:sz w:val="10"/>
                <w:szCs w:val="10"/>
              </w:rPr>
            </w:pPr>
            <w:r w:rsidRPr="00F70B65">
              <w:rPr>
                <w:color w:val="0000FF"/>
                <w:sz w:val="10"/>
                <w:szCs w:val="10"/>
              </w:rPr>
              <w:t> </w:t>
            </w:r>
          </w:p>
        </w:tc>
        <w:tc>
          <w:tcPr>
            <w:tcW w:w="624" w:type="dxa"/>
            <w:tcBorders>
              <w:top w:val="nil"/>
              <w:left w:val="nil"/>
              <w:bottom w:val="nil"/>
              <w:right w:val="nil"/>
            </w:tcBorders>
            <w:shd w:val="clear" w:color="000000" w:fill="FFFFFF"/>
            <w:noWrap/>
            <w:hideMark/>
          </w:tcPr>
          <w:p w:rsidR="007D3E6F" w:rsidRPr="00F70B65" w:rsidRDefault="007D3E6F" w:rsidP="007D3E6F">
            <w:pPr>
              <w:ind w:left="-283"/>
              <w:rPr>
                <w:color w:val="0000FF"/>
                <w:sz w:val="10"/>
                <w:szCs w:val="10"/>
              </w:rPr>
            </w:pPr>
            <w:r w:rsidRPr="00F70B65">
              <w:rPr>
                <w:color w:val="0000FF"/>
                <w:sz w:val="10"/>
                <w:szCs w:val="10"/>
              </w:rPr>
              <w:t> </w:t>
            </w:r>
          </w:p>
        </w:tc>
        <w:tc>
          <w:tcPr>
            <w:tcW w:w="1054" w:type="dxa"/>
            <w:tcBorders>
              <w:top w:val="nil"/>
              <w:left w:val="nil"/>
              <w:bottom w:val="nil"/>
              <w:right w:val="nil"/>
            </w:tcBorders>
            <w:shd w:val="clear" w:color="000000" w:fill="FFFFFF"/>
            <w:noWrap/>
            <w:hideMark/>
          </w:tcPr>
          <w:p w:rsidR="007D3E6F" w:rsidRPr="00F70B65" w:rsidRDefault="007D3E6F" w:rsidP="007D3E6F">
            <w:pPr>
              <w:ind w:left="-283"/>
              <w:rPr>
                <w:color w:val="0000FF"/>
                <w:sz w:val="10"/>
                <w:szCs w:val="10"/>
              </w:rPr>
            </w:pPr>
            <w:r w:rsidRPr="00F70B65">
              <w:rPr>
                <w:color w:val="0000FF"/>
                <w:sz w:val="10"/>
                <w:szCs w:val="10"/>
              </w:rPr>
              <w:t> </w:t>
            </w:r>
          </w:p>
        </w:tc>
        <w:tc>
          <w:tcPr>
            <w:tcW w:w="1054" w:type="dxa"/>
            <w:tcBorders>
              <w:top w:val="nil"/>
              <w:left w:val="nil"/>
              <w:bottom w:val="nil"/>
              <w:right w:val="nil"/>
            </w:tcBorders>
            <w:shd w:val="clear" w:color="000000" w:fill="FFFFFF"/>
            <w:noWrap/>
            <w:hideMark/>
          </w:tcPr>
          <w:p w:rsidR="007D3E6F" w:rsidRPr="00F70B65" w:rsidRDefault="007D3E6F" w:rsidP="007D3E6F">
            <w:pPr>
              <w:ind w:left="-283"/>
              <w:rPr>
                <w:color w:val="0000FF"/>
                <w:sz w:val="10"/>
                <w:szCs w:val="10"/>
              </w:rPr>
            </w:pPr>
            <w:r w:rsidRPr="00F70B65">
              <w:rPr>
                <w:color w:val="0000FF"/>
                <w:sz w:val="10"/>
                <w:szCs w:val="10"/>
              </w:rPr>
              <w:t> </w:t>
            </w:r>
          </w:p>
        </w:tc>
        <w:tc>
          <w:tcPr>
            <w:tcW w:w="1054" w:type="dxa"/>
            <w:tcBorders>
              <w:top w:val="nil"/>
              <w:left w:val="nil"/>
              <w:bottom w:val="nil"/>
              <w:right w:val="nil"/>
            </w:tcBorders>
            <w:shd w:val="clear" w:color="000000" w:fill="FFFFFF"/>
            <w:noWrap/>
            <w:hideMark/>
          </w:tcPr>
          <w:p w:rsidR="007D3E6F" w:rsidRPr="00F70B65" w:rsidRDefault="007D3E6F" w:rsidP="007D3E6F">
            <w:pPr>
              <w:ind w:left="-283"/>
              <w:rPr>
                <w:color w:val="0000FF"/>
                <w:sz w:val="10"/>
                <w:szCs w:val="10"/>
              </w:rPr>
            </w:pPr>
            <w:r w:rsidRPr="00F70B65">
              <w:rPr>
                <w:color w:val="0000FF"/>
                <w:sz w:val="10"/>
                <w:szCs w:val="10"/>
              </w:rPr>
              <w:t> </w:t>
            </w:r>
          </w:p>
        </w:tc>
      </w:tr>
      <w:tr w:rsidR="007D3E6F" w:rsidTr="007D3E6F">
        <w:tc>
          <w:tcPr>
            <w:tcW w:w="1054" w:type="dxa"/>
            <w:tcBorders>
              <w:top w:val="nil"/>
              <w:left w:val="nil"/>
              <w:bottom w:val="nil"/>
              <w:right w:val="nil"/>
            </w:tcBorders>
            <w:shd w:val="clear" w:color="000000" w:fill="FFFFFF"/>
            <w:noWrap/>
            <w:hideMark/>
          </w:tcPr>
          <w:p w:rsidR="007D3E6F" w:rsidRDefault="007D3E6F" w:rsidP="007D3E6F">
            <w:pPr>
              <w:ind w:left="-283"/>
              <w:rPr>
                <w:color w:val="0000FF"/>
                <w:sz w:val="18"/>
                <w:szCs w:val="18"/>
              </w:rPr>
            </w:pPr>
            <w:r>
              <w:rPr>
                <w:color w:val="0000FF"/>
                <w:sz w:val="18"/>
                <w:szCs w:val="18"/>
              </w:rPr>
              <w:t> </w:t>
            </w:r>
          </w:p>
        </w:tc>
        <w:tc>
          <w:tcPr>
            <w:tcW w:w="2314" w:type="dxa"/>
            <w:tcBorders>
              <w:top w:val="nil"/>
              <w:left w:val="nil"/>
              <w:bottom w:val="nil"/>
              <w:right w:val="nil"/>
            </w:tcBorders>
            <w:shd w:val="clear" w:color="000000" w:fill="FFFFFF"/>
            <w:noWrap/>
            <w:hideMark/>
          </w:tcPr>
          <w:p w:rsidR="007D3E6F" w:rsidRDefault="007D3E6F" w:rsidP="007D3E6F">
            <w:pPr>
              <w:rPr>
                <w:b/>
                <w:bCs/>
                <w:sz w:val="18"/>
                <w:szCs w:val="18"/>
              </w:rPr>
            </w:pPr>
            <w:r>
              <w:rPr>
                <w:b/>
                <w:bCs/>
                <w:sz w:val="18"/>
                <w:szCs w:val="18"/>
              </w:rPr>
              <w:t>Payments</w:t>
            </w:r>
          </w:p>
        </w:tc>
        <w:tc>
          <w:tcPr>
            <w:tcW w:w="1184" w:type="dxa"/>
            <w:tcBorders>
              <w:top w:val="nil"/>
              <w:left w:val="nil"/>
              <w:bottom w:val="nil"/>
              <w:right w:val="nil"/>
            </w:tcBorders>
            <w:shd w:val="clear" w:color="000000" w:fill="FFFFFF"/>
            <w:noWrap/>
            <w:hideMark/>
          </w:tcPr>
          <w:p w:rsidR="007D3E6F" w:rsidRDefault="007D3E6F" w:rsidP="007D3E6F">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D3E6F" w:rsidRDefault="007D3E6F" w:rsidP="007D3E6F">
            <w:pPr>
              <w:ind w:left="-283"/>
              <w:rPr>
                <w:color w:val="0000FF"/>
                <w:sz w:val="18"/>
                <w:szCs w:val="18"/>
              </w:rPr>
            </w:pPr>
            <w:r>
              <w:rPr>
                <w:color w:val="0000FF"/>
                <w:sz w:val="18"/>
                <w:szCs w:val="18"/>
              </w:rPr>
              <w:t> </w:t>
            </w:r>
          </w:p>
        </w:tc>
        <w:tc>
          <w:tcPr>
            <w:tcW w:w="624" w:type="dxa"/>
            <w:tcBorders>
              <w:top w:val="nil"/>
              <w:left w:val="nil"/>
              <w:bottom w:val="nil"/>
              <w:right w:val="nil"/>
            </w:tcBorders>
            <w:shd w:val="clear" w:color="000000" w:fill="FFFFFF"/>
            <w:noWrap/>
            <w:hideMark/>
          </w:tcPr>
          <w:p w:rsidR="007D3E6F" w:rsidRDefault="007D3E6F" w:rsidP="007D3E6F">
            <w:pPr>
              <w:ind w:left="-283"/>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7D3E6F" w:rsidRDefault="007D3E6F" w:rsidP="007D3E6F">
            <w:pPr>
              <w:ind w:left="-283"/>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7D3E6F" w:rsidRDefault="007D3E6F" w:rsidP="007D3E6F">
            <w:pPr>
              <w:ind w:left="-283"/>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7D3E6F" w:rsidRDefault="007D3E6F" w:rsidP="007D3E6F">
            <w:pPr>
              <w:ind w:left="-283"/>
              <w:rPr>
                <w:color w:val="0000FF"/>
                <w:sz w:val="18"/>
                <w:szCs w:val="18"/>
              </w:rPr>
            </w:pPr>
            <w:r>
              <w:rPr>
                <w:color w:val="0000FF"/>
                <w:sz w:val="18"/>
                <w:szCs w:val="18"/>
              </w:rPr>
              <w:t> </w:t>
            </w:r>
          </w:p>
        </w:tc>
      </w:tr>
      <w:tr w:rsidR="007D3E6F" w:rsidTr="007D3E6F">
        <w:tc>
          <w:tcPr>
            <w:tcW w:w="1054" w:type="dxa"/>
            <w:tcBorders>
              <w:top w:val="nil"/>
              <w:left w:val="nil"/>
              <w:bottom w:val="nil"/>
              <w:right w:val="nil"/>
            </w:tcBorders>
            <w:shd w:val="clear" w:color="000000" w:fill="FFFFFF"/>
            <w:noWrap/>
            <w:hideMark/>
          </w:tcPr>
          <w:p w:rsidR="007D3E6F" w:rsidRDefault="007D3E6F" w:rsidP="007D3E6F">
            <w:pPr>
              <w:ind w:left="-283"/>
              <w:jc w:val="right"/>
              <w:rPr>
                <w:sz w:val="18"/>
                <w:szCs w:val="18"/>
              </w:rPr>
            </w:pPr>
            <w:r>
              <w:rPr>
                <w:sz w:val="18"/>
                <w:szCs w:val="18"/>
              </w:rPr>
              <w:t>729</w:t>
            </w:r>
          </w:p>
        </w:tc>
        <w:tc>
          <w:tcPr>
            <w:tcW w:w="2314" w:type="dxa"/>
            <w:tcBorders>
              <w:top w:val="nil"/>
              <w:left w:val="nil"/>
              <w:bottom w:val="nil"/>
              <w:right w:val="nil"/>
            </w:tcBorders>
            <w:shd w:val="clear" w:color="000000" w:fill="FFFFFF"/>
            <w:noWrap/>
            <w:hideMark/>
          </w:tcPr>
          <w:p w:rsidR="007D3E6F" w:rsidRDefault="007D3E6F" w:rsidP="007D3E6F">
            <w:pPr>
              <w:rPr>
                <w:sz w:val="18"/>
                <w:szCs w:val="18"/>
              </w:rPr>
            </w:pPr>
            <w:r>
              <w:rPr>
                <w:sz w:val="18"/>
                <w:szCs w:val="18"/>
              </w:rPr>
              <w:t>Related to Employees</w:t>
            </w:r>
          </w:p>
        </w:tc>
        <w:tc>
          <w:tcPr>
            <w:tcW w:w="1184" w:type="dxa"/>
            <w:tcBorders>
              <w:top w:val="nil"/>
              <w:left w:val="nil"/>
              <w:bottom w:val="nil"/>
              <w:right w:val="nil"/>
            </w:tcBorders>
            <w:shd w:val="clear" w:color="000000" w:fill="FFFFFF"/>
            <w:noWrap/>
            <w:hideMark/>
          </w:tcPr>
          <w:p w:rsidR="007D3E6F" w:rsidRDefault="007D3E6F" w:rsidP="007D3E6F">
            <w:pPr>
              <w:ind w:left="-283"/>
              <w:jc w:val="right"/>
              <w:rPr>
                <w:sz w:val="18"/>
                <w:szCs w:val="18"/>
              </w:rPr>
            </w:pPr>
            <w:r>
              <w:rPr>
                <w:sz w:val="18"/>
                <w:szCs w:val="18"/>
              </w:rPr>
              <w:t>726</w:t>
            </w:r>
          </w:p>
        </w:tc>
        <w:tc>
          <w:tcPr>
            <w:tcW w:w="1054" w:type="dxa"/>
            <w:tcBorders>
              <w:top w:val="nil"/>
              <w:left w:val="nil"/>
              <w:bottom w:val="nil"/>
              <w:right w:val="nil"/>
            </w:tcBorders>
            <w:shd w:val="clear" w:color="000000" w:fill="FFFFFF"/>
            <w:noWrap/>
            <w:hideMark/>
          </w:tcPr>
          <w:p w:rsidR="007D3E6F" w:rsidRDefault="007D3E6F" w:rsidP="007D3E6F">
            <w:pPr>
              <w:ind w:left="-283"/>
              <w:jc w:val="right"/>
              <w:rPr>
                <w:sz w:val="18"/>
                <w:szCs w:val="18"/>
              </w:rPr>
            </w:pPr>
            <w:r>
              <w:rPr>
                <w:sz w:val="18"/>
                <w:szCs w:val="18"/>
              </w:rPr>
              <w:t>804</w:t>
            </w:r>
          </w:p>
        </w:tc>
        <w:tc>
          <w:tcPr>
            <w:tcW w:w="624" w:type="dxa"/>
            <w:tcBorders>
              <w:top w:val="nil"/>
              <w:left w:val="nil"/>
              <w:bottom w:val="nil"/>
              <w:right w:val="nil"/>
            </w:tcBorders>
            <w:shd w:val="clear" w:color="000000" w:fill="FFFFFF"/>
            <w:noWrap/>
            <w:hideMark/>
          </w:tcPr>
          <w:p w:rsidR="007D3E6F" w:rsidRDefault="007D3E6F" w:rsidP="007D3E6F">
            <w:pPr>
              <w:ind w:left="-283"/>
              <w:jc w:val="right"/>
              <w:rPr>
                <w:sz w:val="18"/>
                <w:szCs w:val="18"/>
              </w:rPr>
            </w:pPr>
            <w:r>
              <w:rPr>
                <w:sz w:val="18"/>
                <w:szCs w:val="18"/>
              </w:rPr>
              <w:t xml:space="preserve">11 </w:t>
            </w:r>
          </w:p>
        </w:tc>
        <w:tc>
          <w:tcPr>
            <w:tcW w:w="1054" w:type="dxa"/>
            <w:tcBorders>
              <w:top w:val="nil"/>
              <w:left w:val="nil"/>
              <w:bottom w:val="nil"/>
              <w:right w:val="nil"/>
            </w:tcBorders>
            <w:shd w:val="clear" w:color="000000" w:fill="FFFFFF"/>
            <w:noWrap/>
            <w:hideMark/>
          </w:tcPr>
          <w:p w:rsidR="007D3E6F" w:rsidRDefault="007D3E6F" w:rsidP="007D3E6F">
            <w:pPr>
              <w:ind w:left="-283"/>
              <w:jc w:val="right"/>
              <w:rPr>
                <w:sz w:val="18"/>
                <w:szCs w:val="18"/>
              </w:rPr>
            </w:pPr>
            <w:r>
              <w:rPr>
                <w:sz w:val="18"/>
                <w:szCs w:val="18"/>
              </w:rPr>
              <w:t>824</w:t>
            </w:r>
          </w:p>
        </w:tc>
        <w:tc>
          <w:tcPr>
            <w:tcW w:w="1054" w:type="dxa"/>
            <w:tcBorders>
              <w:top w:val="nil"/>
              <w:left w:val="nil"/>
              <w:bottom w:val="nil"/>
              <w:right w:val="nil"/>
            </w:tcBorders>
            <w:shd w:val="clear" w:color="000000" w:fill="FFFFFF"/>
            <w:noWrap/>
            <w:hideMark/>
          </w:tcPr>
          <w:p w:rsidR="007D3E6F" w:rsidRDefault="007D3E6F" w:rsidP="007D3E6F">
            <w:pPr>
              <w:ind w:left="-283"/>
              <w:jc w:val="right"/>
              <w:rPr>
                <w:sz w:val="18"/>
                <w:szCs w:val="18"/>
              </w:rPr>
            </w:pPr>
            <w:r>
              <w:rPr>
                <w:sz w:val="18"/>
                <w:szCs w:val="18"/>
              </w:rPr>
              <w:t>845</w:t>
            </w:r>
          </w:p>
        </w:tc>
        <w:tc>
          <w:tcPr>
            <w:tcW w:w="1054" w:type="dxa"/>
            <w:tcBorders>
              <w:top w:val="nil"/>
              <w:left w:val="nil"/>
              <w:bottom w:val="nil"/>
              <w:right w:val="nil"/>
            </w:tcBorders>
            <w:shd w:val="clear" w:color="000000" w:fill="FFFFFF"/>
            <w:noWrap/>
            <w:hideMark/>
          </w:tcPr>
          <w:p w:rsidR="007D3E6F" w:rsidRDefault="007D3E6F" w:rsidP="007D3E6F">
            <w:pPr>
              <w:ind w:left="-283"/>
              <w:jc w:val="right"/>
              <w:rPr>
                <w:sz w:val="18"/>
                <w:szCs w:val="18"/>
              </w:rPr>
            </w:pPr>
            <w:r>
              <w:rPr>
                <w:sz w:val="18"/>
                <w:szCs w:val="18"/>
              </w:rPr>
              <w:t>866</w:t>
            </w:r>
          </w:p>
        </w:tc>
      </w:tr>
      <w:tr w:rsidR="007D3E6F" w:rsidTr="007D3E6F">
        <w:tc>
          <w:tcPr>
            <w:tcW w:w="1054" w:type="dxa"/>
            <w:tcBorders>
              <w:top w:val="nil"/>
              <w:left w:val="nil"/>
              <w:bottom w:val="nil"/>
              <w:right w:val="nil"/>
            </w:tcBorders>
            <w:shd w:val="clear" w:color="000000" w:fill="FFFFFF"/>
            <w:noWrap/>
            <w:hideMark/>
          </w:tcPr>
          <w:p w:rsidR="007D3E6F" w:rsidRDefault="007D3E6F" w:rsidP="007D3E6F">
            <w:pPr>
              <w:ind w:left="-283"/>
              <w:jc w:val="right"/>
              <w:rPr>
                <w:sz w:val="18"/>
                <w:szCs w:val="18"/>
              </w:rPr>
            </w:pPr>
            <w:r>
              <w:rPr>
                <w:sz w:val="18"/>
                <w:szCs w:val="18"/>
              </w:rPr>
              <w:t>161,889</w:t>
            </w:r>
          </w:p>
        </w:tc>
        <w:tc>
          <w:tcPr>
            <w:tcW w:w="2314" w:type="dxa"/>
            <w:tcBorders>
              <w:top w:val="nil"/>
              <w:left w:val="nil"/>
              <w:bottom w:val="nil"/>
              <w:right w:val="nil"/>
            </w:tcBorders>
            <w:shd w:val="clear" w:color="000000" w:fill="FFFFFF"/>
            <w:noWrap/>
            <w:hideMark/>
          </w:tcPr>
          <w:p w:rsidR="007D3E6F" w:rsidRDefault="007D3E6F" w:rsidP="007D3E6F">
            <w:pPr>
              <w:rPr>
                <w:sz w:val="18"/>
                <w:szCs w:val="18"/>
              </w:rPr>
            </w:pPr>
            <w:r>
              <w:rPr>
                <w:sz w:val="18"/>
                <w:szCs w:val="18"/>
              </w:rPr>
              <w:t>Related to Superannuation</w:t>
            </w:r>
          </w:p>
        </w:tc>
        <w:tc>
          <w:tcPr>
            <w:tcW w:w="1184" w:type="dxa"/>
            <w:tcBorders>
              <w:top w:val="nil"/>
              <w:left w:val="nil"/>
              <w:bottom w:val="nil"/>
              <w:right w:val="nil"/>
            </w:tcBorders>
            <w:shd w:val="clear" w:color="000000" w:fill="FFFFFF"/>
            <w:noWrap/>
            <w:hideMark/>
          </w:tcPr>
          <w:p w:rsidR="007D3E6F" w:rsidRDefault="007D3E6F" w:rsidP="007D3E6F">
            <w:pPr>
              <w:ind w:left="-283"/>
              <w:jc w:val="right"/>
              <w:rPr>
                <w:sz w:val="18"/>
                <w:szCs w:val="18"/>
              </w:rPr>
            </w:pPr>
            <w:r>
              <w:rPr>
                <w:sz w:val="18"/>
                <w:szCs w:val="18"/>
              </w:rPr>
              <w:t>147,521</w:t>
            </w:r>
          </w:p>
        </w:tc>
        <w:tc>
          <w:tcPr>
            <w:tcW w:w="1054" w:type="dxa"/>
            <w:tcBorders>
              <w:top w:val="nil"/>
              <w:left w:val="nil"/>
              <w:bottom w:val="nil"/>
              <w:right w:val="nil"/>
            </w:tcBorders>
            <w:shd w:val="clear" w:color="000000" w:fill="FFFFFF"/>
            <w:noWrap/>
            <w:hideMark/>
          </w:tcPr>
          <w:p w:rsidR="007D3E6F" w:rsidRDefault="007D3E6F" w:rsidP="007D3E6F">
            <w:pPr>
              <w:ind w:left="-283"/>
              <w:jc w:val="right"/>
              <w:rPr>
                <w:sz w:val="18"/>
                <w:szCs w:val="18"/>
              </w:rPr>
            </w:pPr>
            <w:r>
              <w:rPr>
                <w:sz w:val="18"/>
                <w:szCs w:val="18"/>
              </w:rPr>
              <w:t>178,341</w:t>
            </w:r>
          </w:p>
        </w:tc>
        <w:tc>
          <w:tcPr>
            <w:tcW w:w="624" w:type="dxa"/>
            <w:tcBorders>
              <w:top w:val="nil"/>
              <w:left w:val="nil"/>
              <w:bottom w:val="nil"/>
              <w:right w:val="nil"/>
            </w:tcBorders>
            <w:shd w:val="clear" w:color="000000" w:fill="FFFFFF"/>
            <w:noWrap/>
            <w:hideMark/>
          </w:tcPr>
          <w:p w:rsidR="007D3E6F" w:rsidRDefault="007D3E6F" w:rsidP="007D3E6F">
            <w:pPr>
              <w:ind w:left="-283"/>
              <w:jc w:val="right"/>
              <w:rPr>
                <w:sz w:val="18"/>
                <w:szCs w:val="18"/>
              </w:rPr>
            </w:pPr>
            <w:r>
              <w:rPr>
                <w:sz w:val="18"/>
                <w:szCs w:val="18"/>
              </w:rPr>
              <w:t xml:space="preserve">21 </w:t>
            </w:r>
          </w:p>
        </w:tc>
        <w:tc>
          <w:tcPr>
            <w:tcW w:w="1054" w:type="dxa"/>
            <w:tcBorders>
              <w:top w:val="nil"/>
              <w:left w:val="nil"/>
              <w:bottom w:val="nil"/>
              <w:right w:val="nil"/>
            </w:tcBorders>
            <w:shd w:val="clear" w:color="000000" w:fill="FFFFFF"/>
            <w:noWrap/>
            <w:hideMark/>
          </w:tcPr>
          <w:p w:rsidR="007D3E6F" w:rsidRDefault="007D3E6F" w:rsidP="007D3E6F">
            <w:pPr>
              <w:ind w:left="-283"/>
              <w:jc w:val="right"/>
              <w:rPr>
                <w:sz w:val="18"/>
                <w:szCs w:val="18"/>
              </w:rPr>
            </w:pPr>
            <w:r>
              <w:rPr>
                <w:sz w:val="18"/>
                <w:szCs w:val="18"/>
              </w:rPr>
              <w:t>195,804</w:t>
            </w:r>
          </w:p>
        </w:tc>
        <w:tc>
          <w:tcPr>
            <w:tcW w:w="1054" w:type="dxa"/>
            <w:tcBorders>
              <w:top w:val="nil"/>
              <w:left w:val="nil"/>
              <w:bottom w:val="nil"/>
              <w:right w:val="nil"/>
            </w:tcBorders>
            <w:shd w:val="clear" w:color="000000" w:fill="FFFFFF"/>
            <w:noWrap/>
            <w:hideMark/>
          </w:tcPr>
          <w:p w:rsidR="007D3E6F" w:rsidRDefault="007D3E6F" w:rsidP="007D3E6F">
            <w:pPr>
              <w:ind w:left="-283"/>
              <w:jc w:val="right"/>
              <w:rPr>
                <w:sz w:val="18"/>
                <w:szCs w:val="18"/>
              </w:rPr>
            </w:pPr>
            <w:r>
              <w:rPr>
                <w:sz w:val="18"/>
                <w:szCs w:val="18"/>
              </w:rPr>
              <w:t>213,786</w:t>
            </w:r>
          </w:p>
        </w:tc>
        <w:tc>
          <w:tcPr>
            <w:tcW w:w="1054" w:type="dxa"/>
            <w:tcBorders>
              <w:top w:val="nil"/>
              <w:left w:val="nil"/>
              <w:bottom w:val="nil"/>
              <w:right w:val="nil"/>
            </w:tcBorders>
            <w:shd w:val="clear" w:color="000000" w:fill="FFFFFF"/>
            <w:noWrap/>
            <w:hideMark/>
          </w:tcPr>
          <w:p w:rsidR="007D3E6F" w:rsidRDefault="007D3E6F" w:rsidP="007D3E6F">
            <w:pPr>
              <w:ind w:left="-283"/>
              <w:jc w:val="right"/>
              <w:rPr>
                <w:sz w:val="18"/>
                <w:szCs w:val="18"/>
              </w:rPr>
            </w:pPr>
            <w:r>
              <w:rPr>
                <w:sz w:val="18"/>
                <w:szCs w:val="18"/>
              </w:rPr>
              <w:t>233,921</w:t>
            </w:r>
          </w:p>
        </w:tc>
      </w:tr>
      <w:tr w:rsidR="007D3E6F" w:rsidTr="007D3E6F">
        <w:tc>
          <w:tcPr>
            <w:tcW w:w="1054" w:type="dxa"/>
            <w:tcBorders>
              <w:top w:val="nil"/>
              <w:left w:val="nil"/>
              <w:bottom w:val="nil"/>
              <w:right w:val="nil"/>
            </w:tcBorders>
            <w:shd w:val="clear" w:color="000000" w:fill="FFFFFF"/>
            <w:noWrap/>
            <w:hideMark/>
          </w:tcPr>
          <w:p w:rsidR="007D3E6F" w:rsidRDefault="007D3E6F" w:rsidP="007D3E6F">
            <w:pPr>
              <w:ind w:left="-283"/>
              <w:jc w:val="right"/>
              <w:rPr>
                <w:sz w:val="18"/>
                <w:szCs w:val="18"/>
              </w:rPr>
            </w:pPr>
            <w:r>
              <w:rPr>
                <w:sz w:val="18"/>
                <w:szCs w:val="18"/>
              </w:rPr>
              <w:t>5,568</w:t>
            </w:r>
          </w:p>
        </w:tc>
        <w:tc>
          <w:tcPr>
            <w:tcW w:w="2314" w:type="dxa"/>
            <w:tcBorders>
              <w:top w:val="nil"/>
              <w:left w:val="nil"/>
              <w:bottom w:val="nil"/>
              <w:right w:val="nil"/>
            </w:tcBorders>
            <w:shd w:val="clear" w:color="000000" w:fill="FFFFFF"/>
            <w:hideMark/>
          </w:tcPr>
          <w:p w:rsidR="007D3E6F" w:rsidRDefault="007D3E6F" w:rsidP="007D3E6F">
            <w:pPr>
              <w:rPr>
                <w:sz w:val="18"/>
                <w:szCs w:val="18"/>
              </w:rPr>
            </w:pPr>
            <w:r>
              <w:rPr>
                <w:sz w:val="18"/>
                <w:szCs w:val="18"/>
              </w:rPr>
              <w:t>Related to Supplies and</w:t>
            </w:r>
            <w:r>
              <w:rPr>
                <w:sz w:val="18"/>
                <w:szCs w:val="18"/>
              </w:rPr>
              <w:br/>
              <w:t xml:space="preserve">   Services</w:t>
            </w:r>
          </w:p>
        </w:tc>
        <w:tc>
          <w:tcPr>
            <w:tcW w:w="1184" w:type="dxa"/>
            <w:tcBorders>
              <w:top w:val="nil"/>
              <w:left w:val="nil"/>
              <w:bottom w:val="nil"/>
              <w:right w:val="nil"/>
            </w:tcBorders>
            <w:shd w:val="clear" w:color="000000" w:fill="FFFFFF"/>
            <w:noWrap/>
            <w:hideMark/>
          </w:tcPr>
          <w:p w:rsidR="007D3E6F" w:rsidRDefault="007D3E6F" w:rsidP="007D3E6F">
            <w:pPr>
              <w:ind w:left="-283"/>
              <w:jc w:val="right"/>
              <w:rPr>
                <w:sz w:val="18"/>
                <w:szCs w:val="18"/>
              </w:rPr>
            </w:pPr>
            <w:r>
              <w:rPr>
                <w:sz w:val="18"/>
                <w:szCs w:val="18"/>
              </w:rPr>
              <w:t>4,985</w:t>
            </w:r>
          </w:p>
        </w:tc>
        <w:tc>
          <w:tcPr>
            <w:tcW w:w="1054" w:type="dxa"/>
            <w:tcBorders>
              <w:top w:val="nil"/>
              <w:left w:val="nil"/>
              <w:bottom w:val="nil"/>
              <w:right w:val="nil"/>
            </w:tcBorders>
            <w:shd w:val="clear" w:color="000000" w:fill="FFFFFF"/>
            <w:noWrap/>
            <w:hideMark/>
          </w:tcPr>
          <w:p w:rsidR="007D3E6F" w:rsidRDefault="007D3E6F" w:rsidP="007D3E6F">
            <w:pPr>
              <w:ind w:left="-283"/>
              <w:jc w:val="right"/>
              <w:rPr>
                <w:sz w:val="18"/>
                <w:szCs w:val="18"/>
              </w:rPr>
            </w:pPr>
            <w:r>
              <w:rPr>
                <w:sz w:val="18"/>
                <w:szCs w:val="18"/>
              </w:rPr>
              <w:t>5,160</w:t>
            </w:r>
          </w:p>
        </w:tc>
        <w:tc>
          <w:tcPr>
            <w:tcW w:w="624" w:type="dxa"/>
            <w:tcBorders>
              <w:top w:val="nil"/>
              <w:left w:val="nil"/>
              <w:bottom w:val="nil"/>
              <w:right w:val="nil"/>
            </w:tcBorders>
            <w:shd w:val="clear" w:color="000000" w:fill="FFFFFF"/>
            <w:noWrap/>
            <w:hideMark/>
          </w:tcPr>
          <w:p w:rsidR="007D3E6F" w:rsidRDefault="007D3E6F" w:rsidP="007D3E6F">
            <w:pPr>
              <w:ind w:left="-283"/>
              <w:jc w:val="right"/>
              <w:rPr>
                <w:sz w:val="18"/>
                <w:szCs w:val="18"/>
              </w:rPr>
            </w:pPr>
            <w:r>
              <w:rPr>
                <w:sz w:val="18"/>
                <w:szCs w:val="18"/>
              </w:rPr>
              <w:t xml:space="preserve">4 </w:t>
            </w:r>
          </w:p>
        </w:tc>
        <w:tc>
          <w:tcPr>
            <w:tcW w:w="1054" w:type="dxa"/>
            <w:tcBorders>
              <w:top w:val="nil"/>
              <w:left w:val="nil"/>
              <w:bottom w:val="nil"/>
              <w:right w:val="nil"/>
            </w:tcBorders>
            <w:shd w:val="clear" w:color="000000" w:fill="FFFFFF"/>
            <w:noWrap/>
            <w:hideMark/>
          </w:tcPr>
          <w:p w:rsidR="007D3E6F" w:rsidRDefault="007D3E6F" w:rsidP="007D3E6F">
            <w:pPr>
              <w:ind w:left="-283"/>
              <w:jc w:val="right"/>
              <w:rPr>
                <w:sz w:val="18"/>
                <w:szCs w:val="18"/>
              </w:rPr>
            </w:pPr>
            <w:r>
              <w:rPr>
                <w:sz w:val="18"/>
                <w:szCs w:val="18"/>
              </w:rPr>
              <w:t>5,245</w:t>
            </w:r>
          </w:p>
        </w:tc>
        <w:tc>
          <w:tcPr>
            <w:tcW w:w="1054" w:type="dxa"/>
            <w:tcBorders>
              <w:top w:val="nil"/>
              <w:left w:val="nil"/>
              <w:bottom w:val="nil"/>
              <w:right w:val="nil"/>
            </w:tcBorders>
            <w:shd w:val="clear" w:color="000000" w:fill="FFFFFF"/>
            <w:noWrap/>
            <w:hideMark/>
          </w:tcPr>
          <w:p w:rsidR="007D3E6F" w:rsidRDefault="007D3E6F" w:rsidP="007D3E6F">
            <w:pPr>
              <w:ind w:left="-283"/>
              <w:jc w:val="right"/>
              <w:rPr>
                <w:sz w:val="18"/>
                <w:szCs w:val="18"/>
              </w:rPr>
            </w:pPr>
            <w:r>
              <w:rPr>
                <w:sz w:val="18"/>
                <w:szCs w:val="18"/>
              </w:rPr>
              <w:t>5,474</w:t>
            </w:r>
          </w:p>
        </w:tc>
        <w:tc>
          <w:tcPr>
            <w:tcW w:w="1054" w:type="dxa"/>
            <w:tcBorders>
              <w:top w:val="nil"/>
              <w:left w:val="nil"/>
              <w:bottom w:val="nil"/>
              <w:right w:val="nil"/>
            </w:tcBorders>
            <w:shd w:val="clear" w:color="000000" w:fill="FFFFFF"/>
            <w:noWrap/>
            <w:hideMark/>
          </w:tcPr>
          <w:p w:rsidR="007D3E6F" w:rsidRDefault="007D3E6F" w:rsidP="007D3E6F">
            <w:pPr>
              <w:ind w:left="-283"/>
              <w:jc w:val="right"/>
              <w:rPr>
                <w:sz w:val="18"/>
                <w:szCs w:val="18"/>
              </w:rPr>
            </w:pPr>
            <w:r>
              <w:rPr>
                <w:sz w:val="18"/>
                <w:szCs w:val="18"/>
              </w:rPr>
              <w:t>5,682</w:t>
            </w:r>
          </w:p>
        </w:tc>
      </w:tr>
      <w:tr w:rsidR="007D3E6F" w:rsidTr="007D3E6F">
        <w:tc>
          <w:tcPr>
            <w:tcW w:w="1054" w:type="dxa"/>
            <w:tcBorders>
              <w:top w:val="nil"/>
              <w:left w:val="nil"/>
              <w:bottom w:val="nil"/>
              <w:right w:val="nil"/>
            </w:tcBorders>
            <w:shd w:val="clear" w:color="000000" w:fill="FFFFFF"/>
            <w:noWrap/>
            <w:hideMark/>
          </w:tcPr>
          <w:p w:rsidR="007D3E6F" w:rsidRDefault="007D3E6F" w:rsidP="007D3E6F">
            <w:pPr>
              <w:ind w:left="-283"/>
              <w:jc w:val="right"/>
              <w:rPr>
                <w:sz w:val="18"/>
                <w:szCs w:val="18"/>
              </w:rPr>
            </w:pPr>
            <w:r>
              <w:rPr>
                <w:sz w:val="18"/>
                <w:szCs w:val="18"/>
              </w:rPr>
              <w:t>4,183</w:t>
            </w:r>
          </w:p>
        </w:tc>
        <w:tc>
          <w:tcPr>
            <w:tcW w:w="2314" w:type="dxa"/>
            <w:tcBorders>
              <w:top w:val="nil"/>
              <w:left w:val="nil"/>
              <w:bottom w:val="nil"/>
              <w:right w:val="nil"/>
            </w:tcBorders>
            <w:shd w:val="clear" w:color="000000" w:fill="FFFFFF"/>
            <w:noWrap/>
            <w:hideMark/>
          </w:tcPr>
          <w:p w:rsidR="007D3E6F" w:rsidRDefault="007D3E6F" w:rsidP="007D3E6F">
            <w:pPr>
              <w:rPr>
                <w:sz w:val="18"/>
                <w:szCs w:val="18"/>
              </w:rPr>
            </w:pPr>
            <w:r>
              <w:rPr>
                <w:sz w:val="18"/>
                <w:szCs w:val="18"/>
              </w:rPr>
              <w:t>Other</w:t>
            </w:r>
          </w:p>
        </w:tc>
        <w:tc>
          <w:tcPr>
            <w:tcW w:w="1184" w:type="dxa"/>
            <w:tcBorders>
              <w:top w:val="nil"/>
              <w:left w:val="nil"/>
              <w:bottom w:val="nil"/>
              <w:right w:val="nil"/>
            </w:tcBorders>
            <w:shd w:val="clear" w:color="000000" w:fill="FFFFFF"/>
            <w:noWrap/>
            <w:hideMark/>
          </w:tcPr>
          <w:p w:rsidR="007D3E6F" w:rsidRDefault="007D3E6F" w:rsidP="007D3E6F">
            <w:pPr>
              <w:ind w:left="-283"/>
              <w:jc w:val="right"/>
              <w:rPr>
                <w:sz w:val="18"/>
                <w:szCs w:val="18"/>
              </w:rPr>
            </w:pPr>
            <w:r>
              <w:rPr>
                <w:sz w:val="18"/>
                <w:szCs w:val="18"/>
              </w:rPr>
              <w:t>4,174</w:t>
            </w:r>
          </w:p>
        </w:tc>
        <w:tc>
          <w:tcPr>
            <w:tcW w:w="1054" w:type="dxa"/>
            <w:tcBorders>
              <w:top w:val="nil"/>
              <w:left w:val="nil"/>
              <w:bottom w:val="nil"/>
              <w:right w:val="nil"/>
            </w:tcBorders>
            <w:shd w:val="clear" w:color="000000" w:fill="FFFFFF"/>
            <w:noWrap/>
            <w:hideMark/>
          </w:tcPr>
          <w:p w:rsidR="007D3E6F" w:rsidRDefault="007D3E6F" w:rsidP="007D3E6F">
            <w:pPr>
              <w:ind w:left="-283"/>
              <w:jc w:val="right"/>
              <w:rPr>
                <w:sz w:val="18"/>
                <w:szCs w:val="18"/>
              </w:rPr>
            </w:pPr>
            <w:r>
              <w:rPr>
                <w:sz w:val="18"/>
                <w:szCs w:val="18"/>
              </w:rPr>
              <w:t>3,008</w:t>
            </w:r>
          </w:p>
        </w:tc>
        <w:tc>
          <w:tcPr>
            <w:tcW w:w="624" w:type="dxa"/>
            <w:tcBorders>
              <w:top w:val="nil"/>
              <w:left w:val="nil"/>
              <w:bottom w:val="nil"/>
              <w:right w:val="nil"/>
            </w:tcBorders>
            <w:shd w:val="clear" w:color="000000" w:fill="FFFFFF"/>
            <w:noWrap/>
            <w:hideMark/>
          </w:tcPr>
          <w:p w:rsidR="007D3E6F" w:rsidRDefault="007D3E6F" w:rsidP="007D3E6F">
            <w:pPr>
              <w:ind w:left="-283"/>
              <w:jc w:val="right"/>
              <w:rPr>
                <w:sz w:val="18"/>
                <w:szCs w:val="18"/>
              </w:rPr>
            </w:pPr>
            <w:r>
              <w:rPr>
                <w:sz w:val="18"/>
                <w:szCs w:val="18"/>
              </w:rPr>
              <w:t xml:space="preserve">-28 </w:t>
            </w:r>
          </w:p>
        </w:tc>
        <w:tc>
          <w:tcPr>
            <w:tcW w:w="1054" w:type="dxa"/>
            <w:tcBorders>
              <w:top w:val="nil"/>
              <w:left w:val="nil"/>
              <w:bottom w:val="nil"/>
              <w:right w:val="nil"/>
            </w:tcBorders>
            <w:shd w:val="clear" w:color="000000" w:fill="FFFFFF"/>
            <w:noWrap/>
            <w:hideMark/>
          </w:tcPr>
          <w:p w:rsidR="007D3E6F" w:rsidRDefault="007D3E6F" w:rsidP="007D3E6F">
            <w:pPr>
              <w:ind w:left="-283"/>
              <w:jc w:val="right"/>
              <w:rPr>
                <w:sz w:val="18"/>
                <w:szCs w:val="18"/>
              </w:rPr>
            </w:pPr>
            <w:r>
              <w:rPr>
                <w:sz w:val="18"/>
                <w:szCs w:val="18"/>
              </w:rPr>
              <w:t>3,179</w:t>
            </w:r>
          </w:p>
        </w:tc>
        <w:tc>
          <w:tcPr>
            <w:tcW w:w="1054" w:type="dxa"/>
            <w:tcBorders>
              <w:top w:val="nil"/>
              <w:left w:val="nil"/>
              <w:bottom w:val="nil"/>
              <w:right w:val="nil"/>
            </w:tcBorders>
            <w:shd w:val="clear" w:color="000000" w:fill="FFFFFF"/>
            <w:noWrap/>
            <w:hideMark/>
          </w:tcPr>
          <w:p w:rsidR="007D3E6F" w:rsidRDefault="007D3E6F" w:rsidP="007D3E6F">
            <w:pPr>
              <w:ind w:left="-283"/>
              <w:jc w:val="right"/>
              <w:rPr>
                <w:sz w:val="18"/>
                <w:szCs w:val="18"/>
              </w:rPr>
            </w:pPr>
            <w:r>
              <w:rPr>
                <w:sz w:val="18"/>
                <w:szCs w:val="18"/>
              </w:rPr>
              <w:t>3,405</w:t>
            </w:r>
          </w:p>
        </w:tc>
        <w:tc>
          <w:tcPr>
            <w:tcW w:w="1054" w:type="dxa"/>
            <w:tcBorders>
              <w:top w:val="nil"/>
              <w:left w:val="nil"/>
              <w:bottom w:val="nil"/>
              <w:right w:val="nil"/>
            </w:tcBorders>
            <w:shd w:val="clear" w:color="000000" w:fill="FFFFFF"/>
            <w:noWrap/>
            <w:hideMark/>
          </w:tcPr>
          <w:p w:rsidR="007D3E6F" w:rsidRDefault="007D3E6F" w:rsidP="007D3E6F">
            <w:pPr>
              <w:ind w:left="-283"/>
              <w:jc w:val="right"/>
              <w:rPr>
                <w:sz w:val="18"/>
                <w:szCs w:val="18"/>
              </w:rPr>
            </w:pPr>
            <w:r>
              <w:rPr>
                <w:sz w:val="18"/>
                <w:szCs w:val="18"/>
              </w:rPr>
              <w:t>3,648</w:t>
            </w:r>
          </w:p>
        </w:tc>
      </w:tr>
      <w:tr w:rsidR="007D3E6F" w:rsidTr="007D3E6F">
        <w:tc>
          <w:tcPr>
            <w:tcW w:w="1054" w:type="dxa"/>
            <w:tcBorders>
              <w:top w:val="nil"/>
              <w:left w:val="nil"/>
              <w:bottom w:val="nil"/>
              <w:right w:val="nil"/>
            </w:tcBorders>
            <w:shd w:val="clear" w:color="000000" w:fill="FFFFFF"/>
            <w:noWrap/>
            <w:hideMark/>
          </w:tcPr>
          <w:p w:rsidR="007D3E6F" w:rsidRDefault="007D3E6F" w:rsidP="007D3E6F">
            <w:pPr>
              <w:ind w:left="-283"/>
              <w:jc w:val="right"/>
              <w:rPr>
                <w:b/>
                <w:bCs/>
                <w:sz w:val="18"/>
                <w:szCs w:val="18"/>
              </w:rPr>
            </w:pPr>
            <w:r>
              <w:rPr>
                <w:b/>
                <w:bCs/>
                <w:sz w:val="18"/>
                <w:szCs w:val="18"/>
              </w:rPr>
              <w:t>172,369</w:t>
            </w:r>
          </w:p>
        </w:tc>
        <w:tc>
          <w:tcPr>
            <w:tcW w:w="2314" w:type="dxa"/>
            <w:tcBorders>
              <w:top w:val="nil"/>
              <w:left w:val="nil"/>
              <w:bottom w:val="nil"/>
              <w:right w:val="nil"/>
            </w:tcBorders>
            <w:shd w:val="clear" w:color="000000" w:fill="FFFFFF"/>
            <w:noWrap/>
            <w:hideMark/>
          </w:tcPr>
          <w:p w:rsidR="007D3E6F" w:rsidRDefault="007D3E6F" w:rsidP="007D3E6F">
            <w:pPr>
              <w:rPr>
                <w:b/>
                <w:bCs/>
                <w:sz w:val="18"/>
                <w:szCs w:val="18"/>
              </w:rPr>
            </w:pPr>
            <w:r>
              <w:rPr>
                <w:b/>
                <w:bCs/>
                <w:sz w:val="18"/>
                <w:szCs w:val="18"/>
              </w:rPr>
              <w:t>Operating Payments</w:t>
            </w:r>
          </w:p>
        </w:tc>
        <w:tc>
          <w:tcPr>
            <w:tcW w:w="1184" w:type="dxa"/>
            <w:tcBorders>
              <w:top w:val="nil"/>
              <w:left w:val="nil"/>
              <w:bottom w:val="nil"/>
              <w:right w:val="nil"/>
            </w:tcBorders>
            <w:shd w:val="clear" w:color="000000" w:fill="FFFFFF"/>
            <w:noWrap/>
            <w:hideMark/>
          </w:tcPr>
          <w:p w:rsidR="007D3E6F" w:rsidRDefault="007D3E6F" w:rsidP="007D3E6F">
            <w:pPr>
              <w:ind w:left="-283"/>
              <w:jc w:val="right"/>
              <w:rPr>
                <w:b/>
                <w:bCs/>
                <w:sz w:val="18"/>
                <w:szCs w:val="18"/>
              </w:rPr>
            </w:pPr>
            <w:r>
              <w:rPr>
                <w:b/>
                <w:bCs/>
                <w:sz w:val="18"/>
                <w:szCs w:val="18"/>
              </w:rPr>
              <w:t>157,406</w:t>
            </w:r>
          </w:p>
        </w:tc>
        <w:tc>
          <w:tcPr>
            <w:tcW w:w="1054" w:type="dxa"/>
            <w:tcBorders>
              <w:top w:val="nil"/>
              <w:left w:val="nil"/>
              <w:bottom w:val="nil"/>
              <w:right w:val="nil"/>
            </w:tcBorders>
            <w:shd w:val="clear" w:color="000000" w:fill="FFFFFF"/>
            <w:noWrap/>
            <w:hideMark/>
          </w:tcPr>
          <w:p w:rsidR="007D3E6F" w:rsidRDefault="007D3E6F" w:rsidP="007D3E6F">
            <w:pPr>
              <w:ind w:left="-283"/>
              <w:jc w:val="right"/>
              <w:rPr>
                <w:b/>
                <w:bCs/>
                <w:sz w:val="18"/>
                <w:szCs w:val="18"/>
              </w:rPr>
            </w:pPr>
            <w:r>
              <w:rPr>
                <w:b/>
                <w:bCs/>
                <w:sz w:val="18"/>
                <w:szCs w:val="18"/>
              </w:rPr>
              <w:t>187,313</w:t>
            </w:r>
          </w:p>
        </w:tc>
        <w:tc>
          <w:tcPr>
            <w:tcW w:w="624" w:type="dxa"/>
            <w:tcBorders>
              <w:top w:val="nil"/>
              <w:left w:val="nil"/>
              <w:bottom w:val="nil"/>
              <w:right w:val="nil"/>
            </w:tcBorders>
            <w:shd w:val="clear" w:color="000000" w:fill="FFFFFF"/>
            <w:noWrap/>
            <w:hideMark/>
          </w:tcPr>
          <w:p w:rsidR="007D3E6F" w:rsidRDefault="007D3E6F" w:rsidP="007D3E6F">
            <w:pPr>
              <w:ind w:left="-283"/>
              <w:jc w:val="right"/>
              <w:rPr>
                <w:b/>
                <w:bCs/>
                <w:sz w:val="18"/>
                <w:szCs w:val="18"/>
              </w:rPr>
            </w:pPr>
            <w:r>
              <w:rPr>
                <w:b/>
                <w:bCs/>
                <w:sz w:val="18"/>
                <w:szCs w:val="18"/>
              </w:rPr>
              <w:t xml:space="preserve">19 </w:t>
            </w:r>
          </w:p>
        </w:tc>
        <w:tc>
          <w:tcPr>
            <w:tcW w:w="1054" w:type="dxa"/>
            <w:tcBorders>
              <w:top w:val="nil"/>
              <w:left w:val="nil"/>
              <w:bottom w:val="nil"/>
              <w:right w:val="nil"/>
            </w:tcBorders>
            <w:shd w:val="clear" w:color="000000" w:fill="FFFFFF"/>
            <w:noWrap/>
            <w:hideMark/>
          </w:tcPr>
          <w:p w:rsidR="007D3E6F" w:rsidRDefault="007D3E6F" w:rsidP="007D3E6F">
            <w:pPr>
              <w:ind w:left="-283"/>
              <w:jc w:val="right"/>
              <w:rPr>
                <w:b/>
                <w:bCs/>
                <w:sz w:val="18"/>
                <w:szCs w:val="18"/>
              </w:rPr>
            </w:pPr>
            <w:r>
              <w:rPr>
                <w:b/>
                <w:bCs/>
                <w:sz w:val="18"/>
                <w:szCs w:val="18"/>
              </w:rPr>
              <w:t>205,052</w:t>
            </w:r>
          </w:p>
        </w:tc>
        <w:tc>
          <w:tcPr>
            <w:tcW w:w="1054" w:type="dxa"/>
            <w:tcBorders>
              <w:top w:val="nil"/>
              <w:left w:val="nil"/>
              <w:bottom w:val="nil"/>
              <w:right w:val="nil"/>
            </w:tcBorders>
            <w:shd w:val="clear" w:color="000000" w:fill="FFFFFF"/>
            <w:noWrap/>
            <w:hideMark/>
          </w:tcPr>
          <w:p w:rsidR="007D3E6F" w:rsidRDefault="007D3E6F" w:rsidP="007D3E6F">
            <w:pPr>
              <w:ind w:left="-283"/>
              <w:jc w:val="right"/>
              <w:rPr>
                <w:b/>
                <w:bCs/>
                <w:sz w:val="18"/>
                <w:szCs w:val="18"/>
              </w:rPr>
            </w:pPr>
            <w:r>
              <w:rPr>
                <w:b/>
                <w:bCs/>
                <w:sz w:val="18"/>
                <w:szCs w:val="18"/>
              </w:rPr>
              <w:t>223,510</w:t>
            </w:r>
          </w:p>
        </w:tc>
        <w:tc>
          <w:tcPr>
            <w:tcW w:w="1054" w:type="dxa"/>
            <w:tcBorders>
              <w:top w:val="nil"/>
              <w:left w:val="nil"/>
              <w:bottom w:val="nil"/>
              <w:right w:val="nil"/>
            </w:tcBorders>
            <w:shd w:val="clear" w:color="000000" w:fill="FFFFFF"/>
            <w:noWrap/>
            <w:hideMark/>
          </w:tcPr>
          <w:p w:rsidR="007D3E6F" w:rsidRDefault="007D3E6F" w:rsidP="007D3E6F">
            <w:pPr>
              <w:ind w:left="-283"/>
              <w:jc w:val="right"/>
              <w:rPr>
                <w:b/>
                <w:bCs/>
                <w:sz w:val="18"/>
                <w:szCs w:val="18"/>
              </w:rPr>
            </w:pPr>
            <w:r>
              <w:rPr>
                <w:b/>
                <w:bCs/>
                <w:sz w:val="18"/>
                <w:szCs w:val="18"/>
              </w:rPr>
              <w:t>244,117</w:t>
            </w:r>
          </w:p>
        </w:tc>
      </w:tr>
      <w:tr w:rsidR="007D3E6F" w:rsidRPr="00F70B65" w:rsidTr="007D3E6F">
        <w:tc>
          <w:tcPr>
            <w:tcW w:w="1054" w:type="dxa"/>
            <w:tcBorders>
              <w:top w:val="nil"/>
              <w:left w:val="nil"/>
              <w:bottom w:val="nil"/>
              <w:right w:val="nil"/>
            </w:tcBorders>
            <w:shd w:val="clear" w:color="000000" w:fill="FFFFFF"/>
            <w:noWrap/>
            <w:hideMark/>
          </w:tcPr>
          <w:p w:rsidR="007D3E6F" w:rsidRPr="00F70B65" w:rsidRDefault="007D3E6F" w:rsidP="007D3E6F">
            <w:pPr>
              <w:ind w:left="-283"/>
              <w:rPr>
                <w:sz w:val="10"/>
                <w:szCs w:val="10"/>
              </w:rPr>
            </w:pPr>
            <w:r w:rsidRPr="00F70B65">
              <w:rPr>
                <w:sz w:val="10"/>
                <w:szCs w:val="10"/>
              </w:rPr>
              <w:t> </w:t>
            </w:r>
          </w:p>
        </w:tc>
        <w:tc>
          <w:tcPr>
            <w:tcW w:w="2314" w:type="dxa"/>
            <w:tcBorders>
              <w:top w:val="nil"/>
              <w:left w:val="nil"/>
              <w:bottom w:val="nil"/>
              <w:right w:val="nil"/>
            </w:tcBorders>
            <w:shd w:val="clear" w:color="000000" w:fill="FFFFFF"/>
            <w:noWrap/>
            <w:hideMark/>
          </w:tcPr>
          <w:p w:rsidR="007D3E6F" w:rsidRPr="00F70B65" w:rsidRDefault="007D3E6F" w:rsidP="007D3E6F">
            <w:pPr>
              <w:rPr>
                <w:sz w:val="10"/>
                <w:szCs w:val="10"/>
              </w:rPr>
            </w:pPr>
            <w:r w:rsidRPr="00F70B65">
              <w:rPr>
                <w:sz w:val="10"/>
                <w:szCs w:val="10"/>
              </w:rPr>
              <w:t> </w:t>
            </w:r>
          </w:p>
        </w:tc>
        <w:tc>
          <w:tcPr>
            <w:tcW w:w="1184" w:type="dxa"/>
            <w:tcBorders>
              <w:top w:val="nil"/>
              <w:left w:val="nil"/>
              <w:bottom w:val="nil"/>
              <w:right w:val="nil"/>
            </w:tcBorders>
            <w:shd w:val="clear" w:color="000000" w:fill="FFFFFF"/>
            <w:noWrap/>
            <w:hideMark/>
          </w:tcPr>
          <w:p w:rsidR="007D3E6F" w:rsidRPr="00F70B65" w:rsidRDefault="007D3E6F" w:rsidP="007D3E6F">
            <w:pPr>
              <w:ind w:left="-283"/>
              <w:rPr>
                <w:sz w:val="10"/>
                <w:szCs w:val="10"/>
              </w:rPr>
            </w:pPr>
            <w:r w:rsidRPr="00F70B65">
              <w:rPr>
                <w:sz w:val="10"/>
                <w:szCs w:val="10"/>
              </w:rPr>
              <w:t> </w:t>
            </w:r>
          </w:p>
        </w:tc>
        <w:tc>
          <w:tcPr>
            <w:tcW w:w="1054" w:type="dxa"/>
            <w:tcBorders>
              <w:top w:val="nil"/>
              <w:left w:val="nil"/>
              <w:bottom w:val="nil"/>
              <w:right w:val="nil"/>
            </w:tcBorders>
            <w:shd w:val="clear" w:color="000000" w:fill="FFFFFF"/>
            <w:noWrap/>
            <w:hideMark/>
          </w:tcPr>
          <w:p w:rsidR="007D3E6F" w:rsidRPr="00F70B65" w:rsidRDefault="007D3E6F" w:rsidP="007D3E6F">
            <w:pPr>
              <w:ind w:left="-283"/>
              <w:rPr>
                <w:sz w:val="10"/>
                <w:szCs w:val="10"/>
              </w:rPr>
            </w:pPr>
            <w:r w:rsidRPr="00F70B65">
              <w:rPr>
                <w:sz w:val="10"/>
                <w:szCs w:val="10"/>
              </w:rPr>
              <w:t> </w:t>
            </w:r>
          </w:p>
        </w:tc>
        <w:tc>
          <w:tcPr>
            <w:tcW w:w="624" w:type="dxa"/>
            <w:tcBorders>
              <w:top w:val="nil"/>
              <w:left w:val="nil"/>
              <w:bottom w:val="nil"/>
              <w:right w:val="nil"/>
            </w:tcBorders>
            <w:shd w:val="clear" w:color="000000" w:fill="FFFFFF"/>
            <w:noWrap/>
            <w:hideMark/>
          </w:tcPr>
          <w:p w:rsidR="007D3E6F" w:rsidRPr="00F70B65" w:rsidRDefault="007D3E6F" w:rsidP="007D3E6F">
            <w:pPr>
              <w:ind w:left="-283"/>
              <w:rPr>
                <w:sz w:val="10"/>
                <w:szCs w:val="10"/>
              </w:rPr>
            </w:pPr>
            <w:r w:rsidRPr="00F70B65">
              <w:rPr>
                <w:sz w:val="10"/>
                <w:szCs w:val="10"/>
              </w:rPr>
              <w:t> </w:t>
            </w:r>
          </w:p>
        </w:tc>
        <w:tc>
          <w:tcPr>
            <w:tcW w:w="1054" w:type="dxa"/>
            <w:tcBorders>
              <w:top w:val="nil"/>
              <w:left w:val="nil"/>
              <w:bottom w:val="nil"/>
              <w:right w:val="nil"/>
            </w:tcBorders>
            <w:shd w:val="clear" w:color="000000" w:fill="FFFFFF"/>
            <w:noWrap/>
            <w:hideMark/>
          </w:tcPr>
          <w:p w:rsidR="007D3E6F" w:rsidRPr="00F70B65" w:rsidRDefault="007D3E6F" w:rsidP="007D3E6F">
            <w:pPr>
              <w:ind w:left="-283"/>
              <w:rPr>
                <w:sz w:val="10"/>
                <w:szCs w:val="10"/>
              </w:rPr>
            </w:pPr>
            <w:r w:rsidRPr="00F70B65">
              <w:rPr>
                <w:sz w:val="10"/>
                <w:szCs w:val="10"/>
              </w:rPr>
              <w:t> </w:t>
            </w:r>
          </w:p>
        </w:tc>
        <w:tc>
          <w:tcPr>
            <w:tcW w:w="1054" w:type="dxa"/>
            <w:tcBorders>
              <w:top w:val="nil"/>
              <w:left w:val="nil"/>
              <w:bottom w:val="nil"/>
              <w:right w:val="nil"/>
            </w:tcBorders>
            <w:shd w:val="clear" w:color="000000" w:fill="FFFFFF"/>
            <w:noWrap/>
            <w:hideMark/>
          </w:tcPr>
          <w:p w:rsidR="007D3E6F" w:rsidRPr="00F70B65" w:rsidRDefault="007D3E6F" w:rsidP="007D3E6F">
            <w:pPr>
              <w:ind w:left="-283"/>
              <w:rPr>
                <w:sz w:val="10"/>
                <w:szCs w:val="10"/>
              </w:rPr>
            </w:pPr>
            <w:r w:rsidRPr="00F70B65">
              <w:rPr>
                <w:sz w:val="10"/>
                <w:szCs w:val="10"/>
              </w:rPr>
              <w:t> </w:t>
            </w:r>
          </w:p>
        </w:tc>
        <w:tc>
          <w:tcPr>
            <w:tcW w:w="1054" w:type="dxa"/>
            <w:tcBorders>
              <w:top w:val="nil"/>
              <w:left w:val="nil"/>
              <w:bottom w:val="nil"/>
              <w:right w:val="nil"/>
            </w:tcBorders>
            <w:shd w:val="clear" w:color="000000" w:fill="FFFFFF"/>
            <w:noWrap/>
            <w:hideMark/>
          </w:tcPr>
          <w:p w:rsidR="007D3E6F" w:rsidRPr="00F70B65" w:rsidRDefault="007D3E6F" w:rsidP="007D3E6F">
            <w:pPr>
              <w:ind w:left="-283"/>
              <w:rPr>
                <w:sz w:val="10"/>
                <w:szCs w:val="10"/>
              </w:rPr>
            </w:pPr>
            <w:r w:rsidRPr="00F70B65">
              <w:rPr>
                <w:sz w:val="10"/>
                <w:szCs w:val="10"/>
              </w:rPr>
              <w:t> </w:t>
            </w:r>
          </w:p>
        </w:tc>
      </w:tr>
      <w:tr w:rsidR="007D3E6F" w:rsidTr="007D3E6F">
        <w:tc>
          <w:tcPr>
            <w:tcW w:w="1054" w:type="dxa"/>
            <w:tcBorders>
              <w:top w:val="nil"/>
              <w:left w:val="nil"/>
              <w:bottom w:val="nil"/>
              <w:right w:val="nil"/>
            </w:tcBorders>
            <w:shd w:val="clear" w:color="000000" w:fill="FFFFFF"/>
            <w:noWrap/>
            <w:hideMark/>
          </w:tcPr>
          <w:p w:rsidR="007D3E6F" w:rsidRDefault="007D3E6F" w:rsidP="007D3E6F">
            <w:pPr>
              <w:ind w:left="-283"/>
              <w:jc w:val="right"/>
              <w:rPr>
                <w:b/>
                <w:bCs/>
                <w:sz w:val="18"/>
                <w:szCs w:val="18"/>
              </w:rPr>
            </w:pPr>
            <w:r>
              <w:rPr>
                <w:b/>
                <w:bCs/>
                <w:sz w:val="18"/>
                <w:szCs w:val="18"/>
              </w:rPr>
              <w:t>-67,234</w:t>
            </w:r>
          </w:p>
        </w:tc>
        <w:tc>
          <w:tcPr>
            <w:tcW w:w="2314" w:type="dxa"/>
            <w:tcBorders>
              <w:top w:val="nil"/>
              <w:left w:val="nil"/>
              <w:bottom w:val="nil"/>
              <w:right w:val="nil"/>
            </w:tcBorders>
            <w:shd w:val="clear" w:color="000000" w:fill="FFFFFF"/>
            <w:hideMark/>
          </w:tcPr>
          <w:p w:rsidR="007D3E6F" w:rsidRDefault="007D3E6F" w:rsidP="007D3E6F">
            <w:pPr>
              <w:rPr>
                <w:b/>
                <w:bCs/>
                <w:sz w:val="18"/>
                <w:szCs w:val="18"/>
              </w:rPr>
            </w:pPr>
            <w:r>
              <w:rPr>
                <w:b/>
                <w:bCs/>
                <w:sz w:val="18"/>
                <w:szCs w:val="18"/>
              </w:rPr>
              <w:t>NET CASH INFLOW/</w:t>
            </w:r>
            <w:r>
              <w:rPr>
                <w:b/>
                <w:bCs/>
                <w:sz w:val="18"/>
                <w:szCs w:val="18"/>
              </w:rPr>
              <w:br/>
              <w:t xml:space="preserve">   (OUTFLOW) FROM</w:t>
            </w:r>
            <w:r>
              <w:rPr>
                <w:b/>
                <w:bCs/>
                <w:sz w:val="18"/>
                <w:szCs w:val="18"/>
              </w:rPr>
              <w:br/>
              <w:t xml:space="preserve">   OPERATING ACTIVITIES</w:t>
            </w:r>
          </w:p>
        </w:tc>
        <w:tc>
          <w:tcPr>
            <w:tcW w:w="1184" w:type="dxa"/>
            <w:tcBorders>
              <w:top w:val="nil"/>
              <w:left w:val="nil"/>
              <w:bottom w:val="nil"/>
              <w:right w:val="nil"/>
            </w:tcBorders>
            <w:shd w:val="clear" w:color="000000" w:fill="FFFFFF"/>
            <w:noWrap/>
            <w:hideMark/>
          </w:tcPr>
          <w:p w:rsidR="007D3E6F" w:rsidRDefault="007D3E6F" w:rsidP="007D3E6F">
            <w:pPr>
              <w:ind w:left="-283"/>
              <w:jc w:val="right"/>
              <w:rPr>
                <w:b/>
                <w:bCs/>
                <w:sz w:val="18"/>
                <w:szCs w:val="18"/>
              </w:rPr>
            </w:pPr>
            <w:r>
              <w:rPr>
                <w:b/>
                <w:bCs/>
                <w:sz w:val="18"/>
                <w:szCs w:val="18"/>
              </w:rPr>
              <w:t>-66,095</w:t>
            </w:r>
          </w:p>
        </w:tc>
        <w:tc>
          <w:tcPr>
            <w:tcW w:w="1054" w:type="dxa"/>
            <w:tcBorders>
              <w:top w:val="nil"/>
              <w:left w:val="nil"/>
              <w:bottom w:val="nil"/>
              <w:right w:val="nil"/>
            </w:tcBorders>
            <w:shd w:val="clear" w:color="000000" w:fill="FFFFFF"/>
            <w:noWrap/>
            <w:hideMark/>
          </w:tcPr>
          <w:p w:rsidR="007D3E6F" w:rsidRDefault="007D3E6F" w:rsidP="007D3E6F">
            <w:pPr>
              <w:ind w:left="-283"/>
              <w:jc w:val="right"/>
              <w:rPr>
                <w:b/>
                <w:bCs/>
                <w:sz w:val="18"/>
                <w:szCs w:val="18"/>
              </w:rPr>
            </w:pPr>
            <w:r>
              <w:rPr>
                <w:b/>
                <w:bCs/>
                <w:sz w:val="18"/>
                <w:szCs w:val="18"/>
              </w:rPr>
              <w:t>-75,864</w:t>
            </w:r>
          </w:p>
        </w:tc>
        <w:tc>
          <w:tcPr>
            <w:tcW w:w="624" w:type="dxa"/>
            <w:tcBorders>
              <w:top w:val="nil"/>
              <w:left w:val="nil"/>
              <w:bottom w:val="nil"/>
              <w:right w:val="nil"/>
            </w:tcBorders>
            <w:shd w:val="clear" w:color="000000" w:fill="FFFFFF"/>
            <w:noWrap/>
            <w:hideMark/>
          </w:tcPr>
          <w:p w:rsidR="007D3E6F" w:rsidRDefault="007D3E6F" w:rsidP="007D3E6F">
            <w:pPr>
              <w:ind w:left="-283"/>
              <w:jc w:val="right"/>
              <w:rPr>
                <w:b/>
                <w:bCs/>
                <w:sz w:val="18"/>
                <w:szCs w:val="18"/>
              </w:rPr>
            </w:pPr>
            <w:r>
              <w:rPr>
                <w:b/>
                <w:bCs/>
                <w:sz w:val="18"/>
                <w:szCs w:val="18"/>
              </w:rPr>
              <w:t xml:space="preserve">-15 </w:t>
            </w:r>
          </w:p>
        </w:tc>
        <w:tc>
          <w:tcPr>
            <w:tcW w:w="1054" w:type="dxa"/>
            <w:tcBorders>
              <w:top w:val="nil"/>
              <w:left w:val="nil"/>
              <w:bottom w:val="nil"/>
              <w:right w:val="nil"/>
            </w:tcBorders>
            <w:shd w:val="clear" w:color="000000" w:fill="FFFFFF"/>
            <w:noWrap/>
            <w:hideMark/>
          </w:tcPr>
          <w:p w:rsidR="007D3E6F" w:rsidRDefault="007D3E6F" w:rsidP="007D3E6F">
            <w:pPr>
              <w:ind w:left="-283"/>
              <w:jc w:val="right"/>
              <w:rPr>
                <w:b/>
                <w:bCs/>
                <w:sz w:val="18"/>
                <w:szCs w:val="18"/>
              </w:rPr>
            </w:pPr>
            <w:r>
              <w:rPr>
                <w:b/>
                <w:bCs/>
                <w:sz w:val="18"/>
                <w:szCs w:val="18"/>
              </w:rPr>
              <w:t>-86,407</w:t>
            </w:r>
          </w:p>
        </w:tc>
        <w:tc>
          <w:tcPr>
            <w:tcW w:w="1054" w:type="dxa"/>
            <w:tcBorders>
              <w:top w:val="nil"/>
              <w:left w:val="nil"/>
              <w:bottom w:val="nil"/>
              <w:right w:val="nil"/>
            </w:tcBorders>
            <w:shd w:val="clear" w:color="000000" w:fill="FFFFFF"/>
            <w:noWrap/>
            <w:hideMark/>
          </w:tcPr>
          <w:p w:rsidR="007D3E6F" w:rsidRDefault="007D3E6F" w:rsidP="007D3E6F">
            <w:pPr>
              <w:ind w:left="-283"/>
              <w:jc w:val="right"/>
              <w:rPr>
                <w:b/>
                <w:bCs/>
                <w:sz w:val="18"/>
                <w:szCs w:val="18"/>
              </w:rPr>
            </w:pPr>
            <w:r>
              <w:rPr>
                <w:b/>
                <w:bCs/>
                <w:sz w:val="18"/>
                <w:szCs w:val="18"/>
              </w:rPr>
              <w:t>-95,905</w:t>
            </w:r>
          </w:p>
        </w:tc>
        <w:tc>
          <w:tcPr>
            <w:tcW w:w="1054" w:type="dxa"/>
            <w:tcBorders>
              <w:top w:val="nil"/>
              <w:left w:val="nil"/>
              <w:bottom w:val="nil"/>
              <w:right w:val="nil"/>
            </w:tcBorders>
            <w:shd w:val="clear" w:color="000000" w:fill="FFFFFF"/>
            <w:noWrap/>
            <w:hideMark/>
          </w:tcPr>
          <w:p w:rsidR="007D3E6F" w:rsidRDefault="007D3E6F" w:rsidP="007D3E6F">
            <w:pPr>
              <w:ind w:left="-283"/>
              <w:jc w:val="right"/>
              <w:rPr>
                <w:b/>
                <w:bCs/>
                <w:sz w:val="18"/>
                <w:szCs w:val="18"/>
              </w:rPr>
            </w:pPr>
            <w:r>
              <w:rPr>
                <w:b/>
                <w:bCs/>
                <w:sz w:val="18"/>
                <w:szCs w:val="18"/>
              </w:rPr>
              <w:t>-107,351</w:t>
            </w:r>
          </w:p>
        </w:tc>
      </w:tr>
      <w:tr w:rsidR="007D3E6F" w:rsidRPr="00F70B65" w:rsidTr="007D3E6F">
        <w:tc>
          <w:tcPr>
            <w:tcW w:w="1054" w:type="dxa"/>
            <w:tcBorders>
              <w:top w:val="nil"/>
              <w:left w:val="nil"/>
              <w:bottom w:val="nil"/>
              <w:right w:val="nil"/>
            </w:tcBorders>
            <w:shd w:val="clear" w:color="000000" w:fill="FFFFFF"/>
            <w:noWrap/>
            <w:hideMark/>
          </w:tcPr>
          <w:p w:rsidR="007D3E6F" w:rsidRPr="00F70B65" w:rsidRDefault="007D3E6F" w:rsidP="007D3E6F">
            <w:pPr>
              <w:ind w:left="-283"/>
              <w:rPr>
                <w:color w:val="0000FF"/>
                <w:sz w:val="10"/>
                <w:szCs w:val="10"/>
              </w:rPr>
            </w:pPr>
            <w:r w:rsidRPr="00F70B65">
              <w:rPr>
                <w:color w:val="0000FF"/>
                <w:sz w:val="10"/>
                <w:szCs w:val="10"/>
              </w:rPr>
              <w:t> </w:t>
            </w:r>
          </w:p>
        </w:tc>
        <w:tc>
          <w:tcPr>
            <w:tcW w:w="2314" w:type="dxa"/>
            <w:tcBorders>
              <w:top w:val="nil"/>
              <w:left w:val="nil"/>
              <w:bottom w:val="nil"/>
              <w:right w:val="nil"/>
            </w:tcBorders>
            <w:shd w:val="clear" w:color="000000" w:fill="FFFFFF"/>
            <w:noWrap/>
            <w:hideMark/>
          </w:tcPr>
          <w:p w:rsidR="007D3E6F" w:rsidRPr="00F70B65" w:rsidRDefault="007D3E6F" w:rsidP="007D3E6F">
            <w:pPr>
              <w:rPr>
                <w:b/>
                <w:bCs/>
                <w:sz w:val="10"/>
                <w:szCs w:val="10"/>
              </w:rPr>
            </w:pPr>
            <w:r w:rsidRPr="00F70B65">
              <w:rPr>
                <w:b/>
                <w:bCs/>
                <w:sz w:val="10"/>
                <w:szCs w:val="10"/>
              </w:rPr>
              <w:t> </w:t>
            </w:r>
          </w:p>
        </w:tc>
        <w:tc>
          <w:tcPr>
            <w:tcW w:w="1184" w:type="dxa"/>
            <w:tcBorders>
              <w:top w:val="nil"/>
              <w:left w:val="nil"/>
              <w:bottom w:val="nil"/>
              <w:right w:val="nil"/>
            </w:tcBorders>
            <w:shd w:val="clear" w:color="000000" w:fill="FFFFFF"/>
            <w:noWrap/>
            <w:hideMark/>
          </w:tcPr>
          <w:p w:rsidR="007D3E6F" w:rsidRPr="00F70B65" w:rsidRDefault="007D3E6F" w:rsidP="007D3E6F">
            <w:pPr>
              <w:ind w:left="-283"/>
              <w:rPr>
                <w:b/>
                <w:bCs/>
                <w:sz w:val="10"/>
                <w:szCs w:val="10"/>
              </w:rPr>
            </w:pPr>
            <w:r w:rsidRPr="00F70B65">
              <w:rPr>
                <w:b/>
                <w:bCs/>
                <w:sz w:val="10"/>
                <w:szCs w:val="10"/>
              </w:rPr>
              <w:t> </w:t>
            </w:r>
          </w:p>
        </w:tc>
        <w:tc>
          <w:tcPr>
            <w:tcW w:w="1054" w:type="dxa"/>
            <w:tcBorders>
              <w:top w:val="nil"/>
              <w:left w:val="nil"/>
              <w:bottom w:val="nil"/>
              <w:right w:val="nil"/>
            </w:tcBorders>
            <w:shd w:val="clear" w:color="000000" w:fill="FFFFFF"/>
            <w:noWrap/>
            <w:hideMark/>
          </w:tcPr>
          <w:p w:rsidR="007D3E6F" w:rsidRPr="00F70B65" w:rsidRDefault="007D3E6F" w:rsidP="007D3E6F">
            <w:pPr>
              <w:ind w:left="-283"/>
              <w:rPr>
                <w:color w:val="0000FF"/>
                <w:sz w:val="10"/>
                <w:szCs w:val="10"/>
              </w:rPr>
            </w:pPr>
            <w:r w:rsidRPr="00F70B65">
              <w:rPr>
                <w:color w:val="0000FF"/>
                <w:sz w:val="10"/>
                <w:szCs w:val="10"/>
              </w:rPr>
              <w:t> </w:t>
            </w:r>
          </w:p>
        </w:tc>
        <w:tc>
          <w:tcPr>
            <w:tcW w:w="624" w:type="dxa"/>
            <w:tcBorders>
              <w:top w:val="nil"/>
              <w:left w:val="nil"/>
              <w:bottom w:val="nil"/>
              <w:right w:val="nil"/>
            </w:tcBorders>
            <w:shd w:val="clear" w:color="000000" w:fill="FFFFFF"/>
            <w:noWrap/>
            <w:hideMark/>
          </w:tcPr>
          <w:p w:rsidR="007D3E6F" w:rsidRPr="00F70B65" w:rsidRDefault="007D3E6F" w:rsidP="007D3E6F">
            <w:pPr>
              <w:ind w:left="-283"/>
              <w:rPr>
                <w:color w:val="0000FF"/>
                <w:sz w:val="10"/>
                <w:szCs w:val="10"/>
              </w:rPr>
            </w:pPr>
            <w:r w:rsidRPr="00F70B65">
              <w:rPr>
                <w:color w:val="0000FF"/>
                <w:sz w:val="10"/>
                <w:szCs w:val="10"/>
              </w:rPr>
              <w:t> </w:t>
            </w:r>
          </w:p>
        </w:tc>
        <w:tc>
          <w:tcPr>
            <w:tcW w:w="1054" w:type="dxa"/>
            <w:tcBorders>
              <w:top w:val="nil"/>
              <w:left w:val="nil"/>
              <w:bottom w:val="nil"/>
              <w:right w:val="nil"/>
            </w:tcBorders>
            <w:shd w:val="clear" w:color="000000" w:fill="FFFFFF"/>
            <w:noWrap/>
            <w:hideMark/>
          </w:tcPr>
          <w:p w:rsidR="007D3E6F" w:rsidRPr="00F70B65" w:rsidRDefault="007D3E6F" w:rsidP="007D3E6F">
            <w:pPr>
              <w:ind w:left="-283"/>
              <w:rPr>
                <w:color w:val="0000FF"/>
                <w:sz w:val="10"/>
                <w:szCs w:val="10"/>
              </w:rPr>
            </w:pPr>
            <w:r w:rsidRPr="00F70B65">
              <w:rPr>
                <w:color w:val="0000FF"/>
                <w:sz w:val="10"/>
                <w:szCs w:val="10"/>
              </w:rPr>
              <w:t> </w:t>
            </w:r>
          </w:p>
        </w:tc>
        <w:tc>
          <w:tcPr>
            <w:tcW w:w="1054" w:type="dxa"/>
            <w:tcBorders>
              <w:top w:val="nil"/>
              <w:left w:val="nil"/>
              <w:bottom w:val="nil"/>
              <w:right w:val="nil"/>
            </w:tcBorders>
            <w:shd w:val="clear" w:color="000000" w:fill="FFFFFF"/>
            <w:noWrap/>
            <w:hideMark/>
          </w:tcPr>
          <w:p w:rsidR="007D3E6F" w:rsidRPr="00F70B65" w:rsidRDefault="007D3E6F" w:rsidP="007D3E6F">
            <w:pPr>
              <w:ind w:left="-283"/>
              <w:rPr>
                <w:color w:val="0000FF"/>
                <w:sz w:val="10"/>
                <w:szCs w:val="10"/>
              </w:rPr>
            </w:pPr>
            <w:r w:rsidRPr="00F70B65">
              <w:rPr>
                <w:color w:val="0000FF"/>
                <w:sz w:val="10"/>
                <w:szCs w:val="10"/>
              </w:rPr>
              <w:t> </w:t>
            </w:r>
          </w:p>
        </w:tc>
        <w:tc>
          <w:tcPr>
            <w:tcW w:w="1054" w:type="dxa"/>
            <w:tcBorders>
              <w:top w:val="nil"/>
              <w:left w:val="nil"/>
              <w:bottom w:val="nil"/>
              <w:right w:val="nil"/>
            </w:tcBorders>
            <w:shd w:val="clear" w:color="000000" w:fill="FFFFFF"/>
            <w:noWrap/>
            <w:hideMark/>
          </w:tcPr>
          <w:p w:rsidR="007D3E6F" w:rsidRPr="00F70B65" w:rsidRDefault="007D3E6F" w:rsidP="007D3E6F">
            <w:pPr>
              <w:ind w:left="-283"/>
              <w:rPr>
                <w:color w:val="0000FF"/>
                <w:sz w:val="10"/>
                <w:szCs w:val="10"/>
              </w:rPr>
            </w:pPr>
            <w:r w:rsidRPr="00F70B65">
              <w:rPr>
                <w:color w:val="0000FF"/>
                <w:sz w:val="10"/>
                <w:szCs w:val="10"/>
              </w:rPr>
              <w:t> </w:t>
            </w:r>
          </w:p>
        </w:tc>
      </w:tr>
      <w:tr w:rsidR="007D3E6F" w:rsidTr="007D3E6F">
        <w:tc>
          <w:tcPr>
            <w:tcW w:w="1054" w:type="dxa"/>
            <w:tcBorders>
              <w:top w:val="nil"/>
              <w:left w:val="nil"/>
              <w:bottom w:val="nil"/>
              <w:right w:val="nil"/>
            </w:tcBorders>
            <w:shd w:val="clear" w:color="000000" w:fill="FFFFFF"/>
            <w:noWrap/>
            <w:hideMark/>
          </w:tcPr>
          <w:p w:rsidR="007D3E6F" w:rsidRDefault="007D3E6F" w:rsidP="007D3E6F">
            <w:pPr>
              <w:ind w:left="-283"/>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7D3E6F" w:rsidRDefault="007D3E6F" w:rsidP="007D3E6F">
            <w:pPr>
              <w:rPr>
                <w:sz w:val="18"/>
                <w:szCs w:val="18"/>
              </w:rPr>
            </w:pPr>
            <w:r>
              <w:rPr>
                <w:b/>
                <w:bCs/>
                <w:sz w:val="18"/>
                <w:szCs w:val="18"/>
              </w:rPr>
              <w:t>CASH FLOWS FROM INVESTING ACTIVITIES</w:t>
            </w:r>
            <w:r>
              <w:rPr>
                <w:sz w:val="18"/>
                <w:szCs w:val="18"/>
              </w:rPr>
              <w:t xml:space="preserve"> </w:t>
            </w:r>
          </w:p>
        </w:tc>
        <w:tc>
          <w:tcPr>
            <w:tcW w:w="1054" w:type="dxa"/>
            <w:tcBorders>
              <w:top w:val="nil"/>
              <w:left w:val="nil"/>
              <w:bottom w:val="nil"/>
              <w:right w:val="nil"/>
            </w:tcBorders>
            <w:shd w:val="clear" w:color="000000" w:fill="FFFFFF"/>
            <w:noWrap/>
            <w:hideMark/>
          </w:tcPr>
          <w:p w:rsidR="007D3E6F" w:rsidRDefault="007D3E6F" w:rsidP="007D3E6F">
            <w:pPr>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7D3E6F" w:rsidRDefault="007D3E6F" w:rsidP="007D3E6F">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D3E6F" w:rsidRDefault="007D3E6F" w:rsidP="007D3E6F">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D3E6F" w:rsidRDefault="007D3E6F" w:rsidP="007D3E6F">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D3E6F" w:rsidRDefault="007D3E6F" w:rsidP="007D3E6F">
            <w:pPr>
              <w:ind w:left="-283"/>
              <w:rPr>
                <w:sz w:val="18"/>
                <w:szCs w:val="18"/>
              </w:rPr>
            </w:pPr>
            <w:r>
              <w:rPr>
                <w:sz w:val="18"/>
                <w:szCs w:val="18"/>
              </w:rPr>
              <w:t> </w:t>
            </w:r>
          </w:p>
        </w:tc>
      </w:tr>
      <w:tr w:rsidR="007D3E6F" w:rsidRPr="00F70B65" w:rsidTr="007D3E6F">
        <w:tc>
          <w:tcPr>
            <w:tcW w:w="1054" w:type="dxa"/>
            <w:tcBorders>
              <w:top w:val="nil"/>
              <w:left w:val="nil"/>
              <w:bottom w:val="nil"/>
              <w:right w:val="nil"/>
            </w:tcBorders>
            <w:shd w:val="clear" w:color="000000" w:fill="FFFFFF"/>
            <w:noWrap/>
            <w:hideMark/>
          </w:tcPr>
          <w:p w:rsidR="007D3E6F" w:rsidRPr="00F70B65" w:rsidRDefault="007D3E6F" w:rsidP="007D3E6F">
            <w:pPr>
              <w:ind w:left="-283"/>
              <w:rPr>
                <w:sz w:val="10"/>
                <w:szCs w:val="10"/>
              </w:rPr>
            </w:pPr>
            <w:r w:rsidRPr="00F70B65">
              <w:rPr>
                <w:sz w:val="10"/>
                <w:szCs w:val="10"/>
              </w:rPr>
              <w:t> </w:t>
            </w:r>
          </w:p>
        </w:tc>
        <w:tc>
          <w:tcPr>
            <w:tcW w:w="2314" w:type="dxa"/>
            <w:tcBorders>
              <w:top w:val="nil"/>
              <w:left w:val="nil"/>
              <w:bottom w:val="nil"/>
              <w:right w:val="nil"/>
            </w:tcBorders>
            <w:shd w:val="clear" w:color="000000" w:fill="FFFFFF"/>
            <w:noWrap/>
            <w:hideMark/>
          </w:tcPr>
          <w:p w:rsidR="007D3E6F" w:rsidRPr="00F70B65" w:rsidRDefault="007D3E6F" w:rsidP="007D3E6F">
            <w:pPr>
              <w:rPr>
                <w:b/>
                <w:bCs/>
                <w:sz w:val="10"/>
                <w:szCs w:val="10"/>
              </w:rPr>
            </w:pPr>
            <w:r w:rsidRPr="00F70B65">
              <w:rPr>
                <w:b/>
                <w:bCs/>
                <w:sz w:val="10"/>
                <w:szCs w:val="10"/>
              </w:rPr>
              <w:t> </w:t>
            </w:r>
          </w:p>
        </w:tc>
        <w:tc>
          <w:tcPr>
            <w:tcW w:w="1184" w:type="dxa"/>
            <w:tcBorders>
              <w:top w:val="nil"/>
              <w:left w:val="nil"/>
              <w:bottom w:val="nil"/>
              <w:right w:val="nil"/>
            </w:tcBorders>
            <w:shd w:val="clear" w:color="000000" w:fill="FFFFFF"/>
            <w:noWrap/>
            <w:hideMark/>
          </w:tcPr>
          <w:p w:rsidR="007D3E6F" w:rsidRPr="00F70B65" w:rsidRDefault="007D3E6F" w:rsidP="007D3E6F">
            <w:pPr>
              <w:ind w:left="-283"/>
              <w:rPr>
                <w:sz w:val="10"/>
                <w:szCs w:val="10"/>
              </w:rPr>
            </w:pPr>
            <w:r w:rsidRPr="00F70B65">
              <w:rPr>
                <w:sz w:val="10"/>
                <w:szCs w:val="10"/>
              </w:rPr>
              <w:t> </w:t>
            </w:r>
          </w:p>
        </w:tc>
        <w:tc>
          <w:tcPr>
            <w:tcW w:w="1054" w:type="dxa"/>
            <w:tcBorders>
              <w:top w:val="nil"/>
              <w:left w:val="nil"/>
              <w:bottom w:val="nil"/>
              <w:right w:val="nil"/>
            </w:tcBorders>
            <w:shd w:val="clear" w:color="000000" w:fill="FFFFFF"/>
            <w:noWrap/>
            <w:hideMark/>
          </w:tcPr>
          <w:p w:rsidR="007D3E6F" w:rsidRPr="00F70B65" w:rsidRDefault="007D3E6F" w:rsidP="007D3E6F">
            <w:pPr>
              <w:ind w:left="-283"/>
              <w:rPr>
                <w:sz w:val="10"/>
                <w:szCs w:val="10"/>
              </w:rPr>
            </w:pPr>
            <w:r w:rsidRPr="00F70B65">
              <w:rPr>
                <w:sz w:val="10"/>
                <w:szCs w:val="10"/>
              </w:rPr>
              <w:t> </w:t>
            </w:r>
          </w:p>
        </w:tc>
        <w:tc>
          <w:tcPr>
            <w:tcW w:w="624" w:type="dxa"/>
            <w:tcBorders>
              <w:top w:val="nil"/>
              <w:left w:val="nil"/>
              <w:bottom w:val="nil"/>
              <w:right w:val="nil"/>
            </w:tcBorders>
            <w:shd w:val="clear" w:color="000000" w:fill="FFFFFF"/>
            <w:noWrap/>
            <w:hideMark/>
          </w:tcPr>
          <w:p w:rsidR="007D3E6F" w:rsidRPr="00F70B65" w:rsidRDefault="007D3E6F" w:rsidP="007D3E6F">
            <w:pPr>
              <w:ind w:left="-283"/>
              <w:rPr>
                <w:sz w:val="10"/>
                <w:szCs w:val="10"/>
              </w:rPr>
            </w:pPr>
            <w:r w:rsidRPr="00F70B65">
              <w:rPr>
                <w:sz w:val="10"/>
                <w:szCs w:val="10"/>
              </w:rPr>
              <w:t> </w:t>
            </w:r>
          </w:p>
        </w:tc>
        <w:tc>
          <w:tcPr>
            <w:tcW w:w="1054" w:type="dxa"/>
            <w:tcBorders>
              <w:top w:val="nil"/>
              <w:left w:val="nil"/>
              <w:bottom w:val="nil"/>
              <w:right w:val="nil"/>
            </w:tcBorders>
            <w:shd w:val="clear" w:color="000000" w:fill="FFFFFF"/>
            <w:noWrap/>
            <w:hideMark/>
          </w:tcPr>
          <w:p w:rsidR="007D3E6F" w:rsidRPr="00F70B65" w:rsidRDefault="007D3E6F" w:rsidP="007D3E6F">
            <w:pPr>
              <w:ind w:left="-283"/>
              <w:rPr>
                <w:sz w:val="10"/>
                <w:szCs w:val="10"/>
              </w:rPr>
            </w:pPr>
            <w:r w:rsidRPr="00F70B65">
              <w:rPr>
                <w:sz w:val="10"/>
                <w:szCs w:val="10"/>
              </w:rPr>
              <w:t> </w:t>
            </w:r>
          </w:p>
        </w:tc>
        <w:tc>
          <w:tcPr>
            <w:tcW w:w="1054" w:type="dxa"/>
            <w:tcBorders>
              <w:top w:val="nil"/>
              <w:left w:val="nil"/>
              <w:bottom w:val="nil"/>
              <w:right w:val="nil"/>
            </w:tcBorders>
            <w:shd w:val="clear" w:color="000000" w:fill="FFFFFF"/>
            <w:noWrap/>
            <w:hideMark/>
          </w:tcPr>
          <w:p w:rsidR="007D3E6F" w:rsidRPr="00F70B65" w:rsidRDefault="007D3E6F" w:rsidP="007D3E6F">
            <w:pPr>
              <w:ind w:left="-283"/>
              <w:rPr>
                <w:sz w:val="10"/>
                <w:szCs w:val="10"/>
              </w:rPr>
            </w:pPr>
            <w:r w:rsidRPr="00F70B65">
              <w:rPr>
                <w:sz w:val="10"/>
                <w:szCs w:val="10"/>
              </w:rPr>
              <w:t> </w:t>
            </w:r>
          </w:p>
        </w:tc>
        <w:tc>
          <w:tcPr>
            <w:tcW w:w="1054" w:type="dxa"/>
            <w:tcBorders>
              <w:top w:val="nil"/>
              <w:left w:val="nil"/>
              <w:bottom w:val="nil"/>
              <w:right w:val="nil"/>
            </w:tcBorders>
            <w:shd w:val="clear" w:color="000000" w:fill="FFFFFF"/>
            <w:noWrap/>
            <w:hideMark/>
          </w:tcPr>
          <w:p w:rsidR="007D3E6F" w:rsidRPr="00F70B65" w:rsidRDefault="007D3E6F" w:rsidP="007D3E6F">
            <w:pPr>
              <w:ind w:left="-283"/>
              <w:rPr>
                <w:sz w:val="10"/>
                <w:szCs w:val="10"/>
              </w:rPr>
            </w:pPr>
            <w:r w:rsidRPr="00F70B65">
              <w:rPr>
                <w:sz w:val="10"/>
                <w:szCs w:val="10"/>
              </w:rPr>
              <w:t> </w:t>
            </w:r>
          </w:p>
        </w:tc>
      </w:tr>
      <w:tr w:rsidR="007D3E6F" w:rsidTr="007D3E6F">
        <w:tc>
          <w:tcPr>
            <w:tcW w:w="1054" w:type="dxa"/>
            <w:tcBorders>
              <w:top w:val="nil"/>
              <w:left w:val="nil"/>
              <w:bottom w:val="nil"/>
              <w:right w:val="nil"/>
            </w:tcBorders>
            <w:shd w:val="clear" w:color="000000" w:fill="FFFFFF"/>
            <w:noWrap/>
            <w:hideMark/>
          </w:tcPr>
          <w:p w:rsidR="007D3E6F" w:rsidRDefault="007D3E6F" w:rsidP="007D3E6F">
            <w:pPr>
              <w:ind w:left="-283"/>
              <w:rPr>
                <w:color w:val="0000FF"/>
                <w:sz w:val="18"/>
                <w:szCs w:val="18"/>
              </w:rPr>
            </w:pPr>
            <w:r>
              <w:rPr>
                <w:color w:val="0000FF"/>
                <w:sz w:val="18"/>
                <w:szCs w:val="18"/>
              </w:rPr>
              <w:t> </w:t>
            </w:r>
          </w:p>
        </w:tc>
        <w:tc>
          <w:tcPr>
            <w:tcW w:w="2314" w:type="dxa"/>
            <w:tcBorders>
              <w:top w:val="nil"/>
              <w:left w:val="nil"/>
              <w:bottom w:val="nil"/>
              <w:right w:val="nil"/>
            </w:tcBorders>
            <w:shd w:val="clear" w:color="000000" w:fill="FFFFFF"/>
            <w:noWrap/>
            <w:hideMark/>
          </w:tcPr>
          <w:p w:rsidR="007D3E6F" w:rsidRDefault="007D3E6F" w:rsidP="007D3E6F">
            <w:pPr>
              <w:rPr>
                <w:b/>
                <w:bCs/>
                <w:sz w:val="18"/>
                <w:szCs w:val="18"/>
              </w:rPr>
            </w:pPr>
            <w:r>
              <w:rPr>
                <w:b/>
                <w:bCs/>
                <w:sz w:val="18"/>
                <w:szCs w:val="18"/>
              </w:rPr>
              <w:t>Payments</w:t>
            </w:r>
          </w:p>
        </w:tc>
        <w:tc>
          <w:tcPr>
            <w:tcW w:w="1184" w:type="dxa"/>
            <w:tcBorders>
              <w:top w:val="nil"/>
              <w:left w:val="nil"/>
              <w:bottom w:val="nil"/>
              <w:right w:val="nil"/>
            </w:tcBorders>
            <w:shd w:val="clear" w:color="000000" w:fill="FFFFFF"/>
            <w:noWrap/>
            <w:hideMark/>
          </w:tcPr>
          <w:p w:rsidR="007D3E6F" w:rsidRDefault="007D3E6F" w:rsidP="007D3E6F">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7D3E6F" w:rsidRDefault="007D3E6F" w:rsidP="007D3E6F">
            <w:pPr>
              <w:ind w:left="-283"/>
              <w:rPr>
                <w:color w:val="0000FF"/>
                <w:sz w:val="18"/>
                <w:szCs w:val="18"/>
              </w:rPr>
            </w:pPr>
            <w:r>
              <w:rPr>
                <w:color w:val="0000FF"/>
                <w:sz w:val="18"/>
                <w:szCs w:val="18"/>
              </w:rPr>
              <w:t> </w:t>
            </w:r>
          </w:p>
        </w:tc>
        <w:tc>
          <w:tcPr>
            <w:tcW w:w="624" w:type="dxa"/>
            <w:tcBorders>
              <w:top w:val="nil"/>
              <w:left w:val="nil"/>
              <w:bottom w:val="nil"/>
              <w:right w:val="nil"/>
            </w:tcBorders>
            <w:shd w:val="clear" w:color="000000" w:fill="FFFFFF"/>
            <w:noWrap/>
            <w:hideMark/>
          </w:tcPr>
          <w:p w:rsidR="007D3E6F" w:rsidRDefault="007D3E6F" w:rsidP="007D3E6F">
            <w:pPr>
              <w:ind w:left="-283"/>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7D3E6F" w:rsidRDefault="007D3E6F" w:rsidP="007D3E6F">
            <w:pPr>
              <w:ind w:left="-283"/>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7D3E6F" w:rsidRDefault="007D3E6F" w:rsidP="007D3E6F">
            <w:pPr>
              <w:ind w:left="-283"/>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7D3E6F" w:rsidRDefault="007D3E6F" w:rsidP="007D3E6F">
            <w:pPr>
              <w:ind w:left="-283"/>
              <w:rPr>
                <w:color w:val="0000FF"/>
                <w:sz w:val="18"/>
                <w:szCs w:val="18"/>
              </w:rPr>
            </w:pPr>
            <w:r>
              <w:rPr>
                <w:color w:val="0000FF"/>
                <w:sz w:val="18"/>
                <w:szCs w:val="18"/>
              </w:rPr>
              <w:t> </w:t>
            </w:r>
          </w:p>
        </w:tc>
      </w:tr>
      <w:tr w:rsidR="007D3E6F" w:rsidTr="007D3E6F">
        <w:tc>
          <w:tcPr>
            <w:tcW w:w="1054" w:type="dxa"/>
            <w:tcBorders>
              <w:top w:val="nil"/>
              <w:left w:val="nil"/>
              <w:bottom w:val="nil"/>
              <w:right w:val="nil"/>
            </w:tcBorders>
            <w:shd w:val="clear" w:color="000000" w:fill="FFFFFF"/>
            <w:noWrap/>
            <w:hideMark/>
          </w:tcPr>
          <w:p w:rsidR="007D3E6F" w:rsidRDefault="007D3E6F" w:rsidP="007D3E6F">
            <w:pPr>
              <w:ind w:left="-283"/>
              <w:jc w:val="right"/>
              <w:rPr>
                <w:sz w:val="18"/>
                <w:szCs w:val="18"/>
              </w:rPr>
            </w:pPr>
            <w:r>
              <w:rPr>
                <w:sz w:val="18"/>
                <w:szCs w:val="18"/>
              </w:rPr>
              <w:t>80,415</w:t>
            </w:r>
          </w:p>
        </w:tc>
        <w:tc>
          <w:tcPr>
            <w:tcW w:w="2314" w:type="dxa"/>
            <w:tcBorders>
              <w:top w:val="nil"/>
              <w:left w:val="nil"/>
              <w:bottom w:val="nil"/>
              <w:right w:val="nil"/>
            </w:tcBorders>
            <w:shd w:val="clear" w:color="000000" w:fill="FFFFFF"/>
            <w:noWrap/>
            <w:hideMark/>
          </w:tcPr>
          <w:p w:rsidR="007D3E6F" w:rsidRDefault="007D3E6F" w:rsidP="007D3E6F">
            <w:pPr>
              <w:rPr>
                <w:sz w:val="18"/>
                <w:szCs w:val="18"/>
              </w:rPr>
            </w:pPr>
            <w:r>
              <w:rPr>
                <w:sz w:val="18"/>
                <w:szCs w:val="18"/>
              </w:rPr>
              <w:t>Purchase of Investments</w:t>
            </w:r>
          </w:p>
        </w:tc>
        <w:tc>
          <w:tcPr>
            <w:tcW w:w="1184" w:type="dxa"/>
            <w:tcBorders>
              <w:top w:val="nil"/>
              <w:left w:val="nil"/>
              <w:bottom w:val="nil"/>
              <w:right w:val="nil"/>
            </w:tcBorders>
            <w:shd w:val="clear" w:color="000000" w:fill="FFFFFF"/>
            <w:noWrap/>
            <w:hideMark/>
          </w:tcPr>
          <w:p w:rsidR="007D3E6F" w:rsidRDefault="007D3E6F" w:rsidP="007D3E6F">
            <w:pPr>
              <w:ind w:left="-283"/>
              <w:jc w:val="right"/>
              <w:rPr>
                <w:sz w:val="18"/>
                <w:szCs w:val="18"/>
              </w:rPr>
            </w:pPr>
            <w:r>
              <w:rPr>
                <w:sz w:val="18"/>
                <w:szCs w:val="18"/>
              </w:rPr>
              <w:t>82,525</w:t>
            </w:r>
          </w:p>
        </w:tc>
        <w:tc>
          <w:tcPr>
            <w:tcW w:w="1054" w:type="dxa"/>
            <w:tcBorders>
              <w:top w:val="nil"/>
              <w:left w:val="nil"/>
              <w:bottom w:val="nil"/>
              <w:right w:val="nil"/>
            </w:tcBorders>
            <w:shd w:val="clear" w:color="000000" w:fill="FFFFFF"/>
            <w:noWrap/>
            <w:hideMark/>
          </w:tcPr>
          <w:p w:rsidR="007D3E6F" w:rsidRDefault="007D3E6F" w:rsidP="007D3E6F">
            <w:pPr>
              <w:ind w:left="-283"/>
              <w:jc w:val="right"/>
              <w:rPr>
                <w:sz w:val="18"/>
                <w:szCs w:val="18"/>
              </w:rPr>
            </w:pPr>
            <w:r>
              <w:rPr>
                <w:sz w:val="18"/>
                <w:szCs w:val="18"/>
              </w:rPr>
              <w:t>102,352</w:t>
            </w:r>
          </w:p>
        </w:tc>
        <w:tc>
          <w:tcPr>
            <w:tcW w:w="624" w:type="dxa"/>
            <w:tcBorders>
              <w:top w:val="nil"/>
              <w:left w:val="nil"/>
              <w:bottom w:val="nil"/>
              <w:right w:val="nil"/>
            </w:tcBorders>
            <w:shd w:val="clear" w:color="000000" w:fill="FFFFFF"/>
            <w:noWrap/>
            <w:hideMark/>
          </w:tcPr>
          <w:p w:rsidR="007D3E6F" w:rsidRDefault="007D3E6F" w:rsidP="007D3E6F">
            <w:pPr>
              <w:ind w:left="-283"/>
              <w:jc w:val="right"/>
              <w:rPr>
                <w:sz w:val="18"/>
                <w:szCs w:val="18"/>
              </w:rPr>
            </w:pPr>
            <w:r>
              <w:rPr>
                <w:sz w:val="18"/>
                <w:szCs w:val="18"/>
              </w:rPr>
              <w:t xml:space="preserve">24 </w:t>
            </w:r>
          </w:p>
        </w:tc>
        <w:tc>
          <w:tcPr>
            <w:tcW w:w="1054" w:type="dxa"/>
            <w:tcBorders>
              <w:top w:val="nil"/>
              <w:left w:val="nil"/>
              <w:bottom w:val="nil"/>
              <w:right w:val="nil"/>
            </w:tcBorders>
            <w:shd w:val="clear" w:color="000000" w:fill="FFFFFF"/>
            <w:noWrap/>
            <w:hideMark/>
          </w:tcPr>
          <w:p w:rsidR="007D3E6F" w:rsidRDefault="007D3E6F" w:rsidP="007D3E6F">
            <w:pPr>
              <w:ind w:left="-283"/>
              <w:jc w:val="right"/>
              <w:rPr>
                <w:sz w:val="18"/>
                <w:szCs w:val="18"/>
              </w:rPr>
            </w:pPr>
            <w:r>
              <w:rPr>
                <w:sz w:val="18"/>
                <w:szCs w:val="18"/>
              </w:rPr>
              <w:t>109,267</w:t>
            </w:r>
          </w:p>
        </w:tc>
        <w:tc>
          <w:tcPr>
            <w:tcW w:w="1054" w:type="dxa"/>
            <w:tcBorders>
              <w:top w:val="nil"/>
              <w:left w:val="nil"/>
              <w:bottom w:val="nil"/>
              <w:right w:val="nil"/>
            </w:tcBorders>
            <w:shd w:val="clear" w:color="000000" w:fill="FFFFFF"/>
            <w:noWrap/>
            <w:hideMark/>
          </w:tcPr>
          <w:p w:rsidR="007D3E6F" w:rsidRDefault="007D3E6F" w:rsidP="007D3E6F">
            <w:pPr>
              <w:ind w:left="-283"/>
              <w:jc w:val="right"/>
              <w:rPr>
                <w:sz w:val="18"/>
                <w:szCs w:val="18"/>
              </w:rPr>
            </w:pPr>
            <w:r>
              <w:rPr>
                <w:sz w:val="18"/>
                <w:szCs w:val="18"/>
              </w:rPr>
              <w:t>117,745</w:t>
            </w:r>
          </w:p>
        </w:tc>
        <w:tc>
          <w:tcPr>
            <w:tcW w:w="1054" w:type="dxa"/>
            <w:tcBorders>
              <w:top w:val="nil"/>
              <w:left w:val="nil"/>
              <w:bottom w:val="nil"/>
              <w:right w:val="nil"/>
            </w:tcBorders>
            <w:shd w:val="clear" w:color="000000" w:fill="FFFFFF"/>
            <w:noWrap/>
            <w:hideMark/>
          </w:tcPr>
          <w:p w:rsidR="007D3E6F" w:rsidRDefault="007D3E6F" w:rsidP="007D3E6F">
            <w:pPr>
              <w:ind w:left="-283"/>
              <w:jc w:val="right"/>
              <w:rPr>
                <w:sz w:val="18"/>
                <w:szCs w:val="18"/>
              </w:rPr>
            </w:pPr>
            <w:r>
              <w:rPr>
                <w:sz w:val="18"/>
                <w:szCs w:val="18"/>
              </w:rPr>
              <w:t>126,430</w:t>
            </w:r>
          </w:p>
        </w:tc>
      </w:tr>
      <w:tr w:rsidR="007D3E6F" w:rsidTr="007D3E6F">
        <w:tc>
          <w:tcPr>
            <w:tcW w:w="1054" w:type="dxa"/>
            <w:tcBorders>
              <w:top w:val="nil"/>
              <w:left w:val="nil"/>
              <w:bottom w:val="nil"/>
              <w:right w:val="nil"/>
            </w:tcBorders>
            <w:shd w:val="clear" w:color="000000" w:fill="FFFFFF"/>
            <w:noWrap/>
            <w:hideMark/>
          </w:tcPr>
          <w:p w:rsidR="007D3E6F" w:rsidRDefault="007D3E6F" w:rsidP="007D3E6F">
            <w:pPr>
              <w:ind w:left="-283"/>
              <w:jc w:val="right"/>
              <w:rPr>
                <w:b/>
                <w:bCs/>
                <w:sz w:val="18"/>
                <w:szCs w:val="18"/>
              </w:rPr>
            </w:pPr>
            <w:r>
              <w:rPr>
                <w:b/>
                <w:bCs/>
                <w:sz w:val="18"/>
                <w:szCs w:val="18"/>
              </w:rPr>
              <w:t>80,415</w:t>
            </w:r>
          </w:p>
        </w:tc>
        <w:tc>
          <w:tcPr>
            <w:tcW w:w="2314" w:type="dxa"/>
            <w:tcBorders>
              <w:top w:val="nil"/>
              <w:left w:val="nil"/>
              <w:bottom w:val="nil"/>
              <w:right w:val="nil"/>
            </w:tcBorders>
            <w:shd w:val="clear" w:color="000000" w:fill="FFFFFF"/>
            <w:noWrap/>
            <w:hideMark/>
          </w:tcPr>
          <w:p w:rsidR="007D3E6F" w:rsidRDefault="007D3E6F" w:rsidP="007D3E6F">
            <w:pPr>
              <w:rPr>
                <w:b/>
                <w:bCs/>
                <w:sz w:val="18"/>
                <w:szCs w:val="18"/>
              </w:rPr>
            </w:pPr>
            <w:r>
              <w:rPr>
                <w:b/>
                <w:bCs/>
                <w:sz w:val="18"/>
                <w:szCs w:val="18"/>
              </w:rPr>
              <w:t>Investing Payments</w:t>
            </w:r>
          </w:p>
        </w:tc>
        <w:tc>
          <w:tcPr>
            <w:tcW w:w="1184" w:type="dxa"/>
            <w:tcBorders>
              <w:top w:val="nil"/>
              <w:left w:val="nil"/>
              <w:bottom w:val="nil"/>
              <w:right w:val="nil"/>
            </w:tcBorders>
            <w:shd w:val="clear" w:color="000000" w:fill="FFFFFF"/>
            <w:noWrap/>
            <w:hideMark/>
          </w:tcPr>
          <w:p w:rsidR="007D3E6F" w:rsidRDefault="007D3E6F" w:rsidP="007D3E6F">
            <w:pPr>
              <w:ind w:left="-283"/>
              <w:jc w:val="right"/>
              <w:rPr>
                <w:b/>
                <w:bCs/>
                <w:sz w:val="18"/>
                <w:szCs w:val="18"/>
              </w:rPr>
            </w:pPr>
            <w:r>
              <w:rPr>
                <w:b/>
                <w:bCs/>
                <w:sz w:val="18"/>
                <w:szCs w:val="18"/>
              </w:rPr>
              <w:t>82,525</w:t>
            </w:r>
          </w:p>
        </w:tc>
        <w:tc>
          <w:tcPr>
            <w:tcW w:w="1054" w:type="dxa"/>
            <w:tcBorders>
              <w:top w:val="nil"/>
              <w:left w:val="nil"/>
              <w:bottom w:val="nil"/>
              <w:right w:val="nil"/>
            </w:tcBorders>
            <w:shd w:val="clear" w:color="000000" w:fill="FFFFFF"/>
            <w:noWrap/>
            <w:hideMark/>
          </w:tcPr>
          <w:p w:rsidR="007D3E6F" w:rsidRDefault="007D3E6F" w:rsidP="007D3E6F">
            <w:pPr>
              <w:ind w:left="-283"/>
              <w:jc w:val="right"/>
              <w:rPr>
                <w:b/>
                <w:bCs/>
                <w:sz w:val="18"/>
                <w:szCs w:val="18"/>
              </w:rPr>
            </w:pPr>
            <w:r>
              <w:rPr>
                <w:b/>
                <w:bCs/>
                <w:sz w:val="18"/>
                <w:szCs w:val="18"/>
              </w:rPr>
              <w:t>102,352</w:t>
            </w:r>
          </w:p>
        </w:tc>
        <w:tc>
          <w:tcPr>
            <w:tcW w:w="624" w:type="dxa"/>
            <w:tcBorders>
              <w:top w:val="nil"/>
              <w:left w:val="nil"/>
              <w:bottom w:val="nil"/>
              <w:right w:val="nil"/>
            </w:tcBorders>
            <w:shd w:val="clear" w:color="000000" w:fill="FFFFFF"/>
            <w:noWrap/>
            <w:hideMark/>
          </w:tcPr>
          <w:p w:rsidR="007D3E6F" w:rsidRDefault="007D3E6F" w:rsidP="007D3E6F">
            <w:pPr>
              <w:ind w:left="-283"/>
              <w:jc w:val="right"/>
              <w:rPr>
                <w:b/>
                <w:bCs/>
                <w:sz w:val="18"/>
                <w:szCs w:val="18"/>
              </w:rPr>
            </w:pPr>
            <w:r>
              <w:rPr>
                <w:b/>
                <w:bCs/>
                <w:sz w:val="18"/>
                <w:szCs w:val="18"/>
              </w:rPr>
              <w:t xml:space="preserve">24 </w:t>
            </w:r>
          </w:p>
        </w:tc>
        <w:tc>
          <w:tcPr>
            <w:tcW w:w="1054" w:type="dxa"/>
            <w:tcBorders>
              <w:top w:val="nil"/>
              <w:left w:val="nil"/>
              <w:bottom w:val="nil"/>
              <w:right w:val="nil"/>
            </w:tcBorders>
            <w:shd w:val="clear" w:color="000000" w:fill="FFFFFF"/>
            <w:noWrap/>
            <w:hideMark/>
          </w:tcPr>
          <w:p w:rsidR="007D3E6F" w:rsidRDefault="007D3E6F" w:rsidP="007D3E6F">
            <w:pPr>
              <w:ind w:left="-283"/>
              <w:jc w:val="right"/>
              <w:rPr>
                <w:b/>
                <w:bCs/>
                <w:sz w:val="18"/>
                <w:szCs w:val="18"/>
              </w:rPr>
            </w:pPr>
            <w:r>
              <w:rPr>
                <w:b/>
                <w:bCs/>
                <w:sz w:val="18"/>
                <w:szCs w:val="18"/>
              </w:rPr>
              <w:t>109,267</w:t>
            </w:r>
          </w:p>
        </w:tc>
        <w:tc>
          <w:tcPr>
            <w:tcW w:w="1054" w:type="dxa"/>
            <w:tcBorders>
              <w:top w:val="nil"/>
              <w:left w:val="nil"/>
              <w:bottom w:val="nil"/>
              <w:right w:val="nil"/>
            </w:tcBorders>
            <w:shd w:val="clear" w:color="000000" w:fill="FFFFFF"/>
            <w:noWrap/>
            <w:hideMark/>
          </w:tcPr>
          <w:p w:rsidR="007D3E6F" w:rsidRDefault="007D3E6F" w:rsidP="007D3E6F">
            <w:pPr>
              <w:ind w:left="-283"/>
              <w:jc w:val="right"/>
              <w:rPr>
                <w:b/>
                <w:bCs/>
                <w:sz w:val="18"/>
                <w:szCs w:val="18"/>
              </w:rPr>
            </w:pPr>
            <w:r>
              <w:rPr>
                <w:b/>
                <w:bCs/>
                <w:sz w:val="18"/>
                <w:szCs w:val="18"/>
              </w:rPr>
              <w:t>117,745</w:t>
            </w:r>
          </w:p>
        </w:tc>
        <w:tc>
          <w:tcPr>
            <w:tcW w:w="1054" w:type="dxa"/>
            <w:tcBorders>
              <w:top w:val="nil"/>
              <w:left w:val="nil"/>
              <w:bottom w:val="nil"/>
              <w:right w:val="nil"/>
            </w:tcBorders>
            <w:shd w:val="clear" w:color="000000" w:fill="FFFFFF"/>
            <w:noWrap/>
            <w:hideMark/>
          </w:tcPr>
          <w:p w:rsidR="007D3E6F" w:rsidRDefault="007D3E6F" w:rsidP="007D3E6F">
            <w:pPr>
              <w:ind w:left="-283"/>
              <w:jc w:val="right"/>
              <w:rPr>
                <w:b/>
                <w:bCs/>
                <w:sz w:val="18"/>
                <w:szCs w:val="18"/>
              </w:rPr>
            </w:pPr>
            <w:r>
              <w:rPr>
                <w:b/>
                <w:bCs/>
                <w:sz w:val="18"/>
                <w:szCs w:val="18"/>
              </w:rPr>
              <w:t>126,430</w:t>
            </w:r>
          </w:p>
        </w:tc>
      </w:tr>
      <w:tr w:rsidR="007D3E6F" w:rsidRPr="00F70B65" w:rsidTr="007D3E6F">
        <w:tc>
          <w:tcPr>
            <w:tcW w:w="1054" w:type="dxa"/>
            <w:tcBorders>
              <w:top w:val="nil"/>
              <w:left w:val="nil"/>
              <w:bottom w:val="nil"/>
              <w:right w:val="nil"/>
            </w:tcBorders>
            <w:shd w:val="clear" w:color="000000" w:fill="FFFFFF"/>
            <w:noWrap/>
            <w:hideMark/>
          </w:tcPr>
          <w:p w:rsidR="007D3E6F" w:rsidRPr="00F70B65" w:rsidRDefault="007D3E6F" w:rsidP="007D3E6F">
            <w:pPr>
              <w:ind w:left="-283"/>
              <w:rPr>
                <w:sz w:val="10"/>
                <w:szCs w:val="10"/>
              </w:rPr>
            </w:pPr>
            <w:r w:rsidRPr="00F70B65">
              <w:rPr>
                <w:sz w:val="10"/>
                <w:szCs w:val="10"/>
              </w:rPr>
              <w:t> </w:t>
            </w:r>
          </w:p>
        </w:tc>
        <w:tc>
          <w:tcPr>
            <w:tcW w:w="2314" w:type="dxa"/>
            <w:tcBorders>
              <w:top w:val="nil"/>
              <w:left w:val="nil"/>
              <w:bottom w:val="nil"/>
              <w:right w:val="nil"/>
            </w:tcBorders>
            <w:shd w:val="clear" w:color="000000" w:fill="FFFFFF"/>
            <w:noWrap/>
            <w:hideMark/>
          </w:tcPr>
          <w:p w:rsidR="007D3E6F" w:rsidRPr="00F70B65" w:rsidRDefault="007D3E6F" w:rsidP="007D3E6F">
            <w:pPr>
              <w:rPr>
                <w:sz w:val="10"/>
                <w:szCs w:val="10"/>
              </w:rPr>
            </w:pPr>
            <w:r w:rsidRPr="00F70B65">
              <w:rPr>
                <w:sz w:val="10"/>
                <w:szCs w:val="10"/>
              </w:rPr>
              <w:t> </w:t>
            </w:r>
          </w:p>
        </w:tc>
        <w:tc>
          <w:tcPr>
            <w:tcW w:w="1184" w:type="dxa"/>
            <w:tcBorders>
              <w:top w:val="nil"/>
              <w:left w:val="nil"/>
              <w:bottom w:val="nil"/>
              <w:right w:val="nil"/>
            </w:tcBorders>
            <w:shd w:val="clear" w:color="000000" w:fill="FFFFFF"/>
            <w:noWrap/>
            <w:hideMark/>
          </w:tcPr>
          <w:p w:rsidR="007D3E6F" w:rsidRPr="00F70B65" w:rsidRDefault="007D3E6F" w:rsidP="007D3E6F">
            <w:pPr>
              <w:ind w:left="-283"/>
              <w:rPr>
                <w:sz w:val="10"/>
                <w:szCs w:val="10"/>
              </w:rPr>
            </w:pPr>
            <w:r w:rsidRPr="00F70B65">
              <w:rPr>
                <w:sz w:val="10"/>
                <w:szCs w:val="10"/>
              </w:rPr>
              <w:t> </w:t>
            </w:r>
          </w:p>
        </w:tc>
        <w:tc>
          <w:tcPr>
            <w:tcW w:w="1054" w:type="dxa"/>
            <w:tcBorders>
              <w:top w:val="nil"/>
              <w:left w:val="nil"/>
              <w:bottom w:val="nil"/>
              <w:right w:val="nil"/>
            </w:tcBorders>
            <w:shd w:val="clear" w:color="000000" w:fill="FFFFFF"/>
            <w:noWrap/>
            <w:hideMark/>
          </w:tcPr>
          <w:p w:rsidR="007D3E6F" w:rsidRPr="00F70B65" w:rsidRDefault="007D3E6F" w:rsidP="007D3E6F">
            <w:pPr>
              <w:ind w:left="-283"/>
              <w:rPr>
                <w:sz w:val="10"/>
                <w:szCs w:val="10"/>
              </w:rPr>
            </w:pPr>
            <w:r w:rsidRPr="00F70B65">
              <w:rPr>
                <w:sz w:val="10"/>
                <w:szCs w:val="10"/>
              </w:rPr>
              <w:t> </w:t>
            </w:r>
          </w:p>
        </w:tc>
        <w:tc>
          <w:tcPr>
            <w:tcW w:w="624" w:type="dxa"/>
            <w:tcBorders>
              <w:top w:val="nil"/>
              <w:left w:val="nil"/>
              <w:bottom w:val="nil"/>
              <w:right w:val="nil"/>
            </w:tcBorders>
            <w:shd w:val="clear" w:color="000000" w:fill="FFFFFF"/>
            <w:noWrap/>
            <w:hideMark/>
          </w:tcPr>
          <w:p w:rsidR="007D3E6F" w:rsidRPr="00F70B65" w:rsidRDefault="007D3E6F" w:rsidP="007D3E6F">
            <w:pPr>
              <w:ind w:left="-283"/>
              <w:rPr>
                <w:sz w:val="10"/>
                <w:szCs w:val="10"/>
              </w:rPr>
            </w:pPr>
            <w:r w:rsidRPr="00F70B65">
              <w:rPr>
                <w:sz w:val="10"/>
                <w:szCs w:val="10"/>
              </w:rPr>
              <w:t> </w:t>
            </w:r>
          </w:p>
        </w:tc>
        <w:tc>
          <w:tcPr>
            <w:tcW w:w="1054" w:type="dxa"/>
            <w:tcBorders>
              <w:top w:val="nil"/>
              <w:left w:val="nil"/>
              <w:bottom w:val="nil"/>
              <w:right w:val="nil"/>
            </w:tcBorders>
            <w:shd w:val="clear" w:color="000000" w:fill="FFFFFF"/>
            <w:noWrap/>
            <w:hideMark/>
          </w:tcPr>
          <w:p w:rsidR="007D3E6F" w:rsidRPr="00F70B65" w:rsidRDefault="007D3E6F" w:rsidP="007D3E6F">
            <w:pPr>
              <w:ind w:left="-283"/>
              <w:rPr>
                <w:sz w:val="10"/>
                <w:szCs w:val="10"/>
              </w:rPr>
            </w:pPr>
            <w:r w:rsidRPr="00F70B65">
              <w:rPr>
                <w:sz w:val="10"/>
                <w:szCs w:val="10"/>
              </w:rPr>
              <w:t> </w:t>
            </w:r>
          </w:p>
        </w:tc>
        <w:tc>
          <w:tcPr>
            <w:tcW w:w="1054" w:type="dxa"/>
            <w:tcBorders>
              <w:top w:val="nil"/>
              <w:left w:val="nil"/>
              <w:bottom w:val="nil"/>
              <w:right w:val="nil"/>
            </w:tcBorders>
            <w:shd w:val="clear" w:color="000000" w:fill="FFFFFF"/>
            <w:noWrap/>
            <w:hideMark/>
          </w:tcPr>
          <w:p w:rsidR="007D3E6F" w:rsidRPr="00F70B65" w:rsidRDefault="007D3E6F" w:rsidP="007D3E6F">
            <w:pPr>
              <w:ind w:left="-283"/>
              <w:rPr>
                <w:sz w:val="10"/>
                <w:szCs w:val="10"/>
              </w:rPr>
            </w:pPr>
            <w:r w:rsidRPr="00F70B65">
              <w:rPr>
                <w:sz w:val="10"/>
                <w:szCs w:val="10"/>
              </w:rPr>
              <w:t> </w:t>
            </w:r>
          </w:p>
        </w:tc>
        <w:tc>
          <w:tcPr>
            <w:tcW w:w="1054" w:type="dxa"/>
            <w:tcBorders>
              <w:top w:val="nil"/>
              <w:left w:val="nil"/>
              <w:bottom w:val="nil"/>
              <w:right w:val="nil"/>
            </w:tcBorders>
            <w:shd w:val="clear" w:color="000000" w:fill="FFFFFF"/>
            <w:noWrap/>
            <w:hideMark/>
          </w:tcPr>
          <w:p w:rsidR="007D3E6F" w:rsidRPr="00F70B65" w:rsidRDefault="007D3E6F" w:rsidP="007D3E6F">
            <w:pPr>
              <w:ind w:left="-283"/>
              <w:rPr>
                <w:sz w:val="10"/>
                <w:szCs w:val="10"/>
              </w:rPr>
            </w:pPr>
            <w:r w:rsidRPr="00F70B65">
              <w:rPr>
                <w:sz w:val="10"/>
                <w:szCs w:val="10"/>
              </w:rPr>
              <w:t> </w:t>
            </w:r>
          </w:p>
        </w:tc>
      </w:tr>
      <w:tr w:rsidR="007D3E6F" w:rsidTr="007D3E6F">
        <w:tc>
          <w:tcPr>
            <w:tcW w:w="1054" w:type="dxa"/>
            <w:tcBorders>
              <w:top w:val="nil"/>
              <w:left w:val="nil"/>
              <w:bottom w:val="nil"/>
              <w:right w:val="nil"/>
            </w:tcBorders>
            <w:shd w:val="clear" w:color="000000" w:fill="FFFFFF"/>
            <w:noWrap/>
            <w:hideMark/>
          </w:tcPr>
          <w:p w:rsidR="007D3E6F" w:rsidRDefault="007D3E6F" w:rsidP="007D3E6F">
            <w:pPr>
              <w:ind w:left="-283"/>
              <w:jc w:val="right"/>
              <w:rPr>
                <w:b/>
                <w:bCs/>
                <w:sz w:val="18"/>
                <w:szCs w:val="18"/>
              </w:rPr>
            </w:pPr>
            <w:r>
              <w:rPr>
                <w:b/>
                <w:bCs/>
                <w:sz w:val="18"/>
                <w:szCs w:val="18"/>
              </w:rPr>
              <w:t>-80,415</w:t>
            </w:r>
          </w:p>
        </w:tc>
        <w:tc>
          <w:tcPr>
            <w:tcW w:w="2314" w:type="dxa"/>
            <w:tcBorders>
              <w:top w:val="nil"/>
              <w:left w:val="nil"/>
              <w:bottom w:val="nil"/>
              <w:right w:val="nil"/>
            </w:tcBorders>
            <w:shd w:val="clear" w:color="000000" w:fill="FFFFFF"/>
            <w:hideMark/>
          </w:tcPr>
          <w:p w:rsidR="007D3E6F" w:rsidRDefault="007D3E6F" w:rsidP="007D3E6F">
            <w:pPr>
              <w:rPr>
                <w:b/>
                <w:bCs/>
                <w:sz w:val="18"/>
                <w:szCs w:val="18"/>
              </w:rPr>
            </w:pPr>
            <w:r>
              <w:rPr>
                <w:b/>
                <w:bCs/>
                <w:sz w:val="18"/>
                <w:szCs w:val="18"/>
              </w:rPr>
              <w:t>NET CASH INFLOW/</w:t>
            </w:r>
            <w:r>
              <w:rPr>
                <w:b/>
                <w:bCs/>
                <w:sz w:val="18"/>
                <w:szCs w:val="18"/>
              </w:rPr>
              <w:br/>
              <w:t xml:space="preserve">   (OUTFLOW) FROM</w:t>
            </w:r>
            <w:r>
              <w:rPr>
                <w:b/>
                <w:bCs/>
                <w:sz w:val="18"/>
                <w:szCs w:val="18"/>
              </w:rPr>
              <w:br/>
              <w:t xml:space="preserve">   INVESTING ACTIVITIES</w:t>
            </w:r>
          </w:p>
        </w:tc>
        <w:tc>
          <w:tcPr>
            <w:tcW w:w="1184" w:type="dxa"/>
            <w:tcBorders>
              <w:top w:val="nil"/>
              <w:left w:val="nil"/>
              <w:bottom w:val="nil"/>
              <w:right w:val="nil"/>
            </w:tcBorders>
            <w:shd w:val="clear" w:color="000000" w:fill="FFFFFF"/>
            <w:noWrap/>
            <w:hideMark/>
          </w:tcPr>
          <w:p w:rsidR="007D3E6F" w:rsidRDefault="007D3E6F" w:rsidP="007D3E6F">
            <w:pPr>
              <w:ind w:left="-283"/>
              <w:jc w:val="right"/>
              <w:rPr>
                <w:b/>
                <w:bCs/>
                <w:sz w:val="18"/>
                <w:szCs w:val="18"/>
              </w:rPr>
            </w:pPr>
            <w:r>
              <w:rPr>
                <w:b/>
                <w:bCs/>
                <w:sz w:val="18"/>
                <w:szCs w:val="18"/>
              </w:rPr>
              <w:t>-82,525</w:t>
            </w:r>
          </w:p>
        </w:tc>
        <w:tc>
          <w:tcPr>
            <w:tcW w:w="1054" w:type="dxa"/>
            <w:tcBorders>
              <w:top w:val="nil"/>
              <w:left w:val="nil"/>
              <w:bottom w:val="nil"/>
              <w:right w:val="nil"/>
            </w:tcBorders>
            <w:shd w:val="clear" w:color="000000" w:fill="FFFFFF"/>
            <w:noWrap/>
            <w:hideMark/>
          </w:tcPr>
          <w:p w:rsidR="007D3E6F" w:rsidRDefault="007D3E6F" w:rsidP="007D3E6F">
            <w:pPr>
              <w:ind w:left="-283"/>
              <w:jc w:val="right"/>
              <w:rPr>
                <w:b/>
                <w:bCs/>
                <w:sz w:val="18"/>
                <w:szCs w:val="18"/>
              </w:rPr>
            </w:pPr>
            <w:r>
              <w:rPr>
                <w:b/>
                <w:bCs/>
                <w:sz w:val="18"/>
                <w:szCs w:val="18"/>
              </w:rPr>
              <w:t>-102,352</w:t>
            </w:r>
          </w:p>
        </w:tc>
        <w:tc>
          <w:tcPr>
            <w:tcW w:w="624" w:type="dxa"/>
            <w:tcBorders>
              <w:top w:val="nil"/>
              <w:left w:val="nil"/>
              <w:bottom w:val="nil"/>
              <w:right w:val="nil"/>
            </w:tcBorders>
            <w:shd w:val="clear" w:color="000000" w:fill="FFFFFF"/>
            <w:noWrap/>
            <w:hideMark/>
          </w:tcPr>
          <w:p w:rsidR="007D3E6F" w:rsidRDefault="007D3E6F" w:rsidP="007D3E6F">
            <w:pPr>
              <w:ind w:left="-283"/>
              <w:jc w:val="right"/>
              <w:rPr>
                <w:b/>
                <w:bCs/>
                <w:sz w:val="18"/>
                <w:szCs w:val="18"/>
              </w:rPr>
            </w:pPr>
            <w:r>
              <w:rPr>
                <w:b/>
                <w:bCs/>
                <w:sz w:val="18"/>
                <w:szCs w:val="18"/>
              </w:rPr>
              <w:t xml:space="preserve">-24 </w:t>
            </w:r>
          </w:p>
        </w:tc>
        <w:tc>
          <w:tcPr>
            <w:tcW w:w="1054" w:type="dxa"/>
            <w:tcBorders>
              <w:top w:val="nil"/>
              <w:left w:val="nil"/>
              <w:bottom w:val="nil"/>
              <w:right w:val="nil"/>
            </w:tcBorders>
            <w:shd w:val="clear" w:color="000000" w:fill="FFFFFF"/>
            <w:noWrap/>
            <w:hideMark/>
          </w:tcPr>
          <w:p w:rsidR="007D3E6F" w:rsidRDefault="007D3E6F" w:rsidP="007D3E6F">
            <w:pPr>
              <w:ind w:left="-283"/>
              <w:jc w:val="right"/>
              <w:rPr>
                <w:b/>
                <w:bCs/>
                <w:sz w:val="18"/>
                <w:szCs w:val="18"/>
              </w:rPr>
            </w:pPr>
            <w:r>
              <w:rPr>
                <w:b/>
                <w:bCs/>
                <w:sz w:val="18"/>
                <w:szCs w:val="18"/>
              </w:rPr>
              <w:t>-109,267</w:t>
            </w:r>
          </w:p>
        </w:tc>
        <w:tc>
          <w:tcPr>
            <w:tcW w:w="1054" w:type="dxa"/>
            <w:tcBorders>
              <w:top w:val="nil"/>
              <w:left w:val="nil"/>
              <w:bottom w:val="nil"/>
              <w:right w:val="nil"/>
            </w:tcBorders>
            <w:shd w:val="clear" w:color="000000" w:fill="FFFFFF"/>
            <w:noWrap/>
            <w:hideMark/>
          </w:tcPr>
          <w:p w:rsidR="007D3E6F" w:rsidRDefault="007D3E6F" w:rsidP="007D3E6F">
            <w:pPr>
              <w:ind w:left="-283"/>
              <w:jc w:val="right"/>
              <w:rPr>
                <w:b/>
                <w:bCs/>
                <w:sz w:val="18"/>
                <w:szCs w:val="18"/>
              </w:rPr>
            </w:pPr>
            <w:r>
              <w:rPr>
                <w:b/>
                <w:bCs/>
                <w:sz w:val="18"/>
                <w:szCs w:val="18"/>
              </w:rPr>
              <w:t>-117,745</w:t>
            </w:r>
          </w:p>
        </w:tc>
        <w:tc>
          <w:tcPr>
            <w:tcW w:w="1054" w:type="dxa"/>
            <w:tcBorders>
              <w:top w:val="nil"/>
              <w:left w:val="nil"/>
              <w:bottom w:val="nil"/>
              <w:right w:val="nil"/>
            </w:tcBorders>
            <w:shd w:val="clear" w:color="000000" w:fill="FFFFFF"/>
            <w:noWrap/>
            <w:hideMark/>
          </w:tcPr>
          <w:p w:rsidR="007D3E6F" w:rsidRDefault="007D3E6F" w:rsidP="007D3E6F">
            <w:pPr>
              <w:ind w:left="-283"/>
              <w:jc w:val="right"/>
              <w:rPr>
                <w:b/>
                <w:bCs/>
                <w:sz w:val="18"/>
                <w:szCs w:val="18"/>
              </w:rPr>
            </w:pPr>
            <w:r>
              <w:rPr>
                <w:b/>
                <w:bCs/>
                <w:sz w:val="18"/>
                <w:szCs w:val="18"/>
              </w:rPr>
              <w:t>-126,430</w:t>
            </w:r>
          </w:p>
        </w:tc>
      </w:tr>
      <w:tr w:rsidR="007D3E6F" w:rsidRPr="00F70B65" w:rsidTr="007D3E6F">
        <w:tc>
          <w:tcPr>
            <w:tcW w:w="1054" w:type="dxa"/>
            <w:tcBorders>
              <w:top w:val="nil"/>
              <w:left w:val="nil"/>
              <w:bottom w:val="nil"/>
              <w:right w:val="nil"/>
            </w:tcBorders>
            <w:shd w:val="clear" w:color="000000" w:fill="FFFFFF"/>
            <w:noWrap/>
            <w:hideMark/>
          </w:tcPr>
          <w:p w:rsidR="007D3E6F" w:rsidRPr="00F70B65" w:rsidRDefault="007D3E6F" w:rsidP="007D3E6F">
            <w:pPr>
              <w:ind w:left="-283"/>
              <w:rPr>
                <w:sz w:val="10"/>
                <w:szCs w:val="10"/>
              </w:rPr>
            </w:pPr>
            <w:r w:rsidRPr="00F70B65">
              <w:rPr>
                <w:sz w:val="10"/>
                <w:szCs w:val="10"/>
              </w:rPr>
              <w:t> </w:t>
            </w:r>
          </w:p>
        </w:tc>
        <w:tc>
          <w:tcPr>
            <w:tcW w:w="2314" w:type="dxa"/>
            <w:tcBorders>
              <w:top w:val="nil"/>
              <w:left w:val="nil"/>
              <w:bottom w:val="nil"/>
              <w:right w:val="nil"/>
            </w:tcBorders>
            <w:shd w:val="clear" w:color="000000" w:fill="FFFFFF"/>
            <w:noWrap/>
            <w:hideMark/>
          </w:tcPr>
          <w:p w:rsidR="007D3E6F" w:rsidRPr="00F70B65" w:rsidRDefault="007D3E6F" w:rsidP="007D3E6F">
            <w:pPr>
              <w:rPr>
                <w:b/>
                <w:bCs/>
                <w:sz w:val="10"/>
                <w:szCs w:val="10"/>
              </w:rPr>
            </w:pPr>
            <w:r w:rsidRPr="00F70B65">
              <w:rPr>
                <w:b/>
                <w:bCs/>
                <w:sz w:val="10"/>
                <w:szCs w:val="10"/>
              </w:rPr>
              <w:t> </w:t>
            </w:r>
          </w:p>
        </w:tc>
        <w:tc>
          <w:tcPr>
            <w:tcW w:w="1184" w:type="dxa"/>
            <w:tcBorders>
              <w:top w:val="nil"/>
              <w:left w:val="nil"/>
              <w:bottom w:val="nil"/>
              <w:right w:val="nil"/>
            </w:tcBorders>
            <w:shd w:val="clear" w:color="000000" w:fill="FFFFFF"/>
            <w:noWrap/>
            <w:hideMark/>
          </w:tcPr>
          <w:p w:rsidR="007D3E6F" w:rsidRPr="00F70B65" w:rsidRDefault="007D3E6F" w:rsidP="007D3E6F">
            <w:pPr>
              <w:ind w:left="-283"/>
              <w:rPr>
                <w:b/>
                <w:bCs/>
                <w:sz w:val="10"/>
                <w:szCs w:val="10"/>
              </w:rPr>
            </w:pPr>
            <w:r w:rsidRPr="00F70B65">
              <w:rPr>
                <w:b/>
                <w:bCs/>
                <w:sz w:val="10"/>
                <w:szCs w:val="10"/>
              </w:rPr>
              <w:t> </w:t>
            </w:r>
          </w:p>
        </w:tc>
        <w:tc>
          <w:tcPr>
            <w:tcW w:w="1054" w:type="dxa"/>
            <w:tcBorders>
              <w:top w:val="nil"/>
              <w:left w:val="nil"/>
              <w:bottom w:val="nil"/>
              <w:right w:val="nil"/>
            </w:tcBorders>
            <w:shd w:val="clear" w:color="000000" w:fill="FFFFFF"/>
            <w:noWrap/>
            <w:hideMark/>
          </w:tcPr>
          <w:p w:rsidR="007D3E6F" w:rsidRPr="00F70B65" w:rsidRDefault="007D3E6F" w:rsidP="007D3E6F">
            <w:pPr>
              <w:ind w:left="-283"/>
              <w:rPr>
                <w:sz w:val="10"/>
                <w:szCs w:val="10"/>
              </w:rPr>
            </w:pPr>
            <w:r w:rsidRPr="00F70B65">
              <w:rPr>
                <w:sz w:val="10"/>
                <w:szCs w:val="10"/>
              </w:rPr>
              <w:t> </w:t>
            </w:r>
          </w:p>
        </w:tc>
        <w:tc>
          <w:tcPr>
            <w:tcW w:w="624" w:type="dxa"/>
            <w:tcBorders>
              <w:top w:val="nil"/>
              <w:left w:val="nil"/>
              <w:bottom w:val="nil"/>
              <w:right w:val="nil"/>
            </w:tcBorders>
            <w:shd w:val="clear" w:color="000000" w:fill="FFFFFF"/>
            <w:noWrap/>
            <w:hideMark/>
          </w:tcPr>
          <w:p w:rsidR="007D3E6F" w:rsidRPr="00F70B65" w:rsidRDefault="007D3E6F" w:rsidP="007D3E6F">
            <w:pPr>
              <w:ind w:left="-283"/>
              <w:rPr>
                <w:sz w:val="10"/>
                <w:szCs w:val="10"/>
              </w:rPr>
            </w:pPr>
            <w:r w:rsidRPr="00F70B65">
              <w:rPr>
                <w:sz w:val="10"/>
                <w:szCs w:val="10"/>
              </w:rPr>
              <w:t> </w:t>
            </w:r>
          </w:p>
        </w:tc>
        <w:tc>
          <w:tcPr>
            <w:tcW w:w="1054" w:type="dxa"/>
            <w:tcBorders>
              <w:top w:val="nil"/>
              <w:left w:val="nil"/>
              <w:bottom w:val="nil"/>
              <w:right w:val="nil"/>
            </w:tcBorders>
            <w:shd w:val="clear" w:color="000000" w:fill="FFFFFF"/>
            <w:noWrap/>
            <w:hideMark/>
          </w:tcPr>
          <w:p w:rsidR="007D3E6F" w:rsidRPr="00F70B65" w:rsidRDefault="007D3E6F" w:rsidP="007D3E6F">
            <w:pPr>
              <w:ind w:left="-283"/>
              <w:rPr>
                <w:sz w:val="10"/>
                <w:szCs w:val="10"/>
              </w:rPr>
            </w:pPr>
            <w:r w:rsidRPr="00F70B65">
              <w:rPr>
                <w:sz w:val="10"/>
                <w:szCs w:val="10"/>
              </w:rPr>
              <w:t> </w:t>
            </w:r>
          </w:p>
        </w:tc>
        <w:tc>
          <w:tcPr>
            <w:tcW w:w="1054" w:type="dxa"/>
            <w:tcBorders>
              <w:top w:val="nil"/>
              <w:left w:val="nil"/>
              <w:bottom w:val="nil"/>
              <w:right w:val="nil"/>
            </w:tcBorders>
            <w:shd w:val="clear" w:color="000000" w:fill="FFFFFF"/>
            <w:noWrap/>
            <w:hideMark/>
          </w:tcPr>
          <w:p w:rsidR="007D3E6F" w:rsidRPr="00F70B65" w:rsidRDefault="007D3E6F" w:rsidP="007D3E6F">
            <w:pPr>
              <w:ind w:left="-283"/>
              <w:rPr>
                <w:sz w:val="10"/>
                <w:szCs w:val="10"/>
              </w:rPr>
            </w:pPr>
            <w:r w:rsidRPr="00F70B65">
              <w:rPr>
                <w:sz w:val="10"/>
                <w:szCs w:val="10"/>
              </w:rPr>
              <w:t> </w:t>
            </w:r>
          </w:p>
        </w:tc>
        <w:tc>
          <w:tcPr>
            <w:tcW w:w="1054" w:type="dxa"/>
            <w:tcBorders>
              <w:top w:val="nil"/>
              <w:left w:val="nil"/>
              <w:bottom w:val="nil"/>
              <w:right w:val="nil"/>
            </w:tcBorders>
            <w:shd w:val="clear" w:color="000000" w:fill="FFFFFF"/>
            <w:noWrap/>
            <w:hideMark/>
          </w:tcPr>
          <w:p w:rsidR="007D3E6F" w:rsidRPr="00F70B65" w:rsidRDefault="007D3E6F" w:rsidP="007D3E6F">
            <w:pPr>
              <w:ind w:left="-283"/>
              <w:rPr>
                <w:sz w:val="10"/>
                <w:szCs w:val="10"/>
              </w:rPr>
            </w:pPr>
            <w:r w:rsidRPr="00F70B65">
              <w:rPr>
                <w:sz w:val="10"/>
                <w:szCs w:val="10"/>
              </w:rPr>
              <w:t> </w:t>
            </w:r>
          </w:p>
        </w:tc>
      </w:tr>
      <w:tr w:rsidR="007D3E6F" w:rsidTr="007D3E6F">
        <w:tc>
          <w:tcPr>
            <w:tcW w:w="1054" w:type="dxa"/>
            <w:tcBorders>
              <w:top w:val="nil"/>
              <w:left w:val="nil"/>
              <w:bottom w:val="nil"/>
              <w:right w:val="nil"/>
            </w:tcBorders>
            <w:shd w:val="clear" w:color="000000" w:fill="FFFFFF"/>
            <w:noWrap/>
            <w:hideMark/>
          </w:tcPr>
          <w:p w:rsidR="007D3E6F" w:rsidRDefault="007D3E6F" w:rsidP="007D3E6F">
            <w:pPr>
              <w:ind w:left="-283"/>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7D3E6F" w:rsidRDefault="007D3E6F" w:rsidP="007D3E6F">
            <w:pPr>
              <w:rPr>
                <w:sz w:val="18"/>
                <w:szCs w:val="18"/>
              </w:rPr>
            </w:pPr>
            <w:r>
              <w:rPr>
                <w:b/>
                <w:bCs/>
                <w:sz w:val="18"/>
                <w:szCs w:val="18"/>
              </w:rPr>
              <w:t>CASH FLOWS FROM FINANCING ACTIVITIES</w:t>
            </w:r>
            <w:r>
              <w:rPr>
                <w:sz w:val="18"/>
                <w:szCs w:val="18"/>
              </w:rPr>
              <w:t xml:space="preserve"> </w:t>
            </w:r>
          </w:p>
        </w:tc>
        <w:tc>
          <w:tcPr>
            <w:tcW w:w="1054" w:type="dxa"/>
            <w:tcBorders>
              <w:top w:val="nil"/>
              <w:left w:val="nil"/>
              <w:bottom w:val="nil"/>
              <w:right w:val="nil"/>
            </w:tcBorders>
            <w:shd w:val="clear" w:color="000000" w:fill="FFFFFF"/>
            <w:noWrap/>
            <w:hideMark/>
          </w:tcPr>
          <w:p w:rsidR="007D3E6F" w:rsidRDefault="007D3E6F" w:rsidP="007D3E6F">
            <w:pPr>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7D3E6F" w:rsidRDefault="007D3E6F" w:rsidP="007D3E6F">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D3E6F" w:rsidRDefault="007D3E6F" w:rsidP="007D3E6F">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D3E6F" w:rsidRDefault="007D3E6F" w:rsidP="007D3E6F">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D3E6F" w:rsidRDefault="007D3E6F" w:rsidP="007D3E6F">
            <w:pPr>
              <w:ind w:left="-283"/>
              <w:rPr>
                <w:sz w:val="18"/>
                <w:szCs w:val="18"/>
              </w:rPr>
            </w:pPr>
            <w:r>
              <w:rPr>
                <w:sz w:val="18"/>
                <w:szCs w:val="18"/>
              </w:rPr>
              <w:t> </w:t>
            </w:r>
          </w:p>
        </w:tc>
      </w:tr>
      <w:tr w:rsidR="007D3E6F" w:rsidRPr="00F70B65" w:rsidTr="007D3E6F">
        <w:tc>
          <w:tcPr>
            <w:tcW w:w="1054" w:type="dxa"/>
            <w:tcBorders>
              <w:top w:val="nil"/>
              <w:left w:val="nil"/>
              <w:bottom w:val="nil"/>
              <w:right w:val="nil"/>
            </w:tcBorders>
            <w:shd w:val="clear" w:color="000000" w:fill="FFFFFF"/>
            <w:noWrap/>
            <w:hideMark/>
          </w:tcPr>
          <w:p w:rsidR="007D3E6F" w:rsidRPr="00F70B65" w:rsidRDefault="007D3E6F" w:rsidP="007D3E6F">
            <w:pPr>
              <w:ind w:left="-283"/>
              <w:rPr>
                <w:sz w:val="10"/>
                <w:szCs w:val="10"/>
              </w:rPr>
            </w:pPr>
            <w:r w:rsidRPr="00F70B65">
              <w:rPr>
                <w:sz w:val="10"/>
                <w:szCs w:val="10"/>
              </w:rPr>
              <w:t> </w:t>
            </w:r>
          </w:p>
        </w:tc>
        <w:tc>
          <w:tcPr>
            <w:tcW w:w="2314" w:type="dxa"/>
            <w:tcBorders>
              <w:top w:val="nil"/>
              <w:left w:val="nil"/>
              <w:bottom w:val="nil"/>
              <w:right w:val="nil"/>
            </w:tcBorders>
            <w:shd w:val="clear" w:color="000000" w:fill="FFFFFF"/>
            <w:noWrap/>
            <w:hideMark/>
          </w:tcPr>
          <w:p w:rsidR="007D3E6F" w:rsidRPr="00F70B65" w:rsidRDefault="007D3E6F" w:rsidP="007D3E6F">
            <w:pPr>
              <w:rPr>
                <w:b/>
                <w:bCs/>
                <w:sz w:val="10"/>
                <w:szCs w:val="10"/>
              </w:rPr>
            </w:pPr>
            <w:r w:rsidRPr="00F70B65">
              <w:rPr>
                <w:b/>
                <w:bCs/>
                <w:sz w:val="10"/>
                <w:szCs w:val="10"/>
              </w:rPr>
              <w:t> </w:t>
            </w:r>
          </w:p>
        </w:tc>
        <w:tc>
          <w:tcPr>
            <w:tcW w:w="1184" w:type="dxa"/>
            <w:tcBorders>
              <w:top w:val="nil"/>
              <w:left w:val="nil"/>
              <w:bottom w:val="nil"/>
              <w:right w:val="nil"/>
            </w:tcBorders>
            <w:shd w:val="clear" w:color="000000" w:fill="FFFFFF"/>
            <w:noWrap/>
            <w:hideMark/>
          </w:tcPr>
          <w:p w:rsidR="007D3E6F" w:rsidRPr="00F70B65" w:rsidRDefault="007D3E6F" w:rsidP="007D3E6F">
            <w:pPr>
              <w:ind w:left="-283"/>
              <w:rPr>
                <w:sz w:val="10"/>
                <w:szCs w:val="10"/>
              </w:rPr>
            </w:pPr>
            <w:r w:rsidRPr="00F70B65">
              <w:rPr>
                <w:sz w:val="10"/>
                <w:szCs w:val="10"/>
              </w:rPr>
              <w:t> </w:t>
            </w:r>
          </w:p>
        </w:tc>
        <w:tc>
          <w:tcPr>
            <w:tcW w:w="1054" w:type="dxa"/>
            <w:tcBorders>
              <w:top w:val="nil"/>
              <w:left w:val="nil"/>
              <w:bottom w:val="nil"/>
              <w:right w:val="nil"/>
            </w:tcBorders>
            <w:shd w:val="clear" w:color="000000" w:fill="FFFFFF"/>
            <w:noWrap/>
            <w:hideMark/>
          </w:tcPr>
          <w:p w:rsidR="007D3E6F" w:rsidRPr="00F70B65" w:rsidRDefault="007D3E6F" w:rsidP="007D3E6F">
            <w:pPr>
              <w:ind w:left="-283"/>
              <w:rPr>
                <w:sz w:val="10"/>
                <w:szCs w:val="10"/>
              </w:rPr>
            </w:pPr>
            <w:r w:rsidRPr="00F70B65">
              <w:rPr>
                <w:sz w:val="10"/>
                <w:szCs w:val="10"/>
              </w:rPr>
              <w:t> </w:t>
            </w:r>
          </w:p>
        </w:tc>
        <w:tc>
          <w:tcPr>
            <w:tcW w:w="624" w:type="dxa"/>
            <w:tcBorders>
              <w:top w:val="nil"/>
              <w:left w:val="nil"/>
              <w:bottom w:val="nil"/>
              <w:right w:val="nil"/>
            </w:tcBorders>
            <w:shd w:val="clear" w:color="000000" w:fill="FFFFFF"/>
            <w:noWrap/>
            <w:hideMark/>
          </w:tcPr>
          <w:p w:rsidR="007D3E6F" w:rsidRPr="00F70B65" w:rsidRDefault="007D3E6F" w:rsidP="007D3E6F">
            <w:pPr>
              <w:ind w:left="-283"/>
              <w:rPr>
                <w:sz w:val="10"/>
                <w:szCs w:val="10"/>
              </w:rPr>
            </w:pPr>
            <w:r w:rsidRPr="00F70B65">
              <w:rPr>
                <w:sz w:val="10"/>
                <w:szCs w:val="10"/>
              </w:rPr>
              <w:t> </w:t>
            </w:r>
          </w:p>
        </w:tc>
        <w:tc>
          <w:tcPr>
            <w:tcW w:w="1054" w:type="dxa"/>
            <w:tcBorders>
              <w:top w:val="nil"/>
              <w:left w:val="nil"/>
              <w:bottom w:val="nil"/>
              <w:right w:val="nil"/>
            </w:tcBorders>
            <w:shd w:val="clear" w:color="000000" w:fill="FFFFFF"/>
            <w:noWrap/>
            <w:hideMark/>
          </w:tcPr>
          <w:p w:rsidR="007D3E6F" w:rsidRPr="00F70B65" w:rsidRDefault="007D3E6F" w:rsidP="007D3E6F">
            <w:pPr>
              <w:ind w:left="-283"/>
              <w:rPr>
                <w:sz w:val="10"/>
                <w:szCs w:val="10"/>
              </w:rPr>
            </w:pPr>
            <w:r w:rsidRPr="00F70B65">
              <w:rPr>
                <w:sz w:val="10"/>
                <w:szCs w:val="10"/>
              </w:rPr>
              <w:t> </w:t>
            </w:r>
          </w:p>
        </w:tc>
        <w:tc>
          <w:tcPr>
            <w:tcW w:w="1054" w:type="dxa"/>
            <w:tcBorders>
              <w:top w:val="nil"/>
              <w:left w:val="nil"/>
              <w:bottom w:val="nil"/>
              <w:right w:val="nil"/>
            </w:tcBorders>
            <w:shd w:val="clear" w:color="000000" w:fill="FFFFFF"/>
            <w:noWrap/>
            <w:hideMark/>
          </w:tcPr>
          <w:p w:rsidR="007D3E6F" w:rsidRPr="00F70B65" w:rsidRDefault="007D3E6F" w:rsidP="007D3E6F">
            <w:pPr>
              <w:ind w:left="-283"/>
              <w:rPr>
                <w:sz w:val="10"/>
                <w:szCs w:val="10"/>
              </w:rPr>
            </w:pPr>
            <w:r w:rsidRPr="00F70B65">
              <w:rPr>
                <w:sz w:val="10"/>
                <w:szCs w:val="10"/>
              </w:rPr>
              <w:t> </w:t>
            </w:r>
          </w:p>
        </w:tc>
        <w:tc>
          <w:tcPr>
            <w:tcW w:w="1054" w:type="dxa"/>
            <w:tcBorders>
              <w:top w:val="nil"/>
              <w:left w:val="nil"/>
              <w:bottom w:val="nil"/>
              <w:right w:val="nil"/>
            </w:tcBorders>
            <w:shd w:val="clear" w:color="000000" w:fill="FFFFFF"/>
            <w:noWrap/>
            <w:hideMark/>
          </w:tcPr>
          <w:p w:rsidR="007D3E6F" w:rsidRPr="00F70B65" w:rsidRDefault="007D3E6F" w:rsidP="007D3E6F">
            <w:pPr>
              <w:ind w:left="-283"/>
              <w:rPr>
                <w:sz w:val="10"/>
                <w:szCs w:val="10"/>
              </w:rPr>
            </w:pPr>
            <w:r w:rsidRPr="00F70B65">
              <w:rPr>
                <w:sz w:val="10"/>
                <w:szCs w:val="10"/>
              </w:rPr>
              <w:t> </w:t>
            </w:r>
          </w:p>
        </w:tc>
      </w:tr>
      <w:tr w:rsidR="007D3E6F" w:rsidTr="007D3E6F">
        <w:tc>
          <w:tcPr>
            <w:tcW w:w="1054" w:type="dxa"/>
            <w:tcBorders>
              <w:top w:val="nil"/>
              <w:left w:val="nil"/>
              <w:bottom w:val="nil"/>
              <w:right w:val="nil"/>
            </w:tcBorders>
            <w:shd w:val="clear" w:color="000000" w:fill="FFFFFF"/>
            <w:noWrap/>
            <w:hideMark/>
          </w:tcPr>
          <w:p w:rsidR="007D3E6F" w:rsidRDefault="007D3E6F" w:rsidP="007D3E6F">
            <w:pPr>
              <w:ind w:left="-283"/>
              <w:rPr>
                <w:sz w:val="18"/>
                <w:szCs w:val="18"/>
              </w:rPr>
            </w:pPr>
            <w:r>
              <w:rPr>
                <w:sz w:val="18"/>
                <w:szCs w:val="18"/>
              </w:rPr>
              <w:t> </w:t>
            </w:r>
          </w:p>
        </w:tc>
        <w:tc>
          <w:tcPr>
            <w:tcW w:w="2314" w:type="dxa"/>
            <w:tcBorders>
              <w:top w:val="nil"/>
              <w:left w:val="nil"/>
              <w:bottom w:val="nil"/>
              <w:right w:val="nil"/>
            </w:tcBorders>
            <w:shd w:val="clear" w:color="000000" w:fill="FFFFFF"/>
            <w:noWrap/>
            <w:hideMark/>
          </w:tcPr>
          <w:p w:rsidR="007D3E6F" w:rsidRDefault="007D3E6F" w:rsidP="007D3E6F">
            <w:pPr>
              <w:rPr>
                <w:b/>
                <w:bCs/>
                <w:sz w:val="18"/>
                <w:szCs w:val="18"/>
              </w:rPr>
            </w:pPr>
            <w:r>
              <w:rPr>
                <w:b/>
                <w:bCs/>
                <w:sz w:val="18"/>
                <w:szCs w:val="18"/>
              </w:rPr>
              <w:t>Receipts</w:t>
            </w:r>
          </w:p>
        </w:tc>
        <w:tc>
          <w:tcPr>
            <w:tcW w:w="1184" w:type="dxa"/>
            <w:tcBorders>
              <w:top w:val="nil"/>
              <w:left w:val="nil"/>
              <w:bottom w:val="nil"/>
              <w:right w:val="nil"/>
            </w:tcBorders>
            <w:shd w:val="clear" w:color="000000" w:fill="FFFFFF"/>
            <w:noWrap/>
            <w:hideMark/>
          </w:tcPr>
          <w:p w:rsidR="007D3E6F" w:rsidRDefault="007D3E6F" w:rsidP="007D3E6F">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D3E6F" w:rsidRDefault="007D3E6F" w:rsidP="007D3E6F">
            <w:pPr>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7D3E6F" w:rsidRDefault="007D3E6F" w:rsidP="007D3E6F">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D3E6F" w:rsidRDefault="007D3E6F" w:rsidP="007D3E6F">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D3E6F" w:rsidRDefault="007D3E6F" w:rsidP="007D3E6F">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D3E6F" w:rsidRDefault="007D3E6F" w:rsidP="007D3E6F">
            <w:pPr>
              <w:ind w:left="-283"/>
              <w:rPr>
                <w:sz w:val="18"/>
                <w:szCs w:val="18"/>
              </w:rPr>
            </w:pPr>
            <w:r>
              <w:rPr>
                <w:sz w:val="18"/>
                <w:szCs w:val="18"/>
              </w:rPr>
              <w:t> </w:t>
            </w:r>
          </w:p>
        </w:tc>
      </w:tr>
      <w:tr w:rsidR="007D3E6F" w:rsidTr="007D3E6F">
        <w:tc>
          <w:tcPr>
            <w:tcW w:w="1054" w:type="dxa"/>
            <w:tcBorders>
              <w:top w:val="nil"/>
              <w:left w:val="nil"/>
              <w:bottom w:val="nil"/>
              <w:right w:val="nil"/>
            </w:tcBorders>
            <w:shd w:val="clear" w:color="000000" w:fill="FFFFFF"/>
            <w:noWrap/>
            <w:hideMark/>
          </w:tcPr>
          <w:p w:rsidR="007D3E6F" w:rsidRDefault="007D3E6F" w:rsidP="007D3E6F">
            <w:pPr>
              <w:ind w:left="-283"/>
              <w:jc w:val="right"/>
              <w:rPr>
                <w:sz w:val="18"/>
                <w:szCs w:val="18"/>
              </w:rPr>
            </w:pPr>
            <w:r>
              <w:rPr>
                <w:sz w:val="18"/>
                <w:szCs w:val="18"/>
              </w:rPr>
              <w:t>147,649</w:t>
            </w:r>
          </w:p>
        </w:tc>
        <w:tc>
          <w:tcPr>
            <w:tcW w:w="2314" w:type="dxa"/>
            <w:tcBorders>
              <w:top w:val="nil"/>
              <w:left w:val="nil"/>
              <w:bottom w:val="nil"/>
              <w:right w:val="nil"/>
            </w:tcBorders>
            <w:shd w:val="clear" w:color="000000" w:fill="FFFFFF"/>
            <w:hideMark/>
          </w:tcPr>
          <w:p w:rsidR="007D3E6F" w:rsidRDefault="007D3E6F" w:rsidP="007D3E6F">
            <w:pPr>
              <w:rPr>
                <w:sz w:val="18"/>
                <w:szCs w:val="18"/>
              </w:rPr>
            </w:pPr>
            <w:r>
              <w:rPr>
                <w:sz w:val="18"/>
                <w:szCs w:val="18"/>
              </w:rPr>
              <w:t>Capital Injections from</w:t>
            </w:r>
            <w:r>
              <w:rPr>
                <w:sz w:val="18"/>
                <w:szCs w:val="18"/>
              </w:rPr>
              <w:br/>
              <w:t xml:space="preserve">   Government</w:t>
            </w:r>
          </w:p>
        </w:tc>
        <w:tc>
          <w:tcPr>
            <w:tcW w:w="1184" w:type="dxa"/>
            <w:tcBorders>
              <w:top w:val="nil"/>
              <w:left w:val="nil"/>
              <w:bottom w:val="nil"/>
              <w:right w:val="nil"/>
            </w:tcBorders>
            <w:shd w:val="clear" w:color="000000" w:fill="FFFFFF"/>
            <w:noWrap/>
            <w:hideMark/>
          </w:tcPr>
          <w:p w:rsidR="007D3E6F" w:rsidRDefault="007D3E6F" w:rsidP="007D3E6F">
            <w:pPr>
              <w:ind w:left="-283"/>
              <w:jc w:val="right"/>
              <w:rPr>
                <w:sz w:val="18"/>
                <w:szCs w:val="18"/>
              </w:rPr>
            </w:pPr>
            <w:r>
              <w:rPr>
                <w:sz w:val="18"/>
                <w:szCs w:val="18"/>
              </w:rPr>
              <w:t>147,649</w:t>
            </w:r>
          </w:p>
        </w:tc>
        <w:tc>
          <w:tcPr>
            <w:tcW w:w="1054" w:type="dxa"/>
            <w:tcBorders>
              <w:top w:val="nil"/>
              <w:left w:val="nil"/>
              <w:bottom w:val="nil"/>
              <w:right w:val="nil"/>
            </w:tcBorders>
            <w:shd w:val="clear" w:color="000000" w:fill="FFFFFF"/>
            <w:noWrap/>
            <w:hideMark/>
          </w:tcPr>
          <w:p w:rsidR="007D3E6F" w:rsidRDefault="007D3E6F" w:rsidP="007D3E6F">
            <w:pPr>
              <w:ind w:left="-283"/>
              <w:jc w:val="right"/>
              <w:rPr>
                <w:sz w:val="18"/>
                <w:szCs w:val="18"/>
              </w:rPr>
            </w:pPr>
            <w:r>
              <w:rPr>
                <w:sz w:val="18"/>
                <w:szCs w:val="18"/>
              </w:rPr>
              <w:t>178,216</w:t>
            </w:r>
          </w:p>
        </w:tc>
        <w:tc>
          <w:tcPr>
            <w:tcW w:w="624" w:type="dxa"/>
            <w:tcBorders>
              <w:top w:val="nil"/>
              <w:left w:val="nil"/>
              <w:bottom w:val="nil"/>
              <w:right w:val="nil"/>
            </w:tcBorders>
            <w:shd w:val="clear" w:color="000000" w:fill="FFFFFF"/>
            <w:noWrap/>
            <w:hideMark/>
          </w:tcPr>
          <w:p w:rsidR="007D3E6F" w:rsidRDefault="007D3E6F" w:rsidP="007D3E6F">
            <w:pPr>
              <w:ind w:left="-283"/>
              <w:jc w:val="right"/>
              <w:rPr>
                <w:sz w:val="18"/>
                <w:szCs w:val="18"/>
              </w:rPr>
            </w:pPr>
            <w:r>
              <w:rPr>
                <w:sz w:val="18"/>
                <w:szCs w:val="18"/>
              </w:rPr>
              <w:t xml:space="preserve">21 </w:t>
            </w:r>
          </w:p>
        </w:tc>
        <w:tc>
          <w:tcPr>
            <w:tcW w:w="1054" w:type="dxa"/>
            <w:tcBorders>
              <w:top w:val="nil"/>
              <w:left w:val="nil"/>
              <w:bottom w:val="nil"/>
              <w:right w:val="nil"/>
            </w:tcBorders>
            <w:shd w:val="clear" w:color="000000" w:fill="FFFFFF"/>
            <w:noWrap/>
            <w:hideMark/>
          </w:tcPr>
          <w:p w:rsidR="007D3E6F" w:rsidRDefault="007D3E6F" w:rsidP="007D3E6F">
            <w:pPr>
              <w:ind w:left="-283"/>
              <w:jc w:val="right"/>
              <w:rPr>
                <w:sz w:val="18"/>
                <w:szCs w:val="18"/>
              </w:rPr>
            </w:pPr>
            <w:r>
              <w:rPr>
                <w:sz w:val="18"/>
                <w:szCs w:val="18"/>
              </w:rPr>
              <w:t>195,674</w:t>
            </w:r>
          </w:p>
        </w:tc>
        <w:tc>
          <w:tcPr>
            <w:tcW w:w="1054" w:type="dxa"/>
            <w:tcBorders>
              <w:top w:val="nil"/>
              <w:left w:val="nil"/>
              <w:bottom w:val="nil"/>
              <w:right w:val="nil"/>
            </w:tcBorders>
            <w:shd w:val="clear" w:color="000000" w:fill="FFFFFF"/>
            <w:noWrap/>
            <w:hideMark/>
          </w:tcPr>
          <w:p w:rsidR="007D3E6F" w:rsidRDefault="007D3E6F" w:rsidP="007D3E6F">
            <w:pPr>
              <w:ind w:left="-283"/>
              <w:jc w:val="right"/>
              <w:rPr>
                <w:sz w:val="18"/>
                <w:szCs w:val="18"/>
              </w:rPr>
            </w:pPr>
            <w:r>
              <w:rPr>
                <w:sz w:val="18"/>
                <w:szCs w:val="18"/>
              </w:rPr>
              <w:t>213,650</w:t>
            </w:r>
          </w:p>
        </w:tc>
        <w:tc>
          <w:tcPr>
            <w:tcW w:w="1054" w:type="dxa"/>
            <w:tcBorders>
              <w:top w:val="nil"/>
              <w:left w:val="nil"/>
              <w:bottom w:val="nil"/>
              <w:right w:val="nil"/>
            </w:tcBorders>
            <w:shd w:val="clear" w:color="000000" w:fill="FFFFFF"/>
            <w:noWrap/>
            <w:hideMark/>
          </w:tcPr>
          <w:p w:rsidR="007D3E6F" w:rsidRDefault="007D3E6F" w:rsidP="007D3E6F">
            <w:pPr>
              <w:ind w:left="-283"/>
              <w:jc w:val="right"/>
              <w:rPr>
                <w:sz w:val="18"/>
                <w:szCs w:val="18"/>
              </w:rPr>
            </w:pPr>
            <w:r>
              <w:rPr>
                <w:sz w:val="18"/>
                <w:szCs w:val="18"/>
              </w:rPr>
              <w:t>233,781</w:t>
            </w:r>
          </w:p>
        </w:tc>
      </w:tr>
      <w:tr w:rsidR="007D3E6F" w:rsidTr="007D3E6F">
        <w:tc>
          <w:tcPr>
            <w:tcW w:w="1054" w:type="dxa"/>
            <w:tcBorders>
              <w:top w:val="nil"/>
              <w:left w:val="nil"/>
              <w:bottom w:val="nil"/>
              <w:right w:val="nil"/>
            </w:tcBorders>
            <w:shd w:val="clear" w:color="000000" w:fill="FFFFFF"/>
            <w:noWrap/>
            <w:hideMark/>
          </w:tcPr>
          <w:p w:rsidR="007D3E6F" w:rsidRDefault="007D3E6F" w:rsidP="007D3E6F">
            <w:pPr>
              <w:ind w:left="-283"/>
              <w:jc w:val="right"/>
              <w:rPr>
                <w:b/>
                <w:bCs/>
                <w:sz w:val="18"/>
                <w:szCs w:val="18"/>
              </w:rPr>
            </w:pPr>
            <w:r>
              <w:rPr>
                <w:b/>
                <w:bCs/>
                <w:sz w:val="18"/>
                <w:szCs w:val="18"/>
              </w:rPr>
              <w:t>147,649</w:t>
            </w:r>
          </w:p>
        </w:tc>
        <w:tc>
          <w:tcPr>
            <w:tcW w:w="2314" w:type="dxa"/>
            <w:tcBorders>
              <w:top w:val="nil"/>
              <w:left w:val="nil"/>
              <w:bottom w:val="nil"/>
              <w:right w:val="nil"/>
            </w:tcBorders>
            <w:shd w:val="clear" w:color="000000" w:fill="FFFFFF"/>
            <w:noWrap/>
            <w:hideMark/>
          </w:tcPr>
          <w:p w:rsidR="007D3E6F" w:rsidRDefault="007D3E6F" w:rsidP="007D3E6F">
            <w:pPr>
              <w:rPr>
                <w:b/>
                <w:bCs/>
                <w:sz w:val="18"/>
                <w:szCs w:val="18"/>
              </w:rPr>
            </w:pPr>
            <w:r>
              <w:rPr>
                <w:b/>
                <w:bCs/>
                <w:sz w:val="18"/>
                <w:szCs w:val="18"/>
              </w:rPr>
              <w:t>Financing Receipts</w:t>
            </w:r>
          </w:p>
        </w:tc>
        <w:tc>
          <w:tcPr>
            <w:tcW w:w="1184" w:type="dxa"/>
            <w:tcBorders>
              <w:top w:val="nil"/>
              <w:left w:val="nil"/>
              <w:bottom w:val="nil"/>
              <w:right w:val="nil"/>
            </w:tcBorders>
            <w:shd w:val="clear" w:color="000000" w:fill="FFFFFF"/>
            <w:noWrap/>
            <w:hideMark/>
          </w:tcPr>
          <w:p w:rsidR="007D3E6F" w:rsidRDefault="007D3E6F" w:rsidP="007D3E6F">
            <w:pPr>
              <w:ind w:left="-283"/>
              <w:jc w:val="right"/>
              <w:rPr>
                <w:b/>
                <w:bCs/>
                <w:sz w:val="18"/>
                <w:szCs w:val="18"/>
              </w:rPr>
            </w:pPr>
            <w:r>
              <w:rPr>
                <w:b/>
                <w:bCs/>
                <w:sz w:val="18"/>
                <w:szCs w:val="18"/>
              </w:rPr>
              <w:t>147,649</w:t>
            </w:r>
          </w:p>
        </w:tc>
        <w:tc>
          <w:tcPr>
            <w:tcW w:w="1054" w:type="dxa"/>
            <w:tcBorders>
              <w:top w:val="nil"/>
              <w:left w:val="nil"/>
              <w:bottom w:val="nil"/>
              <w:right w:val="nil"/>
            </w:tcBorders>
            <w:shd w:val="clear" w:color="000000" w:fill="FFFFFF"/>
            <w:noWrap/>
            <w:hideMark/>
          </w:tcPr>
          <w:p w:rsidR="007D3E6F" w:rsidRDefault="007D3E6F" w:rsidP="007D3E6F">
            <w:pPr>
              <w:ind w:left="-283"/>
              <w:jc w:val="right"/>
              <w:rPr>
                <w:b/>
                <w:bCs/>
                <w:sz w:val="18"/>
                <w:szCs w:val="18"/>
              </w:rPr>
            </w:pPr>
            <w:r>
              <w:rPr>
                <w:b/>
                <w:bCs/>
                <w:sz w:val="18"/>
                <w:szCs w:val="18"/>
              </w:rPr>
              <w:t>178,216</w:t>
            </w:r>
          </w:p>
        </w:tc>
        <w:tc>
          <w:tcPr>
            <w:tcW w:w="624" w:type="dxa"/>
            <w:tcBorders>
              <w:top w:val="nil"/>
              <w:left w:val="nil"/>
              <w:bottom w:val="nil"/>
              <w:right w:val="nil"/>
            </w:tcBorders>
            <w:shd w:val="clear" w:color="000000" w:fill="FFFFFF"/>
            <w:noWrap/>
            <w:hideMark/>
          </w:tcPr>
          <w:p w:rsidR="007D3E6F" w:rsidRDefault="007D3E6F" w:rsidP="007D3E6F">
            <w:pPr>
              <w:ind w:left="-283"/>
              <w:jc w:val="right"/>
              <w:rPr>
                <w:b/>
                <w:bCs/>
                <w:sz w:val="18"/>
                <w:szCs w:val="18"/>
              </w:rPr>
            </w:pPr>
            <w:r>
              <w:rPr>
                <w:b/>
                <w:bCs/>
                <w:sz w:val="18"/>
                <w:szCs w:val="18"/>
              </w:rPr>
              <w:t xml:space="preserve">21 </w:t>
            </w:r>
          </w:p>
        </w:tc>
        <w:tc>
          <w:tcPr>
            <w:tcW w:w="1054" w:type="dxa"/>
            <w:tcBorders>
              <w:top w:val="nil"/>
              <w:left w:val="nil"/>
              <w:bottom w:val="nil"/>
              <w:right w:val="nil"/>
            </w:tcBorders>
            <w:shd w:val="clear" w:color="000000" w:fill="FFFFFF"/>
            <w:noWrap/>
            <w:hideMark/>
          </w:tcPr>
          <w:p w:rsidR="007D3E6F" w:rsidRDefault="007D3E6F" w:rsidP="007D3E6F">
            <w:pPr>
              <w:ind w:left="-283"/>
              <w:jc w:val="right"/>
              <w:rPr>
                <w:b/>
                <w:bCs/>
                <w:sz w:val="18"/>
                <w:szCs w:val="18"/>
              </w:rPr>
            </w:pPr>
            <w:r>
              <w:rPr>
                <w:b/>
                <w:bCs/>
                <w:sz w:val="18"/>
                <w:szCs w:val="18"/>
              </w:rPr>
              <w:t>195,674</w:t>
            </w:r>
          </w:p>
        </w:tc>
        <w:tc>
          <w:tcPr>
            <w:tcW w:w="1054" w:type="dxa"/>
            <w:tcBorders>
              <w:top w:val="nil"/>
              <w:left w:val="nil"/>
              <w:bottom w:val="nil"/>
              <w:right w:val="nil"/>
            </w:tcBorders>
            <w:shd w:val="clear" w:color="000000" w:fill="FFFFFF"/>
            <w:noWrap/>
            <w:hideMark/>
          </w:tcPr>
          <w:p w:rsidR="007D3E6F" w:rsidRDefault="007D3E6F" w:rsidP="007D3E6F">
            <w:pPr>
              <w:ind w:left="-283"/>
              <w:jc w:val="right"/>
              <w:rPr>
                <w:b/>
                <w:bCs/>
                <w:sz w:val="18"/>
                <w:szCs w:val="18"/>
              </w:rPr>
            </w:pPr>
            <w:r>
              <w:rPr>
                <w:b/>
                <w:bCs/>
                <w:sz w:val="18"/>
                <w:szCs w:val="18"/>
              </w:rPr>
              <w:t>213,650</w:t>
            </w:r>
          </w:p>
        </w:tc>
        <w:tc>
          <w:tcPr>
            <w:tcW w:w="1054" w:type="dxa"/>
            <w:tcBorders>
              <w:top w:val="nil"/>
              <w:left w:val="nil"/>
              <w:bottom w:val="nil"/>
              <w:right w:val="nil"/>
            </w:tcBorders>
            <w:shd w:val="clear" w:color="000000" w:fill="FFFFFF"/>
            <w:noWrap/>
            <w:hideMark/>
          </w:tcPr>
          <w:p w:rsidR="007D3E6F" w:rsidRDefault="007D3E6F" w:rsidP="007D3E6F">
            <w:pPr>
              <w:ind w:left="-283"/>
              <w:jc w:val="right"/>
              <w:rPr>
                <w:b/>
                <w:bCs/>
                <w:sz w:val="18"/>
                <w:szCs w:val="18"/>
              </w:rPr>
            </w:pPr>
            <w:r>
              <w:rPr>
                <w:b/>
                <w:bCs/>
                <w:sz w:val="18"/>
                <w:szCs w:val="18"/>
              </w:rPr>
              <w:t>233,781</w:t>
            </w:r>
          </w:p>
        </w:tc>
      </w:tr>
      <w:tr w:rsidR="007D3E6F" w:rsidRPr="00F70B65" w:rsidTr="007D3E6F">
        <w:tc>
          <w:tcPr>
            <w:tcW w:w="1054" w:type="dxa"/>
            <w:tcBorders>
              <w:top w:val="nil"/>
              <w:left w:val="nil"/>
              <w:bottom w:val="nil"/>
              <w:right w:val="nil"/>
            </w:tcBorders>
            <w:shd w:val="clear" w:color="000000" w:fill="FFFFFF"/>
            <w:noWrap/>
            <w:hideMark/>
          </w:tcPr>
          <w:p w:rsidR="007D3E6F" w:rsidRPr="00F70B65" w:rsidRDefault="007D3E6F" w:rsidP="007D3E6F">
            <w:pPr>
              <w:ind w:left="-283"/>
              <w:rPr>
                <w:sz w:val="10"/>
                <w:szCs w:val="10"/>
              </w:rPr>
            </w:pPr>
            <w:r w:rsidRPr="00F70B65">
              <w:rPr>
                <w:sz w:val="10"/>
                <w:szCs w:val="10"/>
              </w:rPr>
              <w:t> </w:t>
            </w:r>
          </w:p>
        </w:tc>
        <w:tc>
          <w:tcPr>
            <w:tcW w:w="2314" w:type="dxa"/>
            <w:tcBorders>
              <w:top w:val="nil"/>
              <w:left w:val="nil"/>
              <w:bottom w:val="nil"/>
              <w:right w:val="nil"/>
            </w:tcBorders>
            <w:shd w:val="clear" w:color="000000" w:fill="FFFFFF"/>
            <w:noWrap/>
            <w:hideMark/>
          </w:tcPr>
          <w:p w:rsidR="007D3E6F" w:rsidRPr="00F70B65" w:rsidRDefault="007D3E6F" w:rsidP="007D3E6F">
            <w:pPr>
              <w:rPr>
                <w:b/>
                <w:bCs/>
                <w:sz w:val="10"/>
                <w:szCs w:val="10"/>
              </w:rPr>
            </w:pPr>
            <w:r w:rsidRPr="00F70B65">
              <w:rPr>
                <w:b/>
                <w:bCs/>
                <w:sz w:val="10"/>
                <w:szCs w:val="10"/>
              </w:rPr>
              <w:t> </w:t>
            </w:r>
          </w:p>
        </w:tc>
        <w:tc>
          <w:tcPr>
            <w:tcW w:w="1184" w:type="dxa"/>
            <w:tcBorders>
              <w:top w:val="nil"/>
              <w:left w:val="nil"/>
              <w:bottom w:val="nil"/>
              <w:right w:val="nil"/>
            </w:tcBorders>
            <w:shd w:val="clear" w:color="000000" w:fill="FFFFFF"/>
            <w:noWrap/>
            <w:hideMark/>
          </w:tcPr>
          <w:p w:rsidR="007D3E6F" w:rsidRPr="00F70B65" w:rsidRDefault="007D3E6F" w:rsidP="007D3E6F">
            <w:pPr>
              <w:ind w:left="-283"/>
              <w:rPr>
                <w:b/>
                <w:bCs/>
                <w:sz w:val="10"/>
                <w:szCs w:val="10"/>
              </w:rPr>
            </w:pPr>
            <w:r w:rsidRPr="00F70B65">
              <w:rPr>
                <w:b/>
                <w:bCs/>
                <w:sz w:val="10"/>
                <w:szCs w:val="10"/>
              </w:rPr>
              <w:t> </w:t>
            </w:r>
          </w:p>
        </w:tc>
        <w:tc>
          <w:tcPr>
            <w:tcW w:w="1054" w:type="dxa"/>
            <w:tcBorders>
              <w:top w:val="nil"/>
              <w:left w:val="nil"/>
              <w:bottom w:val="nil"/>
              <w:right w:val="nil"/>
            </w:tcBorders>
            <w:shd w:val="clear" w:color="000000" w:fill="FFFFFF"/>
            <w:noWrap/>
            <w:hideMark/>
          </w:tcPr>
          <w:p w:rsidR="007D3E6F" w:rsidRPr="00F70B65" w:rsidRDefault="007D3E6F" w:rsidP="007D3E6F">
            <w:pPr>
              <w:ind w:left="-283"/>
              <w:rPr>
                <w:sz w:val="10"/>
                <w:szCs w:val="10"/>
              </w:rPr>
            </w:pPr>
            <w:r w:rsidRPr="00F70B65">
              <w:rPr>
                <w:sz w:val="10"/>
                <w:szCs w:val="10"/>
              </w:rPr>
              <w:t> </w:t>
            </w:r>
          </w:p>
        </w:tc>
        <w:tc>
          <w:tcPr>
            <w:tcW w:w="624" w:type="dxa"/>
            <w:tcBorders>
              <w:top w:val="nil"/>
              <w:left w:val="nil"/>
              <w:bottom w:val="nil"/>
              <w:right w:val="nil"/>
            </w:tcBorders>
            <w:shd w:val="clear" w:color="000000" w:fill="FFFFFF"/>
            <w:noWrap/>
            <w:hideMark/>
          </w:tcPr>
          <w:p w:rsidR="007D3E6F" w:rsidRPr="00F70B65" w:rsidRDefault="007D3E6F" w:rsidP="007D3E6F">
            <w:pPr>
              <w:ind w:left="-283"/>
              <w:rPr>
                <w:sz w:val="10"/>
                <w:szCs w:val="10"/>
              </w:rPr>
            </w:pPr>
            <w:r w:rsidRPr="00F70B65">
              <w:rPr>
                <w:sz w:val="10"/>
                <w:szCs w:val="10"/>
              </w:rPr>
              <w:t> </w:t>
            </w:r>
          </w:p>
        </w:tc>
        <w:tc>
          <w:tcPr>
            <w:tcW w:w="1054" w:type="dxa"/>
            <w:tcBorders>
              <w:top w:val="nil"/>
              <w:left w:val="nil"/>
              <w:bottom w:val="nil"/>
              <w:right w:val="nil"/>
            </w:tcBorders>
            <w:shd w:val="clear" w:color="000000" w:fill="FFFFFF"/>
            <w:noWrap/>
            <w:hideMark/>
          </w:tcPr>
          <w:p w:rsidR="007D3E6F" w:rsidRPr="00F70B65" w:rsidRDefault="007D3E6F" w:rsidP="007D3E6F">
            <w:pPr>
              <w:ind w:left="-283"/>
              <w:rPr>
                <w:sz w:val="10"/>
                <w:szCs w:val="10"/>
              </w:rPr>
            </w:pPr>
            <w:r w:rsidRPr="00F70B65">
              <w:rPr>
                <w:sz w:val="10"/>
                <w:szCs w:val="10"/>
              </w:rPr>
              <w:t> </w:t>
            </w:r>
          </w:p>
        </w:tc>
        <w:tc>
          <w:tcPr>
            <w:tcW w:w="1054" w:type="dxa"/>
            <w:tcBorders>
              <w:top w:val="nil"/>
              <w:left w:val="nil"/>
              <w:bottom w:val="nil"/>
              <w:right w:val="nil"/>
            </w:tcBorders>
            <w:shd w:val="clear" w:color="000000" w:fill="FFFFFF"/>
            <w:noWrap/>
            <w:hideMark/>
          </w:tcPr>
          <w:p w:rsidR="007D3E6F" w:rsidRPr="00F70B65" w:rsidRDefault="007D3E6F" w:rsidP="007D3E6F">
            <w:pPr>
              <w:ind w:left="-283"/>
              <w:rPr>
                <w:sz w:val="10"/>
                <w:szCs w:val="10"/>
              </w:rPr>
            </w:pPr>
            <w:r w:rsidRPr="00F70B65">
              <w:rPr>
                <w:sz w:val="10"/>
                <w:szCs w:val="10"/>
              </w:rPr>
              <w:t> </w:t>
            </w:r>
          </w:p>
        </w:tc>
        <w:tc>
          <w:tcPr>
            <w:tcW w:w="1054" w:type="dxa"/>
            <w:tcBorders>
              <w:top w:val="nil"/>
              <w:left w:val="nil"/>
              <w:bottom w:val="nil"/>
              <w:right w:val="nil"/>
            </w:tcBorders>
            <w:shd w:val="clear" w:color="000000" w:fill="FFFFFF"/>
            <w:noWrap/>
            <w:hideMark/>
          </w:tcPr>
          <w:p w:rsidR="007D3E6F" w:rsidRPr="00F70B65" w:rsidRDefault="007D3E6F" w:rsidP="007D3E6F">
            <w:pPr>
              <w:ind w:left="-283"/>
              <w:rPr>
                <w:sz w:val="10"/>
                <w:szCs w:val="10"/>
              </w:rPr>
            </w:pPr>
            <w:r w:rsidRPr="00F70B65">
              <w:rPr>
                <w:sz w:val="10"/>
                <w:szCs w:val="10"/>
              </w:rPr>
              <w:t> </w:t>
            </w:r>
          </w:p>
        </w:tc>
      </w:tr>
      <w:tr w:rsidR="007D3E6F" w:rsidTr="007D3E6F">
        <w:tc>
          <w:tcPr>
            <w:tcW w:w="1054" w:type="dxa"/>
            <w:tcBorders>
              <w:top w:val="nil"/>
              <w:left w:val="nil"/>
              <w:bottom w:val="nil"/>
              <w:right w:val="nil"/>
            </w:tcBorders>
            <w:shd w:val="clear" w:color="000000" w:fill="FFFFFF"/>
            <w:noWrap/>
            <w:hideMark/>
          </w:tcPr>
          <w:p w:rsidR="007D3E6F" w:rsidRDefault="007D3E6F" w:rsidP="007D3E6F">
            <w:pPr>
              <w:ind w:left="-283"/>
              <w:jc w:val="right"/>
              <w:rPr>
                <w:b/>
                <w:bCs/>
                <w:sz w:val="18"/>
                <w:szCs w:val="18"/>
              </w:rPr>
            </w:pPr>
            <w:r>
              <w:rPr>
                <w:b/>
                <w:bCs/>
                <w:sz w:val="18"/>
                <w:szCs w:val="18"/>
              </w:rPr>
              <w:t>147,649</w:t>
            </w:r>
          </w:p>
        </w:tc>
        <w:tc>
          <w:tcPr>
            <w:tcW w:w="2314" w:type="dxa"/>
            <w:tcBorders>
              <w:top w:val="nil"/>
              <w:left w:val="nil"/>
              <w:bottom w:val="nil"/>
              <w:right w:val="nil"/>
            </w:tcBorders>
            <w:shd w:val="clear" w:color="000000" w:fill="FFFFFF"/>
            <w:hideMark/>
          </w:tcPr>
          <w:p w:rsidR="007D3E6F" w:rsidRDefault="007D3E6F" w:rsidP="007D3E6F">
            <w:pPr>
              <w:rPr>
                <w:b/>
                <w:bCs/>
                <w:sz w:val="18"/>
                <w:szCs w:val="18"/>
              </w:rPr>
            </w:pPr>
            <w:r>
              <w:rPr>
                <w:b/>
                <w:bCs/>
                <w:sz w:val="18"/>
                <w:szCs w:val="18"/>
              </w:rPr>
              <w:t>NET CASH INFLOW/</w:t>
            </w:r>
            <w:r>
              <w:rPr>
                <w:b/>
                <w:bCs/>
                <w:sz w:val="18"/>
                <w:szCs w:val="18"/>
              </w:rPr>
              <w:br/>
              <w:t xml:space="preserve">   (OUTFLOW) FROM</w:t>
            </w:r>
            <w:r>
              <w:rPr>
                <w:b/>
                <w:bCs/>
                <w:sz w:val="18"/>
                <w:szCs w:val="18"/>
              </w:rPr>
              <w:br/>
              <w:t xml:space="preserve">   FINANCING ACTIVITIES</w:t>
            </w:r>
          </w:p>
        </w:tc>
        <w:tc>
          <w:tcPr>
            <w:tcW w:w="1184" w:type="dxa"/>
            <w:tcBorders>
              <w:top w:val="nil"/>
              <w:left w:val="nil"/>
              <w:bottom w:val="nil"/>
              <w:right w:val="nil"/>
            </w:tcBorders>
            <w:shd w:val="clear" w:color="000000" w:fill="FFFFFF"/>
            <w:noWrap/>
            <w:hideMark/>
          </w:tcPr>
          <w:p w:rsidR="007D3E6F" w:rsidRDefault="007D3E6F" w:rsidP="007D3E6F">
            <w:pPr>
              <w:ind w:left="-283"/>
              <w:jc w:val="right"/>
              <w:rPr>
                <w:b/>
                <w:bCs/>
                <w:sz w:val="18"/>
                <w:szCs w:val="18"/>
              </w:rPr>
            </w:pPr>
            <w:r>
              <w:rPr>
                <w:b/>
                <w:bCs/>
                <w:sz w:val="18"/>
                <w:szCs w:val="18"/>
              </w:rPr>
              <w:t>147,649</w:t>
            </w:r>
          </w:p>
        </w:tc>
        <w:tc>
          <w:tcPr>
            <w:tcW w:w="1054" w:type="dxa"/>
            <w:tcBorders>
              <w:top w:val="nil"/>
              <w:left w:val="nil"/>
              <w:bottom w:val="nil"/>
              <w:right w:val="nil"/>
            </w:tcBorders>
            <w:shd w:val="clear" w:color="000000" w:fill="FFFFFF"/>
            <w:noWrap/>
            <w:hideMark/>
          </w:tcPr>
          <w:p w:rsidR="007D3E6F" w:rsidRDefault="007D3E6F" w:rsidP="007D3E6F">
            <w:pPr>
              <w:ind w:left="-283"/>
              <w:jc w:val="right"/>
              <w:rPr>
                <w:b/>
                <w:bCs/>
                <w:sz w:val="18"/>
                <w:szCs w:val="18"/>
              </w:rPr>
            </w:pPr>
            <w:r>
              <w:rPr>
                <w:b/>
                <w:bCs/>
                <w:sz w:val="18"/>
                <w:szCs w:val="18"/>
              </w:rPr>
              <w:t>178,216</w:t>
            </w:r>
          </w:p>
        </w:tc>
        <w:tc>
          <w:tcPr>
            <w:tcW w:w="624" w:type="dxa"/>
            <w:tcBorders>
              <w:top w:val="nil"/>
              <w:left w:val="nil"/>
              <w:bottom w:val="nil"/>
              <w:right w:val="nil"/>
            </w:tcBorders>
            <w:shd w:val="clear" w:color="000000" w:fill="FFFFFF"/>
            <w:noWrap/>
            <w:hideMark/>
          </w:tcPr>
          <w:p w:rsidR="007D3E6F" w:rsidRDefault="007D3E6F" w:rsidP="007D3E6F">
            <w:pPr>
              <w:ind w:left="-283"/>
              <w:jc w:val="right"/>
              <w:rPr>
                <w:b/>
                <w:bCs/>
                <w:sz w:val="18"/>
                <w:szCs w:val="18"/>
              </w:rPr>
            </w:pPr>
            <w:r>
              <w:rPr>
                <w:b/>
                <w:bCs/>
                <w:sz w:val="18"/>
                <w:szCs w:val="18"/>
              </w:rPr>
              <w:t xml:space="preserve">21 </w:t>
            </w:r>
          </w:p>
        </w:tc>
        <w:tc>
          <w:tcPr>
            <w:tcW w:w="1054" w:type="dxa"/>
            <w:tcBorders>
              <w:top w:val="nil"/>
              <w:left w:val="nil"/>
              <w:bottom w:val="nil"/>
              <w:right w:val="nil"/>
            </w:tcBorders>
            <w:shd w:val="clear" w:color="000000" w:fill="FFFFFF"/>
            <w:noWrap/>
            <w:hideMark/>
          </w:tcPr>
          <w:p w:rsidR="007D3E6F" w:rsidRDefault="007D3E6F" w:rsidP="007D3E6F">
            <w:pPr>
              <w:ind w:left="-283"/>
              <w:jc w:val="right"/>
              <w:rPr>
                <w:b/>
                <w:bCs/>
                <w:sz w:val="18"/>
                <w:szCs w:val="18"/>
              </w:rPr>
            </w:pPr>
            <w:r>
              <w:rPr>
                <w:b/>
                <w:bCs/>
                <w:sz w:val="18"/>
                <w:szCs w:val="18"/>
              </w:rPr>
              <w:t>195,674</w:t>
            </w:r>
          </w:p>
        </w:tc>
        <w:tc>
          <w:tcPr>
            <w:tcW w:w="1054" w:type="dxa"/>
            <w:tcBorders>
              <w:top w:val="nil"/>
              <w:left w:val="nil"/>
              <w:bottom w:val="nil"/>
              <w:right w:val="nil"/>
            </w:tcBorders>
            <w:shd w:val="clear" w:color="000000" w:fill="FFFFFF"/>
            <w:noWrap/>
            <w:hideMark/>
          </w:tcPr>
          <w:p w:rsidR="007D3E6F" w:rsidRDefault="007D3E6F" w:rsidP="007D3E6F">
            <w:pPr>
              <w:ind w:left="-283"/>
              <w:jc w:val="right"/>
              <w:rPr>
                <w:b/>
                <w:bCs/>
                <w:sz w:val="18"/>
                <w:szCs w:val="18"/>
              </w:rPr>
            </w:pPr>
            <w:r>
              <w:rPr>
                <w:b/>
                <w:bCs/>
                <w:sz w:val="18"/>
                <w:szCs w:val="18"/>
              </w:rPr>
              <w:t>213,650</w:t>
            </w:r>
          </w:p>
        </w:tc>
        <w:tc>
          <w:tcPr>
            <w:tcW w:w="1054" w:type="dxa"/>
            <w:tcBorders>
              <w:top w:val="nil"/>
              <w:left w:val="nil"/>
              <w:bottom w:val="nil"/>
              <w:right w:val="nil"/>
            </w:tcBorders>
            <w:shd w:val="clear" w:color="000000" w:fill="FFFFFF"/>
            <w:noWrap/>
            <w:hideMark/>
          </w:tcPr>
          <w:p w:rsidR="007D3E6F" w:rsidRDefault="007D3E6F" w:rsidP="007D3E6F">
            <w:pPr>
              <w:ind w:left="-283"/>
              <w:jc w:val="right"/>
              <w:rPr>
                <w:b/>
                <w:bCs/>
                <w:sz w:val="18"/>
                <w:szCs w:val="18"/>
              </w:rPr>
            </w:pPr>
            <w:r>
              <w:rPr>
                <w:b/>
                <w:bCs/>
                <w:sz w:val="18"/>
                <w:szCs w:val="18"/>
              </w:rPr>
              <w:t>233,781</w:t>
            </w:r>
          </w:p>
        </w:tc>
      </w:tr>
      <w:tr w:rsidR="007D3E6F" w:rsidRPr="00F70B65" w:rsidTr="007D3E6F">
        <w:tc>
          <w:tcPr>
            <w:tcW w:w="1054" w:type="dxa"/>
            <w:tcBorders>
              <w:top w:val="nil"/>
              <w:left w:val="nil"/>
              <w:bottom w:val="nil"/>
              <w:right w:val="nil"/>
            </w:tcBorders>
            <w:shd w:val="clear" w:color="000000" w:fill="FFFFFF"/>
            <w:noWrap/>
            <w:hideMark/>
          </w:tcPr>
          <w:p w:rsidR="007D3E6F" w:rsidRPr="00F70B65" w:rsidRDefault="007D3E6F" w:rsidP="007D3E6F">
            <w:pPr>
              <w:ind w:left="-283"/>
              <w:rPr>
                <w:sz w:val="10"/>
                <w:szCs w:val="10"/>
              </w:rPr>
            </w:pPr>
            <w:r w:rsidRPr="00F70B65">
              <w:rPr>
                <w:sz w:val="10"/>
                <w:szCs w:val="10"/>
              </w:rPr>
              <w:t> </w:t>
            </w:r>
          </w:p>
        </w:tc>
        <w:tc>
          <w:tcPr>
            <w:tcW w:w="2314" w:type="dxa"/>
            <w:tcBorders>
              <w:top w:val="nil"/>
              <w:left w:val="nil"/>
              <w:bottom w:val="nil"/>
              <w:right w:val="nil"/>
            </w:tcBorders>
            <w:shd w:val="clear" w:color="000000" w:fill="FFFFFF"/>
            <w:noWrap/>
            <w:hideMark/>
          </w:tcPr>
          <w:p w:rsidR="007D3E6F" w:rsidRPr="00F70B65" w:rsidRDefault="007D3E6F" w:rsidP="007D3E6F">
            <w:pPr>
              <w:rPr>
                <w:b/>
                <w:bCs/>
                <w:sz w:val="10"/>
                <w:szCs w:val="10"/>
              </w:rPr>
            </w:pPr>
            <w:r w:rsidRPr="00F70B65">
              <w:rPr>
                <w:b/>
                <w:bCs/>
                <w:sz w:val="10"/>
                <w:szCs w:val="10"/>
              </w:rPr>
              <w:t> </w:t>
            </w:r>
          </w:p>
        </w:tc>
        <w:tc>
          <w:tcPr>
            <w:tcW w:w="1184" w:type="dxa"/>
            <w:tcBorders>
              <w:top w:val="nil"/>
              <w:left w:val="nil"/>
              <w:bottom w:val="nil"/>
              <w:right w:val="nil"/>
            </w:tcBorders>
            <w:shd w:val="clear" w:color="000000" w:fill="FFFFFF"/>
            <w:noWrap/>
            <w:hideMark/>
          </w:tcPr>
          <w:p w:rsidR="007D3E6F" w:rsidRPr="00F70B65" w:rsidRDefault="007D3E6F" w:rsidP="007D3E6F">
            <w:pPr>
              <w:ind w:left="-283"/>
              <w:rPr>
                <w:b/>
                <w:bCs/>
                <w:sz w:val="10"/>
                <w:szCs w:val="10"/>
              </w:rPr>
            </w:pPr>
            <w:r w:rsidRPr="00F70B65">
              <w:rPr>
                <w:b/>
                <w:bCs/>
                <w:sz w:val="10"/>
                <w:szCs w:val="10"/>
              </w:rPr>
              <w:t> </w:t>
            </w:r>
          </w:p>
        </w:tc>
        <w:tc>
          <w:tcPr>
            <w:tcW w:w="1054" w:type="dxa"/>
            <w:tcBorders>
              <w:top w:val="nil"/>
              <w:left w:val="nil"/>
              <w:bottom w:val="nil"/>
              <w:right w:val="nil"/>
            </w:tcBorders>
            <w:shd w:val="clear" w:color="000000" w:fill="FFFFFF"/>
            <w:noWrap/>
            <w:hideMark/>
          </w:tcPr>
          <w:p w:rsidR="007D3E6F" w:rsidRPr="00F70B65" w:rsidRDefault="007D3E6F" w:rsidP="007D3E6F">
            <w:pPr>
              <w:ind w:left="-283"/>
              <w:rPr>
                <w:sz w:val="10"/>
                <w:szCs w:val="10"/>
              </w:rPr>
            </w:pPr>
            <w:r w:rsidRPr="00F70B65">
              <w:rPr>
                <w:sz w:val="10"/>
                <w:szCs w:val="10"/>
              </w:rPr>
              <w:t> </w:t>
            </w:r>
          </w:p>
        </w:tc>
        <w:tc>
          <w:tcPr>
            <w:tcW w:w="624" w:type="dxa"/>
            <w:tcBorders>
              <w:top w:val="nil"/>
              <w:left w:val="nil"/>
              <w:bottom w:val="nil"/>
              <w:right w:val="nil"/>
            </w:tcBorders>
            <w:shd w:val="clear" w:color="000000" w:fill="FFFFFF"/>
            <w:noWrap/>
            <w:hideMark/>
          </w:tcPr>
          <w:p w:rsidR="007D3E6F" w:rsidRPr="00F70B65" w:rsidRDefault="007D3E6F" w:rsidP="007D3E6F">
            <w:pPr>
              <w:ind w:left="-283"/>
              <w:rPr>
                <w:sz w:val="10"/>
                <w:szCs w:val="10"/>
              </w:rPr>
            </w:pPr>
            <w:r w:rsidRPr="00F70B65">
              <w:rPr>
                <w:sz w:val="10"/>
                <w:szCs w:val="10"/>
              </w:rPr>
              <w:t> </w:t>
            </w:r>
          </w:p>
        </w:tc>
        <w:tc>
          <w:tcPr>
            <w:tcW w:w="1054" w:type="dxa"/>
            <w:tcBorders>
              <w:top w:val="nil"/>
              <w:left w:val="nil"/>
              <w:bottom w:val="nil"/>
              <w:right w:val="nil"/>
            </w:tcBorders>
            <w:shd w:val="clear" w:color="000000" w:fill="FFFFFF"/>
            <w:noWrap/>
            <w:hideMark/>
          </w:tcPr>
          <w:p w:rsidR="007D3E6F" w:rsidRPr="00F70B65" w:rsidRDefault="007D3E6F" w:rsidP="007D3E6F">
            <w:pPr>
              <w:ind w:left="-283"/>
              <w:rPr>
                <w:sz w:val="10"/>
                <w:szCs w:val="10"/>
              </w:rPr>
            </w:pPr>
            <w:r w:rsidRPr="00F70B65">
              <w:rPr>
                <w:sz w:val="10"/>
                <w:szCs w:val="10"/>
              </w:rPr>
              <w:t> </w:t>
            </w:r>
          </w:p>
        </w:tc>
        <w:tc>
          <w:tcPr>
            <w:tcW w:w="1054" w:type="dxa"/>
            <w:tcBorders>
              <w:top w:val="nil"/>
              <w:left w:val="nil"/>
              <w:bottom w:val="nil"/>
              <w:right w:val="nil"/>
            </w:tcBorders>
            <w:shd w:val="clear" w:color="000000" w:fill="FFFFFF"/>
            <w:noWrap/>
            <w:hideMark/>
          </w:tcPr>
          <w:p w:rsidR="007D3E6F" w:rsidRPr="00F70B65" w:rsidRDefault="007D3E6F" w:rsidP="007D3E6F">
            <w:pPr>
              <w:ind w:left="-283"/>
              <w:rPr>
                <w:sz w:val="10"/>
                <w:szCs w:val="10"/>
              </w:rPr>
            </w:pPr>
            <w:r w:rsidRPr="00F70B65">
              <w:rPr>
                <w:sz w:val="10"/>
                <w:szCs w:val="10"/>
              </w:rPr>
              <w:t> </w:t>
            </w:r>
          </w:p>
        </w:tc>
        <w:tc>
          <w:tcPr>
            <w:tcW w:w="1054" w:type="dxa"/>
            <w:tcBorders>
              <w:top w:val="nil"/>
              <w:left w:val="nil"/>
              <w:bottom w:val="nil"/>
              <w:right w:val="nil"/>
            </w:tcBorders>
            <w:shd w:val="clear" w:color="000000" w:fill="FFFFFF"/>
            <w:noWrap/>
            <w:hideMark/>
          </w:tcPr>
          <w:p w:rsidR="007D3E6F" w:rsidRPr="00F70B65" w:rsidRDefault="007D3E6F" w:rsidP="007D3E6F">
            <w:pPr>
              <w:ind w:left="-283"/>
              <w:rPr>
                <w:sz w:val="10"/>
                <w:szCs w:val="10"/>
              </w:rPr>
            </w:pPr>
            <w:r w:rsidRPr="00F70B65">
              <w:rPr>
                <w:sz w:val="10"/>
                <w:szCs w:val="10"/>
              </w:rPr>
              <w:t> </w:t>
            </w:r>
          </w:p>
        </w:tc>
      </w:tr>
      <w:tr w:rsidR="007D3E6F" w:rsidTr="007D3E6F">
        <w:tc>
          <w:tcPr>
            <w:tcW w:w="1054" w:type="dxa"/>
            <w:tcBorders>
              <w:top w:val="nil"/>
              <w:left w:val="nil"/>
              <w:bottom w:val="nil"/>
              <w:right w:val="nil"/>
            </w:tcBorders>
            <w:shd w:val="clear" w:color="000000" w:fill="FFFFFF"/>
            <w:noWrap/>
            <w:hideMark/>
          </w:tcPr>
          <w:p w:rsidR="007D3E6F" w:rsidRDefault="007D3E6F" w:rsidP="007D3E6F">
            <w:pPr>
              <w:ind w:left="-283"/>
              <w:jc w:val="right"/>
              <w:rPr>
                <w:b/>
                <w:bCs/>
                <w:sz w:val="18"/>
                <w:szCs w:val="18"/>
              </w:rPr>
            </w:pPr>
            <w:r>
              <w:rPr>
                <w:b/>
                <w:bCs/>
                <w:sz w:val="18"/>
                <w:szCs w:val="18"/>
              </w:rPr>
              <w:t>0</w:t>
            </w:r>
          </w:p>
        </w:tc>
        <w:tc>
          <w:tcPr>
            <w:tcW w:w="2314" w:type="dxa"/>
            <w:tcBorders>
              <w:top w:val="nil"/>
              <w:left w:val="nil"/>
              <w:bottom w:val="nil"/>
              <w:right w:val="nil"/>
            </w:tcBorders>
            <w:shd w:val="clear" w:color="000000" w:fill="FFFFFF"/>
            <w:hideMark/>
          </w:tcPr>
          <w:p w:rsidR="007D3E6F" w:rsidRDefault="007D3E6F" w:rsidP="00855095">
            <w:pPr>
              <w:rPr>
                <w:b/>
                <w:bCs/>
                <w:sz w:val="18"/>
                <w:szCs w:val="18"/>
              </w:rPr>
            </w:pPr>
            <w:r>
              <w:rPr>
                <w:b/>
                <w:bCs/>
                <w:sz w:val="18"/>
                <w:szCs w:val="18"/>
              </w:rPr>
              <w:t>NET INCREASE /</w:t>
            </w:r>
            <w:r w:rsidR="00855095">
              <w:rPr>
                <w:b/>
                <w:bCs/>
                <w:sz w:val="18"/>
                <w:szCs w:val="18"/>
              </w:rPr>
              <w:br/>
              <w:t xml:space="preserve">   </w:t>
            </w:r>
            <w:r>
              <w:rPr>
                <w:b/>
                <w:bCs/>
                <w:sz w:val="18"/>
                <w:szCs w:val="18"/>
              </w:rPr>
              <w:t>(DECREASE)</w:t>
            </w:r>
            <w:r w:rsidR="00855095">
              <w:rPr>
                <w:b/>
                <w:bCs/>
                <w:sz w:val="18"/>
                <w:szCs w:val="18"/>
              </w:rPr>
              <w:t xml:space="preserve"> </w:t>
            </w:r>
            <w:r>
              <w:rPr>
                <w:b/>
                <w:bCs/>
                <w:sz w:val="18"/>
                <w:szCs w:val="18"/>
              </w:rPr>
              <w:t>IN CASH HELD</w:t>
            </w:r>
          </w:p>
        </w:tc>
        <w:tc>
          <w:tcPr>
            <w:tcW w:w="1184" w:type="dxa"/>
            <w:tcBorders>
              <w:top w:val="nil"/>
              <w:left w:val="nil"/>
              <w:bottom w:val="nil"/>
              <w:right w:val="nil"/>
            </w:tcBorders>
            <w:shd w:val="clear" w:color="000000" w:fill="FFFFFF"/>
            <w:noWrap/>
            <w:hideMark/>
          </w:tcPr>
          <w:p w:rsidR="007D3E6F" w:rsidRDefault="007D3E6F" w:rsidP="007D3E6F">
            <w:pPr>
              <w:ind w:left="-283"/>
              <w:jc w:val="right"/>
              <w:rPr>
                <w:b/>
                <w:bCs/>
                <w:sz w:val="18"/>
                <w:szCs w:val="18"/>
              </w:rPr>
            </w:pPr>
            <w:r>
              <w:rPr>
                <w:b/>
                <w:bCs/>
                <w:sz w:val="18"/>
                <w:szCs w:val="18"/>
              </w:rPr>
              <w:t>-971</w:t>
            </w:r>
          </w:p>
        </w:tc>
        <w:tc>
          <w:tcPr>
            <w:tcW w:w="1054" w:type="dxa"/>
            <w:tcBorders>
              <w:top w:val="nil"/>
              <w:left w:val="nil"/>
              <w:bottom w:val="nil"/>
              <w:right w:val="nil"/>
            </w:tcBorders>
            <w:shd w:val="clear" w:color="000000" w:fill="FFFFFF"/>
            <w:noWrap/>
            <w:hideMark/>
          </w:tcPr>
          <w:p w:rsidR="007D3E6F" w:rsidRDefault="007D3E6F" w:rsidP="007D3E6F">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7D3E6F" w:rsidRDefault="007D3E6F" w:rsidP="007D3E6F">
            <w:pPr>
              <w:ind w:left="-283"/>
              <w:jc w:val="right"/>
              <w:rPr>
                <w:b/>
                <w:bCs/>
                <w:sz w:val="18"/>
                <w:szCs w:val="18"/>
              </w:rPr>
            </w:pPr>
            <w:r>
              <w:rPr>
                <w:b/>
                <w:bCs/>
                <w:sz w:val="18"/>
                <w:szCs w:val="18"/>
              </w:rPr>
              <w:t xml:space="preserve">100 </w:t>
            </w:r>
          </w:p>
        </w:tc>
        <w:tc>
          <w:tcPr>
            <w:tcW w:w="1054" w:type="dxa"/>
            <w:tcBorders>
              <w:top w:val="nil"/>
              <w:left w:val="nil"/>
              <w:bottom w:val="nil"/>
              <w:right w:val="nil"/>
            </w:tcBorders>
            <w:shd w:val="clear" w:color="000000" w:fill="FFFFFF"/>
            <w:noWrap/>
            <w:hideMark/>
          </w:tcPr>
          <w:p w:rsidR="007D3E6F" w:rsidRDefault="007D3E6F" w:rsidP="007D3E6F">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7D3E6F" w:rsidRDefault="007D3E6F" w:rsidP="007D3E6F">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7D3E6F" w:rsidRDefault="007D3E6F" w:rsidP="007D3E6F">
            <w:pPr>
              <w:ind w:left="-283"/>
              <w:jc w:val="right"/>
              <w:rPr>
                <w:b/>
                <w:bCs/>
                <w:sz w:val="18"/>
                <w:szCs w:val="18"/>
              </w:rPr>
            </w:pPr>
            <w:r>
              <w:rPr>
                <w:b/>
                <w:bCs/>
                <w:sz w:val="18"/>
                <w:szCs w:val="18"/>
              </w:rPr>
              <w:t>0</w:t>
            </w:r>
          </w:p>
        </w:tc>
      </w:tr>
      <w:tr w:rsidR="007D3E6F" w:rsidRPr="00F70B65" w:rsidTr="007D3E6F">
        <w:tc>
          <w:tcPr>
            <w:tcW w:w="1054" w:type="dxa"/>
            <w:tcBorders>
              <w:top w:val="nil"/>
              <w:left w:val="nil"/>
              <w:bottom w:val="nil"/>
              <w:right w:val="nil"/>
            </w:tcBorders>
            <w:shd w:val="clear" w:color="000000" w:fill="FFFFFF"/>
            <w:noWrap/>
            <w:hideMark/>
          </w:tcPr>
          <w:p w:rsidR="007D3E6F" w:rsidRPr="00F70B65" w:rsidRDefault="007D3E6F" w:rsidP="007D3E6F">
            <w:pPr>
              <w:ind w:left="-283"/>
              <w:rPr>
                <w:b/>
                <w:bCs/>
                <w:sz w:val="10"/>
                <w:szCs w:val="10"/>
              </w:rPr>
            </w:pPr>
            <w:r w:rsidRPr="00F70B65">
              <w:rPr>
                <w:b/>
                <w:bCs/>
                <w:sz w:val="10"/>
                <w:szCs w:val="10"/>
              </w:rPr>
              <w:t> </w:t>
            </w:r>
          </w:p>
        </w:tc>
        <w:tc>
          <w:tcPr>
            <w:tcW w:w="2314" w:type="dxa"/>
            <w:tcBorders>
              <w:top w:val="nil"/>
              <w:left w:val="nil"/>
              <w:bottom w:val="nil"/>
              <w:right w:val="nil"/>
            </w:tcBorders>
            <w:shd w:val="clear" w:color="000000" w:fill="FFFFFF"/>
            <w:noWrap/>
            <w:hideMark/>
          </w:tcPr>
          <w:p w:rsidR="007D3E6F" w:rsidRPr="00F70B65" w:rsidRDefault="007D3E6F" w:rsidP="007D3E6F">
            <w:pPr>
              <w:rPr>
                <w:sz w:val="10"/>
                <w:szCs w:val="10"/>
              </w:rPr>
            </w:pPr>
            <w:r w:rsidRPr="00F70B65">
              <w:rPr>
                <w:sz w:val="10"/>
                <w:szCs w:val="10"/>
              </w:rPr>
              <w:t> </w:t>
            </w:r>
          </w:p>
        </w:tc>
        <w:tc>
          <w:tcPr>
            <w:tcW w:w="1184" w:type="dxa"/>
            <w:tcBorders>
              <w:top w:val="nil"/>
              <w:left w:val="nil"/>
              <w:bottom w:val="nil"/>
              <w:right w:val="nil"/>
            </w:tcBorders>
            <w:shd w:val="clear" w:color="000000" w:fill="FFFFFF"/>
            <w:noWrap/>
            <w:hideMark/>
          </w:tcPr>
          <w:p w:rsidR="007D3E6F" w:rsidRPr="00F70B65" w:rsidRDefault="007D3E6F" w:rsidP="007D3E6F">
            <w:pPr>
              <w:ind w:left="-283"/>
              <w:rPr>
                <w:sz w:val="10"/>
                <w:szCs w:val="10"/>
              </w:rPr>
            </w:pPr>
            <w:r w:rsidRPr="00F70B65">
              <w:rPr>
                <w:sz w:val="10"/>
                <w:szCs w:val="10"/>
              </w:rPr>
              <w:t> </w:t>
            </w:r>
          </w:p>
        </w:tc>
        <w:tc>
          <w:tcPr>
            <w:tcW w:w="1054" w:type="dxa"/>
            <w:tcBorders>
              <w:top w:val="nil"/>
              <w:left w:val="nil"/>
              <w:bottom w:val="nil"/>
              <w:right w:val="nil"/>
            </w:tcBorders>
            <w:shd w:val="clear" w:color="000000" w:fill="FFFFFF"/>
            <w:noWrap/>
            <w:hideMark/>
          </w:tcPr>
          <w:p w:rsidR="007D3E6F" w:rsidRPr="00F70B65" w:rsidRDefault="007D3E6F" w:rsidP="007D3E6F">
            <w:pPr>
              <w:ind w:left="-283"/>
              <w:rPr>
                <w:sz w:val="10"/>
                <w:szCs w:val="10"/>
              </w:rPr>
            </w:pPr>
            <w:r w:rsidRPr="00F70B65">
              <w:rPr>
                <w:sz w:val="10"/>
                <w:szCs w:val="10"/>
              </w:rPr>
              <w:t> </w:t>
            </w:r>
          </w:p>
        </w:tc>
        <w:tc>
          <w:tcPr>
            <w:tcW w:w="624" w:type="dxa"/>
            <w:tcBorders>
              <w:top w:val="nil"/>
              <w:left w:val="nil"/>
              <w:bottom w:val="nil"/>
              <w:right w:val="nil"/>
            </w:tcBorders>
            <w:shd w:val="clear" w:color="000000" w:fill="FFFFFF"/>
            <w:noWrap/>
            <w:hideMark/>
          </w:tcPr>
          <w:p w:rsidR="007D3E6F" w:rsidRPr="00F70B65" w:rsidRDefault="007D3E6F" w:rsidP="007D3E6F">
            <w:pPr>
              <w:ind w:left="-283"/>
              <w:rPr>
                <w:sz w:val="10"/>
                <w:szCs w:val="10"/>
              </w:rPr>
            </w:pPr>
            <w:r w:rsidRPr="00F70B65">
              <w:rPr>
                <w:sz w:val="10"/>
                <w:szCs w:val="10"/>
              </w:rPr>
              <w:t> </w:t>
            </w:r>
          </w:p>
        </w:tc>
        <w:tc>
          <w:tcPr>
            <w:tcW w:w="1054" w:type="dxa"/>
            <w:tcBorders>
              <w:top w:val="nil"/>
              <w:left w:val="nil"/>
              <w:bottom w:val="nil"/>
              <w:right w:val="nil"/>
            </w:tcBorders>
            <w:shd w:val="clear" w:color="000000" w:fill="FFFFFF"/>
            <w:noWrap/>
            <w:hideMark/>
          </w:tcPr>
          <w:p w:rsidR="007D3E6F" w:rsidRPr="00F70B65" w:rsidRDefault="007D3E6F" w:rsidP="007D3E6F">
            <w:pPr>
              <w:ind w:left="-283"/>
              <w:rPr>
                <w:b/>
                <w:bCs/>
                <w:sz w:val="10"/>
                <w:szCs w:val="10"/>
              </w:rPr>
            </w:pPr>
            <w:r w:rsidRPr="00F70B65">
              <w:rPr>
                <w:b/>
                <w:bCs/>
                <w:sz w:val="10"/>
                <w:szCs w:val="10"/>
              </w:rPr>
              <w:t> </w:t>
            </w:r>
          </w:p>
        </w:tc>
        <w:tc>
          <w:tcPr>
            <w:tcW w:w="1054" w:type="dxa"/>
            <w:tcBorders>
              <w:top w:val="nil"/>
              <w:left w:val="nil"/>
              <w:bottom w:val="nil"/>
              <w:right w:val="nil"/>
            </w:tcBorders>
            <w:shd w:val="clear" w:color="000000" w:fill="FFFFFF"/>
            <w:noWrap/>
            <w:hideMark/>
          </w:tcPr>
          <w:p w:rsidR="007D3E6F" w:rsidRPr="00F70B65" w:rsidRDefault="007D3E6F" w:rsidP="007D3E6F">
            <w:pPr>
              <w:ind w:left="-283"/>
              <w:rPr>
                <w:b/>
                <w:bCs/>
                <w:sz w:val="10"/>
                <w:szCs w:val="10"/>
              </w:rPr>
            </w:pPr>
            <w:r w:rsidRPr="00F70B65">
              <w:rPr>
                <w:b/>
                <w:bCs/>
                <w:sz w:val="10"/>
                <w:szCs w:val="10"/>
              </w:rPr>
              <w:t> </w:t>
            </w:r>
          </w:p>
        </w:tc>
        <w:tc>
          <w:tcPr>
            <w:tcW w:w="1054" w:type="dxa"/>
            <w:tcBorders>
              <w:top w:val="nil"/>
              <w:left w:val="nil"/>
              <w:bottom w:val="nil"/>
              <w:right w:val="nil"/>
            </w:tcBorders>
            <w:shd w:val="clear" w:color="000000" w:fill="FFFFFF"/>
            <w:noWrap/>
            <w:hideMark/>
          </w:tcPr>
          <w:p w:rsidR="007D3E6F" w:rsidRPr="00F70B65" w:rsidRDefault="007D3E6F" w:rsidP="007D3E6F">
            <w:pPr>
              <w:ind w:left="-283"/>
              <w:rPr>
                <w:b/>
                <w:bCs/>
                <w:sz w:val="10"/>
                <w:szCs w:val="10"/>
              </w:rPr>
            </w:pPr>
            <w:r w:rsidRPr="00F70B65">
              <w:rPr>
                <w:b/>
                <w:bCs/>
                <w:sz w:val="10"/>
                <w:szCs w:val="10"/>
              </w:rPr>
              <w:t> </w:t>
            </w:r>
          </w:p>
        </w:tc>
      </w:tr>
      <w:tr w:rsidR="007D3E6F" w:rsidTr="007D3E6F">
        <w:tc>
          <w:tcPr>
            <w:tcW w:w="1054" w:type="dxa"/>
            <w:tcBorders>
              <w:top w:val="nil"/>
              <w:left w:val="nil"/>
              <w:bottom w:val="nil"/>
              <w:right w:val="nil"/>
            </w:tcBorders>
            <w:shd w:val="clear" w:color="000000" w:fill="FFFFFF"/>
            <w:noWrap/>
            <w:hideMark/>
          </w:tcPr>
          <w:p w:rsidR="007D3E6F" w:rsidRDefault="007D3E6F" w:rsidP="007D3E6F">
            <w:pPr>
              <w:ind w:left="-283"/>
              <w:jc w:val="right"/>
              <w:rPr>
                <w:b/>
                <w:bCs/>
                <w:sz w:val="18"/>
                <w:szCs w:val="18"/>
              </w:rPr>
            </w:pPr>
            <w:r>
              <w:rPr>
                <w:b/>
                <w:bCs/>
                <w:sz w:val="18"/>
                <w:szCs w:val="18"/>
              </w:rPr>
              <w:t>500</w:t>
            </w:r>
          </w:p>
        </w:tc>
        <w:tc>
          <w:tcPr>
            <w:tcW w:w="2314" w:type="dxa"/>
            <w:tcBorders>
              <w:top w:val="nil"/>
              <w:left w:val="nil"/>
              <w:bottom w:val="nil"/>
              <w:right w:val="nil"/>
            </w:tcBorders>
            <w:shd w:val="clear" w:color="000000" w:fill="FFFFFF"/>
            <w:hideMark/>
          </w:tcPr>
          <w:p w:rsidR="007D3E6F" w:rsidRDefault="007E0A3A" w:rsidP="007E0A3A">
            <w:pPr>
              <w:ind w:left="142" w:hanging="142"/>
              <w:rPr>
                <w:b/>
                <w:bCs/>
                <w:sz w:val="18"/>
                <w:szCs w:val="18"/>
              </w:rPr>
            </w:pPr>
            <w:r>
              <w:rPr>
                <w:b/>
                <w:bCs/>
                <w:sz w:val="18"/>
                <w:szCs w:val="18"/>
              </w:rPr>
              <w:t xml:space="preserve">CASH AT THE BEGINNING </w:t>
            </w:r>
            <w:r w:rsidR="007D3E6F">
              <w:rPr>
                <w:b/>
                <w:bCs/>
                <w:sz w:val="18"/>
                <w:szCs w:val="18"/>
              </w:rPr>
              <w:t>OF</w:t>
            </w:r>
            <w:r>
              <w:rPr>
                <w:b/>
                <w:bCs/>
                <w:sz w:val="18"/>
                <w:szCs w:val="18"/>
              </w:rPr>
              <w:t xml:space="preserve"> </w:t>
            </w:r>
            <w:r w:rsidR="007D3E6F">
              <w:rPr>
                <w:b/>
                <w:bCs/>
                <w:sz w:val="18"/>
                <w:szCs w:val="18"/>
              </w:rPr>
              <w:t>REPORTING PERIOD</w:t>
            </w:r>
          </w:p>
        </w:tc>
        <w:tc>
          <w:tcPr>
            <w:tcW w:w="1184" w:type="dxa"/>
            <w:tcBorders>
              <w:top w:val="nil"/>
              <w:left w:val="nil"/>
              <w:bottom w:val="nil"/>
              <w:right w:val="nil"/>
            </w:tcBorders>
            <w:shd w:val="clear" w:color="000000" w:fill="FFFFFF"/>
            <w:noWrap/>
            <w:hideMark/>
          </w:tcPr>
          <w:p w:rsidR="007D3E6F" w:rsidRDefault="007D3E6F" w:rsidP="007D3E6F">
            <w:pPr>
              <w:ind w:left="-283"/>
              <w:jc w:val="right"/>
              <w:rPr>
                <w:b/>
                <w:bCs/>
                <w:sz w:val="18"/>
                <w:szCs w:val="18"/>
              </w:rPr>
            </w:pPr>
            <w:r>
              <w:rPr>
                <w:b/>
                <w:bCs/>
                <w:sz w:val="18"/>
                <w:szCs w:val="18"/>
              </w:rPr>
              <w:t>1,471</w:t>
            </w:r>
          </w:p>
        </w:tc>
        <w:tc>
          <w:tcPr>
            <w:tcW w:w="1054" w:type="dxa"/>
            <w:tcBorders>
              <w:top w:val="nil"/>
              <w:left w:val="nil"/>
              <w:bottom w:val="nil"/>
              <w:right w:val="nil"/>
            </w:tcBorders>
            <w:shd w:val="clear" w:color="000000" w:fill="FFFFFF"/>
            <w:noWrap/>
            <w:hideMark/>
          </w:tcPr>
          <w:p w:rsidR="007D3E6F" w:rsidRDefault="007D3E6F" w:rsidP="007D3E6F">
            <w:pPr>
              <w:ind w:left="-283"/>
              <w:jc w:val="right"/>
              <w:rPr>
                <w:b/>
                <w:bCs/>
                <w:sz w:val="18"/>
                <w:szCs w:val="18"/>
              </w:rPr>
            </w:pPr>
            <w:r>
              <w:rPr>
                <w:b/>
                <w:bCs/>
                <w:sz w:val="18"/>
                <w:szCs w:val="18"/>
              </w:rPr>
              <w:t>500</w:t>
            </w:r>
          </w:p>
        </w:tc>
        <w:tc>
          <w:tcPr>
            <w:tcW w:w="624" w:type="dxa"/>
            <w:tcBorders>
              <w:top w:val="nil"/>
              <w:left w:val="nil"/>
              <w:bottom w:val="nil"/>
              <w:right w:val="nil"/>
            </w:tcBorders>
            <w:shd w:val="clear" w:color="000000" w:fill="FFFFFF"/>
            <w:noWrap/>
            <w:hideMark/>
          </w:tcPr>
          <w:p w:rsidR="007D3E6F" w:rsidRDefault="007D3E6F" w:rsidP="007D3E6F">
            <w:pPr>
              <w:ind w:left="-283"/>
              <w:jc w:val="right"/>
              <w:rPr>
                <w:b/>
                <w:bCs/>
                <w:sz w:val="18"/>
                <w:szCs w:val="18"/>
              </w:rPr>
            </w:pPr>
            <w:r>
              <w:rPr>
                <w:b/>
                <w:bCs/>
                <w:sz w:val="18"/>
                <w:szCs w:val="18"/>
              </w:rPr>
              <w:t xml:space="preserve">-66 </w:t>
            </w:r>
          </w:p>
        </w:tc>
        <w:tc>
          <w:tcPr>
            <w:tcW w:w="1054" w:type="dxa"/>
            <w:tcBorders>
              <w:top w:val="nil"/>
              <w:left w:val="nil"/>
              <w:bottom w:val="nil"/>
              <w:right w:val="nil"/>
            </w:tcBorders>
            <w:shd w:val="clear" w:color="000000" w:fill="FFFFFF"/>
            <w:noWrap/>
            <w:hideMark/>
          </w:tcPr>
          <w:p w:rsidR="007D3E6F" w:rsidRDefault="007D3E6F" w:rsidP="007D3E6F">
            <w:pPr>
              <w:ind w:left="-283"/>
              <w:jc w:val="right"/>
              <w:rPr>
                <w:b/>
                <w:bCs/>
                <w:sz w:val="18"/>
                <w:szCs w:val="18"/>
              </w:rPr>
            </w:pPr>
            <w:r>
              <w:rPr>
                <w:b/>
                <w:bCs/>
                <w:sz w:val="18"/>
                <w:szCs w:val="18"/>
              </w:rPr>
              <w:t>500</w:t>
            </w:r>
          </w:p>
        </w:tc>
        <w:tc>
          <w:tcPr>
            <w:tcW w:w="1054" w:type="dxa"/>
            <w:tcBorders>
              <w:top w:val="nil"/>
              <w:left w:val="nil"/>
              <w:bottom w:val="nil"/>
              <w:right w:val="nil"/>
            </w:tcBorders>
            <w:shd w:val="clear" w:color="000000" w:fill="FFFFFF"/>
            <w:noWrap/>
            <w:hideMark/>
          </w:tcPr>
          <w:p w:rsidR="007D3E6F" w:rsidRDefault="007D3E6F" w:rsidP="007D3E6F">
            <w:pPr>
              <w:ind w:left="-283"/>
              <w:jc w:val="right"/>
              <w:rPr>
                <w:b/>
                <w:bCs/>
                <w:sz w:val="18"/>
                <w:szCs w:val="18"/>
              </w:rPr>
            </w:pPr>
            <w:r>
              <w:rPr>
                <w:b/>
                <w:bCs/>
                <w:sz w:val="18"/>
                <w:szCs w:val="18"/>
              </w:rPr>
              <w:t>500</w:t>
            </w:r>
          </w:p>
        </w:tc>
        <w:tc>
          <w:tcPr>
            <w:tcW w:w="1054" w:type="dxa"/>
            <w:tcBorders>
              <w:top w:val="nil"/>
              <w:left w:val="nil"/>
              <w:bottom w:val="nil"/>
              <w:right w:val="nil"/>
            </w:tcBorders>
            <w:shd w:val="clear" w:color="000000" w:fill="FFFFFF"/>
            <w:noWrap/>
            <w:hideMark/>
          </w:tcPr>
          <w:p w:rsidR="007D3E6F" w:rsidRDefault="007D3E6F" w:rsidP="007D3E6F">
            <w:pPr>
              <w:ind w:left="-283"/>
              <w:jc w:val="right"/>
              <w:rPr>
                <w:b/>
                <w:bCs/>
                <w:sz w:val="18"/>
                <w:szCs w:val="18"/>
              </w:rPr>
            </w:pPr>
            <w:r>
              <w:rPr>
                <w:b/>
                <w:bCs/>
                <w:sz w:val="18"/>
                <w:szCs w:val="18"/>
              </w:rPr>
              <w:t>500</w:t>
            </w:r>
          </w:p>
        </w:tc>
      </w:tr>
      <w:tr w:rsidR="007D3E6F" w:rsidTr="007D3E6F">
        <w:tc>
          <w:tcPr>
            <w:tcW w:w="1054" w:type="dxa"/>
            <w:tcBorders>
              <w:top w:val="nil"/>
              <w:left w:val="nil"/>
              <w:bottom w:val="nil"/>
              <w:right w:val="nil"/>
            </w:tcBorders>
            <w:shd w:val="clear" w:color="000000" w:fill="FFFFFF"/>
            <w:noWrap/>
            <w:hideMark/>
          </w:tcPr>
          <w:p w:rsidR="007D3E6F" w:rsidRDefault="007D3E6F" w:rsidP="007D3E6F">
            <w:pPr>
              <w:ind w:left="-283"/>
              <w:jc w:val="right"/>
              <w:rPr>
                <w:b/>
                <w:bCs/>
                <w:sz w:val="18"/>
                <w:szCs w:val="18"/>
              </w:rPr>
            </w:pPr>
            <w:r>
              <w:rPr>
                <w:b/>
                <w:bCs/>
                <w:sz w:val="18"/>
                <w:szCs w:val="18"/>
              </w:rPr>
              <w:t>500</w:t>
            </w:r>
          </w:p>
        </w:tc>
        <w:tc>
          <w:tcPr>
            <w:tcW w:w="2314" w:type="dxa"/>
            <w:tcBorders>
              <w:top w:val="nil"/>
              <w:left w:val="nil"/>
              <w:bottom w:val="nil"/>
              <w:right w:val="nil"/>
            </w:tcBorders>
            <w:shd w:val="clear" w:color="000000" w:fill="FFFFFF"/>
            <w:hideMark/>
          </w:tcPr>
          <w:p w:rsidR="007D3E6F" w:rsidRDefault="007D3E6F" w:rsidP="007D3E6F">
            <w:pPr>
              <w:rPr>
                <w:b/>
                <w:bCs/>
                <w:sz w:val="18"/>
                <w:szCs w:val="18"/>
              </w:rPr>
            </w:pPr>
            <w:r>
              <w:rPr>
                <w:b/>
                <w:bCs/>
                <w:sz w:val="18"/>
                <w:szCs w:val="18"/>
              </w:rPr>
              <w:t>CASH AT THE END OF</w:t>
            </w:r>
            <w:r>
              <w:rPr>
                <w:b/>
                <w:bCs/>
                <w:sz w:val="18"/>
                <w:szCs w:val="18"/>
              </w:rPr>
              <w:br/>
              <w:t xml:space="preserve">   REPORTING PERIOD</w:t>
            </w:r>
          </w:p>
        </w:tc>
        <w:tc>
          <w:tcPr>
            <w:tcW w:w="1184" w:type="dxa"/>
            <w:tcBorders>
              <w:top w:val="nil"/>
              <w:left w:val="nil"/>
              <w:bottom w:val="nil"/>
              <w:right w:val="nil"/>
            </w:tcBorders>
            <w:shd w:val="clear" w:color="000000" w:fill="FFFFFF"/>
            <w:noWrap/>
            <w:hideMark/>
          </w:tcPr>
          <w:p w:rsidR="007D3E6F" w:rsidRDefault="007D3E6F" w:rsidP="007D3E6F">
            <w:pPr>
              <w:ind w:left="-283"/>
              <w:jc w:val="right"/>
              <w:rPr>
                <w:b/>
                <w:bCs/>
                <w:sz w:val="18"/>
                <w:szCs w:val="18"/>
              </w:rPr>
            </w:pPr>
            <w:r>
              <w:rPr>
                <w:b/>
                <w:bCs/>
                <w:sz w:val="18"/>
                <w:szCs w:val="18"/>
              </w:rPr>
              <w:t>500</w:t>
            </w:r>
          </w:p>
        </w:tc>
        <w:tc>
          <w:tcPr>
            <w:tcW w:w="1054" w:type="dxa"/>
            <w:tcBorders>
              <w:top w:val="nil"/>
              <w:left w:val="nil"/>
              <w:bottom w:val="nil"/>
              <w:right w:val="nil"/>
            </w:tcBorders>
            <w:shd w:val="clear" w:color="000000" w:fill="FFFFFF"/>
            <w:noWrap/>
            <w:hideMark/>
          </w:tcPr>
          <w:p w:rsidR="007D3E6F" w:rsidRDefault="007D3E6F" w:rsidP="007D3E6F">
            <w:pPr>
              <w:ind w:left="-283"/>
              <w:jc w:val="right"/>
              <w:rPr>
                <w:b/>
                <w:bCs/>
                <w:sz w:val="18"/>
                <w:szCs w:val="18"/>
              </w:rPr>
            </w:pPr>
            <w:r>
              <w:rPr>
                <w:b/>
                <w:bCs/>
                <w:sz w:val="18"/>
                <w:szCs w:val="18"/>
              </w:rPr>
              <w:t>500</w:t>
            </w:r>
          </w:p>
        </w:tc>
        <w:tc>
          <w:tcPr>
            <w:tcW w:w="624" w:type="dxa"/>
            <w:tcBorders>
              <w:top w:val="nil"/>
              <w:left w:val="nil"/>
              <w:bottom w:val="nil"/>
              <w:right w:val="nil"/>
            </w:tcBorders>
            <w:shd w:val="clear" w:color="000000" w:fill="FFFFFF"/>
            <w:noWrap/>
            <w:hideMark/>
          </w:tcPr>
          <w:p w:rsidR="007D3E6F" w:rsidRDefault="007D3E6F" w:rsidP="007D3E6F">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7D3E6F" w:rsidRDefault="007D3E6F" w:rsidP="007D3E6F">
            <w:pPr>
              <w:ind w:left="-283"/>
              <w:jc w:val="right"/>
              <w:rPr>
                <w:b/>
                <w:bCs/>
                <w:sz w:val="18"/>
                <w:szCs w:val="18"/>
              </w:rPr>
            </w:pPr>
            <w:r>
              <w:rPr>
                <w:b/>
                <w:bCs/>
                <w:sz w:val="18"/>
                <w:szCs w:val="18"/>
              </w:rPr>
              <w:t>500</w:t>
            </w:r>
          </w:p>
        </w:tc>
        <w:tc>
          <w:tcPr>
            <w:tcW w:w="1054" w:type="dxa"/>
            <w:tcBorders>
              <w:top w:val="nil"/>
              <w:left w:val="nil"/>
              <w:bottom w:val="nil"/>
              <w:right w:val="nil"/>
            </w:tcBorders>
            <w:shd w:val="clear" w:color="000000" w:fill="FFFFFF"/>
            <w:noWrap/>
            <w:hideMark/>
          </w:tcPr>
          <w:p w:rsidR="007D3E6F" w:rsidRDefault="007D3E6F" w:rsidP="007D3E6F">
            <w:pPr>
              <w:ind w:left="-283"/>
              <w:jc w:val="right"/>
              <w:rPr>
                <w:b/>
                <w:bCs/>
                <w:sz w:val="18"/>
                <w:szCs w:val="18"/>
              </w:rPr>
            </w:pPr>
            <w:r>
              <w:rPr>
                <w:b/>
                <w:bCs/>
                <w:sz w:val="18"/>
                <w:szCs w:val="18"/>
              </w:rPr>
              <w:t>500</w:t>
            </w:r>
          </w:p>
        </w:tc>
        <w:tc>
          <w:tcPr>
            <w:tcW w:w="1054" w:type="dxa"/>
            <w:tcBorders>
              <w:top w:val="nil"/>
              <w:left w:val="nil"/>
              <w:bottom w:val="nil"/>
              <w:right w:val="nil"/>
            </w:tcBorders>
            <w:shd w:val="clear" w:color="000000" w:fill="FFFFFF"/>
            <w:noWrap/>
            <w:hideMark/>
          </w:tcPr>
          <w:p w:rsidR="007D3E6F" w:rsidRDefault="007D3E6F" w:rsidP="007D3E6F">
            <w:pPr>
              <w:ind w:left="-283"/>
              <w:jc w:val="right"/>
              <w:rPr>
                <w:b/>
                <w:bCs/>
                <w:sz w:val="18"/>
                <w:szCs w:val="18"/>
              </w:rPr>
            </w:pPr>
            <w:r>
              <w:rPr>
                <w:b/>
                <w:bCs/>
                <w:sz w:val="18"/>
                <w:szCs w:val="18"/>
              </w:rPr>
              <w:t>500</w:t>
            </w:r>
          </w:p>
        </w:tc>
      </w:tr>
      <w:tr w:rsidR="007D3E6F" w:rsidRPr="00F70B65" w:rsidTr="007D3E6F">
        <w:tc>
          <w:tcPr>
            <w:tcW w:w="1054" w:type="dxa"/>
            <w:tcBorders>
              <w:top w:val="nil"/>
              <w:left w:val="nil"/>
              <w:bottom w:val="single" w:sz="4" w:space="0" w:color="auto"/>
              <w:right w:val="nil"/>
            </w:tcBorders>
            <w:shd w:val="clear" w:color="000000" w:fill="FFFFFF"/>
            <w:noWrap/>
            <w:vAlign w:val="bottom"/>
            <w:hideMark/>
          </w:tcPr>
          <w:p w:rsidR="007D3E6F" w:rsidRPr="00F70B65" w:rsidRDefault="007D3E6F" w:rsidP="007D3E6F">
            <w:pPr>
              <w:ind w:left="-283"/>
              <w:rPr>
                <w:sz w:val="10"/>
                <w:szCs w:val="10"/>
              </w:rPr>
            </w:pPr>
            <w:r w:rsidRPr="00F70B65">
              <w:rPr>
                <w:sz w:val="10"/>
                <w:szCs w:val="10"/>
              </w:rPr>
              <w:t> </w:t>
            </w:r>
          </w:p>
        </w:tc>
        <w:tc>
          <w:tcPr>
            <w:tcW w:w="2314" w:type="dxa"/>
            <w:tcBorders>
              <w:top w:val="nil"/>
              <w:left w:val="nil"/>
              <w:bottom w:val="single" w:sz="4" w:space="0" w:color="auto"/>
              <w:right w:val="nil"/>
            </w:tcBorders>
            <w:shd w:val="clear" w:color="000000" w:fill="FFFFFF"/>
            <w:noWrap/>
            <w:hideMark/>
          </w:tcPr>
          <w:p w:rsidR="007D3E6F" w:rsidRPr="00F70B65" w:rsidRDefault="007D3E6F" w:rsidP="007D3E6F">
            <w:pPr>
              <w:rPr>
                <w:b/>
                <w:bCs/>
                <w:sz w:val="10"/>
                <w:szCs w:val="10"/>
              </w:rPr>
            </w:pPr>
            <w:r w:rsidRPr="00F70B65">
              <w:rPr>
                <w:b/>
                <w:bCs/>
                <w:sz w:val="10"/>
                <w:szCs w:val="10"/>
              </w:rPr>
              <w:t> </w:t>
            </w:r>
          </w:p>
        </w:tc>
        <w:tc>
          <w:tcPr>
            <w:tcW w:w="1184" w:type="dxa"/>
            <w:tcBorders>
              <w:top w:val="nil"/>
              <w:left w:val="nil"/>
              <w:bottom w:val="single" w:sz="4" w:space="0" w:color="auto"/>
              <w:right w:val="nil"/>
            </w:tcBorders>
            <w:shd w:val="clear" w:color="000000" w:fill="FFFFFF"/>
            <w:noWrap/>
            <w:hideMark/>
          </w:tcPr>
          <w:p w:rsidR="007D3E6F" w:rsidRPr="00F70B65" w:rsidRDefault="007D3E6F" w:rsidP="007D3E6F">
            <w:pPr>
              <w:ind w:left="-283"/>
              <w:rPr>
                <w:b/>
                <w:bCs/>
                <w:sz w:val="10"/>
                <w:szCs w:val="10"/>
              </w:rPr>
            </w:pPr>
            <w:r w:rsidRPr="00F70B65">
              <w:rPr>
                <w:b/>
                <w:bCs/>
                <w:sz w:val="10"/>
                <w:szCs w:val="10"/>
              </w:rPr>
              <w:t> </w:t>
            </w:r>
          </w:p>
        </w:tc>
        <w:tc>
          <w:tcPr>
            <w:tcW w:w="1054" w:type="dxa"/>
            <w:tcBorders>
              <w:top w:val="nil"/>
              <w:left w:val="nil"/>
              <w:bottom w:val="single" w:sz="4" w:space="0" w:color="auto"/>
              <w:right w:val="nil"/>
            </w:tcBorders>
            <w:shd w:val="clear" w:color="000000" w:fill="FFFFFF"/>
            <w:noWrap/>
            <w:vAlign w:val="bottom"/>
            <w:hideMark/>
          </w:tcPr>
          <w:p w:rsidR="007D3E6F" w:rsidRPr="00F70B65" w:rsidRDefault="007D3E6F" w:rsidP="007D3E6F">
            <w:pPr>
              <w:ind w:left="-283"/>
              <w:rPr>
                <w:sz w:val="10"/>
                <w:szCs w:val="10"/>
              </w:rPr>
            </w:pPr>
            <w:r w:rsidRPr="00F70B65">
              <w:rPr>
                <w:sz w:val="10"/>
                <w:szCs w:val="10"/>
              </w:rPr>
              <w:t> </w:t>
            </w:r>
          </w:p>
        </w:tc>
        <w:tc>
          <w:tcPr>
            <w:tcW w:w="624" w:type="dxa"/>
            <w:tcBorders>
              <w:top w:val="nil"/>
              <w:left w:val="nil"/>
              <w:bottom w:val="single" w:sz="4" w:space="0" w:color="auto"/>
              <w:right w:val="nil"/>
            </w:tcBorders>
            <w:shd w:val="clear" w:color="000000" w:fill="FFFFFF"/>
            <w:noWrap/>
            <w:vAlign w:val="bottom"/>
            <w:hideMark/>
          </w:tcPr>
          <w:p w:rsidR="007D3E6F" w:rsidRPr="00F70B65" w:rsidRDefault="007D3E6F" w:rsidP="007D3E6F">
            <w:pPr>
              <w:ind w:left="-283"/>
              <w:rPr>
                <w:sz w:val="10"/>
                <w:szCs w:val="10"/>
              </w:rPr>
            </w:pPr>
            <w:r w:rsidRPr="00F70B65">
              <w:rPr>
                <w:sz w:val="10"/>
                <w:szCs w:val="10"/>
              </w:rPr>
              <w:t> </w:t>
            </w:r>
          </w:p>
        </w:tc>
        <w:tc>
          <w:tcPr>
            <w:tcW w:w="1054" w:type="dxa"/>
            <w:tcBorders>
              <w:top w:val="nil"/>
              <w:left w:val="nil"/>
              <w:bottom w:val="single" w:sz="4" w:space="0" w:color="auto"/>
              <w:right w:val="nil"/>
            </w:tcBorders>
            <w:shd w:val="clear" w:color="000000" w:fill="FFFFFF"/>
            <w:noWrap/>
            <w:vAlign w:val="bottom"/>
            <w:hideMark/>
          </w:tcPr>
          <w:p w:rsidR="007D3E6F" w:rsidRPr="00F70B65" w:rsidRDefault="007D3E6F" w:rsidP="007D3E6F">
            <w:pPr>
              <w:ind w:left="-283"/>
              <w:rPr>
                <w:sz w:val="10"/>
                <w:szCs w:val="10"/>
              </w:rPr>
            </w:pPr>
            <w:r w:rsidRPr="00F70B65">
              <w:rPr>
                <w:sz w:val="10"/>
                <w:szCs w:val="10"/>
              </w:rPr>
              <w:t> </w:t>
            </w:r>
          </w:p>
        </w:tc>
        <w:tc>
          <w:tcPr>
            <w:tcW w:w="1054" w:type="dxa"/>
            <w:tcBorders>
              <w:top w:val="nil"/>
              <w:left w:val="nil"/>
              <w:bottom w:val="single" w:sz="4" w:space="0" w:color="auto"/>
              <w:right w:val="nil"/>
            </w:tcBorders>
            <w:shd w:val="clear" w:color="000000" w:fill="FFFFFF"/>
            <w:noWrap/>
            <w:vAlign w:val="bottom"/>
            <w:hideMark/>
          </w:tcPr>
          <w:p w:rsidR="007D3E6F" w:rsidRPr="00F70B65" w:rsidRDefault="007D3E6F" w:rsidP="007D3E6F">
            <w:pPr>
              <w:ind w:left="-283"/>
              <w:rPr>
                <w:sz w:val="10"/>
                <w:szCs w:val="10"/>
              </w:rPr>
            </w:pPr>
            <w:r w:rsidRPr="00F70B65">
              <w:rPr>
                <w:sz w:val="10"/>
                <w:szCs w:val="10"/>
              </w:rPr>
              <w:t> </w:t>
            </w:r>
          </w:p>
        </w:tc>
        <w:tc>
          <w:tcPr>
            <w:tcW w:w="1054" w:type="dxa"/>
            <w:tcBorders>
              <w:top w:val="nil"/>
              <w:left w:val="nil"/>
              <w:bottom w:val="single" w:sz="4" w:space="0" w:color="auto"/>
              <w:right w:val="nil"/>
            </w:tcBorders>
            <w:shd w:val="clear" w:color="000000" w:fill="FFFFFF"/>
            <w:noWrap/>
            <w:vAlign w:val="bottom"/>
            <w:hideMark/>
          </w:tcPr>
          <w:p w:rsidR="007D3E6F" w:rsidRPr="00F70B65" w:rsidRDefault="007D3E6F" w:rsidP="007D3E6F">
            <w:pPr>
              <w:ind w:left="-283"/>
              <w:rPr>
                <w:sz w:val="10"/>
                <w:szCs w:val="10"/>
              </w:rPr>
            </w:pPr>
            <w:r w:rsidRPr="00F70B65">
              <w:rPr>
                <w:sz w:val="10"/>
                <w:szCs w:val="10"/>
              </w:rPr>
              <w:t> </w:t>
            </w:r>
          </w:p>
        </w:tc>
      </w:tr>
    </w:tbl>
    <w:p w:rsidR="00B56568" w:rsidRDefault="00B56568" w:rsidP="00B56568">
      <w:pPr>
        <w:pStyle w:val="NoteHeading0"/>
      </w:pPr>
      <w:r>
        <w:t>Note:</w:t>
      </w:r>
    </w:p>
    <w:p w:rsidR="00981E9F" w:rsidRPr="00DF2E34" w:rsidRDefault="00981E9F" w:rsidP="00DB27AD">
      <w:pPr>
        <w:pStyle w:val="AINotes"/>
        <w:numPr>
          <w:ilvl w:val="0"/>
          <w:numId w:val="29"/>
        </w:numPr>
      </w:pPr>
      <w:r w:rsidRPr="00981E9F">
        <w:rPr>
          <w:lang w:val="en-US"/>
        </w:rPr>
        <w:t>Interest received from investments with the Territory Banking Account is no longer presented as Interest Income.  These amounts are now reflected under the line item Distribution from the Territory Banking Account.  This treatment is not reflected in the 2012</w:t>
      </w:r>
      <w:r w:rsidRPr="00981E9F">
        <w:rPr>
          <w:lang w:val="en-US"/>
        </w:rPr>
        <w:noBreakHyphen/>
        <w:t>13 Budget figures.</w:t>
      </w:r>
    </w:p>
    <w:p w:rsidR="006E0284" w:rsidRDefault="007D3E6F" w:rsidP="00FC6018">
      <w:pPr>
        <w:pStyle w:val="Heading3"/>
      </w:pPr>
      <w:r>
        <w:br w:type="page"/>
      </w:r>
    </w:p>
    <w:p w:rsidR="007D3E6F" w:rsidRDefault="003F7572" w:rsidP="00FC6018">
      <w:pPr>
        <w:pStyle w:val="Heading3"/>
      </w:pPr>
      <w:r>
        <w:rPr>
          <w:szCs w:val="16"/>
        </w:rPr>
        <w:lastRenderedPageBreak/>
        <w:t>Notes to the Budget Statements</w:t>
      </w:r>
    </w:p>
    <w:p w:rsidR="00FC6018" w:rsidRDefault="007D3E6F" w:rsidP="00FC6018">
      <w:pPr>
        <w:pStyle w:val="BodyText"/>
      </w:pPr>
      <w:r w:rsidRPr="004B1F76">
        <w:t>Significant variations are as follows:</w:t>
      </w:r>
    </w:p>
    <w:p w:rsidR="007D3E6F" w:rsidRPr="00FC6018" w:rsidRDefault="007D3E6F" w:rsidP="00FC6018">
      <w:pPr>
        <w:pStyle w:val="BodyText"/>
        <w:spacing w:before="240"/>
        <w:rPr>
          <w:i/>
        </w:rPr>
      </w:pPr>
      <w:r w:rsidRPr="00FC6018">
        <w:rPr>
          <w:i/>
        </w:rPr>
        <w:t>Statement of Income and Expenses on Behalf of the Territory</w:t>
      </w:r>
    </w:p>
    <w:p w:rsidR="007D3E6F" w:rsidRPr="006938DA" w:rsidRDefault="007D3E6F" w:rsidP="007D3E6F">
      <w:pPr>
        <w:pStyle w:val="BodyTextIndent"/>
        <w:ind w:left="357" w:hanging="357"/>
        <w:outlineLvl w:val="0"/>
      </w:pPr>
      <w:r w:rsidRPr="006938DA">
        <w:t>interest:</w:t>
      </w:r>
    </w:p>
    <w:p w:rsidR="0068324C" w:rsidRDefault="007D3E6F" w:rsidP="007D3E6F">
      <w:pPr>
        <w:pStyle w:val="BodyTextIndent2"/>
      </w:pPr>
      <w:r w:rsidRPr="006938DA">
        <w:t>the decrease of $21.889 million in the 2012</w:t>
      </w:r>
      <w:r w:rsidRPr="006938DA">
        <w:noBreakHyphen/>
        <w:t>13 estimated outcome from the original budget is mainly due to the reclassification of interest received from the Territory Banking Account as a distribution</w:t>
      </w:r>
      <w:r w:rsidR="003D441A">
        <w:t xml:space="preserve">; </w:t>
      </w:r>
      <w:r w:rsidR="0068324C">
        <w:t>earnings from the inflation-linked debt investments being classified as gains; and the timing of</w:t>
      </w:r>
      <w:r w:rsidRPr="006938DA">
        <w:t xml:space="preserve"> income distribution from the currency-hedged international fixed interest investments</w:t>
      </w:r>
      <w:r w:rsidR="0068324C">
        <w:t>; and</w:t>
      </w:r>
    </w:p>
    <w:p w:rsidR="007D3E6F" w:rsidRPr="006938DA" w:rsidRDefault="007D3E6F" w:rsidP="007D3E6F">
      <w:pPr>
        <w:pStyle w:val="BodyTextIndent2"/>
      </w:pPr>
      <w:proofErr w:type="gramStart"/>
      <w:r w:rsidRPr="006938DA">
        <w:t>the</w:t>
      </w:r>
      <w:proofErr w:type="gramEnd"/>
      <w:r w:rsidRPr="006938DA">
        <w:t xml:space="preserve"> increase of $4.974 million in the 2013</w:t>
      </w:r>
      <w:r w:rsidRPr="006938DA">
        <w:noBreakHyphen/>
        <w:t>14 Budget from the 2012</w:t>
      </w:r>
      <w:r w:rsidRPr="006938DA">
        <w:noBreakHyphen/>
        <w:t xml:space="preserve">13 estimated outcome is mainly </w:t>
      </w:r>
      <w:r>
        <w:t xml:space="preserve">due </w:t>
      </w:r>
      <w:r w:rsidRPr="006938DA">
        <w:t>to a distribution from the currency</w:t>
      </w:r>
      <w:r>
        <w:noBreakHyphen/>
      </w:r>
      <w:proofErr w:type="spellStart"/>
      <w:r w:rsidRPr="006938DA">
        <w:t>hedged</w:t>
      </w:r>
      <w:proofErr w:type="spellEnd"/>
      <w:r w:rsidRPr="006938DA">
        <w:t xml:space="preserve"> internati</w:t>
      </w:r>
      <w:r w:rsidR="0068324C">
        <w:t>onal fixed interest investments and income from fixed interest investments.</w:t>
      </w:r>
    </w:p>
    <w:p w:rsidR="007D3E6F" w:rsidRPr="006938DA" w:rsidRDefault="007D3E6F" w:rsidP="007D3E6F">
      <w:pPr>
        <w:pStyle w:val="BodyTextIndent"/>
        <w:ind w:left="357" w:hanging="357"/>
        <w:outlineLvl w:val="0"/>
      </w:pPr>
      <w:proofErr w:type="gramStart"/>
      <w:r w:rsidRPr="006938DA">
        <w:t>dividend</w:t>
      </w:r>
      <w:proofErr w:type="gramEnd"/>
      <w:r w:rsidRPr="006938DA">
        <w:t xml:space="preserve"> revenue:</w:t>
      </w:r>
      <w:r>
        <w:t xml:space="preserve">  </w:t>
      </w:r>
      <w:r w:rsidRPr="006938DA">
        <w:t>the increase of $17.489 million in the 2013</w:t>
      </w:r>
      <w:r w:rsidRPr="006938DA">
        <w:noBreakHyphen/>
        <w:t>14 Budget from the 2012</w:t>
      </w:r>
      <w:r w:rsidRPr="006938DA">
        <w:noBreakHyphen/>
        <w:t xml:space="preserve">13 estimated outcome is mainly </w:t>
      </w:r>
      <w:r>
        <w:t xml:space="preserve">due </w:t>
      </w:r>
      <w:r w:rsidRPr="006938DA">
        <w:t>to a distribution from the currency-hedged international share investments, as well as growth in dividend receipts from an increasing portfolio of share investments.</w:t>
      </w:r>
    </w:p>
    <w:p w:rsidR="007D3E6F" w:rsidRPr="006938DA" w:rsidRDefault="007D3E6F" w:rsidP="007D3E6F">
      <w:pPr>
        <w:pStyle w:val="BodyTextIndent"/>
        <w:ind w:left="357" w:hanging="357"/>
        <w:outlineLvl w:val="0"/>
      </w:pPr>
      <w:r w:rsidRPr="006938DA">
        <w:t>d</w:t>
      </w:r>
      <w:r>
        <w:t>istribution from i</w:t>
      </w:r>
      <w:r w:rsidRPr="006938DA">
        <w:t>nvestments with the Territory Banking Account:</w:t>
      </w:r>
    </w:p>
    <w:p w:rsidR="007D3E6F" w:rsidRPr="006938DA" w:rsidRDefault="007D3E6F" w:rsidP="007D3E6F">
      <w:pPr>
        <w:pStyle w:val="BodyTextIndent2"/>
      </w:pPr>
      <w:r w:rsidRPr="006938DA">
        <w:t>the increase of $8.950 million in the 2012-13 estimated outcome from the original budget is due to the reclassification of interest received from the Territory Banking Account as a distribution; and</w:t>
      </w:r>
    </w:p>
    <w:p w:rsidR="007D3E6F" w:rsidRPr="006938DA" w:rsidRDefault="007D3E6F" w:rsidP="007D3E6F">
      <w:pPr>
        <w:pStyle w:val="BodyTextIndent2"/>
      </w:pPr>
      <w:proofErr w:type="gramStart"/>
      <w:r w:rsidRPr="006938DA">
        <w:t>the</w:t>
      </w:r>
      <w:proofErr w:type="gramEnd"/>
      <w:r w:rsidRPr="006938DA">
        <w:t xml:space="preserve"> decrease of $4.003 million in the 2013</w:t>
      </w:r>
      <w:r w:rsidRPr="006938DA">
        <w:noBreakHyphen/>
        <w:t>14 Budget from the 2012</w:t>
      </w:r>
      <w:r w:rsidRPr="006938DA">
        <w:noBreakHyphen/>
        <w:t xml:space="preserve">13 estimated outcome is mainly </w:t>
      </w:r>
      <w:r>
        <w:t xml:space="preserve">due </w:t>
      </w:r>
      <w:r w:rsidRPr="006938DA">
        <w:t>to lower anticipated interest rates and a lower investment balance.</w:t>
      </w:r>
    </w:p>
    <w:p w:rsidR="007D3E6F" w:rsidRPr="006938DA" w:rsidRDefault="007D3E6F" w:rsidP="007D3E6F">
      <w:pPr>
        <w:pStyle w:val="BodyTextIndent"/>
        <w:ind w:left="357" w:hanging="357"/>
        <w:outlineLvl w:val="0"/>
      </w:pPr>
      <w:r w:rsidRPr="006938DA">
        <w:t>other revenue:</w:t>
      </w:r>
    </w:p>
    <w:p w:rsidR="007D3E6F" w:rsidRPr="006938DA" w:rsidRDefault="007D3E6F" w:rsidP="007D3E6F">
      <w:pPr>
        <w:pStyle w:val="BodyTextIndent2"/>
      </w:pPr>
      <w:r w:rsidRPr="006938DA">
        <w:t>the increase of $176.765 million in the 2012</w:t>
      </w:r>
      <w:r w:rsidRPr="006938DA">
        <w:noBreakHyphen/>
        <w:t>13 estimated outcome from the original budget is mainly due to strong capital gains from the share investments over the year; and</w:t>
      </w:r>
    </w:p>
    <w:p w:rsidR="007D3E6F" w:rsidRPr="006938DA" w:rsidRDefault="007D3E6F" w:rsidP="007D3E6F">
      <w:pPr>
        <w:pStyle w:val="BodyTextIndent2"/>
      </w:pPr>
      <w:proofErr w:type="gramStart"/>
      <w:r w:rsidRPr="006938DA">
        <w:t>the</w:t>
      </w:r>
      <w:proofErr w:type="gramEnd"/>
      <w:r w:rsidRPr="006938DA">
        <w:t xml:space="preserve"> decrease of $166.029 million in the 2013</w:t>
      </w:r>
      <w:r w:rsidRPr="006938DA">
        <w:noBreakHyphen/>
        <w:t>14 Budget from the 2012</w:t>
      </w:r>
      <w:r w:rsidRPr="006938DA">
        <w:noBreakHyphen/>
        <w:t xml:space="preserve">13 estimated outcome </w:t>
      </w:r>
      <w:r>
        <w:t>is due to</w:t>
      </w:r>
      <w:r w:rsidRPr="006938DA">
        <w:t xml:space="preserve"> a return to the long term investment earnings assumption of a portfolio return of CPI plus </w:t>
      </w:r>
      <w:r>
        <w:t>five </w:t>
      </w:r>
      <w:r w:rsidRPr="006938DA">
        <w:t>per</w:t>
      </w:r>
      <w:r>
        <w:t> </w:t>
      </w:r>
      <w:r w:rsidRPr="006938DA">
        <w:t>cent (net of fees).</w:t>
      </w:r>
    </w:p>
    <w:p w:rsidR="007D3E6F" w:rsidRPr="006938DA" w:rsidRDefault="007D3E6F" w:rsidP="007D3E6F">
      <w:pPr>
        <w:pStyle w:val="BodyTextIndent"/>
        <w:ind w:left="357" w:hanging="357"/>
        <w:outlineLvl w:val="0"/>
      </w:pPr>
      <w:r w:rsidRPr="006938DA">
        <w:t>superannuation expenses:</w:t>
      </w:r>
    </w:p>
    <w:p w:rsidR="007D3E6F" w:rsidRPr="006938DA" w:rsidRDefault="007D3E6F" w:rsidP="007D3E6F">
      <w:pPr>
        <w:pStyle w:val="BodyTextIndent2"/>
      </w:pPr>
      <w:r w:rsidRPr="006938DA">
        <w:t>the increase of $82.689 million in the 2012</w:t>
      </w:r>
      <w:r w:rsidRPr="006938DA">
        <w:noBreakHyphen/>
        <w:t xml:space="preserve">13 estimated outcome from the original budget </w:t>
      </w:r>
      <w:r>
        <w:t>is due to</w:t>
      </w:r>
      <w:r w:rsidRPr="006938DA">
        <w:t xml:space="preserve"> the impact of the lower than estimated discount rate as at 30</w:t>
      </w:r>
      <w:r>
        <w:t> </w:t>
      </w:r>
      <w:r w:rsidRPr="006938DA">
        <w:t>June</w:t>
      </w:r>
      <w:r>
        <w:t> </w:t>
      </w:r>
      <w:r w:rsidRPr="006938DA">
        <w:t>2012 used for the annual superannuation liability valuation; and</w:t>
      </w:r>
    </w:p>
    <w:p w:rsidR="007D3E6F" w:rsidRPr="006938DA" w:rsidRDefault="007D3E6F" w:rsidP="007D3E6F">
      <w:pPr>
        <w:pStyle w:val="BodyTextIndent2"/>
      </w:pPr>
      <w:proofErr w:type="gramStart"/>
      <w:r w:rsidRPr="006938DA">
        <w:t>the</w:t>
      </w:r>
      <w:proofErr w:type="gramEnd"/>
      <w:r w:rsidRPr="006938DA">
        <w:t xml:space="preserve"> decrease of $68.189 million in the 2013</w:t>
      </w:r>
      <w:r w:rsidRPr="006938DA">
        <w:noBreakHyphen/>
        <w:t>14 Budget from the 2012</w:t>
      </w:r>
      <w:r w:rsidRPr="006938DA">
        <w:noBreakHyphen/>
        <w:t xml:space="preserve">13 estimated outcome </w:t>
      </w:r>
      <w:r>
        <w:t>is due to</w:t>
      </w:r>
      <w:r w:rsidRPr="006938DA">
        <w:t xml:space="preserve"> the valuation of the superannuation liability and superannuation expense being calculated on the long-term discount rate of </w:t>
      </w:r>
      <w:r>
        <w:t>six p</w:t>
      </w:r>
      <w:r w:rsidRPr="006938DA">
        <w:t>er</w:t>
      </w:r>
      <w:r>
        <w:t> </w:t>
      </w:r>
      <w:r w:rsidRPr="006938DA">
        <w:t>cent.</w:t>
      </w:r>
    </w:p>
    <w:p w:rsidR="007D3E6F" w:rsidRDefault="007D3E6F" w:rsidP="007D3E6F">
      <w:pPr>
        <w:pStyle w:val="BodyTextIndent"/>
        <w:ind w:left="357" w:hanging="357"/>
        <w:outlineLvl w:val="0"/>
      </w:pPr>
      <w:proofErr w:type="gramStart"/>
      <w:r>
        <w:lastRenderedPageBreak/>
        <w:t>supplies</w:t>
      </w:r>
      <w:proofErr w:type="gramEnd"/>
      <w:r>
        <w:t xml:space="preserve"> and services:  the decrease of $0.583 million in the 2012</w:t>
      </w:r>
      <w:r>
        <w:noBreakHyphen/>
        <w:t xml:space="preserve">13 estimated outcome from the original budget is due to lower </w:t>
      </w:r>
      <w:proofErr w:type="spellStart"/>
      <w:r w:rsidRPr="00FF6202">
        <w:t>Com</w:t>
      </w:r>
      <w:r w:rsidR="003D441A">
        <w:t>S</w:t>
      </w:r>
      <w:r w:rsidRPr="00FF6202">
        <w:t>uper</w:t>
      </w:r>
      <w:proofErr w:type="spellEnd"/>
      <w:r w:rsidRPr="00FF6202">
        <w:t xml:space="preserve"> admin</w:t>
      </w:r>
      <w:r>
        <w:t>istration</w:t>
      </w:r>
      <w:r w:rsidR="008939D7">
        <w:t xml:space="preserve"> payments for the management of</w:t>
      </w:r>
      <w:r w:rsidRPr="00FF6202">
        <w:t xml:space="preserve"> CSS/PSS &amp; PSSap member accounts</w:t>
      </w:r>
      <w:r>
        <w:t xml:space="preserve">, </w:t>
      </w:r>
      <w:r w:rsidRPr="00FF6202">
        <w:t xml:space="preserve">actuarial </w:t>
      </w:r>
      <w:r>
        <w:t xml:space="preserve">and legal expenses and consultant </w:t>
      </w:r>
      <w:r w:rsidRPr="00FF6202">
        <w:t>fees</w:t>
      </w:r>
      <w:r>
        <w:t>.</w:t>
      </w:r>
    </w:p>
    <w:p w:rsidR="007D3E6F" w:rsidRPr="006938DA" w:rsidRDefault="007D3E6F" w:rsidP="007D3E6F">
      <w:pPr>
        <w:pStyle w:val="BodyTextIndent"/>
        <w:ind w:left="357" w:hanging="357"/>
        <w:outlineLvl w:val="0"/>
      </w:pPr>
      <w:r w:rsidRPr="006938DA">
        <w:t>other expenses:</w:t>
      </w:r>
    </w:p>
    <w:p w:rsidR="007D3E6F" w:rsidRPr="006938DA" w:rsidRDefault="007D3E6F" w:rsidP="007D3E6F">
      <w:pPr>
        <w:pStyle w:val="BodyTextIndent2"/>
      </w:pPr>
      <w:r w:rsidRPr="006938DA">
        <w:t>the increase of $17.122 million in the 2012</w:t>
      </w:r>
      <w:r w:rsidRPr="006938DA">
        <w:noBreakHyphen/>
        <w:t xml:space="preserve">13 estimated outcome from the original budget </w:t>
      </w:r>
      <w:r>
        <w:t>is due to</w:t>
      </w:r>
      <w:r w:rsidRPr="006938DA">
        <w:t xml:space="preserve"> unrealised capital losses</w:t>
      </w:r>
      <w:r w:rsidR="008939D7">
        <w:t xml:space="preserve"> associated with the receipt of distributions from unit trust investments</w:t>
      </w:r>
      <w:r w:rsidRPr="006938DA">
        <w:t>; and</w:t>
      </w:r>
    </w:p>
    <w:p w:rsidR="007D3E6F" w:rsidRPr="006938DA" w:rsidRDefault="007D3E6F" w:rsidP="007D3E6F">
      <w:pPr>
        <w:pStyle w:val="BodyTextIndent2"/>
      </w:pPr>
      <w:proofErr w:type="gramStart"/>
      <w:r w:rsidRPr="006938DA">
        <w:t>the</w:t>
      </w:r>
      <w:proofErr w:type="gramEnd"/>
      <w:r w:rsidRPr="006938DA">
        <w:t xml:space="preserve"> decrease of $18.297 million in the 2013</w:t>
      </w:r>
      <w:r w:rsidRPr="006938DA">
        <w:noBreakHyphen/>
        <w:t>14 Budget from the 2012</w:t>
      </w:r>
      <w:r w:rsidRPr="006938DA">
        <w:noBreakHyphen/>
        <w:t xml:space="preserve">13 estimated outcome </w:t>
      </w:r>
      <w:r>
        <w:t>is due to</w:t>
      </w:r>
      <w:r w:rsidRPr="006938DA">
        <w:t xml:space="preserve"> a return to the long-term investment earnings assumption of a portfolio return of CPI plus </w:t>
      </w:r>
      <w:r>
        <w:t>five </w:t>
      </w:r>
      <w:r w:rsidRPr="006938DA">
        <w:t>per</w:t>
      </w:r>
      <w:r>
        <w:t> </w:t>
      </w:r>
      <w:r w:rsidRPr="006938DA">
        <w:t>cent (net of fees).</w:t>
      </w:r>
    </w:p>
    <w:p w:rsidR="007D3E6F" w:rsidRPr="006938DA" w:rsidRDefault="007D3E6F" w:rsidP="00FC6018">
      <w:pPr>
        <w:pStyle w:val="Heading4"/>
      </w:pPr>
      <w:r w:rsidRPr="006938DA">
        <w:t>Statement of Assets and Liabilities on Behalf of the Territory</w:t>
      </w:r>
    </w:p>
    <w:p w:rsidR="007D3E6F" w:rsidRPr="006938DA" w:rsidRDefault="007D3E6F" w:rsidP="007D3E6F">
      <w:pPr>
        <w:pStyle w:val="BodyTextIndent"/>
        <w:ind w:left="357" w:hanging="357"/>
        <w:outlineLvl w:val="0"/>
      </w:pPr>
      <w:proofErr w:type="spellStart"/>
      <w:r w:rsidRPr="006938DA">
        <w:t>non</w:t>
      </w:r>
      <w:r w:rsidR="00FC6018">
        <w:t xml:space="preserve"> </w:t>
      </w:r>
      <w:r w:rsidRPr="006938DA">
        <w:t>current</w:t>
      </w:r>
      <w:proofErr w:type="spellEnd"/>
      <w:r w:rsidRPr="006938DA">
        <w:t xml:space="preserve"> investments:</w:t>
      </w:r>
    </w:p>
    <w:p w:rsidR="007D3E6F" w:rsidRPr="006938DA" w:rsidRDefault="007D3E6F" w:rsidP="007D3E6F">
      <w:pPr>
        <w:pStyle w:val="BodyTextIndent2"/>
      </w:pPr>
      <w:r w:rsidRPr="006938DA">
        <w:t>the increase of $73.005 million in the 2012</w:t>
      </w:r>
      <w:r w:rsidRPr="006938DA">
        <w:noBreakHyphen/>
        <w:t>13 estimated outcome from the original budget is due to a combination of the flow-on effects of the 2011-12 audited outcome and the increase in the estimated outcome for investment earnings; and</w:t>
      </w:r>
    </w:p>
    <w:p w:rsidR="007D3E6F" w:rsidRPr="006938DA" w:rsidRDefault="007D3E6F" w:rsidP="007D3E6F">
      <w:pPr>
        <w:pStyle w:val="BodyTextIndent2"/>
      </w:pPr>
      <w:proofErr w:type="gramStart"/>
      <w:r w:rsidRPr="006938DA">
        <w:t>the</w:t>
      </w:r>
      <w:proofErr w:type="gramEnd"/>
      <w:r w:rsidRPr="006938DA">
        <w:t xml:space="preserve"> increase of $189.033 million in the 2013</w:t>
      </w:r>
      <w:r w:rsidRPr="006938DA">
        <w:noBreakHyphen/>
        <w:t>14 Budget from the 2012</w:t>
      </w:r>
      <w:r w:rsidRPr="006938DA">
        <w:noBreakHyphen/>
        <w:t>13 estimated outcome is due to the reinvestment of projected investment earnings, offset by expected cash outflows.</w:t>
      </w:r>
    </w:p>
    <w:p w:rsidR="007D3E6F" w:rsidRPr="006938DA" w:rsidRDefault="007D3E6F" w:rsidP="007D3E6F">
      <w:pPr>
        <w:pStyle w:val="BodyTextIndent"/>
        <w:ind w:left="357" w:hanging="357"/>
        <w:outlineLvl w:val="0"/>
      </w:pPr>
      <w:r w:rsidRPr="006938DA">
        <w:t>current employee benefits:</w:t>
      </w:r>
    </w:p>
    <w:p w:rsidR="007D3E6F" w:rsidRPr="006938DA" w:rsidRDefault="007D3E6F" w:rsidP="007D3E6F">
      <w:pPr>
        <w:pStyle w:val="BodyTextIndent2"/>
      </w:pPr>
      <w:proofErr w:type="gramStart"/>
      <w:r w:rsidRPr="006938DA">
        <w:t>the</w:t>
      </w:r>
      <w:proofErr w:type="gramEnd"/>
      <w:r w:rsidRPr="006938DA">
        <w:t xml:space="preserve"> increase of $0.967 million in the 2012</w:t>
      </w:r>
      <w:r w:rsidRPr="006938DA">
        <w:noBreakHyphen/>
        <w:t>13 estimated outcome from the original budget</w:t>
      </w:r>
      <w:r w:rsidR="003D441A">
        <w:t xml:space="preserve"> </w:t>
      </w:r>
      <w:r w:rsidRPr="006938DA">
        <w:t>and</w:t>
      </w:r>
      <w:r w:rsidR="003D441A">
        <w:t xml:space="preserve"> </w:t>
      </w:r>
      <w:r w:rsidRPr="006938DA">
        <w:t>the increase of $17.467 million in the 2013</w:t>
      </w:r>
      <w:r w:rsidRPr="006938DA">
        <w:noBreakHyphen/>
        <w:t>14 Budget from the 2012</w:t>
      </w:r>
      <w:r w:rsidRPr="006938DA">
        <w:noBreakHyphen/>
        <w:t>13</w:t>
      </w:r>
      <w:r w:rsidR="003D441A">
        <w:t> </w:t>
      </w:r>
      <w:r w:rsidRPr="006938DA">
        <w:t xml:space="preserve">estimated outcome </w:t>
      </w:r>
      <w:r>
        <w:t>is due to</w:t>
      </w:r>
      <w:r w:rsidRPr="006938DA">
        <w:t xml:space="preserve"> the outcome of the latest actuarial review and the estimated growth in annual employee superannuation benefit payments.</w:t>
      </w:r>
    </w:p>
    <w:p w:rsidR="007D3E6F" w:rsidRPr="006938DA" w:rsidRDefault="00FC6018" w:rsidP="007D3E6F">
      <w:pPr>
        <w:pStyle w:val="BodyTextIndent"/>
        <w:ind w:left="357" w:hanging="357"/>
        <w:outlineLvl w:val="0"/>
      </w:pPr>
      <w:proofErr w:type="spellStart"/>
      <w:r>
        <w:t>n</w:t>
      </w:r>
      <w:r w:rsidR="007D3E6F" w:rsidRPr="006938DA">
        <w:t>on</w:t>
      </w:r>
      <w:r>
        <w:t xml:space="preserve"> </w:t>
      </w:r>
      <w:r w:rsidR="007D3E6F" w:rsidRPr="006938DA">
        <w:t>current</w:t>
      </w:r>
      <w:proofErr w:type="spellEnd"/>
      <w:r w:rsidR="007D3E6F" w:rsidRPr="006938DA">
        <w:t xml:space="preserve"> employee benefits:</w:t>
      </w:r>
    </w:p>
    <w:p w:rsidR="007D3E6F" w:rsidRPr="006938DA" w:rsidRDefault="007D3E6F" w:rsidP="007D3E6F">
      <w:pPr>
        <w:pStyle w:val="BodyTextIndent2"/>
      </w:pPr>
      <w:r w:rsidRPr="006938DA">
        <w:t>the decrease of $8.409 million in the 2012</w:t>
      </w:r>
      <w:r w:rsidRPr="006938DA">
        <w:noBreakHyphen/>
        <w:t xml:space="preserve">13 estimated outcome from the original budget </w:t>
      </w:r>
      <w:r>
        <w:t>is due to</w:t>
      </w:r>
      <w:r w:rsidRPr="006938DA">
        <w:t xml:space="preserve"> the outcome of the latest actuarial review that incorporates membership data as at 30 June 2012; and</w:t>
      </w:r>
    </w:p>
    <w:p w:rsidR="007D3E6F" w:rsidRPr="006938DA" w:rsidRDefault="007D3E6F" w:rsidP="007D3E6F">
      <w:pPr>
        <w:pStyle w:val="BodyTextIndent2"/>
      </w:pPr>
      <w:proofErr w:type="gramStart"/>
      <w:r w:rsidRPr="006938DA">
        <w:t>the</w:t>
      </w:r>
      <w:proofErr w:type="gramEnd"/>
      <w:r w:rsidRPr="006938DA">
        <w:t xml:space="preserve"> increase of $257.714 million in the 2013</w:t>
      </w:r>
      <w:r w:rsidRPr="006938DA">
        <w:noBreakHyphen/>
        <w:t>14 Budget from the 2012</w:t>
      </w:r>
      <w:r w:rsidRPr="006938DA">
        <w:noBreakHyphen/>
        <w:t xml:space="preserve">13 estimated outcome </w:t>
      </w:r>
      <w:r>
        <w:t>is due to</w:t>
      </w:r>
      <w:r w:rsidRPr="006938DA">
        <w:t xml:space="preserve"> the outcome of the latest actuarial review and the estimated growth in annual employee superannuation benefit liabilities.</w:t>
      </w:r>
    </w:p>
    <w:p w:rsidR="007D3E6F" w:rsidRPr="004568BD" w:rsidRDefault="007D3E6F" w:rsidP="00FC6018">
      <w:pPr>
        <w:pStyle w:val="Heading4"/>
      </w:pPr>
      <w:r w:rsidRPr="004568BD">
        <w:t>Statement of Changes in Equity on Behalf of the Territory</w:t>
      </w:r>
    </w:p>
    <w:p w:rsidR="007D3E6F" w:rsidRPr="004568BD" w:rsidRDefault="007D3E6F" w:rsidP="007D3E6F">
      <w:pPr>
        <w:pStyle w:val="BodyText"/>
      </w:pPr>
      <w:r w:rsidRPr="004568BD">
        <w:t>Variations in the statement are explained in the notes above.</w:t>
      </w:r>
    </w:p>
    <w:p w:rsidR="007D3E6F" w:rsidRPr="004568BD" w:rsidRDefault="007D3E6F" w:rsidP="00FC6018">
      <w:pPr>
        <w:pStyle w:val="Heading4"/>
      </w:pPr>
      <w:r w:rsidRPr="004568BD">
        <w:t>Statement of Cash Flows on Behalf of the Territory</w:t>
      </w:r>
    </w:p>
    <w:p w:rsidR="00FC6018" w:rsidRDefault="007D3E6F" w:rsidP="007D3E6F">
      <w:pPr>
        <w:pStyle w:val="BodyText"/>
      </w:pPr>
      <w:r w:rsidRPr="004568BD">
        <w:t>Variations in the statement are explained in the notes above.</w:t>
      </w:r>
    </w:p>
    <w:p w:rsidR="007D3E6F" w:rsidRPr="004B1F76" w:rsidRDefault="00FC6018" w:rsidP="00FC6018">
      <w:pPr>
        <w:pStyle w:val="BodyText"/>
        <w:rPr>
          <w:rFonts w:eastAsia="MS Mincho"/>
        </w:rPr>
      </w:pPr>
      <w:r>
        <w:br w:type="page"/>
      </w:r>
    </w:p>
    <w:sectPr w:rsidR="007D3E6F" w:rsidRPr="004B1F76" w:rsidSect="00B1425C">
      <w:footerReference w:type="default" r:id="rId10"/>
      <w:pgSz w:w="11907" w:h="16840" w:code="9"/>
      <w:pgMar w:top="1151" w:right="1440" w:bottom="1729" w:left="1440" w:header="720" w:footer="720" w:gutter="0"/>
      <w:pgNumType w:start="6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097C" w:rsidRDefault="00AE097C">
      <w:r>
        <w:separator/>
      </w:r>
    </w:p>
  </w:endnote>
  <w:endnote w:type="continuationSeparator" w:id="0">
    <w:p w:rsidR="00AE097C" w:rsidRDefault="00AE097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B0E" w:rsidRDefault="00E53B0E" w:rsidP="00E53B0E">
    <w:pPr>
      <w:pStyle w:val="FooterBP"/>
    </w:pPr>
    <w:r>
      <w:t>2013</w:t>
    </w:r>
    <w:r>
      <w:noBreakHyphen/>
      <w:t>14 Budget Paper No. 4</w:t>
    </w:r>
    <w:r w:rsidRPr="00DB37E9">
      <w:rPr>
        <w:sz w:val="18"/>
        <w:szCs w:val="18"/>
      </w:rPr>
      <w:tab/>
    </w:r>
    <w:r w:rsidR="00810417" w:rsidRPr="00B1425C">
      <w:rPr>
        <w:sz w:val="18"/>
        <w:szCs w:val="18"/>
      </w:rPr>
      <w:fldChar w:fldCharType="begin"/>
    </w:r>
    <w:r w:rsidR="00B1425C" w:rsidRPr="00B1425C">
      <w:rPr>
        <w:sz w:val="18"/>
        <w:szCs w:val="18"/>
      </w:rPr>
      <w:instrText xml:space="preserve"> PAGE   \* MERGEFORMAT </w:instrText>
    </w:r>
    <w:r w:rsidR="00810417" w:rsidRPr="00B1425C">
      <w:rPr>
        <w:sz w:val="18"/>
        <w:szCs w:val="18"/>
      </w:rPr>
      <w:fldChar w:fldCharType="separate"/>
    </w:r>
    <w:r w:rsidR="00486784">
      <w:rPr>
        <w:noProof/>
        <w:sz w:val="18"/>
        <w:szCs w:val="18"/>
      </w:rPr>
      <w:t>62</w:t>
    </w:r>
    <w:r w:rsidR="00810417" w:rsidRPr="00B1425C">
      <w:rPr>
        <w:sz w:val="18"/>
        <w:szCs w:val="18"/>
      </w:rPr>
      <w:fldChar w:fldCharType="end"/>
    </w:r>
    <w:r>
      <w:tab/>
      <w:t>Superannuation Provision Account</w:t>
    </w:r>
  </w:p>
  <w:p w:rsidR="00AE097C" w:rsidRPr="0053206E" w:rsidRDefault="00AE097C" w:rsidP="00E53B0E">
    <w:pPr>
      <w:pStyle w:val="Foo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097C" w:rsidRDefault="00AE097C">
      <w:r>
        <w:separator/>
      </w:r>
    </w:p>
  </w:footnote>
  <w:footnote w:type="continuationSeparator" w:id="0">
    <w:p w:rsidR="00AE097C" w:rsidRDefault="00AE09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8C8D67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E5A0DE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4549C16"/>
    <w:lvl w:ilvl="0">
      <w:start w:val="1"/>
      <w:numFmt w:val="decimal"/>
      <w:pStyle w:val="ListNumber3"/>
      <w:lvlText w:val="%1."/>
      <w:lvlJc w:val="left"/>
      <w:pPr>
        <w:tabs>
          <w:tab w:val="num" w:pos="926"/>
        </w:tabs>
        <w:ind w:left="926" w:hanging="360"/>
      </w:pPr>
    </w:lvl>
  </w:abstractNum>
  <w:abstractNum w:abstractNumId="3">
    <w:nsid w:val="FFFFFF7F"/>
    <w:multiLevelType w:val="singleLevel"/>
    <w:tmpl w:val="865E3FCE"/>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AC0CC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019641B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B40813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D2E2E7B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5C60A82"/>
    <w:lvl w:ilvl="0">
      <w:start w:val="1"/>
      <w:numFmt w:val="decimal"/>
      <w:pStyle w:val="ListNumber"/>
      <w:lvlText w:val="%1."/>
      <w:lvlJc w:val="left"/>
      <w:pPr>
        <w:tabs>
          <w:tab w:val="num" w:pos="360"/>
        </w:tabs>
        <w:ind w:left="360" w:hanging="360"/>
      </w:pPr>
    </w:lvl>
  </w:abstractNum>
  <w:abstractNum w:abstractNumId="9">
    <w:nsid w:val="FFFFFF89"/>
    <w:multiLevelType w:val="singleLevel"/>
    <w:tmpl w:val="363E3EF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BA11C5"/>
    <w:multiLevelType w:val="hybridMultilevel"/>
    <w:tmpl w:val="05F4BB08"/>
    <w:lvl w:ilvl="0" w:tplc="445C04A8">
      <w:start w:val="1"/>
      <w:numFmt w:val="bullet"/>
      <w:pStyle w:val="BodyTextIndent2"/>
      <w:lvlText w:val="–"/>
      <w:lvlJc w:val="left"/>
      <w:pPr>
        <w:tabs>
          <w:tab w:val="num" w:pos="717"/>
        </w:tabs>
        <w:ind w:left="717" w:hanging="360"/>
      </w:pPr>
      <w:rPr>
        <w:rFonts w:ascii="Times New Roman" w:hAnsi="Times New Roman" w:cs="Times New Roman" w:hint="default"/>
      </w:rPr>
    </w:lvl>
    <w:lvl w:ilvl="1" w:tplc="04090003" w:tentative="1">
      <w:start w:val="1"/>
      <w:numFmt w:val="bullet"/>
      <w:lvlText w:val="o"/>
      <w:lvlJc w:val="left"/>
      <w:pPr>
        <w:tabs>
          <w:tab w:val="num" w:pos="1866"/>
        </w:tabs>
        <w:ind w:left="1866" w:hanging="360"/>
      </w:pPr>
      <w:rPr>
        <w:rFonts w:ascii="Courier New" w:hAnsi="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11">
    <w:nsid w:val="08E60934"/>
    <w:multiLevelType w:val="hybridMultilevel"/>
    <w:tmpl w:val="93AA6100"/>
    <w:lvl w:ilvl="0" w:tplc="D4682E1E">
      <w:start w:val="1"/>
      <w:numFmt w:val="bullet"/>
      <w:pStyle w:val="BodyTextIndent4"/>
      <w:lvlText w:val="–"/>
      <w:lvlJc w:val="left"/>
      <w:pPr>
        <w:tabs>
          <w:tab w:val="num" w:pos="2016"/>
        </w:tabs>
        <w:ind w:left="2016" w:hanging="360"/>
      </w:pPr>
      <w:rPr>
        <w:rFonts w:ascii="Times New Roman" w:hAnsi="Times New Roman" w:cs="Times New Roman" w:hint="default"/>
      </w:rPr>
    </w:lvl>
    <w:lvl w:ilvl="1" w:tplc="0C090003" w:tentative="1">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12">
    <w:nsid w:val="0CF82CFE"/>
    <w:multiLevelType w:val="hybridMultilevel"/>
    <w:tmpl w:val="6B7295A0"/>
    <w:lvl w:ilvl="0" w:tplc="E0001AF4">
      <w:start w:val="1"/>
      <w:numFmt w:val="bullet"/>
      <w:pStyle w:val="12ptNormalinden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04C2DBA"/>
    <w:multiLevelType w:val="hybridMultilevel"/>
    <w:tmpl w:val="1DBE5F94"/>
    <w:lvl w:ilvl="0" w:tplc="3096549E">
      <w:start w:val="1"/>
      <w:numFmt w:val="bullet"/>
      <w:pStyle w:val="BodyTextIndent3"/>
      <w:lvlText w:val=""/>
      <w:lvlJc w:val="left"/>
      <w:pPr>
        <w:tabs>
          <w:tab w:val="num" w:pos="1797"/>
        </w:tabs>
        <w:ind w:left="1797" w:hanging="360"/>
      </w:pPr>
      <w:rPr>
        <w:rFonts w:ascii="Symbol" w:hAnsi="Symbol" w:hint="default"/>
      </w:rPr>
    </w:lvl>
    <w:lvl w:ilvl="1" w:tplc="0C090003" w:tentative="1">
      <w:start w:val="1"/>
      <w:numFmt w:val="bullet"/>
      <w:lvlText w:val="o"/>
      <w:lvlJc w:val="left"/>
      <w:pPr>
        <w:tabs>
          <w:tab w:val="num" w:pos="2517"/>
        </w:tabs>
        <w:ind w:left="2517" w:hanging="360"/>
      </w:pPr>
      <w:rPr>
        <w:rFonts w:ascii="Courier New" w:hAnsi="Courier New" w:cs="Courier New" w:hint="default"/>
      </w:rPr>
    </w:lvl>
    <w:lvl w:ilvl="2" w:tplc="0C090005" w:tentative="1">
      <w:start w:val="1"/>
      <w:numFmt w:val="bullet"/>
      <w:lvlText w:val=""/>
      <w:lvlJc w:val="left"/>
      <w:pPr>
        <w:tabs>
          <w:tab w:val="num" w:pos="3237"/>
        </w:tabs>
        <w:ind w:left="3237" w:hanging="360"/>
      </w:pPr>
      <w:rPr>
        <w:rFonts w:ascii="Wingdings" w:hAnsi="Wingdings" w:hint="default"/>
      </w:rPr>
    </w:lvl>
    <w:lvl w:ilvl="3" w:tplc="0C090001" w:tentative="1">
      <w:start w:val="1"/>
      <w:numFmt w:val="bullet"/>
      <w:lvlText w:val=""/>
      <w:lvlJc w:val="left"/>
      <w:pPr>
        <w:tabs>
          <w:tab w:val="num" w:pos="3957"/>
        </w:tabs>
        <w:ind w:left="3957" w:hanging="360"/>
      </w:pPr>
      <w:rPr>
        <w:rFonts w:ascii="Symbol" w:hAnsi="Symbol" w:hint="default"/>
      </w:rPr>
    </w:lvl>
    <w:lvl w:ilvl="4" w:tplc="0C090003" w:tentative="1">
      <w:start w:val="1"/>
      <w:numFmt w:val="bullet"/>
      <w:lvlText w:val="o"/>
      <w:lvlJc w:val="left"/>
      <w:pPr>
        <w:tabs>
          <w:tab w:val="num" w:pos="4677"/>
        </w:tabs>
        <w:ind w:left="4677" w:hanging="360"/>
      </w:pPr>
      <w:rPr>
        <w:rFonts w:ascii="Courier New" w:hAnsi="Courier New" w:cs="Courier New" w:hint="default"/>
      </w:rPr>
    </w:lvl>
    <w:lvl w:ilvl="5" w:tplc="0C090005" w:tentative="1">
      <w:start w:val="1"/>
      <w:numFmt w:val="bullet"/>
      <w:lvlText w:val=""/>
      <w:lvlJc w:val="left"/>
      <w:pPr>
        <w:tabs>
          <w:tab w:val="num" w:pos="5397"/>
        </w:tabs>
        <w:ind w:left="5397" w:hanging="360"/>
      </w:pPr>
      <w:rPr>
        <w:rFonts w:ascii="Wingdings" w:hAnsi="Wingdings" w:hint="default"/>
      </w:rPr>
    </w:lvl>
    <w:lvl w:ilvl="6" w:tplc="0C090001" w:tentative="1">
      <w:start w:val="1"/>
      <w:numFmt w:val="bullet"/>
      <w:lvlText w:val=""/>
      <w:lvlJc w:val="left"/>
      <w:pPr>
        <w:tabs>
          <w:tab w:val="num" w:pos="6117"/>
        </w:tabs>
        <w:ind w:left="6117" w:hanging="360"/>
      </w:pPr>
      <w:rPr>
        <w:rFonts w:ascii="Symbol" w:hAnsi="Symbol" w:hint="default"/>
      </w:rPr>
    </w:lvl>
    <w:lvl w:ilvl="7" w:tplc="0C090003" w:tentative="1">
      <w:start w:val="1"/>
      <w:numFmt w:val="bullet"/>
      <w:lvlText w:val="o"/>
      <w:lvlJc w:val="left"/>
      <w:pPr>
        <w:tabs>
          <w:tab w:val="num" w:pos="6837"/>
        </w:tabs>
        <w:ind w:left="6837" w:hanging="360"/>
      </w:pPr>
      <w:rPr>
        <w:rFonts w:ascii="Courier New" w:hAnsi="Courier New" w:cs="Courier New" w:hint="default"/>
      </w:rPr>
    </w:lvl>
    <w:lvl w:ilvl="8" w:tplc="0C090005" w:tentative="1">
      <w:start w:val="1"/>
      <w:numFmt w:val="bullet"/>
      <w:lvlText w:val=""/>
      <w:lvlJc w:val="left"/>
      <w:pPr>
        <w:tabs>
          <w:tab w:val="num" w:pos="7557"/>
        </w:tabs>
        <w:ind w:left="7557" w:hanging="360"/>
      </w:pPr>
      <w:rPr>
        <w:rFonts w:ascii="Wingdings" w:hAnsi="Wingdings" w:hint="default"/>
      </w:rPr>
    </w:lvl>
  </w:abstractNum>
  <w:abstractNum w:abstractNumId="14">
    <w:nsid w:val="224E3BDC"/>
    <w:multiLevelType w:val="hybridMultilevel"/>
    <w:tmpl w:val="D842061A"/>
    <w:lvl w:ilvl="0" w:tplc="653AE3A8">
      <w:start w:val="1"/>
      <w:numFmt w:val="bullet"/>
      <w:pStyle w:val="BodyTextIndent"/>
      <w:lvlText w:val=""/>
      <w:lvlJc w:val="left"/>
      <w:pPr>
        <w:tabs>
          <w:tab w:val="num" w:pos="360"/>
        </w:tabs>
        <w:ind w:left="360" w:hanging="360"/>
      </w:pPr>
      <w:rPr>
        <w:rFonts w:ascii="Symbol" w:hAnsi="Symbol" w:cs="Times New Roman"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5">
    <w:nsid w:val="276E6360"/>
    <w:multiLevelType w:val="hybridMultilevel"/>
    <w:tmpl w:val="5E5A2F42"/>
    <w:lvl w:ilvl="0" w:tplc="1C36BE6A">
      <w:start w:val="1"/>
      <w:numFmt w:val="decimal"/>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6">
    <w:nsid w:val="431B2E35"/>
    <w:multiLevelType w:val="hybridMultilevel"/>
    <w:tmpl w:val="7C6C98B0"/>
    <w:lvl w:ilvl="0" w:tplc="3AB21CB0">
      <w:start w:val="1"/>
      <w:numFmt w:val="lowerLetter"/>
      <w:pStyle w:val="NoteTexta"/>
      <w:lvlText w:val="%1)"/>
      <w:lvlJc w:val="left"/>
      <w:pPr>
        <w:tabs>
          <w:tab w:val="num" w:pos="357"/>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nsid w:val="51255168"/>
    <w:multiLevelType w:val="hybridMultilevel"/>
    <w:tmpl w:val="943A1E60"/>
    <w:lvl w:ilvl="0" w:tplc="485AF4B6">
      <w:start w:val="1"/>
      <w:numFmt w:val="lowerLetter"/>
      <w:pStyle w:val="TableTextIndent"/>
      <w:lvlText w:val="%1."/>
      <w:lvlJc w:val="left"/>
      <w:pPr>
        <w:tabs>
          <w:tab w:val="num" w:pos="360"/>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nsid w:val="64560CB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71E768A1"/>
    <w:multiLevelType w:val="multilevel"/>
    <w:tmpl w:val="0C090023"/>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0">
    <w:nsid w:val="735141C2"/>
    <w:multiLevelType w:val="hybridMultilevel"/>
    <w:tmpl w:val="4BD6E9D6"/>
    <w:lvl w:ilvl="0" w:tplc="9EEA06FE">
      <w:start w:val="1"/>
      <w:numFmt w:val="decimal"/>
      <w:pStyle w:val="AINotes"/>
      <w:lvlText w:val="%1."/>
      <w:lvlJc w:val="left"/>
      <w:pPr>
        <w:tabs>
          <w:tab w:val="num" w:pos="357"/>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nsid w:val="77973333"/>
    <w:multiLevelType w:val="multilevel"/>
    <w:tmpl w:val="0C090023"/>
    <w:styleLink w:val="ArticleSection"/>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nsid w:val="7B3730A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7F1B0FA6"/>
    <w:multiLevelType w:val="hybridMultilevel"/>
    <w:tmpl w:val="85E05738"/>
    <w:lvl w:ilvl="0" w:tplc="9EEA06FE">
      <w:start w:val="1"/>
      <w:numFmt w:val="lowerLetter"/>
      <w:pStyle w:val="Tabletextindenta"/>
      <w:lvlText w:val="%1."/>
      <w:lvlJc w:val="left"/>
      <w:pPr>
        <w:tabs>
          <w:tab w:val="num" w:pos="360"/>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23"/>
  </w:num>
  <w:num w:numId="2">
    <w:abstractNumId w:val="16"/>
  </w:num>
  <w:num w:numId="3">
    <w:abstractNumId w:val="22"/>
  </w:num>
  <w:num w:numId="4">
    <w:abstractNumId w:val="18"/>
  </w:num>
  <w:num w:numId="5">
    <w:abstractNumId w:val="20"/>
  </w:num>
  <w:num w:numId="6">
    <w:abstractNumId w:val="21"/>
  </w:num>
  <w:num w:numId="7">
    <w:abstractNumId w:val="12"/>
  </w:num>
  <w:num w:numId="8">
    <w:abstractNumId w:val="20"/>
  </w:num>
  <w:num w:numId="9">
    <w:abstractNumId w:val="14"/>
  </w:num>
  <w:num w:numId="10">
    <w:abstractNumId w:val="10"/>
  </w:num>
  <w:num w:numId="11">
    <w:abstractNumId w:val="13"/>
  </w:num>
  <w:num w:numId="12">
    <w:abstractNumId w:val="11"/>
  </w:num>
  <w:num w:numId="13">
    <w:abstractNumId w:val="19"/>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7"/>
  </w:num>
  <w:num w:numId="25">
    <w:abstractNumId w:val="23"/>
  </w:num>
  <w:num w:numId="26">
    <w:abstractNumId w:val="15"/>
  </w:num>
  <w:num w:numId="27">
    <w:abstractNumId w:val="20"/>
    <w:lvlOverride w:ilvl="0">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0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D30803"/>
    <w:rsid w:val="00001A08"/>
    <w:rsid w:val="000271EC"/>
    <w:rsid w:val="0003337B"/>
    <w:rsid w:val="000340E6"/>
    <w:rsid w:val="0003735C"/>
    <w:rsid w:val="00037824"/>
    <w:rsid w:val="000642C8"/>
    <w:rsid w:val="00066AB8"/>
    <w:rsid w:val="00071849"/>
    <w:rsid w:val="00075321"/>
    <w:rsid w:val="00082C71"/>
    <w:rsid w:val="000960D8"/>
    <w:rsid w:val="000979F3"/>
    <w:rsid w:val="000A2CF9"/>
    <w:rsid w:val="000A66E7"/>
    <w:rsid w:val="000B1D97"/>
    <w:rsid w:val="000B53C5"/>
    <w:rsid w:val="000C2A34"/>
    <w:rsid w:val="000D1A4B"/>
    <w:rsid w:val="000D2ACD"/>
    <w:rsid w:val="000E2451"/>
    <w:rsid w:val="000E6A9D"/>
    <w:rsid w:val="000F002F"/>
    <w:rsid w:val="000F7C9C"/>
    <w:rsid w:val="00102429"/>
    <w:rsid w:val="00104153"/>
    <w:rsid w:val="00106390"/>
    <w:rsid w:val="00137296"/>
    <w:rsid w:val="0015239D"/>
    <w:rsid w:val="00154223"/>
    <w:rsid w:val="0016402B"/>
    <w:rsid w:val="0016623E"/>
    <w:rsid w:val="00167A04"/>
    <w:rsid w:val="00170844"/>
    <w:rsid w:val="001952E3"/>
    <w:rsid w:val="001A1BA8"/>
    <w:rsid w:val="001A64EF"/>
    <w:rsid w:val="001B18C3"/>
    <w:rsid w:val="001C05D2"/>
    <w:rsid w:val="001C56FD"/>
    <w:rsid w:val="001C6E72"/>
    <w:rsid w:val="001D7263"/>
    <w:rsid w:val="001F1819"/>
    <w:rsid w:val="001F335B"/>
    <w:rsid w:val="001F6DC6"/>
    <w:rsid w:val="00204CF2"/>
    <w:rsid w:val="00237335"/>
    <w:rsid w:val="00261434"/>
    <w:rsid w:val="0027445B"/>
    <w:rsid w:val="00276C91"/>
    <w:rsid w:val="0028326A"/>
    <w:rsid w:val="002B6EE3"/>
    <w:rsid w:val="002E4C7C"/>
    <w:rsid w:val="002E5EB2"/>
    <w:rsid w:val="002F1125"/>
    <w:rsid w:val="00301766"/>
    <w:rsid w:val="0030672F"/>
    <w:rsid w:val="00320C11"/>
    <w:rsid w:val="00320F67"/>
    <w:rsid w:val="00355724"/>
    <w:rsid w:val="00361AAC"/>
    <w:rsid w:val="00377477"/>
    <w:rsid w:val="003B35E9"/>
    <w:rsid w:val="003B367D"/>
    <w:rsid w:val="003C69F9"/>
    <w:rsid w:val="003D441A"/>
    <w:rsid w:val="003D7725"/>
    <w:rsid w:val="003E0511"/>
    <w:rsid w:val="003E6798"/>
    <w:rsid w:val="003E75C5"/>
    <w:rsid w:val="003F7572"/>
    <w:rsid w:val="00406520"/>
    <w:rsid w:val="00427B57"/>
    <w:rsid w:val="004444DF"/>
    <w:rsid w:val="00444565"/>
    <w:rsid w:val="00446186"/>
    <w:rsid w:val="004568BD"/>
    <w:rsid w:val="00457DC8"/>
    <w:rsid w:val="004639CB"/>
    <w:rsid w:val="00465263"/>
    <w:rsid w:val="00465524"/>
    <w:rsid w:val="00470309"/>
    <w:rsid w:val="00477DCF"/>
    <w:rsid w:val="00486784"/>
    <w:rsid w:val="00486953"/>
    <w:rsid w:val="00494BBC"/>
    <w:rsid w:val="004A7CFC"/>
    <w:rsid w:val="004B1128"/>
    <w:rsid w:val="004B1F76"/>
    <w:rsid w:val="004D3B0E"/>
    <w:rsid w:val="004E33F5"/>
    <w:rsid w:val="004E440C"/>
    <w:rsid w:val="0050431F"/>
    <w:rsid w:val="0052245B"/>
    <w:rsid w:val="005233D1"/>
    <w:rsid w:val="0053206E"/>
    <w:rsid w:val="00532738"/>
    <w:rsid w:val="00536AC6"/>
    <w:rsid w:val="00554331"/>
    <w:rsid w:val="005570C0"/>
    <w:rsid w:val="005571FC"/>
    <w:rsid w:val="005716DC"/>
    <w:rsid w:val="00594A1A"/>
    <w:rsid w:val="005A1961"/>
    <w:rsid w:val="005C2A5E"/>
    <w:rsid w:val="005C4E33"/>
    <w:rsid w:val="005C6A02"/>
    <w:rsid w:val="005D7A62"/>
    <w:rsid w:val="005E0DC5"/>
    <w:rsid w:val="005E5E29"/>
    <w:rsid w:val="005E783A"/>
    <w:rsid w:val="005F6BE4"/>
    <w:rsid w:val="005F7986"/>
    <w:rsid w:val="0062520C"/>
    <w:rsid w:val="00657DDE"/>
    <w:rsid w:val="0067554B"/>
    <w:rsid w:val="00680551"/>
    <w:rsid w:val="00681DFA"/>
    <w:rsid w:val="0068324C"/>
    <w:rsid w:val="006938DA"/>
    <w:rsid w:val="0069606C"/>
    <w:rsid w:val="00697012"/>
    <w:rsid w:val="006A6CE3"/>
    <w:rsid w:val="006A6F2C"/>
    <w:rsid w:val="006B5E7A"/>
    <w:rsid w:val="006D1398"/>
    <w:rsid w:val="006D37A3"/>
    <w:rsid w:val="006E0284"/>
    <w:rsid w:val="006E41BA"/>
    <w:rsid w:val="006E4563"/>
    <w:rsid w:val="006E48D6"/>
    <w:rsid w:val="006E66FB"/>
    <w:rsid w:val="006F0686"/>
    <w:rsid w:val="006F3651"/>
    <w:rsid w:val="00704B9F"/>
    <w:rsid w:val="007075B3"/>
    <w:rsid w:val="00714FFD"/>
    <w:rsid w:val="00726864"/>
    <w:rsid w:val="00744B00"/>
    <w:rsid w:val="00752100"/>
    <w:rsid w:val="00757A93"/>
    <w:rsid w:val="00770055"/>
    <w:rsid w:val="007704C4"/>
    <w:rsid w:val="00781E06"/>
    <w:rsid w:val="0079207E"/>
    <w:rsid w:val="007A3A0F"/>
    <w:rsid w:val="007B2496"/>
    <w:rsid w:val="007B70E8"/>
    <w:rsid w:val="007C48EA"/>
    <w:rsid w:val="007C6CA0"/>
    <w:rsid w:val="007D3E6F"/>
    <w:rsid w:val="007E0A3A"/>
    <w:rsid w:val="007E1564"/>
    <w:rsid w:val="007E7111"/>
    <w:rsid w:val="007F1FBF"/>
    <w:rsid w:val="00810417"/>
    <w:rsid w:val="0081442B"/>
    <w:rsid w:val="0081547E"/>
    <w:rsid w:val="0082522F"/>
    <w:rsid w:val="008342AD"/>
    <w:rsid w:val="00840778"/>
    <w:rsid w:val="0084651B"/>
    <w:rsid w:val="00855095"/>
    <w:rsid w:val="00872E6B"/>
    <w:rsid w:val="00874EC8"/>
    <w:rsid w:val="0087651A"/>
    <w:rsid w:val="00885F1A"/>
    <w:rsid w:val="00890CE2"/>
    <w:rsid w:val="0089398F"/>
    <w:rsid w:val="008939D7"/>
    <w:rsid w:val="008B5EC9"/>
    <w:rsid w:val="008D0EEF"/>
    <w:rsid w:val="008D1550"/>
    <w:rsid w:val="008F39FE"/>
    <w:rsid w:val="008F7838"/>
    <w:rsid w:val="009011DB"/>
    <w:rsid w:val="00913B6E"/>
    <w:rsid w:val="00916049"/>
    <w:rsid w:val="00931C1F"/>
    <w:rsid w:val="0093263D"/>
    <w:rsid w:val="00935F64"/>
    <w:rsid w:val="00957F2E"/>
    <w:rsid w:val="009606B7"/>
    <w:rsid w:val="009627D0"/>
    <w:rsid w:val="00965FEB"/>
    <w:rsid w:val="00973DF3"/>
    <w:rsid w:val="009766C8"/>
    <w:rsid w:val="0098199E"/>
    <w:rsid w:val="00981E9F"/>
    <w:rsid w:val="00985642"/>
    <w:rsid w:val="00986655"/>
    <w:rsid w:val="00993107"/>
    <w:rsid w:val="009936D5"/>
    <w:rsid w:val="00995D59"/>
    <w:rsid w:val="009B2E18"/>
    <w:rsid w:val="009C0CB9"/>
    <w:rsid w:val="009C7973"/>
    <w:rsid w:val="009D6163"/>
    <w:rsid w:val="009F6C8E"/>
    <w:rsid w:val="00A21141"/>
    <w:rsid w:val="00A26F7E"/>
    <w:rsid w:val="00A27A54"/>
    <w:rsid w:val="00A31587"/>
    <w:rsid w:val="00A31D53"/>
    <w:rsid w:val="00A722BC"/>
    <w:rsid w:val="00A84C4F"/>
    <w:rsid w:val="00A92CF8"/>
    <w:rsid w:val="00AA1A5E"/>
    <w:rsid w:val="00AB2795"/>
    <w:rsid w:val="00AC1DF7"/>
    <w:rsid w:val="00AD1C80"/>
    <w:rsid w:val="00AE097C"/>
    <w:rsid w:val="00B07EAC"/>
    <w:rsid w:val="00B11966"/>
    <w:rsid w:val="00B1257A"/>
    <w:rsid w:val="00B1425C"/>
    <w:rsid w:val="00B26CDA"/>
    <w:rsid w:val="00B37661"/>
    <w:rsid w:val="00B47D83"/>
    <w:rsid w:val="00B56568"/>
    <w:rsid w:val="00B607A1"/>
    <w:rsid w:val="00BA2F0C"/>
    <w:rsid w:val="00BB04EC"/>
    <w:rsid w:val="00BB1D2E"/>
    <w:rsid w:val="00BB299F"/>
    <w:rsid w:val="00BD1F0B"/>
    <w:rsid w:val="00BD2C0E"/>
    <w:rsid w:val="00BD4D9C"/>
    <w:rsid w:val="00BE4B56"/>
    <w:rsid w:val="00BE4FC4"/>
    <w:rsid w:val="00C02E29"/>
    <w:rsid w:val="00C037DE"/>
    <w:rsid w:val="00C04EC9"/>
    <w:rsid w:val="00C12D06"/>
    <w:rsid w:val="00C13AD5"/>
    <w:rsid w:val="00C15AE8"/>
    <w:rsid w:val="00C443B0"/>
    <w:rsid w:val="00C565B4"/>
    <w:rsid w:val="00C63923"/>
    <w:rsid w:val="00C723ED"/>
    <w:rsid w:val="00C73157"/>
    <w:rsid w:val="00C77501"/>
    <w:rsid w:val="00C77C47"/>
    <w:rsid w:val="00C95215"/>
    <w:rsid w:val="00CA02E2"/>
    <w:rsid w:val="00CB026A"/>
    <w:rsid w:val="00CC5104"/>
    <w:rsid w:val="00CE39CD"/>
    <w:rsid w:val="00CE4723"/>
    <w:rsid w:val="00CF024B"/>
    <w:rsid w:val="00D07710"/>
    <w:rsid w:val="00D13768"/>
    <w:rsid w:val="00D165FE"/>
    <w:rsid w:val="00D30803"/>
    <w:rsid w:val="00D42DD0"/>
    <w:rsid w:val="00D42F64"/>
    <w:rsid w:val="00D456DD"/>
    <w:rsid w:val="00D55558"/>
    <w:rsid w:val="00D6679D"/>
    <w:rsid w:val="00D721D1"/>
    <w:rsid w:val="00D7382F"/>
    <w:rsid w:val="00D766FE"/>
    <w:rsid w:val="00D80B0C"/>
    <w:rsid w:val="00D924D6"/>
    <w:rsid w:val="00D92B5C"/>
    <w:rsid w:val="00DA19EB"/>
    <w:rsid w:val="00DB27AD"/>
    <w:rsid w:val="00DC0BC8"/>
    <w:rsid w:val="00DD31F3"/>
    <w:rsid w:val="00DE0D3F"/>
    <w:rsid w:val="00DE2C4E"/>
    <w:rsid w:val="00DE7A20"/>
    <w:rsid w:val="00E03BBA"/>
    <w:rsid w:val="00E05CD0"/>
    <w:rsid w:val="00E13323"/>
    <w:rsid w:val="00E24422"/>
    <w:rsid w:val="00E43282"/>
    <w:rsid w:val="00E50882"/>
    <w:rsid w:val="00E53B0E"/>
    <w:rsid w:val="00E77A9B"/>
    <w:rsid w:val="00E8296D"/>
    <w:rsid w:val="00E85C0B"/>
    <w:rsid w:val="00E85F3C"/>
    <w:rsid w:val="00EA0F46"/>
    <w:rsid w:val="00EA5696"/>
    <w:rsid w:val="00EB6698"/>
    <w:rsid w:val="00EC667B"/>
    <w:rsid w:val="00ED391E"/>
    <w:rsid w:val="00F05EF8"/>
    <w:rsid w:val="00F11534"/>
    <w:rsid w:val="00F21F59"/>
    <w:rsid w:val="00F37A6E"/>
    <w:rsid w:val="00F5181F"/>
    <w:rsid w:val="00F60A88"/>
    <w:rsid w:val="00F74EBE"/>
    <w:rsid w:val="00F9456F"/>
    <w:rsid w:val="00F95512"/>
    <w:rsid w:val="00FA562E"/>
    <w:rsid w:val="00FC6018"/>
    <w:rsid w:val="00FD37A2"/>
    <w:rsid w:val="00FD4500"/>
    <w:rsid w:val="00FD68EB"/>
    <w:rsid w:val="00FE16C1"/>
    <w:rsid w:val="00FE176F"/>
    <w:rsid w:val="00FE6E56"/>
    <w:rsid w:val="00FF0ED8"/>
    <w:rsid w:val="00FF3644"/>
    <w:rsid w:val="00FF6817"/>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1F76"/>
    <w:rPr>
      <w:rFonts w:ascii="Calibri" w:hAnsi="Calibri"/>
      <w:sz w:val="24"/>
      <w:lang w:eastAsia="en-US"/>
    </w:rPr>
  </w:style>
  <w:style w:type="paragraph" w:styleId="Heading1">
    <w:name w:val="heading 1"/>
    <w:basedOn w:val="Normal"/>
    <w:next w:val="BodyText"/>
    <w:qFormat/>
    <w:rsid w:val="004B1F76"/>
    <w:pPr>
      <w:keepNext/>
      <w:pBdr>
        <w:bottom w:val="single" w:sz="18" w:space="2" w:color="auto"/>
      </w:pBdr>
      <w:spacing w:after="240"/>
      <w:outlineLvl w:val="0"/>
    </w:pPr>
    <w:rPr>
      <w:rFonts w:ascii="Arial" w:hAnsi="Arial"/>
      <w:b/>
      <w:caps/>
      <w:kern w:val="28"/>
      <w:sz w:val="28"/>
    </w:rPr>
  </w:style>
  <w:style w:type="paragraph" w:styleId="Heading2">
    <w:name w:val="heading 2"/>
    <w:basedOn w:val="Normal"/>
    <w:next w:val="BodyText"/>
    <w:link w:val="Heading2Char"/>
    <w:qFormat/>
    <w:rsid w:val="004B1F76"/>
    <w:pPr>
      <w:keepNext/>
      <w:spacing w:before="60" w:after="60"/>
      <w:jc w:val="center"/>
      <w:outlineLvl w:val="1"/>
    </w:pPr>
    <w:rPr>
      <w:b/>
      <w:snapToGrid w:val="0"/>
      <w:sz w:val="20"/>
    </w:rPr>
  </w:style>
  <w:style w:type="paragraph" w:styleId="Heading3">
    <w:name w:val="heading 3"/>
    <w:basedOn w:val="Normal"/>
    <w:next w:val="BodyText"/>
    <w:link w:val="Heading3Char"/>
    <w:qFormat/>
    <w:rsid w:val="004B1F76"/>
    <w:pPr>
      <w:keepNext/>
      <w:keepLines/>
      <w:spacing w:before="240" w:after="60"/>
      <w:outlineLvl w:val="2"/>
    </w:pPr>
    <w:rPr>
      <w:rFonts w:ascii="Arial" w:hAnsi="Arial" w:cs="Arial"/>
      <w:b/>
      <w:bCs/>
      <w:szCs w:val="26"/>
    </w:rPr>
  </w:style>
  <w:style w:type="paragraph" w:styleId="Heading4">
    <w:name w:val="heading 4"/>
    <w:basedOn w:val="Normal"/>
    <w:next w:val="BodyText"/>
    <w:qFormat/>
    <w:rsid w:val="004B1F76"/>
    <w:pPr>
      <w:keepNext/>
      <w:keepLines/>
      <w:spacing w:before="240" w:after="120"/>
      <w:outlineLvl w:val="3"/>
    </w:pPr>
    <w:rPr>
      <w:i/>
    </w:rPr>
  </w:style>
  <w:style w:type="paragraph" w:styleId="Heading5">
    <w:name w:val="heading 5"/>
    <w:basedOn w:val="Normal"/>
    <w:next w:val="Normal"/>
    <w:autoRedefine/>
    <w:qFormat/>
    <w:rsid w:val="004B1F76"/>
    <w:pPr>
      <w:keepNext/>
      <w:numPr>
        <w:ilvl w:val="4"/>
        <w:numId w:val="13"/>
      </w:numPr>
      <w:outlineLvl w:val="4"/>
    </w:pPr>
    <w:rPr>
      <w:b/>
      <w:i/>
      <w:sz w:val="20"/>
    </w:rPr>
  </w:style>
  <w:style w:type="paragraph" w:styleId="Heading6">
    <w:name w:val="heading 6"/>
    <w:basedOn w:val="Normal"/>
    <w:next w:val="Normal"/>
    <w:link w:val="Heading6Char"/>
    <w:qFormat/>
    <w:rsid w:val="004B1F76"/>
    <w:pPr>
      <w:keepNext/>
      <w:jc w:val="right"/>
      <w:outlineLvl w:val="5"/>
    </w:pPr>
    <w:rPr>
      <w:b/>
      <w:sz w:val="20"/>
    </w:rPr>
  </w:style>
  <w:style w:type="paragraph" w:styleId="Heading7">
    <w:name w:val="heading 7"/>
    <w:basedOn w:val="Normal"/>
    <w:next w:val="Normal"/>
    <w:link w:val="Heading7Char"/>
    <w:qFormat/>
    <w:rsid w:val="004B1F76"/>
    <w:pPr>
      <w:keepNext/>
      <w:ind w:left="159" w:hanging="159"/>
      <w:outlineLvl w:val="6"/>
    </w:pPr>
    <w:rPr>
      <w:b/>
      <w:sz w:val="20"/>
    </w:rPr>
  </w:style>
  <w:style w:type="paragraph" w:styleId="Heading8">
    <w:name w:val="heading 8"/>
    <w:basedOn w:val="Normal"/>
    <w:next w:val="Normal"/>
    <w:qFormat/>
    <w:rsid w:val="004B1F76"/>
    <w:pPr>
      <w:keepNext/>
      <w:numPr>
        <w:ilvl w:val="7"/>
        <w:numId w:val="13"/>
      </w:numPr>
      <w:outlineLvl w:val="7"/>
    </w:pPr>
    <w:rPr>
      <w:rFonts w:ascii="Arial" w:hAnsi="Arial"/>
      <w:b/>
      <w:snapToGrid w:val="0"/>
      <w:color w:val="000000"/>
      <w:sz w:val="20"/>
    </w:rPr>
  </w:style>
  <w:style w:type="paragraph" w:styleId="Heading9">
    <w:name w:val="heading 9"/>
    <w:basedOn w:val="Normal"/>
    <w:next w:val="Normal"/>
    <w:qFormat/>
    <w:rsid w:val="004B1F76"/>
    <w:pPr>
      <w:keepNext/>
      <w:numPr>
        <w:ilvl w:val="8"/>
        <w:numId w:val="13"/>
      </w:numPr>
      <w:spacing w:after="120"/>
      <w:outlineLvl w:val="8"/>
    </w:pPr>
    <w:rPr>
      <w:rFonts w:ascii="Arial" w:hAnsi="Arial" w:cs="Arial"/>
      <w:b/>
      <w:snapToGrid w:val="0"/>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locked/>
    <w:rsid w:val="004D3B0E"/>
    <w:rPr>
      <w:rFonts w:ascii="Calibri" w:hAnsi="Calibri"/>
      <w:b/>
      <w:snapToGrid w:val="0"/>
      <w:lang w:eastAsia="en-US"/>
    </w:rPr>
  </w:style>
  <w:style w:type="character" w:customStyle="1" w:styleId="Heading3Char">
    <w:name w:val="Heading 3 Char"/>
    <w:basedOn w:val="DefaultParagraphFont"/>
    <w:link w:val="Heading3"/>
    <w:rsid w:val="004D3B0E"/>
    <w:rPr>
      <w:rFonts w:ascii="Arial" w:hAnsi="Arial" w:cs="Arial"/>
      <w:b/>
      <w:bCs/>
      <w:sz w:val="24"/>
      <w:szCs w:val="26"/>
      <w:lang w:eastAsia="en-US"/>
    </w:rPr>
  </w:style>
  <w:style w:type="character" w:customStyle="1" w:styleId="Heading6Char">
    <w:name w:val="Heading 6 Char"/>
    <w:basedOn w:val="DefaultParagraphFont"/>
    <w:link w:val="Heading6"/>
    <w:locked/>
    <w:rsid w:val="004D3B0E"/>
    <w:rPr>
      <w:rFonts w:ascii="Calibri" w:hAnsi="Calibri"/>
      <w:b/>
      <w:lang w:eastAsia="en-US"/>
    </w:rPr>
  </w:style>
  <w:style w:type="character" w:customStyle="1" w:styleId="Heading7Char">
    <w:name w:val="Heading 7 Char"/>
    <w:basedOn w:val="DefaultParagraphFont"/>
    <w:link w:val="Heading7"/>
    <w:locked/>
    <w:rsid w:val="004D3B0E"/>
    <w:rPr>
      <w:rFonts w:ascii="Calibri" w:hAnsi="Calibri"/>
      <w:b/>
      <w:lang w:eastAsia="en-US"/>
    </w:rPr>
  </w:style>
  <w:style w:type="paragraph" w:customStyle="1" w:styleId="TableHeadingCentre-BP4">
    <w:name w:val="Table Heading Centre - BP4"/>
    <w:basedOn w:val="Normal"/>
    <w:rsid w:val="004B1F76"/>
    <w:pPr>
      <w:keepNext/>
      <w:jc w:val="center"/>
    </w:pPr>
    <w:rPr>
      <w:b/>
      <w:sz w:val="18"/>
    </w:rPr>
  </w:style>
  <w:style w:type="paragraph" w:styleId="BodyText">
    <w:name w:val="Body Text"/>
    <w:basedOn w:val="Normal"/>
    <w:link w:val="BodyTextChar"/>
    <w:rsid w:val="004B1F76"/>
    <w:pPr>
      <w:keepNext/>
      <w:keepLines/>
      <w:spacing w:before="120" w:after="120"/>
      <w:jc w:val="both"/>
    </w:pPr>
  </w:style>
  <w:style w:type="paragraph" w:styleId="BodyTextIndent">
    <w:name w:val="Body Text Indent"/>
    <w:basedOn w:val="Normal"/>
    <w:next w:val="BodyText"/>
    <w:link w:val="BodyTextIndentChar"/>
    <w:rsid w:val="004B1F76"/>
    <w:pPr>
      <w:keepNext/>
      <w:keepLines/>
      <w:numPr>
        <w:numId w:val="9"/>
      </w:numPr>
      <w:spacing w:after="120"/>
      <w:jc w:val="both"/>
    </w:pPr>
    <w:rPr>
      <w:szCs w:val="24"/>
    </w:rPr>
  </w:style>
  <w:style w:type="character" w:customStyle="1" w:styleId="BodyTextIndentChar">
    <w:name w:val="Body Text Indent Char"/>
    <w:basedOn w:val="DefaultParagraphFont"/>
    <w:link w:val="BodyTextIndent"/>
    <w:rsid w:val="004D3B0E"/>
    <w:rPr>
      <w:rFonts w:ascii="Calibri" w:hAnsi="Calibri"/>
      <w:sz w:val="24"/>
      <w:szCs w:val="24"/>
      <w:lang w:eastAsia="en-US"/>
    </w:rPr>
  </w:style>
  <w:style w:type="paragraph" w:styleId="BodyTextIndent2">
    <w:name w:val="Body Text Indent 2"/>
    <w:basedOn w:val="Normal"/>
    <w:link w:val="BodyTextIndent2Char"/>
    <w:rsid w:val="004B1F76"/>
    <w:pPr>
      <w:keepNext/>
      <w:keepLines/>
      <w:numPr>
        <w:numId w:val="10"/>
      </w:numPr>
      <w:spacing w:after="120"/>
      <w:jc w:val="both"/>
    </w:pPr>
  </w:style>
  <w:style w:type="character" w:customStyle="1" w:styleId="BodyTextIndent2Char">
    <w:name w:val="Body Text Indent 2 Char"/>
    <w:basedOn w:val="DefaultParagraphFont"/>
    <w:link w:val="BodyTextIndent2"/>
    <w:locked/>
    <w:rsid w:val="004D3B0E"/>
    <w:rPr>
      <w:rFonts w:ascii="Calibri" w:hAnsi="Calibri"/>
      <w:sz w:val="24"/>
      <w:lang w:eastAsia="en-US"/>
    </w:rPr>
  </w:style>
  <w:style w:type="paragraph" w:styleId="BodyTextIndent3">
    <w:name w:val="Body Text Indent 3"/>
    <w:basedOn w:val="Normal"/>
    <w:rsid w:val="004B1F76"/>
    <w:pPr>
      <w:keepNext/>
      <w:keepLines/>
      <w:numPr>
        <w:numId w:val="11"/>
      </w:numPr>
      <w:tabs>
        <w:tab w:val="left" w:pos="1134"/>
      </w:tabs>
      <w:spacing w:after="120"/>
      <w:jc w:val="both"/>
    </w:pPr>
    <w:rPr>
      <w:szCs w:val="24"/>
    </w:rPr>
  </w:style>
  <w:style w:type="paragraph" w:customStyle="1" w:styleId="BodyTextIndent4">
    <w:name w:val="Body Text Indent 4"/>
    <w:basedOn w:val="BodyText"/>
    <w:next w:val="BodyText"/>
    <w:rsid w:val="004B1F76"/>
    <w:pPr>
      <w:numPr>
        <w:numId w:val="12"/>
      </w:numPr>
      <w:spacing w:before="0"/>
    </w:pPr>
  </w:style>
  <w:style w:type="paragraph" w:customStyle="1" w:styleId="SIHeading1">
    <w:name w:val="SI Heading 1"/>
    <w:basedOn w:val="Normal"/>
    <w:next w:val="BodyText"/>
    <w:rsid w:val="004B1F76"/>
    <w:pPr>
      <w:keepNext/>
      <w:keepLines/>
      <w:spacing w:before="240"/>
      <w:jc w:val="center"/>
      <w:outlineLvl w:val="0"/>
    </w:pPr>
    <w:rPr>
      <w:rFonts w:ascii="Arial" w:hAnsi="Arial"/>
      <w:b/>
      <w:kern w:val="28"/>
      <w:sz w:val="20"/>
    </w:rPr>
  </w:style>
  <w:style w:type="paragraph" w:customStyle="1" w:styleId="SIHeading2">
    <w:name w:val="SI Heading 2"/>
    <w:basedOn w:val="Normal"/>
    <w:next w:val="BodyText"/>
    <w:rsid w:val="004B1F76"/>
    <w:pPr>
      <w:keepNext/>
      <w:keepLines/>
      <w:spacing w:after="240"/>
      <w:jc w:val="center"/>
      <w:outlineLvl w:val="0"/>
    </w:pPr>
    <w:rPr>
      <w:rFonts w:ascii="Arial" w:hAnsi="Arial"/>
      <w:kern w:val="28"/>
      <w:sz w:val="20"/>
    </w:rPr>
  </w:style>
  <w:style w:type="paragraph" w:customStyle="1" w:styleId="Tabletextindenta">
    <w:name w:val="Table text indent a"/>
    <w:aliases w:val="b,c...,c... BP3"/>
    <w:basedOn w:val="Normal"/>
    <w:autoRedefine/>
    <w:rsid w:val="004B1F76"/>
    <w:pPr>
      <w:numPr>
        <w:numId w:val="25"/>
      </w:numPr>
      <w:spacing w:before="60"/>
    </w:pPr>
    <w:rPr>
      <w:kern w:val="16"/>
      <w:sz w:val="20"/>
      <w:szCs w:val="24"/>
    </w:rPr>
  </w:style>
  <w:style w:type="paragraph" w:customStyle="1" w:styleId="TableTextRightBold-BP4">
    <w:name w:val="Table Text Right Bold - BP4"/>
    <w:basedOn w:val="Normal"/>
    <w:rsid w:val="004B1F76"/>
    <w:pPr>
      <w:jc w:val="right"/>
    </w:pPr>
    <w:rPr>
      <w:b/>
      <w:sz w:val="18"/>
    </w:rPr>
  </w:style>
  <w:style w:type="paragraph" w:customStyle="1" w:styleId="TableHeadingRight-BP4">
    <w:name w:val="Table Heading Right - BP4"/>
    <w:basedOn w:val="Normal"/>
    <w:rsid w:val="004B1F76"/>
    <w:pPr>
      <w:keepNext/>
      <w:jc w:val="right"/>
    </w:pPr>
    <w:rPr>
      <w:b/>
      <w:sz w:val="18"/>
      <w:szCs w:val="24"/>
    </w:rPr>
  </w:style>
  <w:style w:type="paragraph" w:customStyle="1" w:styleId="NoteText">
    <w:name w:val="Note Text"/>
    <w:basedOn w:val="Normal"/>
    <w:link w:val="NoteTextChar"/>
    <w:rsid w:val="004B1F76"/>
    <w:pPr>
      <w:jc w:val="both"/>
    </w:pPr>
    <w:rPr>
      <w:iCs/>
      <w:sz w:val="16"/>
    </w:rPr>
  </w:style>
  <w:style w:type="paragraph" w:styleId="Header">
    <w:name w:val="header"/>
    <w:basedOn w:val="Normal"/>
    <w:rsid w:val="004B1F76"/>
    <w:pPr>
      <w:tabs>
        <w:tab w:val="center" w:pos="4153"/>
        <w:tab w:val="right" w:pos="8306"/>
      </w:tabs>
    </w:pPr>
  </w:style>
  <w:style w:type="paragraph" w:customStyle="1" w:styleId="Noteheading">
    <w:name w:val="Note heading"/>
    <w:basedOn w:val="Normal"/>
    <w:autoRedefine/>
    <w:rsid w:val="004B1F76"/>
    <w:pPr>
      <w:spacing w:before="120"/>
      <w:ind w:left="28"/>
    </w:pPr>
    <w:rPr>
      <w:b/>
      <w:bCs/>
      <w:sz w:val="20"/>
    </w:rPr>
  </w:style>
  <w:style w:type="paragraph" w:customStyle="1" w:styleId="TableHeadingLeft-BP4">
    <w:name w:val="Table Heading Left - BP4"/>
    <w:basedOn w:val="Normal"/>
    <w:link w:val="TableHeadingLeft-BP4CharChar"/>
    <w:rsid w:val="004B1F76"/>
    <w:pPr>
      <w:keepNext/>
    </w:pPr>
    <w:rPr>
      <w:b/>
      <w:sz w:val="18"/>
      <w:lang w:eastAsia="en-AU"/>
    </w:rPr>
  </w:style>
  <w:style w:type="character" w:customStyle="1" w:styleId="TableHeadingLeft-BP4CharChar">
    <w:name w:val="Table Heading Left - BP4 Char Char"/>
    <w:basedOn w:val="DefaultParagraphFont"/>
    <w:link w:val="TableHeadingLeft-BP4"/>
    <w:rsid w:val="004D3B0E"/>
    <w:rPr>
      <w:rFonts w:ascii="Calibri" w:hAnsi="Calibri"/>
      <w:b/>
      <w:sz w:val="18"/>
    </w:rPr>
  </w:style>
  <w:style w:type="paragraph" w:customStyle="1" w:styleId="TableTextRight-BP4">
    <w:name w:val="Table Text Right - BP4"/>
    <w:basedOn w:val="Normal"/>
    <w:rsid w:val="004B1F76"/>
    <w:pPr>
      <w:jc w:val="right"/>
    </w:pPr>
    <w:rPr>
      <w:sz w:val="18"/>
    </w:rPr>
  </w:style>
  <w:style w:type="paragraph" w:customStyle="1" w:styleId="TableTextLeftBold-BP4">
    <w:name w:val="Table Text Left Bold - BP4"/>
    <w:basedOn w:val="Normal"/>
    <w:link w:val="TableTextLeftBold-BP4CharChar"/>
    <w:rsid w:val="004B1F76"/>
    <w:pPr>
      <w:ind w:left="142" w:hanging="142"/>
    </w:pPr>
    <w:rPr>
      <w:b/>
      <w:sz w:val="18"/>
    </w:rPr>
  </w:style>
  <w:style w:type="character" w:customStyle="1" w:styleId="TableTextLeftBold-BP4CharChar">
    <w:name w:val="Table Text Left Bold - BP4 Char Char"/>
    <w:basedOn w:val="DefaultParagraphFont"/>
    <w:link w:val="TableTextLeftBold-BP4"/>
    <w:rsid w:val="004D3B0E"/>
    <w:rPr>
      <w:rFonts w:ascii="Calibri" w:hAnsi="Calibri"/>
      <w:b/>
      <w:sz w:val="18"/>
      <w:lang w:eastAsia="en-US"/>
    </w:rPr>
  </w:style>
  <w:style w:type="paragraph" w:customStyle="1" w:styleId="TableTextLeft-BP4">
    <w:name w:val="Table Text Left - BP4"/>
    <w:basedOn w:val="Normal"/>
    <w:rsid w:val="004B1F76"/>
    <w:pPr>
      <w:ind w:left="142" w:hanging="142"/>
    </w:pPr>
    <w:rPr>
      <w:sz w:val="18"/>
      <w:szCs w:val="18"/>
    </w:rPr>
  </w:style>
  <w:style w:type="paragraph" w:customStyle="1" w:styleId="TableNumbersRight-BP4">
    <w:name w:val="Table Numbers Right - BP4"/>
    <w:basedOn w:val="Normal"/>
    <w:rsid w:val="004B1F76"/>
    <w:pPr>
      <w:jc w:val="right"/>
    </w:pPr>
    <w:rPr>
      <w:sz w:val="18"/>
    </w:rPr>
  </w:style>
  <w:style w:type="paragraph" w:customStyle="1" w:styleId="FooterBP">
    <w:name w:val="Footer BP"/>
    <w:basedOn w:val="Normal"/>
    <w:next w:val="Normal"/>
    <w:rsid w:val="004B1F76"/>
    <w:pPr>
      <w:pBdr>
        <w:top w:val="single" w:sz="4" w:space="1" w:color="auto"/>
      </w:pBdr>
      <w:tabs>
        <w:tab w:val="center" w:pos="4536"/>
        <w:tab w:val="right" w:pos="9356"/>
      </w:tabs>
      <w:ind w:left="-284" w:right="-329"/>
    </w:pPr>
    <w:rPr>
      <w:i/>
      <w:sz w:val="20"/>
    </w:rPr>
  </w:style>
  <w:style w:type="paragraph" w:styleId="Footer">
    <w:name w:val="footer"/>
    <w:basedOn w:val="Normal"/>
    <w:rsid w:val="004B1F76"/>
    <w:pPr>
      <w:tabs>
        <w:tab w:val="center" w:pos="4153"/>
        <w:tab w:val="right" w:pos="8306"/>
      </w:tabs>
    </w:pPr>
  </w:style>
  <w:style w:type="paragraph" w:customStyle="1" w:styleId="Heading3TopofPage">
    <w:name w:val="Heading 3 Top of Page"/>
    <w:basedOn w:val="Heading3"/>
    <w:next w:val="BodyText"/>
    <w:rsid w:val="004B1F76"/>
    <w:pPr>
      <w:spacing w:before="0"/>
    </w:pPr>
    <w:rPr>
      <w:rFonts w:cs="Times New Roman"/>
      <w:lang w:eastAsia="en-AU"/>
    </w:rPr>
  </w:style>
  <w:style w:type="paragraph" w:customStyle="1" w:styleId="Heading3Centred">
    <w:name w:val="Heading 3 Centred"/>
    <w:basedOn w:val="Heading3"/>
    <w:next w:val="BodyText"/>
    <w:rsid w:val="004B1F76"/>
    <w:pPr>
      <w:spacing w:before="0"/>
      <w:jc w:val="center"/>
    </w:pPr>
    <w:rPr>
      <w:rFonts w:cs="Times New Roman"/>
      <w:lang w:eastAsia="en-AU"/>
    </w:rPr>
  </w:style>
  <w:style w:type="paragraph" w:customStyle="1" w:styleId="AITableText">
    <w:name w:val="AI Table Text"/>
    <w:basedOn w:val="Normal"/>
    <w:link w:val="AITableTextChar"/>
    <w:rsid w:val="004B1F76"/>
    <w:pPr>
      <w:jc w:val="right"/>
    </w:pPr>
    <w:rPr>
      <w:sz w:val="20"/>
      <w:szCs w:val="24"/>
    </w:rPr>
  </w:style>
  <w:style w:type="character" w:customStyle="1" w:styleId="AITableTextChar">
    <w:name w:val="AI Table Text Char"/>
    <w:basedOn w:val="DefaultParagraphFont"/>
    <w:link w:val="AITableText"/>
    <w:rsid w:val="004D3B0E"/>
    <w:rPr>
      <w:rFonts w:ascii="Calibri" w:hAnsi="Calibri"/>
      <w:szCs w:val="24"/>
      <w:lang w:eastAsia="en-US"/>
    </w:rPr>
  </w:style>
  <w:style w:type="paragraph" w:customStyle="1" w:styleId="SinglePara">
    <w:name w:val="Single Para"/>
    <w:basedOn w:val="Normal"/>
    <w:rsid w:val="004B1F76"/>
  </w:style>
  <w:style w:type="paragraph" w:customStyle="1" w:styleId="xl25">
    <w:name w:val="xl25"/>
    <w:basedOn w:val="Normal"/>
    <w:rsid w:val="004B1F76"/>
    <w:pPr>
      <w:spacing w:before="100" w:beforeAutospacing="1" w:after="100" w:afterAutospacing="1"/>
    </w:pPr>
    <w:rPr>
      <w:rFonts w:eastAsia="Arial Unicode MS"/>
      <w:sz w:val="18"/>
      <w:szCs w:val="18"/>
    </w:rPr>
  </w:style>
  <w:style w:type="paragraph" w:styleId="PlainText">
    <w:name w:val="Plain Text"/>
    <w:basedOn w:val="Normal"/>
    <w:rsid w:val="004B1F76"/>
    <w:rPr>
      <w:sz w:val="20"/>
      <w:lang w:val="en-US"/>
    </w:rPr>
  </w:style>
  <w:style w:type="paragraph" w:styleId="BalloonText">
    <w:name w:val="Balloon Text"/>
    <w:basedOn w:val="Normal"/>
    <w:semiHidden/>
    <w:rsid w:val="004B1F76"/>
    <w:rPr>
      <w:rFonts w:ascii="Tahoma" w:hAnsi="Tahoma" w:cs="Tahoma"/>
      <w:sz w:val="16"/>
      <w:szCs w:val="16"/>
    </w:rPr>
  </w:style>
  <w:style w:type="paragraph" w:customStyle="1" w:styleId="Sub-Heading">
    <w:name w:val="Sub-Heading"/>
    <w:basedOn w:val="Normal"/>
    <w:next w:val="BodyText"/>
    <w:rsid w:val="004B1F76"/>
    <w:pPr>
      <w:keepNext/>
      <w:spacing w:before="240" w:after="120"/>
      <w:outlineLvl w:val="0"/>
    </w:pPr>
    <w:rPr>
      <w:rFonts w:ascii="Arial" w:hAnsi="Arial"/>
      <w:i/>
    </w:rPr>
  </w:style>
  <w:style w:type="paragraph" w:customStyle="1" w:styleId="Sub-Heading2">
    <w:name w:val="Sub-Heading 2"/>
    <w:basedOn w:val="BodyText"/>
    <w:rsid w:val="004B1F76"/>
    <w:rPr>
      <w:i/>
    </w:rPr>
  </w:style>
  <w:style w:type="paragraph" w:customStyle="1" w:styleId="TableName">
    <w:name w:val="Table Name"/>
    <w:basedOn w:val="Normal"/>
    <w:rsid w:val="004B1F76"/>
    <w:pPr>
      <w:keepNext/>
      <w:keepLines/>
      <w:spacing w:after="120"/>
      <w:jc w:val="center"/>
    </w:pPr>
    <w:rPr>
      <w:rFonts w:ascii="Arial" w:hAnsi="Arial"/>
      <w:b/>
      <w:sz w:val="20"/>
    </w:rPr>
  </w:style>
  <w:style w:type="paragraph" w:customStyle="1" w:styleId="AIblurb">
    <w:name w:val="AI blurb"/>
    <w:basedOn w:val="Normal"/>
    <w:rsid w:val="004B1F76"/>
    <w:pPr>
      <w:spacing w:before="120" w:after="240"/>
      <w:ind w:left="380"/>
      <w:jc w:val="both"/>
    </w:pPr>
    <w:rPr>
      <w:sz w:val="20"/>
    </w:rPr>
  </w:style>
  <w:style w:type="paragraph" w:customStyle="1" w:styleId="AIIndent">
    <w:name w:val="AI Indent"/>
    <w:basedOn w:val="Normal"/>
    <w:rsid w:val="004B1F76"/>
    <w:pPr>
      <w:tabs>
        <w:tab w:val="num" w:pos="360"/>
      </w:tabs>
      <w:ind w:left="357" w:hanging="357"/>
    </w:pPr>
    <w:rPr>
      <w:sz w:val="20"/>
    </w:rPr>
  </w:style>
  <w:style w:type="paragraph" w:customStyle="1" w:styleId="AINotes">
    <w:name w:val="AI Notes"/>
    <w:basedOn w:val="Normal"/>
    <w:link w:val="AINotesChar"/>
    <w:rsid w:val="004B1F76"/>
    <w:pPr>
      <w:numPr>
        <w:numId w:val="8"/>
      </w:numPr>
      <w:jc w:val="both"/>
    </w:pPr>
    <w:rPr>
      <w:sz w:val="16"/>
    </w:rPr>
  </w:style>
  <w:style w:type="paragraph" w:customStyle="1" w:styleId="n">
    <w:name w:val="n"/>
    <w:basedOn w:val="Normal"/>
    <w:rsid w:val="004B1F76"/>
    <w:pPr>
      <w:jc w:val="both"/>
    </w:pPr>
    <w:rPr>
      <w:sz w:val="16"/>
      <w:szCs w:val="24"/>
    </w:rPr>
  </w:style>
  <w:style w:type="paragraph" w:customStyle="1" w:styleId="Notes">
    <w:name w:val="Notes"/>
    <w:basedOn w:val="Normal"/>
    <w:rsid w:val="004B1F76"/>
    <w:pPr>
      <w:spacing w:before="120"/>
      <w:ind w:left="28"/>
    </w:pPr>
    <w:rPr>
      <w:b/>
      <w:sz w:val="20"/>
      <w:szCs w:val="24"/>
    </w:rPr>
  </w:style>
  <w:style w:type="paragraph" w:customStyle="1" w:styleId="TableHeadingCentre-BP3">
    <w:name w:val="Table Heading Centre - BP3"/>
    <w:basedOn w:val="TableHeadingCentre-BP4"/>
    <w:rsid w:val="004B1F76"/>
    <w:rPr>
      <w:sz w:val="20"/>
    </w:rPr>
  </w:style>
  <w:style w:type="paragraph" w:customStyle="1" w:styleId="TableHeadingLeft-BP3">
    <w:name w:val="Table Heading Left - BP3"/>
    <w:basedOn w:val="TableHeadingLeft-BP4"/>
    <w:rsid w:val="004B1F76"/>
    <w:rPr>
      <w:sz w:val="20"/>
    </w:rPr>
  </w:style>
  <w:style w:type="paragraph" w:customStyle="1" w:styleId="TableHeadingRight-BP3">
    <w:name w:val="Table Heading Right - BP3"/>
    <w:basedOn w:val="TableHeadingRight-BP4"/>
    <w:rsid w:val="004B1F76"/>
    <w:rPr>
      <w:sz w:val="20"/>
    </w:rPr>
  </w:style>
  <w:style w:type="paragraph" w:customStyle="1" w:styleId="TableNumbersRight-BP3">
    <w:name w:val="Table Numbers Right - BP3"/>
    <w:basedOn w:val="TableNumbersRight-BP4"/>
    <w:rsid w:val="004B1F76"/>
    <w:rPr>
      <w:sz w:val="20"/>
    </w:rPr>
  </w:style>
  <w:style w:type="paragraph" w:customStyle="1" w:styleId="TableTextLeft-BP3">
    <w:name w:val="Table Text Left - BP3"/>
    <w:basedOn w:val="TableTextLeft-BP4"/>
    <w:rsid w:val="004B1F76"/>
    <w:rPr>
      <w:sz w:val="20"/>
    </w:rPr>
  </w:style>
  <w:style w:type="paragraph" w:customStyle="1" w:styleId="TableTextLeftBold-BP3">
    <w:name w:val="Table Text Left Bold - BP3"/>
    <w:basedOn w:val="TableTextLeftBold-BP4"/>
    <w:rsid w:val="004B1F76"/>
    <w:rPr>
      <w:sz w:val="20"/>
    </w:rPr>
  </w:style>
  <w:style w:type="paragraph" w:customStyle="1" w:styleId="TableTextRight-BP3">
    <w:name w:val="Table Text Right - BP3"/>
    <w:basedOn w:val="TableTextRight-BP4"/>
    <w:rsid w:val="004B1F76"/>
    <w:rPr>
      <w:sz w:val="20"/>
    </w:rPr>
  </w:style>
  <w:style w:type="paragraph" w:customStyle="1" w:styleId="TableTextRightBold-BP3">
    <w:name w:val="Table Text Right Bold - BP3"/>
    <w:basedOn w:val="TableTextRightBold-BP4"/>
    <w:rsid w:val="004B1F76"/>
  </w:style>
  <w:style w:type="paragraph" w:customStyle="1" w:styleId="TableTextLeft-BP4FS">
    <w:name w:val="Table Text Left - BP4 FS"/>
    <w:basedOn w:val="TableTextLeft-BP4"/>
    <w:rsid w:val="004B1F76"/>
    <w:pPr>
      <w:ind w:left="227"/>
    </w:pPr>
  </w:style>
  <w:style w:type="paragraph" w:customStyle="1" w:styleId="TableNumber">
    <w:name w:val="Table Number"/>
    <w:basedOn w:val="TableName"/>
    <w:next w:val="TableName"/>
    <w:rsid w:val="004B1F76"/>
    <w:pPr>
      <w:spacing w:before="60" w:after="0"/>
    </w:pPr>
  </w:style>
  <w:style w:type="paragraph" w:customStyle="1" w:styleId="TableHeadingCentre">
    <w:name w:val="Table Heading Centre"/>
    <w:basedOn w:val="Normal"/>
    <w:rsid w:val="004B1F76"/>
    <w:pPr>
      <w:keepNext/>
      <w:jc w:val="center"/>
    </w:pPr>
    <w:rPr>
      <w:b/>
      <w:sz w:val="20"/>
    </w:rPr>
  </w:style>
  <w:style w:type="paragraph" w:customStyle="1" w:styleId="TableHeadingCentre-BP410pt">
    <w:name w:val="Table Heading Centre - BP4 10pt"/>
    <w:basedOn w:val="TableHeadingCentre-BP4"/>
    <w:rsid w:val="004B1F76"/>
    <w:rPr>
      <w:sz w:val="20"/>
    </w:rPr>
  </w:style>
  <w:style w:type="paragraph" w:customStyle="1" w:styleId="TableHeadingLeft-BP410pt">
    <w:name w:val="Table Heading Left - BP4 10pt"/>
    <w:basedOn w:val="TableHeadingLeft-BP4"/>
    <w:rsid w:val="004B1F76"/>
    <w:rPr>
      <w:sz w:val="20"/>
    </w:rPr>
  </w:style>
  <w:style w:type="paragraph" w:customStyle="1" w:styleId="TableHeadingRight-BP410pt">
    <w:name w:val="Table Heading Right - BP4 10pt"/>
    <w:basedOn w:val="TableHeadingRight-BP4"/>
    <w:rsid w:val="004B1F76"/>
    <w:rPr>
      <w:sz w:val="20"/>
    </w:rPr>
  </w:style>
  <w:style w:type="paragraph" w:customStyle="1" w:styleId="TableTextLeft-BP410pt">
    <w:name w:val="Table Text Left - BP4 10pt"/>
    <w:basedOn w:val="TableTextLeft-BP4"/>
    <w:rsid w:val="004B1F76"/>
    <w:rPr>
      <w:sz w:val="20"/>
    </w:rPr>
  </w:style>
  <w:style w:type="paragraph" w:customStyle="1" w:styleId="TableTextLeftBold-BP410pt">
    <w:name w:val="Table Text Left Bold - BP4 10pt"/>
    <w:basedOn w:val="TableTextLeftBold-BP4"/>
    <w:rsid w:val="004B1F76"/>
    <w:rPr>
      <w:sz w:val="20"/>
    </w:rPr>
  </w:style>
  <w:style w:type="paragraph" w:customStyle="1" w:styleId="TableTextRight-BP410pt">
    <w:name w:val="Table Text Right - BP4 10pt"/>
    <w:basedOn w:val="TableTextRight-BP4"/>
    <w:rsid w:val="004B1F76"/>
    <w:rPr>
      <w:sz w:val="20"/>
    </w:rPr>
  </w:style>
  <w:style w:type="paragraph" w:customStyle="1" w:styleId="TableTextRightBold-BP410pt">
    <w:name w:val="Table Text Right Bold - BP4 10pt"/>
    <w:basedOn w:val="TableTextRightBold-BP4"/>
    <w:rsid w:val="004B1F76"/>
    <w:rPr>
      <w:sz w:val="20"/>
    </w:rPr>
  </w:style>
  <w:style w:type="paragraph" w:customStyle="1" w:styleId="TableHeadingLeft">
    <w:name w:val="Table Heading Left"/>
    <w:basedOn w:val="Normal"/>
    <w:link w:val="TableHeadingLeftChar"/>
    <w:rsid w:val="004B1F76"/>
    <w:pPr>
      <w:keepNext/>
    </w:pPr>
    <w:rPr>
      <w:b/>
      <w:sz w:val="20"/>
      <w:lang w:eastAsia="en-AU"/>
    </w:rPr>
  </w:style>
  <w:style w:type="character" w:customStyle="1" w:styleId="TableHeadingLeftChar">
    <w:name w:val="Table Heading Left Char"/>
    <w:basedOn w:val="DefaultParagraphFont"/>
    <w:link w:val="TableHeadingLeft"/>
    <w:rsid w:val="004D3B0E"/>
    <w:rPr>
      <w:rFonts w:ascii="Calibri" w:hAnsi="Calibri"/>
      <w:b/>
    </w:rPr>
  </w:style>
  <w:style w:type="paragraph" w:customStyle="1" w:styleId="TableHeadingRight">
    <w:name w:val="Table Heading Right"/>
    <w:basedOn w:val="Normal"/>
    <w:rsid w:val="004B1F76"/>
    <w:pPr>
      <w:keepNext/>
      <w:jc w:val="right"/>
    </w:pPr>
    <w:rPr>
      <w:b/>
      <w:sz w:val="20"/>
      <w:szCs w:val="24"/>
    </w:rPr>
  </w:style>
  <w:style w:type="paragraph" w:customStyle="1" w:styleId="TableTextLeftBold">
    <w:name w:val="Table Text Left Bold"/>
    <w:basedOn w:val="Normal"/>
    <w:link w:val="TableTextLeftBoldChar"/>
    <w:rsid w:val="004B1F76"/>
    <w:pPr>
      <w:ind w:left="357" w:hanging="357"/>
    </w:pPr>
    <w:rPr>
      <w:b/>
      <w:sz w:val="20"/>
    </w:rPr>
  </w:style>
  <w:style w:type="character" w:customStyle="1" w:styleId="TableTextLeftBoldChar">
    <w:name w:val="Table Text Left Bold Char"/>
    <w:basedOn w:val="DefaultParagraphFont"/>
    <w:link w:val="TableTextLeftBold"/>
    <w:rsid w:val="004D3B0E"/>
    <w:rPr>
      <w:rFonts w:ascii="Calibri" w:hAnsi="Calibri"/>
      <w:b/>
      <w:lang w:eastAsia="en-US"/>
    </w:rPr>
  </w:style>
  <w:style w:type="paragraph" w:customStyle="1" w:styleId="TableTextRightBold">
    <w:name w:val="Table Text Right Bold"/>
    <w:basedOn w:val="Normal"/>
    <w:rsid w:val="004B1F76"/>
    <w:pPr>
      <w:ind w:left="357" w:hanging="357"/>
      <w:jc w:val="right"/>
    </w:pPr>
    <w:rPr>
      <w:b/>
      <w:sz w:val="20"/>
    </w:rPr>
  </w:style>
  <w:style w:type="paragraph" w:customStyle="1" w:styleId="TableTextLeftBoldparassmaller">
    <w:name w:val="Table Text Left Bold paras smaller"/>
    <w:basedOn w:val="TableTextLeftBold"/>
    <w:rsid w:val="004D3B0E"/>
    <w:pPr>
      <w:spacing w:before="20" w:after="20"/>
    </w:pPr>
  </w:style>
  <w:style w:type="paragraph" w:customStyle="1" w:styleId="aNoteText">
    <w:name w:val="a) Note Text"/>
    <w:basedOn w:val="NoteText"/>
    <w:link w:val="aNoteTextChar"/>
    <w:rsid w:val="004D3B0E"/>
    <w:pPr>
      <w:tabs>
        <w:tab w:val="num" w:pos="357"/>
      </w:tabs>
      <w:ind w:left="357"/>
    </w:pPr>
  </w:style>
  <w:style w:type="paragraph" w:customStyle="1" w:styleId="NoteTexta">
    <w:name w:val="Note Text a)"/>
    <w:basedOn w:val="NoteText"/>
    <w:rsid w:val="004D3B0E"/>
    <w:pPr>
      <w:numPr>
        <w:numId w:val="2"/>
      </w:numPr>
    </w:pPr>
  </w:style>
  <w:style w:type="paragraph" w:customStyle="1" w:styleId="1n">
    <w:name w:val="1. n"/>
    <w:basedOn w:val="n"/>
    <w:rsid w:val="004B1F76"/>
    <w:rPr>
      <w:iCs/>
      <w:szCs w:val="20"/>
    </w:rPr>
  </w:style>
  <w:style w:type="paragraph" w:customStyle="1" w:styleId="AIBlurb0">
    <w:name w:val="AI Blurb"/>
    <w:basedOn w:val="Normal"/>
    <w:rsid w:val="004D3B0E"/>
    <w:pPr>
      <w:spacing w:before="120" w:after="240"/>
      <w:ind w:left="380"/>
      <w:jc w:val="both"/>
    </w:pPr>
    <w:rPr>
      <w:sz w:val="20"/>
    </w:rPr>
  </w:style>
  <w:style w:type="character" w:styleId="PageNumber">
    <w:name w:val="page number"/>
    <w:basedOn w:val="DefaultParagraphFont"/>
    <w:rsid w:val="004B1F76"/>
  </w:style>
  <w:style w:type="character" w:customStyle="1" w:styleId="NoteTextChar">
    <w:name w:val="Note Text Char"/>
    <w:basedOn w:val="DefaultParagraphFont"/>
    <w:link w:val="NoteText"/>
    <w:rsid w:val="004D3B0E"/>
    <w:rPr>
      <w:rFonts w:ascii="Calibri" w:hAnsi="Calibri"/>
      <w:iCs/>
      <w:sz w:val="16"/>
      <w:lang w:eastAsia="en-US"/>
    </w:rPr>
  </w:style>
  <w:style w:type="character" w:customStyle="1" w:styleId="aNoteTextChar">
    <w:name w:val="a) Note Text Char"/>
    <w:basedOn w:val="NoteTextChar"/>
    <w:link w:val="aNoteText"/>
    <w:rsid w:val="004D3B0E"/>
  </w:style>
  <w:style w:type="character" w:customStyle="1" w:styleId="AINotesChar">
    <w:name w:val="AI Notes Char"/>
    <w:basedOn w:val="DefaultParagraphFont"/>
    <w:link w:val="AINotes"/>
    <w:rsid w:val="004D3B0E"/>
    <w:rPr>
      <w:rFonts w:ascii="Calibri" w:hAnsi="Calibri"/>
      <w:sz w:val="16"/>
      <w:lang w:eastAsia="en-US"/>
    </w:rPr>
  </w:style>
  <w:style w:type="paragraph" w:customStyle="1" w:styleId="TableNumbersRight">
    <w:name w:val="Table Numbers Right"/>
    <w:basedOn w:val="TableHeadingRight"/>
    <w:rsid w:val="004B1F76"/>
    <w:rPr>
      <w:b w:val="0"/>
    </w:rPr>
  </w:style>
  <w:style w:type="numbering" w:styleId="111111">
    <w:name w:val="Outline List 2"/>
    <w:basedOn w:val="NoList"/>
    <w:rsid w:val="004B1F76"/>
    <w:pPr>
      <w:numPr>
        <w:numId w:val="3"/>
      </w:numPr>
    </w:pPr>
  </w:style>
  <w:style w:type="numbering" w:styleId="1ai">
    <w:name w:val="Outline List 1"/>
    <w:basedOn w:val="NoList"/>
    <w:rsid w:val="004B1F76"/>
    <w:pPr>
      <w:numPr>
        <w:numId w:val="4"/>
      </w:numPr>
    </w:pPr>
  </w:style>
  <w:style w:type="paragraph" w:customStyle="1" w:styleId="an">
    <w:name w:val="a. n"/>
    <w:basedOn w:val="n"/>
    <w:rsid w:val="004B1F76"/>
    <w:rPr>
      <w:iCs/>
      <w:szCs w:val="20"/>
    </w:rPr>
  </w:style>
  <w:style w:type="numbering" w:styleId="ArticleSection">
    <w:name w:val="Outline List 3"/>
    <w:basedOn w:val="NoList"/>
    <w:rsid w:val="004B1F76"/>
    <w:pPr>
      <w:numPr>
        <w:numId w:val="6"/>
      </w:numPr>
    </w:pPr>
  </w:style>
  <w:style w:type="paragraph" w:styleId="BlockText">
    <w:name w:val="Block Text"/>
    <w:basedOn w:val="Normal"/>
    <w:rsid w:val="004B1F76"/>
    <w:pPr>
      <w:spacing w:after="120"/>
      <w:ind w:left="1440" w:right="1440"/>
    </w:pPr>
  </w:style>
  <w:style w:type="paragraph" w:styleId="BodyText2">
    <w:name w:val="Body Text 2"/>
    <w:basedOn w:val="Normal"/>
    <w:link w:val="BodyText2Char"/>
    <w:rsid w:val="004B1F76"/>
    <w:pPr>
      <w:spacing w:after="120" w:line="480" w:lineRule="auto"/>
    </w:pPr>
  </w:style>
  <w:style w:type="character" w:customStyle="1" w:styleId="BodyText2Char">
    <w:name w:val="Body Text 2 Char"/>
    <w:basedOn w:val="DefaultParagraphFont"/>
    <w:link w:val="BodyText2"/>
    <w:rsid w:val="0093263D"/>
    <w:rPr>
      <w:rFonts w:ascii="Calibri" w:hAnsi="Calibri"/>
      <w:sz w:val="24"/>
      <w:lang w:eastAsia="en-US"/>
    </w:rPr>
  </w:style>
  <w:style w:type="paragraph" w:styleId="BodyText3">
    <w:name w:val="Body Text 3"/>
    <w:basedOn w:val="Normal"/>
    <w:link w:val="BodyText3Char"/>
    <w:rsid w:val="004B1F76"/>
    <w:pPr>
      <w:spacing w:after="120"/>
    </w:pPr>
    <w:rPr>
      <w:sz w:val="16"/>
      <w:szCs w:val="16"/>
    </w:rPr>
  </w:style>
  <w:style w:type="character" w:customStyle="1" w:styleId="BodyText3Char">
    <w:name w:val="Body Text 3 Char"/>
    <w:basedOn w:val="DefaultParagraphFont"/>
    <w:link w:val="BodyText3"/>
    <w:rsid w:val="0093263D"/>
    <w:rPr>
      <w:rFonts w:ascii="Calibri" w:hAnsi="Calibri"/>
      <w:sz w:val="16"/>
      <w:szCs w:val="16"/>
      <w:lang w:eastAsia="en-US"/>
    </w:rPr>
  </w:style>
  <w:style w:type="paragraph" w:styleId="BodyTextFirstIndent">
    <w:name w:val="Body Text First Indent"/>
    <w:basedOn w:val="BodyText"/>
    <w:link w:val="BodyTextFirstIndentChar"/>
    <w:rsid w:val="004B1F76"/>
    <w:pPr>
      <w:spacing w:before="0"/>
      <w:ind w:firstLine="210"/>
      <w:jc w:val="left"/>
    </w:pPr>
  </w:style>
  <w:style w:type="character" w:customStyle="1" w:styleId="BodyTextChar">
    <w:name w:val="Body Text Char"/>
    <w:basedOn w:val="DefaultParagraphFont"/>
    <w:link w:val="BodyText"/>
    <w:rsid w:val="0093263D"/>
    <w:rPr>
      <w:rFonts w:ascii="Calibri" w:hAnsi="Calibri"/>
      <w:sz w:val="24"/>
      <w:lang w:eastAsia="en-US"/>
    </w:rPr>
  </w:style>
  <w:style w:type="character" w:customStyle="1" w:styleId="BodyTextFirstIndentChar">
    <w:name w:val="Body Text First Indent Char"/>
    <w:basedOn w:val="BodyTextChar"/>
    <w:link w:val="BodyTextFirstIndent"/>
    <w:rsid w:val="0093263D"/>
  </w:style>
  <w:style w:type="paragraph" w:styleId="BodyTextFirstIndent2">
    <w:name w:val="Body Text First Indent 2"/>
    <w:basedOn w:val="BodyTextIndent"/>
    <w:link w:val="BodyTextFirstIndent2Char"/>
    <w:rsid w:val="004B1F76"/>
    <w:pPr>
      <w:numPr>
        <w:numId w:val="0"/>
      </w:numPr>
      <w:ind w:left="283" w:firstLine="210"/>
      <w:jc w:val="left"/>
    </w:pPr>
  </w:style>
  <w:style w:type="character" w:customStyle="1" w:styleId="BodyTextFirstIndent2Char">
    <w:name w:val="Body Text First Indent 2 Char"/>
    <w:basedOn w:val="BodyTextIndentChar"/>
    <w:link w:val="BodyTextFirstIndent2"/>
    <w:rsid w:val="0093263D"/>
  </w:style>
  <w:style w:type="character" w:customStyle="1" w:styleId="CharChar">
    <w:name w:val="Char Char"/>
    <w:basedOn w:val="DefaultParagraphFont"/>
    <w:rsid w:val="004B1F76"/>
    <w:rPr>
      <w:rFonts w:ascii="Calibri" w:hAnsi="Calibri"/>
      <w:sz w:val="24"/>
      <w:lang w:val="en-AU" w:eastAsia="en-US" w:bidi="ar-SA"/>
    </w:rPr>
  </w:style>
  <w:style w:type="character" w:customStyle="1" w:styleId="CharChar1">
    <w:name w:val="Char Char1"/>
    <w:basedOn w:val="DefaultParagraphFont"/>
    <w:rsid w:val="004B1F76"/>
    <w:rPr>
      <w:rFonts w:ascii="Arial" w:hAnsi="Arial" w:cs="Arial"/>
      <w:b/>
      <w:bCs/>
      <w:sz w:val="24"/>
      <w:szCs w:val="26"/>
      <w:lang w:val="en-AU" w:eastAsia="en-US" w:bidi="ar-SA"/>
    </w:rPr>
  </w:style>
  <w:style w:type="paragraph" w:styleId="Closing">
    <w:name w:val="Closing"/>
    <w:basedOn w:val="Normal"/>
    <w:link w:val="ClosingChar"/>
    <w:rsid w:val="004B1F76"/>
    <w:pPr>
      <w:ind w:left="4252"/>
    </w:pPr>
  </w:style>
  <w:style w:type="character" w:customStyle="1" w:styleId="ClosingChar">
    <w:name w:val="Closing Char"/>
    <w:basedOn w:val="DefaultParagraphFont"/>
    <w:link w:val="Closing"/>
    <w:rsid w:val="0093263D"/>
    <w:rPr>
      <w:rFonts w:ascii="Calibri" w:hAnsi="Calibri"/>
      <w:sz w:val="24"/>
      <w:lang w:eastAsia="en-US"/>
    </w:rPr>
  </w:style>
  <w:style w:type="table" w:styleId="ColorfulGrid-Accent2">
    <w:name w:val="Colorful Grid Accent 2"/>
    <w:basedOn w:val="TableNormal"/>
    <w:uiPriority w:val="73"/>
    <w:rsid w:val="004B1F76"/>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B1F76"/>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B1F76"/>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B1F76"/>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B1F76"/>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CommentReference">
    <w:name w:val="annotation reference"/>
    <w:basedOn w:val="DefaultParagraphFont"/>
    <w:rsid w:val="004B1F76"/>
    <w:rPr>
      <w:rFonts w:ascii="Calibri" w:hAnsi="Calibri"/>
      <w:sz w:val="16"/>
      <w:szCs w:val="16"/>
    </w:rPr>
  </w:style>
  <w:style w:type="paragraph" w:styleId="CommentText">
    <w:name w:val="annotation text"/>
    <w:basedOn w:val="Normal"/>
    <w:link w:val="CommentTextChar"/>
    <w:rsid w:val="004B1F76"/>
    <w:rPr>
      <w:sz w:val="20"/>
    </w:rPr>
  </w:style>
  <w:style w:type="character" w:customStyle="1" w:styleId="CommentTextChar">
    <w:name w:val="Comment Text Char"/>
    <w:basedOn w:val="DefaultParagraphFont"/>
    <w:link w:val="CommentText"/>
    <w:rsid w:val="0093263D"/>
    <w:rPr>
      <w:rFonts w:ascii="Calibri" w:hAnsi="Calibri"/>
      <w:lang w:eastAsia="en-US"/>
    </w:rPr>
  </w:style>
  <w:style w:type="paragraph" w:styleId="CommentSubject">
    <w:name w:val="annotation subject"/>
    <w:basedOn w:val="CommentText"/>
    <w:next w:val="CommentText"/>
    <w:link w:val="CommentSubjectChar"/>
    <w:rsid w:val="004B1F76"/>
    <w:rPr>
      <w:b/>
      <w:bCs/>
    </w:rPr>
  </w:style>
  <w:style w:type="character" w:customStyle="1" w:styleId="CommentSubjectChar">
    <w:name w:val="Comment Subject Char"/>
    <w:basedOn w:val="CommentTextChar"/>
    <w:link w:val="CommentSubject"/>
    <w:rsid w:val="0093263D"/>
    <w:rPr>
      <w:b/>
      <w:bCs/>
    </w:rPr>
  </w:style>
  <w:style w:type="paragraph" w:styleId="Date">
    <w:name w:val="Date"/>
    <w:basedOn w:val="Normal"/>
    <w:next w:val="Normal"/>
    <w:link w:val="DateChar"/>
    <w:rsid w:val="004B1F76"/>
  </w:style>
  <w:style w:type="character" w:customStyle="1" w:styleId="DateChar">
    <w:name w:val="Date Char"/>
    <w:basedOn w:val="DefaultParagraphFont"/>
    <w:link w:val="Date"/>
    <w:rsid w:val="0093263D"/>
    <w:rPr>
      <w:rFonts w:ascii="Calibri" w:hAnsi="Calibri"/>
      <w:sz w:val="24"/>
      <w:lang w:eastAsia="en-US"/>
    </w:rPr>
  </w:style>
  <w:style w:type="paragraph" w:styleId="E-mailSignature">
    <w:name w:val="E-mail Signature"/>
    <w:basedOn w:val="Normal"/>
    <w:link w:val="E-mailSignatureChar"/>
    <w:rsid w:val="004B1F76"/>
  </w:style>
  <w:style w:type="character" w:customStyle="1" w:styleId="E-mailSignatureChar">
    <w:name w:val="E-mail Signature Char"/>
    <w:basedOn w:val="DefaultParagraphFont"/>
    <w:link w:val="E-mailSignature"/>
    <w:rsid w:val="0093263D"/>
    <w:rPr>
      <w:rFonts w:ascii="Calibri" w:hAnsi="Calibri"/>
      <w:sz w:val="24"/>
      <w:lang w:eastAsia="en-US"/>
    </w:rPr>
  </w:style>
  <w:style w:type="character" w:styleId="Emphasis">
    <w:name w:val="Emphasis"/>
    <w:basedOn w:val="DefaultParagraphFont"/>
    <w:qFormat/>
    <w:rsid w:val="004B1F76"/>
    <w:rPr>
      <w:rFonts w:ascii="Calibri" w:hAnsi="Calibri"/>
      <w:i/>
      <w:iCs/>
    </w:rPr>
  </w:style>
  <w:style w:type="character" w:styleId="EndnoteReference">
    <w:name w:val="endnote reference"/>
    <w:basedOn w:val="DefaultParagraphFont"/>
    <w:rsid w:val="004B1F76"/>
    <w:rPr>
      <w:rFonts w:ascii="Calibri" w:hAnsi="Calibri"/>
      <w:vertAlign w:val="superscript"/>
    </w:rPr>
  </w:style>
  <w:style w:type="paragraph" w:styleId="EndnoteText">
    <w:name w:val="endnote text"/>
    <w:basedOn w:val="Normal"/>
    <w:link w:val="EndnoteTextChar"/>
    <w:rsid w:val="004B1F76"/>
    <w:rPr>
      <w:sz w:val="20"/>
    </w:rPr>
  </w:style>
  <w:style w:type="character" w:customStyle="1" w:styleId="EndnoteTextChar">
    <w:name w:val="Endnote Text Char"/>
    <w:basedOn w:val="DefaultParagraphFont"/>
    <w:link w:val="EndnoteText"/>
    <w:rsid w:val="0093263D"/>
    <w:rPr>
      <w:rFonts w:ascii="Calibri" w:hAnsi="Calibri"/>
      <w:lang w:eastAsia="en-US"/>
    </w:rPr>
  </w:style>
  <w:style w:type="paragraph" w:styleId="EnvelopeAddress">
    <w:name w:val="envelope address"/>
    <w:basedOn w:val="Normal"/>
    <w:rsid w:val="004B1F76"/>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4B1F76"/>
    <w:rPr>
      <w:rFonts w:ascii="Arial" w:hAnsi="Arial" w:cs="Arial"/>
      <w:sz w:val="20"/>
    </w:rPr>
  </w:style>
  <w:style w:type="character" w:styleId="FollowedHyperlink">
    <w:name w:val="FollowedHyperlink"/>
    <w:basedOn w:val="DefaultParagraphFont"/>
    <w:rsid w:val="004B1F76"/>
    <w:rPr>
      <w:color w:val="800080"/>
      <w:u w:val="single"/>
    </w:rPr>
  </w:style>
  <w:style w:type="character" w:styleId="FootnoteReference">
    <w:name w:val="footnote reference"/>
    <w:basedOn w:val="DefaultParagraphFont"/>
    <w:rsid w:val="004B1F76"/>
    <w:rPr>
      <w:rFonts w:ascii="Calibri" w:hAnsi="Calibri"/>
      <w:vertAlign w:val="superscript"/>
    </w:rPr>
  </w:style>
  <w:style w:type="paragraph" w:styleId="FootnoteText">
    <w:name w:val="footnote text"/>
    <w:basedOn w:val="Normal"/>
    <w:link w:val="FootnoteTextChar"/>
    <w:rsid w:val="004B1F76"/>
    <w:rPr>
      <w:sz w:val="20"/>
    </w:rPr>
  </w:style>
  <w:style w:type="character" w:customStyle="1" w:styleId="FootnoteTextChar">
    <w:name w:val="Footnote Text Char"/>
    <w:basedOn w:val="DefaultParagraphFont"/>
    <w:link w:val="FootnoteText"/>
    <w:rsid w:val="0093263D"/>
    <w:rPr>
      <w:rFonts w:ascii="Calibri" w:hAnsi="Calibri"/>
      <w:lang w:eastAsia="en-US"/>
    </w:rPr>
  </w:style>
  <w:style w:type="character" w:styleId="HTMLAcronym">
    <w:name w:val="HTML Acronym"/>
    <w:basedOn w:val="DefaultParagraphFont"/>
    <w:rsid w:val="004B1F76"/>
  </w:style>
  <w:style w:type="paragraph" w:styleId="HTMLAddress">
    <w:name w:val="HTML Address"/>
    <w:basedOn w:val="Normal"/>
    <w:link w:val="HTMLAddressChar"/>
    <w:rsid w:val="004B1F76"/>
    <w:rPr>
      <w:i/>
      <w:iCs/>
    </w:rPr>
  </w:style>
  <w:style w:type="character" w:customStyle="1" w:styleId="HTMLAddressChar">
    <w:name w:val="HTML Address Char"/>
    <w:basedOn w:val="DefaultParagraphFont"/>
    <w:link w:val="HTMLAddress"/>
    <w:rsid w:val="0093263D"/>
    <w:rPr>
      <w:rFonts w:ascii="Calibri" w:hAnsi="Calibri"/>
      <w:i/>
      <w:iCs/>
      <w:sz w:val="24"/>
      <w:lang w:eastAsia="en-US"/>
    </w:rPr>
  </w:style>
  <w:style w:type="character" w:styleId="HTMLCite">
    <w:name w:val="HTML Cite"/>
    <w:basedOn w:val="DefaultParagraphFont"/>
    <w:rsid w:val="004B1F76"/>
    <w:rPr>
      <w:i/>
      <w:iCs/>
    </w:rPr>
  </w:style>
  <w:style w:type="character" w:styleId="HTMLCode">
    <w:name w:val="HTML Code"/>
    <w:basedOn w:val="DefaultParagraphFont"/>
    <w:rsid w:val="004B1F76"/>
    <w:rPr>
      <w:rFonts w:ascii="Courier New" w:hAnsi="Courier New" w:cs="Courier New"/>
      <w:sz w:val="20"/>
      <w:szCs w:val="20"/>
    </w:rPr>
  </w:style>
  <w:style w:type="character" w:styleId="HTMLDefinition">
    <w:name w:val="HTML Definition"/>
    <w:basedOn w:val="DefaultParagraphFont"/>
    <w:rsid w:val="004B1F76"/>
    <w:rPr>
      <w:i/>
      <w:iCs/>
    </w:rPr>
  </w:style>
  <w:style w:type="character" w:styleId="HTMLKeyboard">
    <w:name w:val="HTML Keyboard"/>
    <w:basedOn w:val="DefaultParagraphFont"/>
    <w:rsid w:val="004B1F76"/>
    <w:rPr>
      <w:rFonts w:ascii="Courier New" w:hAnsi="Courier New" w:cs="Courier New"/>
      <w:sz w:val="20"/>
      <w:szCs w:val="20"/>
    </w:rPr>
  </w:style>
  <w:style w:type="paragraph" w:styleId="HTMLPreformatted">
    <w:name w:val="HTML Preformatted"/>
    <w:basedOn w:val="Normal"/>
    <w:link w:val="HTMLPreformattedChar"/>
    <w:rsid w:val="004B1F76"/>
    <w:rPr>
      <w:rFonts w:ascii="Courier New" w:hAnsi="Courier New" w:cs="Courier New"/>
      <w:sz w:val="20"/>
    </w:rPr>
  </w:style>
  <w:style w:type="character" w:customStyle="1" w:styleId="HTMLPreformattedChar">
    <w:name w:val="HTML Preformatted Char"/>
    <w:basedOn w:val="DefaultParagraphFont"/>
    <w:link w:val="HTMLPreformatted"/>
    <w:rsid w:val="0093263D"/>
    <w:rPr>
      <w:rFonts w:ascii="Courier New" w:hAnsi="Courier New" w:cs="Courier New"/>
      <w:lang w:eastAsia="en-US"/>
    </w:rPr>
  </w:style>
  <w:style w:type="character" w:styleId="HTMLSample">
    <w:name w:val="HTML Sample"/>
    <w:basedOn w:val="DefaultParagraphFont"/>
    <w:rsid w:val="004B1F76"/>
    <w:rPr>
      <w:rFonts w:ascii="Courier New" w:hAnsi="Courier New" w:cs="Courier New"/>
    </w:rPr>
  </w:style>
  <w:style w:type="character" w:styleId="HTMLTypewriter">
    <w:name w:val="HTML Typewriter"/>
    <w:basedOn w:val="DefaultParagraphFont"/>
    <w:rsid w:val="004B1F76"/>
    <w:rPr>
      <w:rFonts w:ascii="Courier New" w:hAnsi="Courier New" w:cs="Courier New"/>
      <w:sz w:val="20"/>
      <w:szCs w:val="20"/>
    </w:rPr>
  </w:style>
  <w:style w:type="character" w:styleId="HTMLVariable">
    <w:name w:val="HTML Variable"/>
    <w:basedOn w:val="DefaultParagraphFont"/>
    <w:rsid w:val="004B1F76"/>
    <w:rPr>
      <w:i/>
      <w:iCs/>
    </w:rPr>
  </w:style>
  <w:style w:type="character" w:styleId="Hyperlink">
    <w:name w:val="Hyperlink"/>
    <w:basedOn w:val="DefaultParagraphFont"/>
    <w:rsid w:val="004B1F76"/>
    <w:rPr>
      <w:color w:val="0000FF"/>
      <w:u w:val="single"/>
    </w:rPr>
  </w:style>
  <w:style w:type="paragraph" w:styleId="Index1">
    <w:name w:val="index 1"/>
    <w:basedOn w:val="Normal"/>
    <w:next w:val="Normal"/>
    <w:autoRedefine/>
    <w:rsid w:val="004B1F76"/>
    <w:pPr>
      <w:ind w:left="240" w:hanging="240"/>
    </w:pPr>
  </w:style>
  <w:style w:type="paragraph" w:styleId="Index2">
    <w:name w:val="index 2"/>
    <w:basedOn w:val="Normal"/>
    <w:next w:val="Normal"/>
    <w:autoRedefine/>
    <w:rsid w:val="004B1F76"/>
    <w:pPr>
      <w:ind w:left="480" w:hanging="240"/>
    </w:pPr>
  </w:style>
  <w:style w:type="paragraph" w:styleId="Index3">
    <w:name w:val="index 3"/>
    <w:basedOn w:val="Normal"/>
    <w:next w:val="Normal"/>
    <w:autoRedefine/>
    <w:rsid w:val="004B1F76"/>
    <w:pPr>
      <w:ind w:left="720" w:hanging="240"/>
    </w:pPr>
  </w:style>
  <w:style w:type="paragraph" w:styleId="Index4">
    <w:name w:val="index 4"/>
    <w:basedOn w:val="Normal"/>
    <w:next w:val="Normal"/>
    <w:autoRedefine/>
    <w:rsid w:val="004B1F76"/>
    <w:pPr>
      <w:ind w:left="960" w:hanging="240"/>
    </w:pPr>
  </w:style>
  <w:style w:type="paragraph" w:styleId="Index5">
    <w:name w:val="index 5"/>
    <w:basedOn w:val="Normal"/>
    <w:next w:val="Normal"/>
    <w:autoRedefine/>
    <w:rsid w:val="004B1F76"/>
    <w:pPr>
      <w:ind w:left="1200" w:hanging="240"/>
    </w:pPr>
  </w:style>
  <w:style w:type="paragraph" w:styleId="Index6">
    <w:name w:val="index 6"/>
    <w:basedOn w:val="Normal"/>
    <w:next w:val="Normal"/>
    <w:autoRedefine/>
    <w:rsid w:val="004B1F76"/>
    <w:pPr>
      <w:ind w:left="1440" w:hanging="240"/>
    </w:pPr>
  </w:style>
  <w:style w:type="paragraph" w:styleId="Index7">
    <w:name w:val="index 7"/>
    <w:basedOn w:val="Normal"/>
    <w:next w:val="Normal"/>
    <w:autoRedefine/>
    <w:rsid w:val="004B1F76"/>
    <w:pPr>
      <w:ind w:left="1680" w:hanging="240"/>
    </w:pPr>
  </w:style>
  <w:style w:type="paragraph" w:styleId="Index8">
    <w:name w:val="index 8"/>
    <w:basedOn w:val="Normal"/>
    <w:next w:val="Normal"/>
    <w:autoRedefine/>
    <w:rsid w:val="004B1F76"/>
    <w:pPr>
      <w:ind w:left="1920" w:hanging="240"/>
    </w:pPr>
  </w:style>
  <w:style w:type="paragraph" w:styleId="Index9">
    <w:name w:val="index 9"/>
    <w:basedOn w:val="Normal"/>
    <w:next w:val="Normal"/>
    <w:autoRedefine/>
    <w:rsid w:val="004B1F76"/>
    <w:pPr>
      <w:ind w:left="2160" w:hanging="240"/>
    </w:pPr>
  </w:style>
  <w:style w:type="paragraph" w:styleId="IndexHeading">
    <w:name w:val="index heading"/>
    <w:basedOn w:val="Normal"/>
    <w:next w:val="Index1"/>
    <w:rsid w:val="004B1F76"/>
    <w:rPr>
      <w:b/>
      <w:bCs/>
    </w:rPr>
  </w:style>
  <w:style w:type="character" w:styleId="LineNumber">
    <w:name w:val="line number"/>
    <w:basedOn w:val="DefaultParagraphFont"/>
    <w:rsid w:val="004B1F76"/>
  </w:style>
  <w:style w:type="paragraph" w:styleId="List">
    <w:name w:val="List"/>
    <w:basedOn w:val="Normal"/>
    <w:rsid w:val="004B1F76"/>
    <w:pPr>
      <w:ind w:left="283" w:hanging="283"/>
    </w:pPr>
  </w:style>
  <w:style w:type="paragraph" w:styleId="List2">
    <w:name w:val="List 2"/>
    <w:basedOn w:val="Normal"/>
    <w:rsid w:val="004B1F76"/>
    <w:pPr>
      <w:ind w:left="566" w:hanging="283"/>
    </w:pPr>
  </w:style>
  <w:style w:type="paragraph" w:styleId="List3">
    <w:name w:val="List 3"/>
    <w:basedOn w:val="Normal"/>
    <w:rsid w:val="004B1F76"/>
    <w:pPr>
      <w:ind w:left="849" w:hanging="283"/>
    </w:pPr>
  </w:style>
  <w:style w:type="paragraph" w:styleId="List4">
    <w:name w:val="List 4"/>
    <w:basedOn w:val="Normal"/>
    <w:rsid w:val="004B1F76"/>
    <w:pPr>
      <w:ind w:left="1132" w:hanging="283"/>
    </w:pPr>
  </w:style>
  <w:style w:type="paragraph" w:styleId="List5">
    <w:name w:val="List 5"/>
    <w:basedOn w:val="Normal"/>
    <w:rsid w:val="004B1F76"/>
    <w:pPr>
      <w:ind w:left="1415" w:hanging="283"/>
    </w:pPr>
  </w:style>
  <w:style w:type="paragraph" w:styleId="ListBullet">
    <w:name w:val="List Bullet"/>
    <w:basedOn w:val="Normal"/>
    <w:rsid w:val="004B1F76"/>
    <w:pPr>
      <w:numPr>
        <w:numId w:val="14"/>
      </w:numPr>
    </w:pPr>
  </w:style>
  <w:style w:type="paragraph" w:styleId="ListBullet2">
    <w:name w:val="List Bullet 2"/>
    <w:basedOn w:val="Normal"/>
    <w:rsid w:val="004B1F76"/>
    <w:pPr>
      <w:numPr>
        <w:numId w:val="15"/>
      </w:numPr>
    </w:pPr>
  </w:style>
  <w:style w:type="paragraph" w:styleId="ListBullet3">
    <w:name w:val="List Bullet 3"/>
    <w:basedOn w:val="Normal"/>
    <w:rsid w:val="004B1F76"/>
    <w:pPr>
      <w:numPr>
        <w:numId w:val="16"/>
      </w:numPr>
    </w:pPr>
  </w:style>
  <w:style w:type="paragraph" w:styleId="ListBullet4">
    <w:name w:val="List Bullet 4"/>
    <w:basedOn w:val="Normal"/>
    <w:rsid w:val="004B1F76"/>
    <w:pPr>
      <w:numPr>
        <w:numId w:val="17"/>
      </w:numPr>
    </w:pPr>
  </w:style>
  <w:style w:type="paragraph" w:styleId="ListBullet5">
    <w:name w:val="List Bullet 5"/>
    <w:basedOn w:val="Normal"/>
    <w:rsid w:val="004B1F76"/>
    <w:pPr>
      <w:numPr>
        <w:numId w:val="18"/>
      </w:numPr>
    </w:pPr>
  </w:style>
  <w:style w:type="paragraph" w:styleId="ListContinue">
    <w:name w:val="List Continue"/>
    <w:basedOn w:val="Normal"/>
    <w:rsid w:val="004B1F76"/>
    <w:pPr>
      <w:spacing w:after="120"/>
      <w:ind w:left="283"/>
    </w:pPr>
  </w:style>
  <w:style w:type="paragraph" w:styleId="ListContinue2">
    <w:name w:val="List Continue 2"/>
    <w:basedOn w:val="Normal"/>
    <w:rsid w:val="004B1F76"/>
    <w:pPr>
      <w:spacing w:after="120"/>
      <w:ind w:left="566"/>
    </w:pPr>
  </w:style>
  <w:style w:type="paragraph" w:styleId="ListContinue3">
    <w:name w:val="List Continue 3"/>
    <w:basedOn w:val="Normal"/>
    <w:rsid w:val="004B1F76"/>
    <w:pPr>
      <w:spacing w:after="120"/>
      <w:ind w:left="849"/>
    </w:pPr>
  </w:style>
  <w:style w:type="paragraph" w:styleId="ListContinue4">
    <w:name w:val="List Continue 4"/>
    <w:basedOn w:val="Normal"/>
    <w:rsid w:val="004B1F76"/>
    <w:pPr>
      <w:spacing w:after="120"/>
      <w:ind w:left="1132"/>
    </w:pPr>
  </w:style>
  <w:style w:type="paragraph" w:styleId="ListContinue5">
    <w:name w:val="List Continue 5"/>
    <w:basedOn w:val="Normal"/>
    <w:rsid w:val="004B1F76"/>
    <w:pPr>
      <w:spacing w:after="120"/>
      <w:ind w:left="1415"/>
    </w:pPr>
  </w:style>
  <w:style w:type="paragraph" w:styleId="ListNumber">
    <w:name w:val="List Number"/>
    <w:basedOn w:val="Normal"/>
    <w:rsid w:val="004B1F76"/>
    <w:pPr>
      <w:numPr>
        <w:numId w:val="19"/>
      </w:numPr>
    </w:pPr>
  </w:style>
  <w:style w:type="paragraph" w:styleId="ListNumber2">
    <w:name w:val="List Number 2"/>
    <w:basedOn w:val="Normal"/>
    <w:rsid w:val="004B1F76"/>
    <w:pPr>
      <w:numPr>
        <w:numId w:val="20"/>
      </w:numPr>
    </w:pPr>
  </w:style>
  <w:style w:type="paragraph" w:styleId="ListNumber3">
    <w:name w:val="List Number 3"/>
    <w:basedOn w:val="Normal"/>
    <w:rsid w:val="004B1F76"/>
    <w:pPr>
      <w:numPr>
        <w:numId w:val="21"/>
      </w:numPr>
    </w:pPr>
  </w:style>
  <w:style w:type="paragraph" w:styleId="ListNumber4">
    <w:name w:val="List Number 4"/>
    <w:basedOn w:val="Normal"/>
    <w:rsid w:val="004B1F76"/>
    <w:pPr>
      <w:numPr>
        <w:numId w:val="22"/>
      </w:numPr>
    </w:pPr>
  </w:style>
  <w:style w:type="paragraph" w:styleId="ListNumber5">
    <w:name w:val="List Number 5"/>
    <w:basedOn w:val="Normal"/>
    <w:rsid w:val="004B1F76"/>
    <w:pPr>
      <w:numPr>
        <w:numId w:val="23"/>
      </w:numPr>
    </w:pPr>
  </w:style>
  <w:style w:type="paragraph" w:styleId="ListParagraph">
    <w:name w:val="List Paragraph"/>
    <w:basedOn w:val="Normal"/>
    <w:qFormat/>
    <w:rsid w:val="004B1F76"/>
    <w:pPr>
      <w:ind w:left="720"/>
    </w:pPr>
    <w:rPr>
      <w:szCs w:val="24"/>
    </w:rPr>
  </w:style>
  <w:style w:type="paragraph" w:styleId="MessageHeader">
    <w:name w:val="Message Header"/>
    <w:basedOn w:val="Normal"/>
    <w:link w:val="MessageHeaderChar"/>
    <w:rsid w:val="004B1F7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character" w:customStyle="1" w:styleId="MessageHeaderChar">
    <w:name w:val="Message Header Char"/>
    <w:basedOn w:val="DefaultParagraphFont"/>
    <w:link w:val="MessageHeader"/>
    <w:rsid w:val="0093263D"/>
    <w:rPr>
      <w:rFonts w:ascii="Arial" w:hAnsi="Arial" w:cs="Arial"/>
      <w:sz w:val="24"/>
      <w:szCs w:val="24"/>
      <w:shd w:val="pct20" w:color="auto" w:fill="auto"/>
      <w:lang w:eastAsia="en-US"/>
    </w:rPr>
  </w:style>
  <w:style w:type="paragraph" w:styleId="NormalWeb">
    <w:name w:val="Normal (Web)"/>
    <w:basedOn w:val="Normal"/>
    <w:rsid w:val="004B1F76"/>
    <w:rPr>
      <w:szCs w:val="24"/>
    </w:rPr>
  </w:style>
  <w:style w:type="paragraph" w:styleId="NormalIndent">
    <w:name w:val="Normal Indent"/>
    <w:basedOn w:val="Normal"/>
    <w:rsid w:val="004B1F76"/>
    <w:pPr>
      <w:ind w:left="720"/>
    </w:pPr>
  </w:style>
  <w:style w:type="paragraph" w:styleId="NoteHeading0">
    <w:name w:val="Note Heading"/>
    <w:basedOn w:val="Normal"/>
    <w:next w:val="Normal"/>
    <w:link w:val="NoteHeadingChar"/>
    <w:rsid w:val="004B1F76"/>
    <w:pPr>
      <w:spacing w:before="120"/>
    </w:pPr>
    <w:rPr>
      <w:b/>
      <w:sz w:val="16"/>
    </w:rPr>
  </w:style>
  <w:style w:type="character" w:customStyle="1" w:styleId="NoteHeadingChar">
    <w:name w:val="Note Heading Char"/>
    <w:basedOn w:val="DefaultParagraphFont"/>
    <w:link w:val="NoteHeading0"/>
    <w:rsid w:val="0093263D"/>
    <w:rPr>
      <w:rFonts w:ascii="Calibri" w:hAnsi="Calibri"/>
      <w:b/>
      <w:sz w:val="16"/>
      <w:lang w:eastAsia="en-US"/>
    </w:rPr>
  </w:style>
  <w:style w:type="paragraph" w:styleId="Salutation">
    <w:name w:val="Salutation"/>
    <w:basedOn w:val="Normal"/>
    <w:next w:val="Normal"/>
    <w:link w:val="SalutationChar"/>
    <w:rsid w:val="004B1F76"/>
  </w:style>
  <w:style w:type="character" w:customStyle="1" w:styleId="SalutationChar">
    <w:name w:val="Salutation Char"/>
    <w:basedOn w:val="DefaultParagraphFont"/>
    <w:link w:val="Salutation"/>
    <w:rsid w:val="0093263D"/>
    <w:rPr>
      <w:rFonts w:ascii="Calibri" w:hAnsi="Calibri"/>
      <w:sz w:val="24"/>
      <w:lang w:eastAsia="en-US"/>
    </w:rPr>
  </w:style>
  <w:style w:type="paragraph" w:styleId="Signature">
    <w:name w:val="Signature"/>
    <w:basedOn w:val="Normal"/>
    <w:link w:val="SignatureChar"/>
    <w:rsid w:val="004B1F76"/>
    <w:pPr>
      <w:ind w:left="4252"/>
    </w:pPr>
  </w:style>
  <w:style w:type="character" w:customStyle="1" w:styleId="SignatureChar">
    <w:name w:val="Signature Char"/>
    <w:basedOn w:val="DefaultParagraphFont"/>
    <w:link w:val="Signature"/>
    <w:rsid w:val="0093263D"/>
    <w:rPr>
      <w:rFonts w:ascii="Calibri" w:hAnsi="Calibri"/>
      <w:sz w:val="24"/>
      <w:lang w:eastAsia="en-US"/>
    </w:rPr>
  </w:style>
  <w:style w:type="character" w:styleId="Strong">
    <w:name w:val="Strong"/>
    <w:basedOn w:val="DefaultParagraphFont"/>
    <w:qFormat/>
    <w:rsid w:val="004B1F76"/>
    <w:rPr>
      <w:b/>
      <w:bCs/>
    </w:rPr>
  </w:style>
  <w:style w:type="paragraph" w:styleId="Subtitle">
    <w:name w:val="Subtitle"/>
    <w:basedOn w:val="Normal"/>
    <w:link w:val="SubtitleChar"/>
    <w:qFormat/>
    <w:rsid w:val="004B1F76"/>
    <w:pPr>
      <w:spacing w:after="60"/>
      <w:jc w:val="center"/>
      <w:outlineLvl w:val="1"/>
    </w:pPr>
    <w:rPr>
      <w:rFonts w:ascii="Arial" w:hAnsi="Arial" w:cs="Arial"/>
      <w:szCs w:val="24"/>
    </w:rPr>
  </w:style>
  <w:style w:type="character" w:customStyle="1" w:styleId="SubtitleChar">
    <w:name w:val="Subtitle Char"/>
    <w:basedOn w:val="DefaultParagraphFont"/>
    <w:link w:val="Subtitle"/>
    <w:rsid w:val="0093263D"/>
    <w:rPr>
      <w:rFonts w:ascii="Arial" w:hAnsi="Arial" w:cs="Arial"/>
      <w:sz w:val="24"/>
      <w:szCs w:val="24"/>
      <w:lang w:eastAsia="en-US"/>
    </w:rPr>
  </w:style>
  <w:style w:type="table" w:styleId="Table3Deffects1">
    <w:name w:val="Table 3D effects 1"/>
    <w:basedOn w:val="TableNormal"/>
    <w:rsid w:val="004B1F7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B1F7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B1F7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4B1F7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B1F7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B1F7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B1F7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B1F7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B1F7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B1F7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B1F7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B1F7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B1F7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B1F7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B1F7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4B1F7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B1F7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4B1F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4B1F7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B1F7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B1F7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B1F7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B1F7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B1F7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B1F7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B1F7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B1F7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B1F7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B1F7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B1F7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B1F7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B1F7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B1F7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B1F7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4B1F76"/>
    <w:pPr>
      <w:ind w:left="240" w:hanging="240"/>
    </w:pPr>
  </w:style>
  <w:style w:type="paragraph" w:styleId="TableofFigures">
    <w:name w:val="table of figures"/>
    <w:basedOn w:val="Normal"/>
    <w:next w:val="Normal"/>
    <w:rsid w:val="004B1F76"/>
  </w:style>
  <w:style w:type="table" w:styleId="TableProfessional">
    <w:name w:val="Table Professional"/>
    <w:basedOn w:val="TableNormal"/>
    <w:rsid w:val="004B1F7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4B1F7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B1F7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B1F7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B1F7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B1F7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Indent">
    <w:name w:val="Table Text Indent"/>
    <w:rsid w:val="004B1F76"/>
    <w:pPr>
      <w:numPr>
        <w:numId w:val="24"/>
      </w:numPr>
      <w:spacing w:before="60"/>
    </w:pPr>
    <w:rPr>
      <w:rFonts w:ascii="Calibri" w:hAnsi="Calibri"/>
      <w:szCs w:val="24"/>
      <w:lang w:eastAsia="en-US"/>
    </w:rPr>
  </w:style>
  <w:style w:type="paragraph" w:customStyle="1" w:styleId="TableTextLeft">
    <w:name w:val="Table Text Left"/>
    <w:basedOn w:val="Normal"/>
    <w:rsid w:val="004B1F76"/>
    <w:pPr>
      <w:ind w:left="357" w:hanging="357"/>
    </w:pPr>
    <w:rPr>
      <w:sz w:val="20"/>
      <w:szCs w:val="18"/>
    </w:rPr>
  </w:style>
  <w:style w:type="paragraph" w:customStyle="1" w:styleId="TableTextRight">
    <w:name w:val="Table Text Right"/>
    <w:basedOn w:val="Normal"/>
    <w:rsid w:val="004B1F76"/>
    <w:pPr>
      <w:ind w:left="357" w:hanging="357"/>
      <w:jc w:val="right"/>
    </w:pPr>
    <w:rPr>
      <w:sz w:val="20"/>
    </w:rPr>
  </w:style>
  <w:style w:type="table" w:styleId="TableTheme">
    <w:name w:val="Table Theme"/>
    <w:basedOn w:val="TableNormal"/>
    <w:rsid w:val="004B1F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4B1F7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B1F7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B1F7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4B1F76"/>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93263D"/>
    <w:rPr>
      <w:rFonts w:ascii="Arial" w:hAnsi="Arial" w:cs="Arial"/>
      <w:b/>
      <w:bCs/>
      <w:kern w:val="28"/>
      <w:sz w:val="32"/>
      <w:szCs w:val="32"/>
      <w:lang w:eastAsia="en-US"/>
    </w:rPr>
  </w:style>
  <w:style w:type="paragraph" w:styleId="TOAHeading">
    <w:name w:val="toa heading"/>
    <w:basedOn w:val="Normal"/>
    <w:next w:val="Normal"/>
    <w:rsid w:val="004B1F76"/>
    <w:pPr>
      <w:spacing w:before="120"/>
    </w:pPr>
    <w:rPr>
      <w:b/>
      <w:bCs/>
      <w:szCs w:val="24"/>
    </w:rPr>
  </w:style>
  <w:style w:type="paragraph" w:styleId="TOC1">
    <w:name w:val="toc 1"/>
    <w:basedOn w:val="Normal"/>
    <w:next w:val="Normal"/>
    <w:autoRedefine/>
    <w:rsid w:val="004B1F76"/>
  </w:style>
  <w:style w:type="paragraph" w:styleId="TOC2">
    <w:name w:val="toc 2"/>
    <w:basedOn w:val="Normal"/>
    <w:next w:val="Normal"/>
    <w:autoRedefine/>
    <w:rsid w:val="004B1F76"/>
    <w:pPr>
      <w:ind w:left="240"/>
    </w:pPr>
  </w:style>
  <w:style w:type="paragraph" w:styleId="TOC3">
    <w:name w:val="toc 3"/>
    <w:basedOn w:val="Normal"/>
    <w:next w:val="Normal"/>
    <w:autoRedefine/>
    <w:rsid w:val="004B1F76"/>
    <w:pPr>
      <w:ind w:left="480"/>
    </w:pPr>
  </w:style>
  <w:style w:type="paragraph" w:styleId="TOC4">
    <w:name w:val="toc 4"/>
    <w:basedOn w:val="Normal"/>
    <w:next w:val="Normal"/>
    <w:autoRedefine/>
    <w:rsid w:val="004B1F76"/>
    <w:pPr>
      <w:ind w:left="720"/>
    </w:pPr>
  </w:style>
  <w:style w:type="paragraph" w:styleId="TOC5">
    <w:name w:val="toc 5"/>
    <w:basedOn w:val="Normal"/>
    <w:next w:val="Normal"/>
    <w:autoRedefine/>
    <w:rsid w:val="004B1F76"/>
    <w:pPr>
      <w:ind w:left="960"/>
    </w:pPr>
  </w:style>
  <w:style w:type="paragraph" w:styleId="TOC6">
    <w:name w:val="toc 6"/>
    <w:basedOn w:val="Normal"/>
    <w:next w:val="Normal"/>
    <w:autoRedefine/>
    <w:rsid w:val="004B1F76"/>
    <w:pPr>
      <w:ind w:left="1200"/>
    </w:pPr>
  </w:style>
  <w:style w:type="paragraph" w:styleId="TOC7">
    <w:name w:val="toc 7"/>
    <w:basedOn w:val="Normal"/>
    <w:next w:val="Normal"/>
    <w:autoRedefine/>
    <w:rsid w:val="004B1F76"/>
    <w:pPr>
      <w:ind w:left="1440"/>
    </w:pPr>
  </w:style>
  <w:style w:type="paragraph" w:styleId="TOC8">
    <w:name w:val="toc 8"/>
    <w:basedOn w:val="Normal"/>
    <w:next w:val="Normal"/>
    <w:autoRedefine/>
    <w:rsid w:val="004B1F76"/>
    <w:pPr>
      <w:ind w:left="1680"/>
    </w:pPr>
  </w:style>
  <w:style w:type="paragraph" w:styleId="TOC9">
    <w:name w:val="toc 9"/>
    <w:basedOn w:val="Normal"/>
    <w:next w:val="Normal"/>
    <w:autoRedefine/>
    <w:rsid w:val="004B1F76"/>
    <w:pPr>
      <w:ind w:left="1920"/>
    </w:pPr>
  </w:style>
  <w:style w:type="paragraph" w:customStyle="1" w:styleId="12ptNormalindent">
    <w:name w:val="12 pt Normal indent"/>
    <w:basedOn w:val="Normal"/>
    <w:rsid w:val="00840778"/>
    <w:pPr>
      <w:numPr>
        <w:numId w:val="7"/>
      </w:numPr>
      <w:tabs>
        <w:tab w:val="left" w:pos="1800"/>
      </w:tabs>
    </w:pPr>
    <w:rPr>
      <w:rFonts w:ascii="Arial" w:hAnsi="Arial" w:cs="Arial"/>
      <w:szCs w:val="24"/>
    </w:rPr>
  </w:style>
  <w:style w:type="paragraph" w:styleId="Revision">
    <w:name w:val="Revision"/>
    <w:hidden/>
    <w:uiPriority w:val="99"/>
    <w:semiHidden/>
    <w:rsid w:val="00890CE2"/>
    <w:rPr>
      <w:rFonts w:ascii="Calibri" w:hAnsi="Calibri"/>
      <w:sz w:val="24"/>
      <w:lang w:eastAsia="en-US"/>
    </w:rPr>
  </w:style>
</w:styles>
</file>

<file path=word/webSettings.xml><?xml version="1.0" encoding="utf-8"?>
<w:webSettings xmlns:r="http://schemas.openxmlformats.org/officeDocument/2006/relationships" xmlns:w="http://schemas.openxmlformats.org/wordprocessingml/2006/main">
  <w:divs>
    <w:div w:id="10381963">
      <w:bodyDiv w:val="1"/>
      <w:marLeft w:val="0"/>
      <w:marRight w:val="0"/>
      <w:marTop w:val="0"/>
      <w:marBottom w:val="0"/>
      <w:divBdr>
        <w:top w:val="none" w:sz="0" w:space="0" w:color="auto"/>
        <w:left w:val="none" w:sz="0" w:space="0" w:color="auto"/>
        <w:bottom w:val="none" w:sz="0" w:space="0" w:color="auto"/>
        <w:right w:val="none" w:sz="0" w:space="0" w:color="auto"/>
      </w:divBdr>
    </w:div>
    <w:div w:id="26607760">
      <w:bodyDiv w:val="1"/>
      <w:marLeft w:val="0"/>
      <w:marRight w:val="0"/>
      <w:marTop w:val="0"/>
      <w:marBottom w:val="0"/>
      <w:divBdr>
        <w:top w:val="none" w:sz="0" w:space="0" w:color="auto"/>
        <w:left w:val="none" w:sz="0" w:space="0" w:color="auto"/>
        <w:bottom w:val="none" w:sz="0" w:space="0" w:color="auto"/>
        <w:right w:val="none" w:sz="0" w:space="0" w:color="auto"/>
      </w:divBdr>
    </w:div>
    <w:div w:id="395512063">
      <w:bodyDiv w:val="1"/>
      <w:marLeft w:val="0"/>
      <w:marRight w:val="0"/>
      <w:marTop w:val="0"/>
      <w:marBottom w:val="0"/>
      <w:divBdr>
        <w:top w:val="none" w:sz="0" w:space="0" w:color="auto"/>
        <w:left w:val="none" w:sz="0" w:space="0" w:color="auto"/>
        <w:bottom w:val="none" w:sz="0" w:space="0" w:color="auto"/>
        <w:right w:val="none" w:sz="0" w:space="0" w:color="auto"/>
      </w:divBdr>
    </w:div>
    <w:div w:id="557400393">
      <w:bodyDiv w:val="1"/>
      <w:marLeft w:val="0"/>
      <w:marRight w:val="0"/>
      <w:marTop w:val="0"/>
      <w:marBottom w:val="0"/>
      <w:divBdr>
        <w:top w:val="none" w:sz="0" w:space="0" w:color="auto"/>
        <w:left w:val="none" w:sz="0" w:space="0" w:color="auto"/>
        <w:bottom w:val="none" w:sz="0" w:space="0" w:color="auto"/>
        <w:right w:val="none" w:sz="0" w:space="0" w:color="auto"/>
      </w:divBdr>
    </w:div>
    <w:div w:id="1153719251">
      <w:bodyDiv w:val="1"/>
      <w:marLeft w:val="0"/>
      <w:marRight w:val="0"/>
      <w:marTop w:val="0"/>
      <w:marBottom w:val="0"/>
      <w:divBdr>
        <w:top w:val="none" w:sz="0" w:space="0" w:color="auto"/>
        <w:left w:val="none" w:sz="0" w:space="0" w:color="auto"/>
        <w:bottom w:val="none" w:sz="0" w:space="0" w:color="auto"/>
        <w:right w:val="none" w:sz="0" w:space="0" w:color="auto"/>
      </w:divBdr>
    </w:div>
    <w:div w:id="1154682793">
      <w:bodyDiv w:val="1"/>
      <w:marLeft w:val="0"/>
      <w:marRight w:val="0"/>
      <w:marTop w:val="0"/>
      <w:marBottom w:val="0"/>
      <w:divBdr>
        <w:top w:val="none" w:sz="0" w:space="0" w:color="auto"/>
        <w:left w:val="none" w:sz="0" w:space="0" w:color="auto"/>
        <w:bottom w:val="none" w:sz="0" w:space="0" w:color="auto"/>
        <w:right w:val="none" w:sz="0" w:space="0" w:color="auto"/>
      </w:divBdr>
    </w:div>
    <w:div w:id="1322654764">
      <w:bodyDiv w:val="1"/>
      <w:marLeft w:val="0"/>
      <w:marRight w:val="0"/>
      <w:marTop w:val="0"/>
      <w:marBottom w:val="0"/>
      <w:divBdr>
        <w:top w:val="none" w:sz="0" w:space="0" w:color="auto"/>
        <w:left w:val="none" w:sz="0" w:space="0" w:color="auto"/>
        <w:bottom w:val="none" w:sz="0" w:space="0" w:color="auto"/>
        <w:right w:val="none" w:sz="0" w:space="0" w:color="auto"/>
      </w:divBdr>
    </w:div>
    <w:div w:id="1328901200">
      <w:bodyDiv w:val="1"/>
      <w:marLeft w:val="0"/>
      <w:marRight w:val="0"/>
      <w:marTop w:val="0"/>
      <w:marBottom w:val="0"/>
      <w:divBdr>
        <w:top w:val="none" w:sz="0" w:space="0" w:color="auto"/>
        <w:left w:val="none" w:sz="0" w:space="0" w:color="auto"/>
        <w:bottom w:val="none" w:sz="0" w:space="0" w:color="auto"/>
        <w:right w:val="none" w:sz="0" w:space="0" w:color="auto"/>
      </w:divBdr>
    </w:div>
    <w:div w:id="1604801313">
      <w:bodyDiv w:val="1"/>
      <w:marLeft w:val="0"/>
      <w:marRight w:val="0"/>
      <w:marTop w:val="0"/>
      <w:marBottom w:val="0"/>
      <w:divBdr>
        <w:top w:val="none" w:sz="0" w:space="0" w:color="auto"/>
        <w:left w:val="none" w:sz="0" w:space="0" w:color="auto"/>
        <w:bottom w:val="none" w:sz="0" w:space="0" w:color="auto"/>
        <w:right w:val="none" w:sz="0" w:space="0" w:color="auto"/>
      </w:divBdr>
    </w:div>
    <w:div w:id="1705666563">
      <w:bodyDiv w:val="1"/>
      <w:marLeft w:val="0"/>
      <w:marRight w:val="0"/>
      <w:marTop w:val="0"/>
      <w:marBottom w:val="0"/>
      <w:divBdr>
        <w:top w:val="none" w:sz="0" w:space="0" w:color="auto"/>
        <w:left w:val="none" w:sz="0" w:space="0" w:color="auto"/>
        <w:bottom w:val="none" w:sz="0" w:space="0" w:color="auto"/>
        <w:right w:val="none" w:sz="0" w:space="0" w:color="auto"/>
      </w:divBdr>
    </w:div>
    <w:div w:id="207011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act.gov.au\treasury\DT\financialmgmt\COMMON\Budget13\Budpapers\DRAFT%20-%202013-14%20CHAPTERS\BP4\3.%20Directorates\16.%20SPA\Old\Copy%20of%20SPA%20Strategic%20Indicator%20Charts%20%20Data%20(2)%20-%2015.05.2013.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act.gov.au\treasury\DT\financialmgmt\COMMON\Budget13\Budpapers\DRAFT%20-%202013-14%20CHAPTERS\BP4\3.%20Directorates\16.%20SPA\Old\Copy%20of%20SPA%20Strategic%20Indicator%20Charts%20%20Data%20(2)%20-%2015.05.201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AU"/>
  <c:style val="25"/>
  <c:chart>
    <c:plotArea>
      <c:layout>
        <c:manualLayout>
          <c:layoutTarget val="inner"/>
          <c:xMode val="edge"/>
          <c:yMode val="edge"/>
          <c:x val="8.0305590216523504E-2"/>
          <c:y val="4.3539292882507331E-2"/>
          <c:w val="0.88569319545439396"/>
          <c:h val="0.71528114867994441"/>
        </c:manualLayout>
      </c:layout>
      <c:lineChart>
        <c:grouping val="standard"/>
        <c:ser>
          <c:idx val="0"/>
          <c:order val="0"/>
          <c:tx>
            <c:strRef>
              <c:f>'Sheet1 (2)'!$A$15</c:f>
              <c:strCache>
                <c:ptCount val="1"/>
                <c:pt idx="0">
                  <c:v>Annualised Real Return (Net of CPI and Fees)</c:v>
                </c:pt>
              </c:strCache>
            </c:strRef>
          </c:tx>
          <c:spPr>
            <a:ln w="44450"/>
          </c:spPr>
          <c:marker>
            <c:symbol val="none"/>
          </c:marker>
          <c:dPt>
            <c:idx val="17"/>
            <c:spPr>
              <a:ln w="44450">
                <a:prstDash val="solid"/>
              </a:ln>
            </c:spPr>
          </c:dPt>
          <c:dPt>
            <c:idx val="18"/>
            <c:spPr>
              <a:ln w="44450">
                <a:prstDash val="solid"/>
              </a:ln>
            </c:spPr>
          </c:dPt>
          <c:dPt>
            <c:idx val="19"/>
            <c:spPr>
              <a:ln w="44450">
                <a:prstDash val="solid"/>
              </a:ln>
            </c:spPr>
          </c:dPt>
          <c:dPt>
            <c:idx val="20"/>
            <c:spPr>
              <a:ln w="44450">
                <a:prstDash val="solid"/>
              </a:ln>
            </c:spPr>
          </c:dPt>
          <c:cat>
            <c:strRef>
              <c:f>'Sheet1 (2)'!$B$4:$V$4</c:f>
              <c:strCache>
                <c:ptCount val="21"/>
                <c:pt idx="0">
                  <c:v>1996-97</c:v>
                </c:pt>
                <c:pt idx="1">
                  <c:v>1997-98</c:v>
                </c:pt>
                <c:pt idx="2">
                  <c:v>1998-99</c:v>
                </c:pt>
                <c:pt idx="3">
                  <c:v>1999-00</c:v>
                </c:pt>
                <c:pt idx="4">
                  <c:v>2000-01</c:v>
                </c:pt>
                <c:pt idx="5">
                  <c:v>2001-02</c:v>
                </c:pt>
                <c:pt idx="6">
                  <c:v>2002-03</c:v>
                </c:pt>
                <c:pt idx="7">
                  <c:v>2003-04</c:v>
                </c:pt>
                <c:pt idx="8">
                  <c:v>2004-05</c:v>
                </c:pt>
                <c:pt idx="9">
                  <c:v>2005-06</c:v>
                </c:pt>
                <c:pt idx="10">
                  <c:v>2006-07</c:v>
                </c:pt>
                <c:pt idx="11">
                  <c:v>2007-08</c:v>
                </c:pt>
                <c:pt idx="12">
                  <c:v>2008-09</c:v>
                </c:pt>
                <c:pt idx="13">
                  <c:v>2009-10</c:v>
                </c:pt>
                <c:pt idx="14">
                  <c:v>2010-11</c:v>
                </c:pt>
                <c:pt idx="15">
                  <c:v>2011-12</c:v>
                </c:pt>
                <c:pt idx="16">
                  <c:v>2012-13</c:v>
                </c:pt>
                <c:pt idx="17">
                  <c:v>2013-14</c:v>
                </c:pt>
                <c:pt idx="18">
                  <c:v>2014-15</c:v>
                </c:pt>
                <c:pt idx="19">
                  <c:v>2015-16</c:v>
                </c:pt>
                <c:pt idx="20">
                  <c:v>2016-17</c:v>
                </c:pt>
              </c:strCache>
            </c:strRef>
          </c:cat>
          <c:val>
            <c:numRef>
              <c:f>'Sheet1 (2)'!$B$19:$V$19</c:f>
              <c:numCache>
                <c:formatCode>0.00</c:formatCode>
                <c:ptCount val="21"/>
                <c:pt idx="0">
                  <c:v>17.706879361914293</c:v>
                </c:pt>
                <c:pt idx="1">
                  <c:v>14.622359265433671</c:v>
                </c:pt>
                <c:pt idx="2">
                  <c:v>11.646595176191333</c:v>
                </c:pt>
                <c:pt idx="3">
                  <c:v>11.881009406351861</c:v>
                </c:pt>
                <c:pt idx="4">
                  <c:v>9.1876489754667325</c:v>
                </c:pt>
                <c:pt idx="5">
                  <c:v>6.3609426742071475</c:v>
                </c:pt>
                <c:pt idx="6">
                  <c:v>5.0575314994481202</c:v>
                </c:pt>
                <c:pt idx="7">
                  <c:v>5.5394815847564116</c:v>
                </c:pt>
                <c:pt idx="8">
                  <c:v>6.0218455078616229</c:v>
                </c:pt>
                <c:pt idx="9">
                  <c:v>6.5857773683118515</c:v>
                </c:pt>
                <c:pt idx="10">
                  <c:v>7.2716664004666507</c:v>
                </c:pt>
                <c:pt idx="11">
                  <c:v>5.5569900788791315</c:v>
                </c:pt>
                <c:pt idx="12">
                  <c:v>3.9852415911516559</c:v>
                </c:pt>
                <c:pt idx="13">
                  <c:v>4.2244546084482346</c:v>
                </c:pt>
                <c:pt idx="14">
                  <c:v>4.3858591589951201</c:v>
                </c:pt>
                <c:pt idx="15">
                  <c:v>4.1072643829863864</c:v>
                </c:pt>
                <c:pt idx="16">
                  <c:v>4.5235247709274446</c:v>
                </c:pt>
                <c:pt idx="17">
                  <c:v>4.5499388024129228</c:v>
                </c:pt>
                <c:pt idx="18">
                  <c:v>4.5735780675675475</c:v>
                </c:pt>
                <c:pt idx="19">
                  <c:v>4.5948579761099078</c:v>
                </c:pt>
                <c:pt idx="20">
                  <c:v>4.6141149579922702</c:v>
                </c:pt>
              </c:numCache>
            </c:numRef>
          </c:val>
        </c:ser>
        <c:ser>
          <c:idx val="1"/>
          <c:order val="1"/>
          <c:tx>
            <c:strRef>
              <c:f>'Sheet1 (2)'!$A$16</c:f>
              <c:strCache>
                <c:ptCount val="1"/>
                <c:pt idx="0">
                  <c:v>Real Return Target (CPI+5%)</c:v>
                </c:pt>
              </c:strCache>
            </c:strRef>
          </c:tx>
          <c:spPr>
            <a:ln w="44450"/>
          </c:spPr>
          <c:marker>
            <c:symbol val="none"/>
          </c:marker>
          <c:cat>
            <c:strRef>
              <c:f>'Sheet1 (2)'!$B$4:$V$4</c:f>
              <c:strCache>
                <c:ptCount val="21"/>
                <c:pt idx="0">
                  <c:v>1996-97</c:v>
                </c:pt>
                <c:pt idx="1">
                  <c:v>1997-98</c:v>
                </c:pt>
                <c:pt idx="2">
                  <c:v>1998-99</c:v>
                </c:pt>
                <c:pt idx="3">
                  <c:v>1999-00</c:v>
                </c:pt>
                <c:pt idx="4">
                  <c:v>2000-01</c:v>
                </c:pt>
                <c:pt idx="5">
                  <c:v>2001-02</c:v>
                </c:pt>
                <c:pt idx="6">
                  <c:v>2002-03</c:v>
                </c:pt>
                <c:pt idx="7">
                  <c:v>2003-04</c:v>
                </c:pt>
                <c:pt idx="8">
                  <c:v>2004-05</c:v>
                </c:pt>
                <c:pt idx="9">
                  <c:v>2005-06</c:v>
                </c:pt>
                <c:pt idx="10">
                  <c:v>2006-07</c:v>
                </c:pt>
                <c:pt idx="11">
                  <c:v>2007-08</c:v>
                </c:pt>
                <c:pt idx="12">
                  <c:v>2008-09</c:v>
                </c:pt>
                <c:pt idx="13">
                  <c:v>2009-10</c:v>
                </c:pt>
                <c:pt idx="14">
                  <c:v>2010-11</c:v>
                </c:pt>
                <c:pt idx="15">
                  <c:v>2011-12</c:v>
                </c:pt>
                <c:pt idx="16">
                  <c:v>2012-13</c:v>
                </c:pt>
                <c:pt idx="17">
                  <c:v>2013-14</c:v>
                </c:pt>
                <c:pt idx="18">
                  <c:v>2014-15</c:v>
                </c:pt>
                <c:pt idx="19">
                  <c:v>2015-16</c:v>
                </c:pt>
                <c:pt idx="20">
                  <c:v>2016-17</c:v>
                </c:pt>
              </c:strCache>
            </c:strRef>
          </c:cat>
          <c:val>
            <c:numRef>
              <c:f>'Sheet1 (2)'!$B$22:$V$22</c:f>
              <c:numCache>
                <c:formatCode>0.00</c:formatCode>
                <c:ptCount val="21"/>
                <c:pt idx="0">
                  <c:v>5</c:v>
                </c:pt>
                <c:pt idx="1">
                  <c:v>5</c:v>
                </c:pt>
                <c:pt idx="2">
                  <c:v>5</c:v>
                </c:pt>
                <c:pt idx="3">
                  <c:v>5</c:v>
                </c:pt>
                <c:pt idx="4">
                  <c:v>5</c:v>
                </c:pt>
                <c:pt idx="5">
                  <c:v>5</c:v>
                </c:pt>
                <c:pt idx="6">
                  <c:v>5</c:v>
                </c:pt>
                <c:pt idx="7">
                  <c:v>5</c:v>
                </c:pt>
                <c:pt idx="8">
                  <c:v>5</c:v>
                </c:pt>
                <c:pt idx="9">
                  <c:v>5</c:v>
                </c:pt>
                <c:pt idx="10">
                  <c:v>5</c:v>
                </c:pt>
                <c:pt idx="11">
                  <c:v>5</c:v>
                </c:pt>
                <c:pt idx="12">
                  <c:v>5</c:v>
                </c:pt>
                <c:pt idx="13">
                  <c:v>5</c:v>
                </c:pt>
                <c:pt idx="14">
                  <c:v>5</c:v>
                </c:pt>
                <c:pt idx="15">
                  <c:v>5</c:v>
                </c:pt>
                <c:pt idx="16">
                  <c:v>5</c:v>
                </c:pt>
                <c:pt idx="17">
                  <c:v>5</c:v>
                </c:pt>
                <c:pt idx="18">
                  <c:v>5</c:v>
                </c:pt>
                <c:pt idx="19">
                  <c:v>5</c:v>
                </c:pt>
                <c:pt idx="20">
                  <c:v>5</c:v>
                </c:pt>
              </c:numCache>
            </c:numRef>
          </c:val>
        </c:ser>
        <c:marker val="1"/>
        <c:axId val="38288768"/>
        <c:axId val="38294656"/>
      </c:lineChart>
      <c:catAx>
        <c:axId val="38288768"/>
        <c:scaling>
          <c:orientation val="minMax"/>
        </c:scaling>
        <c:axPos val="b"/>
        <c:numFmt formatCode="General" sourceLinked="1"/>
        <c:tickLblPos val="nextTo"/>
        <c:txPr>
          <a:bodyPr rot="-2700000"/>
          <a:lstStyle/>
          <a:p>
            <a:pPr>
              <a:defRPr sz="800"/>
            </a:pPr>
            <a:endParaRPr lang="en-US"/>
          </a:p>
        </c:txPr>
        <c:crossAx val="38294656"/>
        <c:crosses val="autoZero"/>
        <c:auto val="1"/>
        <c:lblAlgn val="ctr"/>
        <c:lblOffset val="100"/>
        <c:tickLblSkip val="2"/>
      </c:catAx>
      <c:valAx>
        <c:axId val="38294656"/>
        <c:scaling>
          <c:orientation val="minMax"/>
          <c:max val="18"/>
        </c:scaling>
        <c:axPos val="l"/>
        <c:majorGridlines/>
        <c:title>
          <c:tx>
            <c:rich>
              <a:bodyPr rot="-5400000" vert="horz"/>
              <a:lstStyle/>
              <a:p>
                <a:pPr>
                  <a:defRPr/>
                </a:pPr>
                <a:r>
                  <a:rPr lang="en-AU" sz="1050" b="0">
                    <a:latin typeface="+mn-lt"/>
                  </a:rPr>
                  <a:t>Percent</a:t>
                </a:r>
              </a:p>
            </c:rich>
          </c:tx>
          <c:layout>
            <c:manualLayout>
              <c:xMode val="edge"/>
              <c:yMode val="edge"/>
              <c:x val="1.9312301897482247E-3"/>
              <c:y val="0.33970617580805257"/>
            </c:manualLayout>
          </c:layout>
        </c:title>
        <c:numFmt formatCode="0" sourceLinked="0"/>
        <c:tickLblPos val="nextTo"/>
        <c:crossAx val="38288768"/>
        <c:crosses val="autoZero"/>
        <c:crossBetween val="midCat"/>
      </c:valAx>
    </c:plotArea>
    <c:legend>
      <c:legendPos val="b"/>
      <c:layout>
        <c:manualLayout>
          <c:xMode val="edge"/>
          <c:yMode val="edge"/>
          <c:x val="0.12176937885862234"/>
          <c:y val="5.6801515853272033E-2"/>
          <c:w val="0.69744484521254269"/>
          <c:h val="0.18306250082850525"/>
        </c:manualLayout>
      </c:layout>
      <c:txPr>
        <a:bodyPr/>
        <a:lstStyle/>
        <a:p>
          <a:pPr>
            <a:defRPr sz="1050"/>
          </a:pPr>
          <a:endParaRPr lang="en-US"/>
        </a:p>
      </c:txPr>
    </c:legend>
    <c:plotVisOnly val="1"/>
  </c:chart>
  <c:spPr>
    <a:ln>
      <a:solidFill>
        <a:prstClr val="black">
          <a:tint val="88000"/>
          <a:shade val="95000"/>
          <a:satMod val="105000"/>
        </a:prstClr>
      </a:solidFill>
    </a:ln>
  </c:sp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AU"/>
  <c:chart>
    <c:autoTitleDeleted val="1"/>
    <c:plotArea>
      <c:layout>
        <c:manualLayout>
          <c:layoutTarget val="inner"/>
          <c:xMode val="edge"/>
          <c:yMode val="edge"/>
          <c:x val="9.5567205699052873E-2"/>
          <c:y val="3.5079042410458422E-2"/>
          <c:w val="0.8685871905626571"/>
          <c:h val="0.76677395062284492"/>
        </c:manualLayout>
      </c:layout>
      <c:areaChart>
        <c:grouping val="standard"/>
        <c:ser>
          <c:idx val="0"/>
          <c:order val="0"/>
          <c:tx>
            <c:strRef>
              <c:f>'Sheet1 (2)'!$A$28</c:f>
              <c:strCache>
                <c:ptCount val="1"/>
                <c:pt idx="0">
                  <c:v>Liability Funding Percentage</c:v>
                </c:pt>
              </c:strCache>
            </c:strRef>
          </c:tx>
          <c:spPr>
            <a:solidFill>
              <a:schemeClr val="bg1">
                <a:lumMod val="95000"/>
              </a:schemeClr>
            </a:solidFill>
            <a:ln w="0">
              <a:solidFill>
                <a:schemeClr val="tx1"/>
              </a:solidFill>
            </a:ln>
          </c:spPr>
          <c:cat>
            <c:strRef>
              <c:f>'Sheet1 (2)'!$B$24:$V$24</c:f>
              <c:strCache>
                <c:ptCount val="21"/>
                <c:pt idx="0">
                  <c:v>1996-97</c:v>
                </c:pt>
                <c:pt idx="1">
                  <c:v>1997-98</c:v>
                </c:pt>
                <c:pt idx="2">
                  <c:v>1998-99</c:v>
                </c:pt>
                <c:pt idx="3">
                  <c:v>1999-00</c:v>
                </c:pt>
                <c:pt idx="4">
                  <c:v>2000-01</c:v>
                </c:pt>
                <c:pt idx="5">
                  <c:v>2001-02</c:v>
                </c:pt>
                <c:pt idx="6">
                  <c:v>2002-03</c:v>
                </c:pt>
                <c:pt idx="7">
                  <c:v>2003-04</c:v>
                </c:pt>
                <c:pt idx="8">
                  <c:v>2004-05</c:v>
                </c:pt>
                <c:pt idx="9">
                  <c:v>2005-06</c:v>
                </c:pt>
                <c:pt idx="10">
                  <c:v>2006-07</c:v>
                </c:pt>
                <c:pt idx="11">
                  <c:v>2007-08</c:v>
                </c:pt>
                <c:pt idx="12">
                  <c:v>2008-09</c:v>
                </c:pt>
                <c:pt idx="13">
                  <c:v>2009-10</c:v>
                </c:pt>
                <c:pt idx="14">
                  <c:v>2010-11</c:v>
                </c:pt>
                <c:pt idx="15">
                  <c:v>2011-12</c:v>
                </c:pt>
                <c:pt idx="16">
                  <c:v>2012-13</c:v>
                </c:pt>
                <c:pt idx="17">
                  <c:v>2013-14</c:v>
                </c:pt>
                <c:pt idx="18">
                  <c:v>2014-15</c:v>
                </c:pt>
                <c:pt idx="19">
                  <c:v>2015-16</c:v>
                </c:pt>
                <c:pt idx="20">
                  <c:v>2016-17</c:v>
                </c:pt>
              </c:strCache>
            </c:strRef>
          </c:cat>
          <c:val>
            <c:numRef>
              <c:f>'Sheet1 (2)'!$B$31:$V$31</c:f>
              <c:numCache>
                <c:formatCode>0.00</c:formatCode>
                <c:ptCount val="21"/>
                <c:pt idx="0">
                  <c:v>29.493557375124066</c:v>
                </c:pt>
                <c:pt idx="1">
                  <c:v>29.40603611225961</c:v>
                </c:pt>
                <c:pt idx="2">
                  <c:v>29.067806797509228</c:v>
                </c:pt>
                <c:pt idx="3">
                  <c:v>54.45740457033245</c:v>
                </c:pt>
                <c:pt idx="4">
                  <c:v>64.427754312937253</c:v>
                </c:pt>
                <c:pt idx="5">
                  <c:v>59.699567065769195</c:v>
                </c:pt>
                <c:pt idx="6">
                  <c:v>59.364733955227905</c:v>
                </c:pt>
                <c:pt idx="7">
                  <c:v>59.316557821213735</c:v>
                </c:pt>
                <c:pt idx="8">
                  <c:v>49.094258704158086</c:v>
                </c:pt>
                <c:pt idx="9">
                  <c:v>61.999074115370476</c:v>
                </c:pt>
                <c:pt idx="10">
                  <c:v>71.534585717632382</c:v>
                </c:pt>
                <c:pt idx="11">
                  <c:v>64.819141886072316</c:v>
                </c:pt>
                <c:pt idx="12">
                  <c:v>44.607643195765725</c:v>
                </c:pt>
                <c:pt idx="13">
                  <c:v>43.870064238315528</c:v>
                </c:pt>
                <c:pt idx="14">
                  <c:v>46.181918521288821</c:v>
                </c:pt>
                <c:pt idx="15">
                  <c:v>30.127111219759968</c:v>
                </c:pt>
                <c:pt idx="16">
                  <c:v>50.660584465229398</c:v>
                </c:pt>
                <c:pt idx="17">
                  <c:v>51.591484533998496</c:v>
                </c:pt>
                <c:pt idx="18">
                  <c:v>52.737976141391606</c:v>
                </c:pt>
                <c:pt idx="19">
                  <c:v>54.097884500930725</c:v>
                </c:pt>
                <c:pt idx="20">
                  <c:v>55.693639338288889</c:v>
                </c:pt>
              </c:numCache>
            </c:numRef>
          </c:val>
        </c:ser>
        <c:axId val="38344576"/>
        <c:axId val="38346112"/>
      </c:areaChart>
      <c:catAx>
        <c:axId val="38344576"/>
        <c:scaling>
          <c:orientation val="minMax"/>
        </c:scaling>
        <c:axPos val="b"/>
        <c:tickLblPos val="nextTo"/>
        <c:txPr>
          <a:bodyPr rot="-2700000"/>
          <a:lstStyle/>
          <a:p>
            <a:pPr>
              <a:defRPr sz="800"/>
            </a:pPr>
            <a:endParaRPr lang="en-US"/>
          </a:p>
        </c:txPr>
        <c:crossAx val="38346112"/>
        <c:crosses val="autoZero"/>
        <c:auto val="1"/>
        <c:lblAlgn val="ctr"/>
        <c:lblOffset val="100"/>
        <c:tickLblSkip val="2"/>
        <c:tickMarkSkip val="1"/>
      </c:catAx>
      <c:valAx>
        <c:axId val="38346112"/>
        <c:scaling>
          <c:orientation val="minMax"/>
        </c:scaling>
        <c:axPos val="l"/>
        <c:majorGridlines/>
        <c:title>
          <c:tx>
            <c:rich>
              <a:bodyPr rot="-5400000" vert="horz"/>
              <a:lstStyle/>
              <a:p>
                <a:pPr>
                  <a:defRPr sz="900" baseline="0"/>
                </a:pPr>
                <a:r>
                  <a:rPr lang="en-US" sz="900" b="0" baseline="0"/>
                  <a:t>Percent</a:t>
                </a:r>
              </a:p>
            </c:rich>
          </c:tx>
          <c:layout>
            <c:manualLayout>
              <c:xMode val="edge"/>
              <c:yMode val="edge"/>
              <c:x val="4.3068655315476765E-4"/>
              <c:y val="0.35129967012977098"/>
            </c:manualLayout>
          </c:layout>
        </c:title>
        <c:numFmt formatCode="0" sourceLinked="0"/>
        <c:tickLblPos val="nextTo"/>
        <c:crossAx val="38344576"/>
        <c:crosses val="autoZero"/>
        <c:crossBetween val="midCat"/>
      </c:valAx>
    </c:plotArea>
    <c:legend>
      <c:legendPos val="b"/>
      <c:layout>
        <c:manualLayout>
          <c:xMode val="edge"/>
          <c:yMode val="edge"/>
          <c:x val="0.33941410235023101"/>
          <c:y val="0.93066996608608765"/>
          <c:w val="0.32117160849018628"/>
          <c:h val="6.1983851123532135E-2"/>
        </c:manualLayout>
      </c:layout>
      <c:txPr>
        <a:bodyPr/>
        <a:lstStyle/>
        <a:p>
          <a:pPr>
            <a:defRPr sz="900" baseline="0"/>
          </a:pPr>
          <a:endParaRPr lang="en-US"/>
        </a:p>
      </c:txPr>
    </c:legend>
    <c:plotVisOnly val="1"/>
  </c:chart>
  <c:externalData r:id="rId1"/>
  <c:userShapes r:id="rId2"/>
</c:chartSpace>
</file>

<file path=word/drawings/drawing1.xml><?xml version="1.0" encoding="utf-8"?>
<c:userShapes xmlns:c="http://schemas.openxmlformats.org/drawingml/2006/chart">
  <cdr:relSizeAnchor xmlns:cdr="http://schemas.openxmlformats.org/drawingml/2006/chartDrawing">
    <cdr:from>
      <cdr:x>0.78871</cdr:x>
      <cdr:y>0.04118</cdr:y>
    </cdr:from>
    <cdr:to>
      <cdr:x>0.79053</cdr:x>
      <cdr:y>0.75882</cdr:y>
    </cdr:to>
    <cdr:sp macro="" textlink="">
      <cdr:nvSpPr>
        <cdr:cNvPr id="3" name="Straight Connector 2"/>
        <cdr:cNvSpPr/>
      </cdr:nvSpPr>
      <cdr:spPr>
        <a:xfrm xmlns:a="http://schemas.openxmlformats.org/drawingml/2006/main">
          <a:off x="4124326" y="133350"/>
          <a:ext cx="9525" cy="2324100"/>
        </a:xfrm>
        <a:prstGeom xmlns:a="http://schemas.openxmlformats.org/drawingml/2006/main" prst="line">
          <a:avLst/>
        </a:prstGeom>
      </cdr:spPr>
      <cdr:style>
        <a:lnRef xmlns:a="http://schemas.openxmlformats.org/drawingml/2006/main" idx="2">
          <a:schemeClr val="dk1"/>
        </a:lnRef>
        <a:fillRef xmlns:a="http://schemas.openxmlformats.org/drawingml/2006/main" idx="0">
          <a:schemeClr val="dk1"/>
        </a:fillRef>
        <a:effectRef xmlns:a="http://schemas.openxmlformats.org/drawingml/2006/main" idx="1">
          <a:schemeClr val="dk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0.80449</cdr:x>
      <cdr:y>0.21002</cdr:y>
    </cdr:from>
    <cdr:to>
      <cdr:x>0.95673</cdr:x>
      <cdr:y>0.27446</cdr:y>
    </cdr:to>
    <cdr:sp macro="" textlink="">
      <cdr:nvSpPr>
        <cdr:cNvPr id="4" name="TextBox 3"/>
        <cdr:cNvSpPr txBox="1"/>
      </cdr:nvSpPr>
      <cdr:spPr>
        <a:xfrm xmlns:a="http://schemas.openxmlformats.org/drawingml/2006/main">
          <a:off x="4781551" y="838201"/>
          <a:ext cx="904875" cy="2571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AU" sz="1100"/>
            <a:t>Estimate</a:t>
          </a:r>
        </a:p>
      </cdr:txBody>
    </cdr:sp>
  </cdr:relSizeAnchor>
</c:userShapes>
</file>

<file path=word/drawings/drawing2.xml><?xml version="1.0" encoding="utf-8"?>
<c:userShapes xmlns:c="http://schemas.openxmlformats.org/drawingml/2006/chart">
  <cdr:relSizeAnchor xmlns:cdr="http://schemas.openxmlformats.org/drawingml/2006/chartDrawing">
    <cdr:from>
      <cdr:x>0.78124</cdr:x>
      <cdr:y>0.03519</cdr:y>
    </cdr:from>
    <cdr:to>
      <cdr:x>0.78529</cdr:x>
      <cdr:y>0.80095</cdr:y>
    </cdr:to>
    <cdr:sp macro="" textlink="">
      <cdr:nvSpPr>
        <cdr:cNvPr id="3" name="Straight Connector 2"/>
        <cdr:cNvSpPr/>
      </cdr:nvSpPr>
      <cdr:spPr>
        <a:xfrm xmlns:a="http://schemas.openxmlformats.org/drawingml/2006/main" flipH="1" flipV="1">
          <a:off x="4955941" y="141448"/>
          <a:ext cx="25634" cy="3078003"/>
        </a:xfrm>
        <a:prstGeom xmlns:a="http://schemas.openxmlformats.org/drawingml/2006/main" prst="line">
          <a:avLst/>
        </a:prstGeom>
      </cdr:spPr>
      <cdr:style>
        <a:lnRef xmlns:a="http://schemas.openxmlformats.org/drawingml/2006/main" idx="2">
          <a:schemeClr val="dk1"/>
        </a:lnRef>
        <a:fillRef xmlns:a="http://schemas.openxmlformats.org/drawingml/2006/main" idx="0">
          <a:schemeClr val="dk1"/>
        </a:fillRef>
        <a:effectRef xmlns:a="http://schemas.openxmlformats.org/drawingml/2006/main" idx="1">
          <a:schemeClr val="dk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0.79279</cdr:x>
      <cdr:y>0.13744</cdr:y>
    </cdr:from>
    <cdr:to>
      <cdr:x>0.95345</cdr:x>
      <cdr:y>0.21327</cdr:y>
    </cdr:to>
    <cdr:sp macro="" textlink="">
      <cdr:nvSpPr>
        <cdr:cNvPr id="4" name="TextBox 3"/>
        <cdr:cNvSpPr txBox="1"/>
      </cdr:nvSpPr>
      <cdr:spPr>
        <a:xfrm xmlns:a="http://schemas.openxmlformats.org/drawingml/2006/main">
          <a:off x="5029201" y="552451"/>
          <a:ext cx="1019175" cy="3048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AU" sz="900" baseline="0"/>
            <a:t>Estimate</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5BF1E-F5D5-4481-A7D3-64A623647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2792</Words>
  <Characters>17474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SUPERANNUATION PROVISION ACCOUNT</vt:lpstr>
    </vt:vector>
  </TitlesOfParts>
  <Company>ACT Government</Company>
  <LinksUpToDate>false</LinksUpToDate>
  <CharactersWithSpaces>20226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 Budget Paper 4: Superannuation Provision Account</dc:title>
  <dc:subject>Superannuation Provision Account</dc:subject>
  <dc:creator>Chief Minister and Treasury Directorate</dc:creator>
  <cp:lastModifiedBy>Keaton Paterson</cp:lastModifiedBy>
  <cp:revision>5</cp:revision>
  <cp:lastPrinted>2013-05-28T13:15:00Z</cp:lastPrinted>
  <dcterms:created xsi:type="dcterms:W3CDTF">2013-05-28T13:01:00Z</dcterms:created>
  <dcterms:modified xsi:type="dcterms:W3CDTF">2013-05-30T02:45:00Z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