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1A76" w14:textId="416FE413" w:rsidR="000430F5" w:rsidRPr="00D31DBA" w:rsidRDefault="002D6EAA" w:rsidP="002D6EAA">
      <w:pPr>
        <w:tabs>
          <w:tab w:val="left" w:pos="3372"/>
        </w:tabs>
      </w:pPr>
      <w:r>
        <w:rPr>
          <w:noProof/>
        </w:rPr>
        <w:drawing>
          <wp:anchor distT="0" distB="0" distL="114300" distR="114300" simplePos="0" relativeHeight="251658240" behindDoc="1" locked="0" layoutInCell="1" allowOverlap="1" wp14:anchorId="4F2D896B" wp14:editId="3ECD10AA">
            <wp:simplePos x="0" y="0"/>
            <wp:positionH relativeFrom="column">
              <wp:posOffset>-899160</wp:posOffset>
            </wp:positionH>
            <wp:positionV relativeFrom="paragraph">
              <wp:posOffset>-769832</wp:posOffset>
            </wp:positionV>
            <wp:extent cx="7551420" cy="10727267"/>
            <wp:effectExtent l="0" t="0" r="0" b="0"/>
            <wp:wrapNone/>
            <wp:docPr id="58719858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98583" name="Picture 5">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552004" cy="10728096"/>
                    </a:xfrm>
                    <a:prstGeom prst="rect">
                      <a:avLst/>
                    </a:prstGeom>
                  </pic:spPr>
                </pic:pic>
              </a:graphicData>
            </a:graphic>
            <wp14:sizeRelH relativeFrom="page">
              <wp14:pctWidth>0</wp14:pctWidth>
            </wp14:sizeRelH>
            <wp14:sizeRelV relativeFrom="page">
              <wp14:pctHeight>0</wp14:pctHeight>
            </wp14:sizeRelV>
          </wp:anchor>
        </w:drawing>
      </w:r>
      <w:r w:rsidR="000430F5">
        <w:br w:type="page"/>
      </w:r>
      <w:r>
        <w:lastRenderedPageBreak/>
        <w:tab/>
      </w:r>
    </w:p>
    <w:p w14:paraId="6F50FBAD" w14:textId="77777777" w:rsidR="000430F5" w:rsidRPr="00795394" w:rsidRDefault="000430F5" w:rsidP="000430F5">
      <w:pPr>
        <w:rPr>
          <w:rFonts w:ascii="Arial Bold" w:hAnsi="Arial Bold" w:cs="Arial"/>
          <w:b/>
          <w:bCs/>
          <w:sz w:val="48"/>
          <w:szCs w:val="48"/>
        </w:rPr>
      </w:pPr>
      <w:r w:rsidRPr="00795394">
        <w:rPr>
          <w:rFonts w:ascii="Arial Bold" w:hAnsi="Arial Bold" w:cs="Arial"/>
          <w:b/>
          <w:bCs/>
          <w:sz w:val="48"/>
          <w:szCs w:val="48"/>
        </w:rPr>
        <w:t>Structure and Content</w:t>
      </w:r>
      <w:r w:rsidRPr="00795394">
        <w:rPr>
          <w:rFonts w:ascii="Arial Bold" w:hAnsi="Arial Bold" w:cs="Arial"/>
          <w:b/>
          <w:bCs/>
          <w:sz w:val="48"/>
          <w:szCs w:val="48"/>
        </w:rPr>
        <w:br/>
        <w:t>of the 2026-27 Budget Papers</w:t>
      </w:r>
    </w:p>
    <w:p w14:paraId="10D421BF" w14:textId="77777777" w:rsidR="000430F5" w:rsidRPr="00E90A33" w:rsidRDefault="000430F5" w:rsidP="00A37DC9">
      <w:pPr>
        <w:spacing w:before="40" w:after="180"/>
        <w:rPr>
          <w:b/>
          <w:bCs/>
          <w:sz w:val="24"/>
          <w:szCs w:val="24"/>
        </w:rPr>
      </w:pPr>
      <w:r w:rsidRPr="00E90A33">
        <w:rPr>
          <w:b/>
          <w:sz w:val="24"/>
          <w:szCs w:val="24"/>
        </w:rPr>
        <w:t>The 2026-27 Budget is presented in two papers and a series of agency Budget Statements.</w:t>
      </w:r>
    </w:p>
    <w:p w14:paraId="351F66A4" w14:textId="77777777" w:rsidR="000430F5" w:rsidRPr="00795394" w:rsidRDefault="000430F5" w:rsidP="00650923">
      <w:pPr>
        <w:rPr>
          <w:rFonts w:ascii="Arial Bold" w:hAnsi="Arial Bold" w:cs="Arial"/>
          <w:b/>
          <w:bCs/>
          <w:sz w:val="32"/>
          <w:szCs w:val="32"/>
        </w:rPr>
      </w:pPr>
      <w:r w:rsidRPr="00795394">
        <w:rPr>
          <w:rFonts w:ascii="Arial Bold" w:hAnsi="Arial Bold" w:cs="Arial"/>
          <w:b/>
          <w:bCs/>
          <w:sz w:val="32"/>
          <w:szCs w:val="32"/>
        </w:rPr>
        <w:t>Budget Speech</w:t>
      </w:r>
    </w:p>
    <w:p w14:paraId="10B17BA5" w14:textId="77777777" w:rsidR="000430F5" w:rsidRPr="00E90A33" w:rsidRDefault="000430F5" w:rsidP="000F1159">
      <w:pPr>
        <w:spacing w:before="40" w:after="180"/>
        <w:rPr>
          <w:sz w:val="24"/>
          <w:szCs w:val="24"/>
        </w:rPr>
      </w:pPr>
      <w:r w:rsidRPr="00E90A33">
        <w:rPr>
          <w:sz w:val="24"/>
          <w:szCs w:val="24"/>
        </w:rPr>
        <w:t>The Treasurer’s speech to the Legislative Assembly highlights the Government’s Budget strategy and key features of the Budget.</w:t>
      </w:r>
    </w:p>
    <w:p w14:paraId="03E12929" w14:textId="77777777" w:rsidR="000430F5" w:rsidRPr="00795394" w:rsidRDefault="000430F5" w:rsidP="00650923">
      <w:pPr>
        <w:rPr>
          <w:rFonts w:ascii="Arial Bold" w:hAnsi="Arial Bold" w:cs="Arial"/>
          <w:b/>
          <w:bCs/>
          <w:sz w:val="32"/>
          <w:szCs w:val="32"/>
        </w:rPr>
      </w:pPr>
      <w:r w:rsidRPr="00795394">
        <w:rPr>
          <w:rFonts w:ascii="Arial Bold" w:hAnsi="Arial Bold" w:cs="Arial"/>
          <w:b/>
          <w:bCs/>
          <w:sz w:val="32"/>
          <w:szCs w:val="32"/>
        </w:rPr>
        <w:t>Budget Outlook</w:t>
      </w:r>
    </w:p>
    <w:p w14:paraId="6FF4B08E" w14:textId="77777777" w:rsidR="000430F5" w:rsidRPr="00E90A33" w:rsidRDefault="000430F5" w:rsidP="000F1159">
      <w:pPr>
        <w:spacing w:before="40" w:after="180"/>
        <w:rPr>
          <w:rFonts w:ascii="Calibri" w:eastAsia="Times New Roman" w:hAnsi="Calibri" w:cs="Calibri"/>
          <w:b/>
          <w:bCs/>
          <w:sz w:val="24"/>
          <w:szCs w:val="24"/>
        </w:rPr>
      </w:pPr>
      <w:r w:rsidRPr="00E90A33">
        <w:rPr>
          <w:rFonts w:ascii="Calibri" w:eastAsia="Times New Roman" w:hAnsi="Calibri" w:cs="Calibri"/>
          <w:bCs/>
          <w:sz w:val="24"/>
          <w:szCs w:val="24"/>
        </w:rPr>
        <w:t>The Budget Outlook summarises the 2026-27 Budget and forward estimates for the General Government Sector, the Public Trading Enterprise sector and the total Territory Government. Details of the projected 2026-27 Budget results are provided, as well as background information on the development of the 2026-27 Budget, including economic conditions and federal financial relations. It also provides an overview of the Territory’s infrastructure investment program and details of 2026-27 initiatives. Full accrual financial statements and notes are provided for all sectors.</w:t>
      </w:r>
    </w:p>
    <w:p w14:paraId="19262D4D" w14:textId="77777777" w:rsidR="000430F5" w:rsidRPr="00795394" w:rsidRDefault="000430F5" w:rsidP="00650923">
      <w:pPr>
        <w:rPr>
          <w:rFonts w:ascii="Arial Bold" w:hAnsi="Arial Bold" w:cs="Arial"/>
          <w:b/>
          <w:bCs/>
          <w:sz w:val="32"/>
          <w:szCs w:val="32"/>
        </w:rPr>
      </w:pPr>
      <w:r w:rsidRPr="00795394">
        <w:rPr>
          <w:rFonts w:ascii="Arial Bold" w:hAnsi="Arial Bold" w:cs="Arial"/>
          <w:b/>
          <w:bCs/>
          <w:sz w:val="32"/>
          <w:szCs w:val="32"/>
        </w:rPr>
        <w:t>Budget Statements</w:t>
      </w:r>
    </w:p>
    <w:p w14:paraId="68A4A43C" w14:textId="77777777" w:rsidR="000430F5" w:rsidRPr="00E90A33" w:rsidRDefault="000430F5" w:rsidP="000F1159">
      <w:pPr>
        <w:spacing w:before="40" w:after="180"/>
        <w:rPr>
          <w:sz w:val="24"/>
          <w:szCs w:val="24"/>
        </w:rPr>
      </w:pPr>
      <w:r w:rsidRPr="00E90A33">
        <w:rPr>
          <w:sz w:val="24"/>
          <w:szCs w:val="24"/>
        </w:rPr>
        <w:t>The Budget Statements contain information on each directorate and agency, including descriptions of functions and roles and responsibilities, together with major strategic priorities.</w:t>
      </w:r>
      <w:r w:rsidRPr="00E90A33">
        <w:rPr>
          <w:sz w:val="24"/>
          <w:szCs w:val="24"/>
        </w:rPr>
        <w:br w:type="page"/>
      </w:r>
    </w:p>
    <w:p w14:paraId="0F3D73A8" w14:textId="77777777" w:rsidR="000430F5" w:rsidRDefault="000430F5" w:rsidP="000430F5">
      <w:r w:rsidRPr="003C6195">
        <w:rPr>
          <w:noProof/>
        </w:rPr>
        <w:lastRenderedPageBreak/>
        <w:drawing>
          <wp:inline distT="0" distB="0" distL="0" distR="0" wp14:anchorId="531B8439" wp14:editId="61AC6309">
            <wp:extent cx="542290" cy="542290"/>
            <wp:effectExtent l="0" t="0" r="3810" b="3810"/>
            <wp:docPr id="1374078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78321"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inline>
        </w:drawing>
      </w:r>
    </w:p>
    <w:p w14:paraId="438AB00D" w14:textId="77777777" w:rsidR="000430F5" w:rsidRPr="00650923" w:rsidRDefault="000430F5" w:rsidP="00650923">
      <w:pPr>
        <w:rPr>
          <w:rFonts w:ascii="Arial" w:hAnsi="Arial" w:cs="Arial"/>
          <w:b/>
          <w:bCs/>
          <w:sz w:val="32"/>
          <w:szCs w:val="32"/>
        </w:rPr>
      </w:pPr>
      <w:r w:rsidRPr="00650923">
        <w:rPr>
          <w:rFonts w:ascii="Arial" w:hAnsi="Arial" w:cs="Arial"/>
          <w:b/>
          <w:bCs/>
          <w:sz w:val="32"/>
          <w:szCs w:val="32"/>
        </w:rPr>
        <w:t>Acknowledgement</w:t>
      </w:r>
    </w:p>
    <w:p w14:paraId="3A90A928" w14:textId="5D58E076" w:rsidR="000430F5" w:rsidRPr="00E90A33" w:rsidRDefault="00650923" w:rsidP="000430F5">
      <w:pPr>
        <w:rPr>
          <w:sz w:val="24"/>
          <w:szCs w:val="24"/>
        </w:rPr>
      </w:pPr>
      <w:r w:rsidRPr="00E90A33">
        <w:rPr>
          <w:sz w:val="24"/>
          <w:szCs w:val="24"/>
        </w:rPr>
        <w:t xml:space="preserve">Infrastructure Canberra </w:t>
      </w:r>
      <w:r w:rsidR="000430F5" w:rsidRPr="00E90A33">
        <w:rPr>
          <w:sz w:val="24"/>
          <w:szCs w:val="24"/>
        </w:rPr>
        <w:t>acknowledges the Ngunnawal people as traditional custodians of the ACT and recognises any other people or families with connection to the lands of the ACT and region.</w:t>
      </w:r>
    </w:p>
    <w:p w14:paraId="5AB6337A" w14:textId="77777777" w:rsidR="000430F5" w:rsidRPr="00E90A33" w:rsidRDefault="000430F5" w:rsidP="000430F5">
      <w:pPr>
        <w:rPr>
          <w:sz w:val="24"/>
          <w:szCs w:val="24"/>
        </w:rPr>
      </w:pPr>
      <w:r w:rsidRPr="00E90A33">
        <w:rPr>
          <w:sz w:val="24"/>
          <w:szCs w:val="24"/>
        </w:rPr>
        <w:t>We respect the Aboriginal and Torres Strait Islander people, particularly our Aboriginal and Torres Strait Islander staff, and their continuing culture and contribution they make to the Canberra region and the life of our city.</w:t>
      </w:r>
    </w:p>
    <w:p w14:paraId="1AE1C842" w14:textId="63A84BEF" w:rsidR="000430F5" w:rsidRPr="00E90A33" w:rsidRDefault="000430F5" w:rsidP="000430F5">
      <w:pPr>
        <w:rPr>
          <w:sz w:val="24"/>
          <w:szCs w:val="24"/>
        </w:rPr>
      </w:pPr>
      <w:r w:rsidRPr="00E90A33">
        <w:rPr>
          <w:sz w:val="24"/>
          <w:szCs w:val="24"/>
        </w:rPr>
        <w:t xml:space="preserve">ISSN 1327-581X </w:t>
      </w:r>
      <w:r w:rsidRPr="00E90A33">
        <w:rPr>
          <w:sz w:val="24"/>
          <w:szCs w:val="24"/>
        </w:rPr>
        <w:br/>
        <w:t>© Canberra, Australian Capital Territory, June 202</w:t>
      </w:r>
      <w:r w:rsidR="0020321F" w:rsidRPr="00E90A33">
        <w:rPr>
          <w:sz w:val="24"/>
          <w:szCs w:val="24"/>
        </w:rPr>
        <w:t>6</w:t>
      </w:r>
    </w:p>
    <w:p w14:paraId="62CC45E5" w14:textId="77777777" w:rsidR="000430F5" w:rsidRDefault="000430F5" w:rsidP="000430F5"/>
    <w:p w14:paraId="51A24BB1" w14:textId="77777777" w:rsidR="000430F5" w:rsidRPr="00650923" w:rsidRDefault="000430F5" w:rsidP="00650923">
      <w:pPr>
        <w:rPr>
          <w:rFonts w:ascii="Arial" w:hAnsi="Arial" w:cs="Arial"/>
          <w:b/>
          <w:bCs/>
          <w:color w:val="231F20"/>
          <w:sz w:val="32"/>
          <w:szCs w:val="32"/>
        </w:rPr>
      </w:pPr>
      <w:r w:rsidRPr="00650923">
        <w:rPr>
          <w:rFonts w:ascii="Arial" w:hAnsi="Arial" w:cs="Arial"/>
          <w:b/>
          <w:bCs/>
          <w:sz w:val="32"/>
          <w:szCs w:val="32"/>
        </w:rPr>
        <w:t>Contact for this publication</w:t>
      </w:r>
    </w:p>
    <w:p w14:paraId="5A3E958C" w14:textId="77777777" w:rsidR="000430F5" w:rsidRPr="00E90A33" w:rsidRDefault="000430F5" w:rsidP="000430F5">
      <w:pPr>
        <w:rPr>
          <w:sz w:val="24"/>
          <w:szCs w:val="24"/>
        </w:rPr>
      </w:pPr>
      <w:r w:rsidRPr="00E90A33">
        <w:rPr>
          <w:sz w:val="24"/>
          <w:szCs w:val="24"/>
        </w:rPr>
        <w:t>General enquiries about this publication should be directed to:</w:t>
      </w:r>
    </w:p>
    <w:p w14:paraId="2DFC0A4E" w14:textId="2AE22CCB" w:rsidR="000430F5" w:rsidRPr="00E90A33" w:rsidRDefault="000430F5" w:rsidP="000430F5">
      <w:pPr>
        <w:rPr>
          <w:sz w:val="24"/>
          <w:szCs w:val="24"/>
        </w:rPr>
      </w:pPr>
      <w:r w:rsidRPr="00E90A33">
        <w:rPr>
          <w:sz w:val="24"/>
          <w:szCs w:val="24"/>
        </w:rPr>
        <w:t>Chief Minister, Treasury and Economic Development Directorate</w:t>
      </w:r>
      <w:r w:rsidRPr="00E90A33">
        <w:rPr>
          <w:sz w:val="24"/>
          <w:szCs w:val="24"/>
        </w:rPr>
        <w:br/>
      </w:r>
      <w:hyperlink r:id="rId14" w:history="1">
        <w:r w:rsidRPr="00E90A33">
          <w:rPr>
            <w:rStyle w:val="Hyperlink"/>
            <w:sz w:val="24"/>
            <w:szCs w:val="24"/>
          </w:rPr>
          <w:t>cmteddcorporate@act.gov.au</w:t>
        </w:r>
      </w:hyperlink>
      <w:r w:rsidRPr="00E90A33">
        <w:rPr>
          <w:sz w:val="24"/>
          <w:szCs w:val="24"/>
        </w:rPr>
        <w:t xml:space="preserve"> </w:t>
      </w:r>
      <w:r w:rsidRPr="00E90A33">
        <w:rPr>
          <w:sz w:val="24"/>
          <w:szCs w:val="24"/>
        </w:rPr>
        <w:br/>
        <w:t>GPO Box 158</w:t>
      </w:r>
      <w:r w:rsidRPr="00E90A33">
        <w:rPr>
          <w:sz w:val="24"/>
          <w:szCs w:val="24"/>
        </w:rPr>
        <w:br/>
        <w:t>Canberra ACT 2601</w:t>
      </w:r>
      <w:r w:rsidRPr="00E90A33">
        <w:rPr>
          <w:sz w:val="24"/>
          <w:szCs w:val="24"/>
        </w:rPr>
        <w:br/>
      </w:r>
      <w:hyperlink r:id="rId15" w:history="1">
        <w:r w:rsidRPr="00E90A33">
          <w:rPr>
            <w:rStyle w:val="Hyperlink"/>
            <w:sz w:val="24"/>
            <w:szCs w:val="24"/>
          </w:rPr>
          <w:t>https://www.treasury.act.gov.au/budget</w:t>
        </w:r>
      </w:hyperlink>
      <w:r w:rsidRPr="00E90A33">
        <w:rPr>
          <w:sz w:val="24"/>
          <w:szCs w:val="24"/>
        </w:rPr>
        <w:t xml:space="preserve"> </w:t>
      </w:r>
      <w:r w:rsidRPr="00E90A33">
        <w:rPr>
          <w:sz w:val="24"/>
          <w:szCs w:val="24"/>
        </w:rPr>
        <w:br/>
        <w:t>Telephone: Access Canberra - 13 22 81</w:t>
      </w:r>
    </w:p>
    <w:tbl>
      <w:tblPr>
        <w:tblStyle w:val="TableGrid"/>
        <w:tblpPr w:leftFromText="180" w:rightFromText="180" w:vertAnchor="text" w:horzAnchor="margin" w:tblpY="44"/>
        <w:tblOverlap w:val="never"/>
        <w:tblW w:w="3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96"/>
        <w:gridCol w:w="1296"/>
      </w:tblGrid>
      <w:tr w:rsidR="000430F5" w:rsidRPr="003C6195" w14:paraId="018A4550" w14:textId="77777777">
        <w:tc>
          <w:tcPr>
            <w:tcW w:w="1276" w:type="dxa"/>
          </w:tcPr>
          <w:p w14:paraId="39242223" w14:textId="77777777" w:rsidR="000430F5" w:rsidRPr="003C6195" w:rsidRDefault="000430F5">
            <w:pPr>
              <w:rPr>
                <w:rFonts w:asciiTheme="minorHAnsi" w:hAnsiTheme="minorHAnsi"/>
                <w:bCs/>
                <w:color w:val="231F20"/>
                <w:sz w:val="16"/>
                <w:szCs w:val="16"/>
              </w:rPr>
            </w:pPr>
            <w:r w:rsidRPr="003C6195">
              <w:rPr>
                <w:bCs/>
                <w:noProof/>
                <w:color w:val="231F20"/>
                <w:sz w:val="16"/>
                <w:szCs w:val="16"/>
              </w:rPr>
              <w:drawing>
                <wp:inline distT="0" distB="0" distL="0" distR="0" wp14:anchorId="2D60326D" wp14:editId="5E7B577D">
                  <wp:extent cx="673100" cy="673100"/>
                  <wp:effectExtent l="0" t="0" r="0" b="0"/>
                  <wp:docPr id="603143129"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43129" name="Picture 17">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4005" cy="674005"/>
                          </a:xfrm>
                          <a:prstGeom prst="rect">
                            <a:avLst/>
                          </a:prstGeom>
                        </pic:spPr>
                      </pic:pic>
                    </a:graphicData>
                  </a:graphic>
                </wp:inline>
              </w:drawing>
            </w:r>
          </w:p>
        </w:tc>
        <w:tc>
          <w:tcPr>
            <w:tcW w:w="1296" w:type="dxa"/>
          </w:tcPr>
          <w:p w14:paraId="3A3E5D5A" w14:textId="77777777" w:rsidR="000430F5" w:rsidRPr="003C6195" w:rsidRDefault="000430F5">
            <w:pPr>
              <w:rPr>
                <w:rFonts w:asciiTheme="minorHAnsi" w:hAnsiTheme="minorHAnsi"/>
                <w:bCs/>
                <w:color w:val="231F20"/>
                <w:sz w:val="16"/>
                <w:szCs w:val="16"/>
              </w:rPr>
            </w:pPr>
            <w:r w:rsidRPr="003C6195">
              <w:rPr>
                <w:bCs/>
                <w:noProof/>
                <w:color w:val="231F20"/>
                <w:sz w:val="16"/>
                <w:szCs w:val="16"/>
              </w:rPr>
              <w:drawing>
                <wp:inline distT="0" distB="0" distL="0" distR="0" wp14:anchorId="3CD832B9" wp14:editId="4D1EB4A7">
                  <wp:extent cx="685800" cy="685800"/>
                  <wp:effectExtent l="0" t="0" r="0" b="0"/>
                  <wp:docPr id="24338125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81259" name="Picture 18">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1296" w:type="dxa"/>
          </w:tcPr>
          <w:p w14:paraId="059007DC" w14:textId="77777777" w:rsidR="000430F5" w:rsidRPr="003C6195" w:rsidRDefault="000430F5">
            <w:pPr>
              <w:rPr>
                <w:rFonts w:asciiTheme="minorHAnsi" w:hAnsiTheme="minorHAnsi"/>
                <w:bCs/>
                <w:color w:val="231F20"/>
                <w:sz w:val="16"/>
                <w:szCs w:val="16"/>
              </w:rPr>
            </w:pPr>
            <w:r w:rsidRPr="003C6195">
              <w:rPr>
                <w:bCs/>
                <w:noProof/>
                <w:color w:val="231F20"/>
                <w:sz w:val="16"/>
                <w:szCs w:val="16"/>
              </w:rPr>
              <w:drawing>
                <wp:inline distT="0" distB="0" distL="0" distR="0" wp14:anchorId="2E055584" wp14:editId="1DAE838B">
                  <wp:extent cx="685800" cy="685800"/>
                  <wp:effectExtent l="0" t="0" r="0" b="0"/>
                  <wp:docPr id="2143994826"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94826" name="Picture 20">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3091BEFE" w14:textId="77777777" w:rsidR="000430F5" w:rsidRPr="003C6195" w:rsidRDefault="000430F5" w:rsidP="000430F5">
      <w:pPr>
        <w:autoSpaceDE w:val="0"/>
        <w:autoSpaceDN w:val="0"/>
        <w:adjustRightInd w:val="0"/>
        <w:rPr>
          <w:color w:val="231F20"/>
          <w:sz w:val="20"/>
          <w:szCs w:val="20"/>
        </w:rPr>
      </w:pPr>
    </w:p>
    <w:p w14:paraId="6258E133" w14:textId="77777777" w:rsidR="000430F5" w:rsidRDefault="000430F5" w:rsidP="000430F5"/>
    <w:p w14:paraId="06C45F73" w14:textId="77777777" w:rsidR="000430F5" w:rsidRDefault="000430F5" w:rsidP="000430F5"/>
    <w:p w14:paraId="368E6897" w14:textId="77777777" w:rsidR="000430F5" w:rsidRPr="003C6195" w:rsidRDefault="000430F5" w:rsidP="000430F5"/>
    <w:p w14:paraId="104F29F9" w14:textId="77777777" w:rsidR="000430F5" w:rsidRDefault="000430F5" w:rsidP="000430F5">
      <w:pPr>
        <w:spacing w:after="0"/>
        <w:rPr>
          <w:rFonts w:ascii="Arial" w:eastAsiaTheme="majorEastAsia" w:hAnsi="Arial" w:cs="Arial"/>
          <w:b/>
          <w:bCs/>
          <w:sz w:val="32"/>
          <w:szCs w:val="32"/>
        </w:rPr>
      </w:pPr>
      <w:r>
        <w:br w:type="page"/>
      </w:r>
    </w:p>
    <w:p w14:paraId="4809E303" w14:textId="77777777" w:rsidR="000430F5" w:rsidRPr="00650923" w:rsidRDefault="000430F5" w:rsidP="00650923">
      <w:pPr>
        <w:rPr>
          <w:rFonts w:ascii="Arial" w:hAnsi="Arial" w:cs="Arial"/>
          <w:b/>
          <w:bCs/>
          <w:sz w:val="32"/>
          <w:szCs w:val="32"/>
        </w:rPr>
      </w:pPr>
      <w:r w:rsidRPr="00650923">
        <w:rPr>
          <w:rFonts w:ascii="Arial" w:hAnsi="Arial" w:cs="Arial"/>
          <w:b/>
          <w:bCs/>
          <w:sz w:val="32"/>
          <w:szCs w:val="32"/>
        </w:rPr>
        <w:lastRenderedPageBreak/>
        <w:t xml:space="preserve">Accessibility </w:t>
      </w:r>
    </w:p>
    <w:p w14:paraId="3E56D4B7" w14:textId="77777777" w:rsidR="000430F5" w:rsidRPr="00E90A33" w:rsidRDefault="000430F5" w:rsidP="000430F5">
      <w:pPr>
        <w:rPr>
          <w:bCs/>
          <w:iCs/>
          <w:color w:val="212121"/>
          <w:sz w:val="24"/>
          <w:szCs w:val="24"/>
          <w:lang w:val="en-AU" w:eastAsia="en-GB"/>
        </w:rPr>
      </w:pPr>
      <w:r w:rsidRPr="00E90A33">
        <w:rPr>
          <w:color w:val="000000"/>
          <w:sz w:val="24"/>
          <w:szCs w:val="24"/>
        </w:rPr>
        <w:t>The ACT Government is committed to making its information, services, events and venues as accessible as possible. If you have difficulty reading a standard printed document and would like to understand the alternative formats available for documents or publications, please call 13 22 81.</w:t>
      </w:r>
    </w:p>
    <w:p w14:paraId="242B362A" w14:textId="77777777" w:rsidR="000430F5" w:rsidRPr="00E90A33" w:rsidRDefault="000430F5" w:rsidP="000430F5">
      <w:pPr>
        <w:rPr>
          <w:color w:val="212121"/>
          <w:sz w:val="24"/>
          <w:szCs w:val="24"/>
        </w:rPr>
      </w:pPr>
      <w:r w:rsidRPr="00E90A33">
        <w:rPr>
          <w:color w:val="000000"/>
          <w:sz w:val="24"/>
          <w:szCs w:val="24"/>
        </w:rPr>
        <w:t>If English is not your first language and you require a translator or interpreter, you can contact us through the</w:t>
      </w:r>
      <w:r w:rsidRPr="00E90A33">
        <w:rPr>
          <w:rStyle w:val="apple-converted-space"/>
          <w:rFonts w:eastAsiaTheme="majorEastAsia"/>
          <w:color w:val="000000"/>
          <w:sz w:val="24"/>
          <w:szCs w:val="24"/>
        </w:rPr>
        <w:t> </w:t>
      </w:r>
      <w:hyperlink r:id="rId19" w:tooltip="http://www.tisnational.gov.au/" w:history="1">
        <w:r w:rsidRPr="00E90A33">
          <w:rPr>
            <w:rStyle w:val="Hyperlink"/>
            <w:rFonts w:eastAsiaTheme="majorEastAsia"/>
            <w:color w:val="800080"/>
            <w:sz w:val="24"/>
            <w:szCs w:val="24"/>
          </w:rPr>
          <w:t>Translating and Interpreter Service</w:t>
        </w:r>
      </w:hyperlink>
      <w:r w:rsidRPr="00E90A33">
        <w:rPr>
          <w:color w:val="000000"/>
          <w:sz w:val="24"/>
          <w:szCs w:val="24"/>
        </w:rPr>
        <w:t> (TIS) or call</w:t>
      </w:r>
      <w:r w:rsidRPr="00E90A33">
        <w:rPr>
          <w:rStyle w:val="apple-converted-space"/>
          <w:rFonts w:eastAsiaTheme="majorEastAsia"/>
          <w:color w:val="000000"/>
          <w:sz w:val="24"/>
          <w:szCs w:val="24"/>
        </w:rPr>
        <w:t> </w:t>
      </w:r>
      <w:hyperlink r:id="rId20" w:tooltip="tel:131450" w:history="1">
        <w:r w:rsidRPr="00E90A33">
          <w:rPr>
            <w:rStyle w:val="Hyperlink"/>
            <w:rFonts w:eastAsiaTheme="majorEastAsia"/>
            <w:color w:val="800080"/>
            <w:sz w:val="24"/>
            <w:szCs w:val="24"/>
          </w:rPr>
          <w:t>13 14 50</w:t>
        </w:r>
      </w:hyperlink>
      <w:r w:rsidRPr="00E90A33">
        <w:rPr>
          <w:color w:val="000000"/>
          <w:sz w:val="24"/>
          <w:szCs w:val="24"/>
        </w:rPr>
        <w:t>.</w:t>
      </w:r>
    </w:p>
    <w:p w14:paraId="28C9C040" w14:textId="77777777" w:rsidR="000430F5" w:rsidRPr="00E90A33" w:rsidRDefault="000430F5" w:rsidP="000430F5">
      <w:pPr>
        <w:rPr>
          <w:color w:val="212121"/>
          <w:sz w:val="24"/>
          <w:szCs w:val="24"/>
        </w:rPr>
      </w:pPr>
      <w:r w:rsidRPr="00E90A33">
        <w:rPr>
          <w:color w:val="000000"/>
          <w:sz w:val="24"/>
          <w:szCs w:val="24"/>
        </w:rPr>
        <w:t>If you have difficulty hearing or using your voice, contact us through the</w:t>
      </w:r>
      <w:r w:rsidRPr="00E90A33">
        <w:rPr>
          <w:rStyle w:val="apple-converted-space"/>
          <w:rFonts w:eastAsiaTheme="majorEastAsia"/>
          <w:color w:val="000000"/>
          <w:sz w:val="24"/>
          <w:szCs w:val="24"/>
        </w:rPr>
        <w:t> </w:t>
      </w:r>
      <w:hyperlink r:id="rId21" w:tooltip="https://www.accesshub.gov.au/about-the-nrs" w:history="1">
        <w:r w:rsidRPr="00E90A33">
          <w:rPr>
            <w:rStyle w:val="Hyperlink"/>
            <w:rFonts w:eastAsiaTheme="majorEastAsia"/>
            <w:color w:val="800080"/>
            <w:sz w:val="24"/>
            <w:szCs w:val="24"/>
          </w:rPr>
          <w:t>National Relay Service</w:t>
        </w:r>
      </w:hyperlink>
      <w:r w:rsidRPr="00E90A33">
        <w:rPr>
          <w:color w:val="000000"/>
          <w:sz w:val="24"/>
          <w:szCs w:val="24"/>
        </w:rPr>
        <w:t> (NRS):</w:t>
      </w:r>
    </w:p>
    <w:p w14:paraId="5EE12CAB" w14:textId="77777777" w:rsidR="000430F5" w:rsidRPr="00E90A33" w:rsidRDefault="000430F5" w:rsidP="000430F5">
      <w:pPr>
        <w:numPr>
          <w:ilvl w:val="0"/>
          <w:numId w:val="41"/>
        </w:numPr>
        <w:spacing w:after="0" w:line="240" w:lineRule="auto"/>
        <w:rPr>
          <w:color w:val="000000"/>
          <w:sz w:val="24"/>
          <w:szCs w:val="24"/>
        </w:rPr>
      </w:pPr>
      <w:r w:rsidRPr="00E90A33">
        <w:rPr>
          <w:color w:val="000000"/>
          <w:sz w:val="24"/>
          <w:szCs w:val="24"/>
        </w:rPr>
        <w:t>TTY users call</w:t>
      </w:r>
      <w:r w:rsidRPr="00E90A33">
        <w:rPr>
          <w:rStyle w:val="apple-converted-space"/>
          <w:rFonts w:eastAsiaTheme="majorEastAsia"/>
          <w:color w:val="000000"/>
          <w:sz w:val="24"/>
          <w:szCs w:val="24"/>
        </w:rPr>
        <w:t> </w:t>
      </w:r>
      <w:hyperlink r:id="rId22" w:tooltip="tel:133677" w:history="1">
        <w:r w:rsidRPr="00E90A33">
          <w:rPr>
            <w:rStyle w:val="Hyperlink"/>
            <w:rFonts w:eastAsiaTheme="majorEastAsia"/>
            <w:color w:val="800080"/>
            <w:sz w:val="24"/>
            <w:szCs w:val="24"/>
          </w:rPr>
          <w:t>13 36 77</w:t>
        </w:r>
      </w:hyperlink>
      <w:r w:rsidRPr="00E90A33">
        <w:rPr>
          <w:color w:val="000000"/>
          <w:sz w:val="24"/>
          <w:szCs w:val="24"/>
        </w:rPr>
        <w:t> and then ask for</w:t>
      </w:r>
      <w:r w:rsidRPr="00E90A33">
        <w:rPr>
          <w:rStyle w:val="apple-converted-space"/>
          <w:rFonts w:eastAsiaTheme="majorEastAsia"/>
          <w:color w:val="000000"/>
          <w:sz w:val="24"/>
          <w:szCs w:val="24"/>
        </w:rPr>
        <w:t> </w:t>
      </w:r>
      <w:hyperlink r:id="rId23" w:tooltip="tel:132281" w:history="1">
        <w:r w:rsidRPr="00E90A33">
          <w:rPr>
            <w:rStyle w:val="Hyperlink"/>
            <w:rFonts w:eastAsiaTheme="majorEastAsia"/>
            <w:color w:val="800080"/>
            <w:sz w:val="24"/>
            <w:szCs w:val="24"/>
          </w:rPr>
          <w:t>13 22 81</w:t>
        </w:r>
      </w:hyperlink>
      <w:r w:rsidRPr="00E90A33">
        <w:rPr>
          <w:color w:val="000000"/>
          <w:sz w:val="24"/>
          <w:szCs w:val="24"/>
        </w:rPr>
        <w:t> or visit</w:t>
      </w:r>
      <w:r w:rsidRPr="00E90A33">
        <w:rPr>
          <w:rStyle w:val="apple-converted-space"/>
          <w:rFonts w:eastAsiaTheme="majorEastAsia"/>
          <w:color w:val="000000"/>
          <w:sz w:val="24"/>
          <w:szCs w:val="24"/>
        </w:rPr>
        <w:t> </w:t>
      </w:r>
      <w:hyperlink r:id="rId24" w:tooltip="https://www.accesshub.gov.au/" w:history="1">
        <w:r w:rsidRPr="00E90A33">
          <w:rPr>
            <w:rStyle w:val="Hyperlink"/>
            <w:rFonts w:eastAsiaTheme="majorEastAsia"/>
            <w:color w:val="800080"/>
            <w:sz w:val="24"/>
            <w:szCs w:val="24"/>
          </w:rPr>
          <w:t>www.accesshub.gov.au</w:t>
        </w:r>
      </w:hyperlink>
      <w:r w:rsidRPr="00E90A33">
        <w:rPr>
          <w:color w:val="000000"/>
          <w:sz w:val="24"/>
          <w:szCs w:val="24"/>
        </w:rPr>
        <w:t> to make an internet relay or captioned relay call.</w:t>
      </w:r>
    </w:p>
    <w:p w14:paraId="7F7B78A7" w14:textId="77777777" w:rsidR="000430F5" w:rsidRPr="00E90A33" w:rsidRDefault="000430F5" w:rsidP="000430F5">
      <w:pPr>
        <w:numPr>
          <w:ilvl w:val="0"/>
          <w:numId w:val="42"/>
        </w:numPr>
        <w:spacing w:after="0" w:line="240" w:lineRule="auto"/>
        <w:rPr>
          <w:color w:val="000000"/>
          <w:sz w:val="24"/>
          <w:szCs w:val="24"/>
        </w:rPr>
      </w:pPr>
      <w:r w:rsidRPr="00E90A33">
        <w:rPr>
          <w:color w:val="000000"/>
          <w:sz w:val="24"/>
          <w:szCs w:val="24"/>
        </w:rPr>
        <w:t>Speak and Listen users phone</w:t>
      </w:r>
      <w:r w:rsidRPr="00E90A33">
        <w:rPr>
          <w:rStyle w:val="apple-converted-space"/>
          <w:rFonts w:eastAsiaTheme="majorEastAsia"/>
          <w:color w:val="000000"/>
          <w:sz w:val="24"/>
          <w:szCs w:val="24"/>
        </w:rPr>
        <w:t> </w:t>
      </w:r>
      <w:hyperlink r:id="rId25" w:tooltip="tel:1300555727" w:history="1">
        <w:r w:rsidRPr="00E90A33">
          <w:rPr>
            <w:rStyle w:val="Hyperlink"/>
            <w:rFonts w:eastAsiaTheme="majorEastAsia"/>
            <w:color w:val="800080"/>
            <w:sz w:val="24"/>
            <w:szCs w:val="24"/>
          </w:rPr>
          <w:t>1300 555 727</w:t>
        </w:r>
      </w:hyperlink>
      <w:r w:rsidRPr="00E90A33">
        <w:rPr>
          <w:color w:val="000000"/>
          <w:sz w:val="24"/>
          <w:szCs w:val="24"/>
        </w:rPr>
        <w:t> and then ask for</w:t>
      </w:r>
      <w:r w:rsidRPr="00E90A33">
        <w:rPr>
          <w:rStyle w:val="apple-converted-space"/>
          <w:rFonts w:eastAsiaTheme="majorEastAsia"/>
          <w:color w:val="000000"/>
          <w:sz w:val="24"/>
          <w:szCs w:val="24"/>
        </w:rPr>
        <w:t> </w:t>
      </w:r>
      <w:hyperlink r:id="rId26" w:tooltip="tel:132281" w:history="1">
        <w:r w:rsidRPr="00E90A33">
          <w:rPr>
            <w:rStyle w:val="Hyperlink"/>
            <w:rFonts w:eastAsiaTheme="majorEastAsia"/>
            <w:color w:val="800080"/>
            <w:sz w:val="24"/>
            <w:szCs w:val="24"/>
          </w:rPr>
          <w:t>13 22 81</w:t>
        </w:r>
      </w:hyperlink>
      <w:r w:rsidRPr="00E90A33">
        <w:rPr>
          <w:color w:val="000000"/>
          <w:sz w:val="24"/>
          <w:szCs w:val="24"/>
        </w:rPr>
        <w:t>.</w:t>
      </w:r>
    </w:p>
    <w:p w14:paraId="3ED0AB62" w14:textId="77777777" w:rsidR="000430F5" w:rsidRPr="00E90A33" w:rsidRDefault="000430F5" w:rsidP="000430F5">
      <w:pPr>
        <w:numPr>
          <w:ilvl w:val="0"/>
          <w:numId w:val="43"/>
        </w:numPr>
        <w:spacing w:after="0" w:line="240" w:lineRule="auto"/>
        <w:rPr>
          <w:color w:val="000000"/>
          <w:sz w:val="24"/>
          <w:szCs w:val="24"/>
        </w:rPr>
      </w:pPr>
      <w:r w:rsidRPr="00E90A33">
        <w:rPr>
          <w:color w:val="000000"/>
          <w:sz w:val="24"/>
          <w:szCs w:val="24"/>
        </w:rPr>
        <w:t>Internet relay users connect to the NRS and then ask for</w:t>
      </w:r>
      <w:r w:rsidRPr="00E90A33">
        <w:rPr>
          <w:rStyle w:val="apple-converted-space"/>
          <w:rFonts w:eastAsiaTheme="majorEastAsia"/>
          <w:color w:val="000000"/>
          <w:sz w:val="24"/>
          <w:szCs w:val="24"/>
        </w:rPr>
        <w:t> </w:t>
      </w:r>
      <w:hyperlink r:id="rId27" w:tooltip="tel:132281" w:history="1">
        <w:r w:rsidRPr="00E90A33">
          <w:rPr>
            <w:rStyle w:val="Hyperlink"/>
            <w:rFonts w:eastAsiaTheme="majorEastAsia"/>
            <w:color w:val="800080"/>
            <w:sz w:val="24"/>
            <w:szCs w:val="24"/>
          </w:rPr>
          <w:t>13 22 81</w:t>
        </w:r>
      </w:hyperlink>
      <w:r w:rsidRPr="00E90A33">
        <w:rPr>
          <w:color w:val="000000"/>
          <w:sz w:val="24"/>
          <w:szCs w:val="24"/>
        </w:rPr>
        <w:t>.</w:t>
      </w:r>
    </w:p>
    <w:p w14:paraId="664BAD3C" w14:textId="77777777" w:rsidR="000430F5" w:rsidRPr="00E90A33" w:rsidRDefault="000430F5" w:rsidP="000430F5">
      <w:pPr>
        <w:rPr>
          <w:color w:val="212121"/>
          <w:sz w:val="24"/>
          <w:szCs w:val="24"/>
        </w:rPr>
      </w:pPr>
      <w:r w:rsidRPr="00E90A33">
        <w:rPr>
          <w:color w:val="000000"/>
          <w:sz w:val="24"/>
          <w:szCs w:val="24"/>
        </w:rPr>
        <w:br/>
        <w:t>For more information on these services visit</w:t>
      </w:r>
      <w:r w:rsidRPr="00E90A33">
        <w:rPr>
          <w:rStyle w:val="apple-converted-space"/>
          <w:rFonts w:eastAsiaTheme="majorEastAsia"/>
          <w:color w:val="000000"/>
          <w:sz w:val="24"/>
          <w:szCs w:val="24"/>
        </w:rPr>
        <w:t> </w:t>
      </w:r>
      <w:hyperlink r:id="rId28" w:tooltip="https://www.accesshub.gov.au/" w:history="1">
        <w:r w:rsidRPr="00E90A33">
          <w:rPr>
            <w:rStyle w:val="Hyperlink"/>
            <w:rFonts w:eastAsiaTheme="majorEastAsia"/>
            <w:color w:val="800080"/>
            <w:sz w:val="24"/>
            <w:szCs w:val="24"/>
          </w:rPr>
          <w:t>www.accesshub.gov.au</w:t>
        </w:r>
      </w:hyperlink>
      <w:r w:rsidRPr="00E90A33">
        <w:rPr>
          <w:color w:val="000000"/>
          <w:sz w:val="24"/>
          <w:szCs w:val="24"/>
        </w:rPr>
        <w:t>.</w:t>
      </w:r>
    </w:p>
    <w:p w14:paraId="0041C073" w14:textId="77777777" w:rsidR="000430F5" w:rsidRPr="00E90A33" w:rsidRDefault="000430F5" w:rsidP="000430F5">
      <w:pPr>
        <w:spacing w:after="120" w:line="198" w:lineRule="atLeast"/>
        <w:rPr>
          <w:sz w:val="24"/>
          <w:szCs w:val="24"/>
        </w:rPr>
      </w:pPr>
    </w:p>
    <w:p w14:paraId="7580B399" w14:textId="77777777" w:rsidR="000430F5" w:rsidRPr="00E90A33" w:rsidRDefault="000430F5" w:rsidP="000430F5">
      <w:pPr>
        <w:rPr>
          <w:sz w:val="24"/>
          <w:szCs w:val="24"/>
        </w:rPr>
      </w:pPr>
      <w:r w:rsidRPr="00E90A33">
        <w:rPr>
          <w:sz w:val="24"/>
          <w:szCs w:val="24"/>
        </w:rPr>
        <w:t>© Australian Capital Territory</w:t>
      </w:r>
    </w:p>
    <w:p w14:paraId="6576DAC9" w14:textId="77777777" w:rsidR="000430F5" w:rsidRPr="00E90A33" w:rsidRDefault="000430F5" w:rsidP="000430F5">
      <w:pPr>
        <w:rPr>
          <w:sz w:val="24"/>
          <w:szCs w:val="24"/>
        </w:rPr>
      </w:pPr>
      <w:r w:rsidRPr="00E90A33">
        <w:rPr>
          <w:noProof/>
          <w:sz w:val="24"/>
          <w:szCs w:val="24"/>
        </w:rPr>
        <w:drawing>
          <wp:inline distT="0" distB="0" distL="0" distR="0" wp14:anchorId="4AF93620" wp14:editId="559E402B">
            <wp:extent cx="1226127" cy="437903"/>
            <wp:effectExtent l="0" t="0" r="0" b="0"/>
            <wp:docPr id="1125461567" name="Picture 5" descr="The Creative Commons Attribution 4.0 licenc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61567" name="Picture 5" descr="The Creative Commons Attribution 4.0 licence symbol."/>
                    <pic:cNvPicPr/>
                  </pic:nvPicPr>
                  <pic:blipFill>
                    <a:blip r:embed="rId29">
                      <a:extLst>
                        <a:ext uri="{28A0092B-C50C-407E-A947-70E740481C1C}">
                          <a14:useLocalDpi xmlns:a14="http://schemas.microsoft.com/office/drawing/2010/main" val="0"/>
                        </a:ext>
                      </a:extLst>
                    </a:blip>
                    <a:stretch>
                      <a:fillRect/>
                    </a:stretch>
                  </pic:blipFill>
                  <pic:spPr>
                    <a:xfrm>
                      <a:off x="0" y="0"/>
                      <a:ext cx="1314346" cy="469410"/>
                    </a:xfrm>
                    <a:prstGeom prst="rect">
                      <a:avLst/>
                    </a:prstGeom>
                  </pic:spPr>
                </pic:pic>
              </a:graphicData>
            </a:graphic>
          </wp:inline>
        </w:drawing>
      </w:r>
    </w:p>
    <w:p w14:paraId="1BB42FF5" w14:textId="251248BF" w:rsidR="000430F5" w:rsidRPr="00E90A33" w:rsidRDefault="000430F5" w:rsidP="000430F5">
      <w:pPr>
        <w:rPr>
          <w:sz w:val="24"/>
          <w:szCs w:val="24"/>
        </w:rPr>
      </w:pPr>
      <w:r w:rsidRPr="00E90A33">
        <w:rPr>
          <w:sz w:val="24"/>
          <w:szCs w:val="24"/>
        </w:rPr>
        <w:br/>
      </w:r>
      <w:r w:rsidRPr="00E90A33">
        <w:rPr>
          <w:sz w:val="24"/>
          <w:szCs w:val="24"/>
        </w:rPr>
        <w:br/>
        <w:t xml:space="preserve">This work, </w:t>
      </w:r>
      <w:r w:rsidR="0020321F" w:rsidRPr="00E90A33">
        <w:rPr>
          <w:sz w:val="24"/>
          <w:szCs w:val="24"/>
        </w:rPr>
        <w:t xml:space="preserve">Infrastructure Canberra 2026-27 Budget Statement, </w:t>
      </w:r>
      <w:r w:rsidRPr="00E90A33">
        <w:rPr>
          <w:sz w:val="24"/>
          <w:szCs w:val="24"/>
        </w:rPr>
        <w:t>is licensed under a </w:t>
      </w:r>
      <w:hyperlink r:id="rId30" w:tooltip="https://creativecommons.org/licenses/by/4.0/" w:history="1">
        <w:r w:rsidRPr="00E90A33">
          <w:rPr>
            <w:sz w:val="24"/>
            <w:szCs w:val="24"/>
            <w:u w:val="single"/>
          </w:rPr>
          <w:t>Creative Commons Attribution 4.0 licenc</w:t>
        </w:r>
        <w:r w:rsidRPr="00E90A33">
          <w:rPr>
            <w:sz w:val="24"/>
            <w:szCs w:val="24"/>
          </w:rPr>
          <w:t>e</w:t>
        </w:r>
      </w:hyperlink>
      <w:r w:rsidRPr="00E90A33">
        <w:rPr>
          <w:sz w:val="24"/>
          <w:szCs w:val="24"/>
        </w:rPr>
        <w:t>. You are free to re-use the work under that licence, on the condition that you credit the Australian Capital Territory Government as author, indicate if changes were made and comply with the other licence terms.</w:t>
      </w:r>
    </w:p>
    <w:p w14:paraId="6AA082CC" w14:textId="18A306EC" w:rsidR="000430F5" w:rsidRPr="00E90A33" w:rsidRDefault="000430F5" w:rsidP="000430F5">
      <w:pPr>
        <w:rPr>
          <w:sz w:val="24"/>
          <w:szCs w:val="24"/>
        </w:rPr>
      </w:pPr>
      <w:r w:rsidRPr="00E90A33">
        <w:rPr>
          <w:sz w:val="24"/>
          <w:szCs w:val="24"/>
        </w:rPr>
        <w:t xml:space="preserve">The licence does not apply to the ACT Coat of Arms, the </w:t>
      </w:r>
      <w:r w:rsidR="0020321F" w:rsidRPr="00E90A33">
        <w:rPr>
          <w:sz w:val="24"/>
          <w:szCs w:val="24"/>
        </w:rPr>
        <w:t xml:space="preserve">Infrastructure Canberra </w:t>
      </w:r>
      <w:r w:rsidRPr="00E90A33">
        <w:rPr>
          <w:sz w:val="24"/>
          <w:szCs w:val="24"/>
        </w:rPr>
        <w:t>logo and branding, images, artwork, photographs and any material protected by trademark.</w:t>
      </w:r>
    </w:p>
    <w:p w14:paraId="2AC6C02D" w14:textId="77D7D678" w:rsidR="000430F5" w:rsidRDefault="000430F5" w:rsidP="000430F5">
      <w:r w:rsidRPr="00E90A33">
        <w:rPr>
          <w:sz w:val="24"/>
          <w:szCs w:val="24"/>
        </w:rPr>
        <w:t xml:space="preserve">Information about the directorate and an electronic version of this budget report can be found on the website </w:t>
      </w:r>
      <w:hyperlink r:id="rId31" w:history="1">
        <w:r w:rsidR="0020321F" w:rsidRPr="00E90A33">
          <w:rPr>
            <w:rStyle w:val="Hyperlink"/>
            <w:sz w:val="24"/>
            <w:szCs w:val="24"/>
          </w:rPr>
          <w:t>www.act.gov.au/infrastructurecanberra</w:t>
        </w:r>
      </w:hyperlink>
      <w:r w:rsidR="0020321F" w:rsidRPr="00E90A33">
        <w:rPr>
          <w:sz w:val="24"/>
          <w:szCs w:val="24"/>
        </w:rPr>
        <w:t xml:space="preserve"> </w:t>
      </w:r>
      <w:r w:rsidRPr="00590349">
        <w:br w:type="page"/>
      </w:r>
    </w:p>
    <w:p w14:paraId="01A96096" w14:textId="77777777" w:rsidR="00143C9C" w:rsidRDefault="00143C9C">
      <w:pPr>
        <w:pBdr>
          <w:top w:val="nil"/>
          <w:left w:val="nil"/>
          <w:bottom w:val="nil"/>
          <w:right w:val="nil"/>
          <w:between w:val="nil"/>
          <w:bar w:val="nil"/>
        </w:pBdr>
        <w:rPr>
          <w:rFonts w:ascii="Calibri" w:eastAsia="Calibri" w:hAnsi="Calibri" w:cs="Arial"/>
        </w:rPr>
      </w:pPr>
    </w:p>
    <w:p w14:paraId="59EB153C" w14:textId="77777777" w:rsidR="00D86095" w:rsidRDefault="009B5C32">
      <w:pPr>
        <w:pBdr>
          <w:top w:val="nil"/>
          <w:left w:val="nil"/>
          <w:bottom w:val="nil"/>
          <w:right w:val="nil"/>
          <w:between w:val="nil"/>
          <w:bar w:val="nil"/>
        </w:pBdr>
        <w:rPr>
          <w:rFonts w:ascii="Calibri" w:eastAsia="Calibri" w:hAnsi="Calibri" w:cs="Arial"/>
        </w:rPr>
      </w:pPr>
      <w:bookmarkStart w:id="0" w:name="RG_MARKER_56701"/>
      <w:bookmarkStart w:id="1" w:name="RG_MARKER_56703"/>
      <w:bookmarkEnd w:id="0"/>
      <w:bookmarkEnd w:id="1"/>
      <w:r>
        <w:t xml:space="preserve"> </w:t>
      </w:r>
    </w:p>
    <w:p w14:paraId="2A9A8839" w14:textId="77777777" w:rsidR="00F123AF" w:rsidRPr="00650923" w:rsidRDefault="009B5C32" w:rsidP="00650923">
      <w:pPr>
        <w:pStyle w:val="TOCHeading"/>
        <w:pBdr>
          <w:top w:val="nil"/>
          <w:left w:val="nil"/>
          <w:bottom w:val="nil"/>
          <w:right w:val="nil"/>
          <w:between w:val="nil"/>
          <w:bar w:val="nil"/>
        </w:pBdr>
        <w:jc w:val="center"/>
        <w:rPr>
          <w:rFonts w:ascii="Arial" w:hAnsi="Arial" w:cs="Arial"/>
          <w:sz w:val="48"/>
          <w:szCs w:val="48"/>
        </w:rPr>
      </w:pPr>
      <w:bookmarkStart w:id="2" w:name="RG_MARKER_56704"/>
      <w:r w:rsidRPr="00650923">
        <w:rPr>
          <w:rFonts w:ascii="Arial" w:hAnsi="Arial" w:cs="Arial"/>
          <w:sz w:val="48"/>
          <w:szCs w:val="48"/>
        </w:rPr>
        <w:t>BUDGET STATEMENTS</w:t>
      </w:r>
      <w:bookmarkEnd w:id="2"/>
    </w:p>
    <w:p w14:paraId="0568C774" w14:textId="77777777" w:rsidR="00F123AF" w:rsidRPr="00650923" w:rsidRDefault="009B5C32" w:rsidP="00650923">
      <w:pPr>
        <w:pStyle w:val="TOCHeading"/>
        <w:pBdr>
          <w:top w:val="nil"/>
          <w:left w:val="nil"/>
          <w:bottom w:val="nil"/>
          <w:right w:val="nil"/>
          <w:between w:val="nil"/>
          <w:bar w:val="nil"/>
        </w:pBdr>
        <w:jc w:val="center"/>
        <w:rPr>
          <w:rFonts w:ascii="Arial" w:hAnsi="Arial" w:cs="Arial"/>
          <w:sz w:val="48"/>
          <w:szCs w:val="48"/>
          <w:lang w:val="en-AU"/>
        </w:rPr>
      </w:pPr>
      <w:r w:rsidRPr="00650923">
        <w:rPr>
          <w:rFonts w:ascii="Arial" w:hAnsi="Arial" w:cs="Arial"/>
          <w:sz w:val="48"/>
          <w:szCs w:val="48"/>
        </w:rPr>
        <w:t>2026­27</w:t>
      </w:r>
    </w:p>
    <w:p w14:paraId="1FB87154" w14:textId="77777777" w:rsidR="00F123AF" w:rsidRPr="00650923" w:rsidRDefault="009B5C32" w:rsidP="00650923">
      <w:pPr>
        <w:pStyle w:val="TOCHeading"/>
        <w:pBdr>
          <w:top w:val="nil"/>
          <w:left w:val="nil"/>
          <w:bottom w:val="nil"/>
          <w:right w:val="nil"/>
          <w:between w:val="nil"/>
          <w:bar w:val="nil"/>
        </w:pBdr>
        <w:jc w:val="center"/>
        <w:rPr>
          <w:rFonts w:ascii="Arial" w:hAnsi="Arial" w:cs="Arial"/>
          <w:sz w:val="48"/>
          <w:szCs w:val="48"/>
        </w:rPr>
      </w:pPr>
      <w:r w:rsidRPr="00650923">
        <w:rPr>
          <w:rFonts w:ascii="Arial" w:hAnsi="Arial" w:cs="Arial"/>
          <w:sz w:val="48"/>
          <w:szCs w:val="48"/>
        </w:rPr>
        <w:t>for</w:t>
      </w:r>
    </w:p>
    <w:p w14:paraId="01E0623C" w14:textId="77777777" w:rsidR="00F123AF" w:rsidRPr="00650923" w:rsidRDefault="009B5C32" w:rsidP="00650923">
      <w:pPr>
        <w:pStyle w:val="TOCHeading"/>
        <w:pBdr>
          <w:top w:val="nil"/>
          <w:left w:val="nil"/>
          <w:bottom w:val="nil"/>
          <w:right w:val="nil"/>
          <w:between w:val="nil"/>
          <w:bar w:val="nil"/>
        </w:pBdr>
        <w:jc w:val="center"/>
        <w:rPr>
          <w:rFonts w:ascii="Arial" w:hAnsi="Arial" w:cs="Arial"/>
          <w:sz w:val="48"/>
          <w:szCs w:val="48"/>
        </w:rPr>
      </w:pPr>
      <w:r w:rsidRPr="00650923">
        <w:rPr>
          <w:rFonts w:ascii="Arial" w:hAnsi="Arial" w:cs="Arial"/>
          <w:sz w:val="48"/>
          <w:szCs w:val="48"/>
        </w:rPr>
        <w:t>Infrastructure Canberra</w:t>
      </w:r>
    </w:p>
    <w:p w14:paraId="5F58D8B5" w14:textId="77777777" w:rsidR="000430F5" w:rsidRDefault="009B5C32" w:rsidP="0016146B">
      <w:pPr>
        <w:pStyle w:val="TOCHeading"/>
        <w:pBdr>
          <w:top w:val="nil"/>
          <w:left w:val="nil"/>
          <w:bottom w:val="nil"/>
          <w:right w:val="nil"/>
          <w:between w:val="nil"/>
          <w:bar w:val="nil"/>
        </w:pBdr>
      </w:pPr>
      <w:r>
        <w:rPr>
          <w:rFonts w:eastAsia="TimesNewRomanPS-ItalicMT"/>
          <w:b w:val="0"/>
          <w:bCs w:val="0"/>
        </w:rPr>
        <w:br w:type="page"/>
      </w:r>
    </w:p>
    <w:sdt>
      <w:sdtPr>
        <w:rPr>
          <w:rFonts w:asciiTheme="minorHAnsi" w:eastAsiaTheme="minorHAnsi" w:hAnsiTheme="minorHAnsi" w:cstheme="minorBidi"/>
          <w:b w:val="0"/>
          <w:bCs w:val="0"/>
          <w:sz w:val="22"/>
          <w:szCs w:val="22"/>
        </w:rPr>
        <w:id w:val="1573161789"/>
        <w:docPartObj>
          <w:docPartGallery w:val="Table of Contents"/>
          <w:docPartUnique/>
        </w:docPartObj>
      </w:sdtPr>
      <w:sdtEndPr>
        <w:rPr>
          <w:noProof/>
        </w:rPr>
      </w:sdtEndPr>
      <w:sdtContent>
        <w:p w14:paraId="6E7E8034" w14:textId="13F3C767" w:rsidR="000430F5" w:rsidRPr="00E90A33" w:rsidRDefault="000430F5">
          <w:pPr>
            <w:pStyle w:val="TOCHeading"/>
            <w:rPr>
              <w:sz w:val="48"/>
              <w:szCs w:val="48"/>
            </w:rPr>
          </w:pPr>
          <w:r w:rsidRPr="00E90A33">
            <w:rPr>
              <w:sz w:val="48"/>
              <w:szCs w:val="48"/>
            </w:rPr>
            <w:t>Contents</w:t>
          </w:r>
        </w:p>
        <w:p w14:paraId="3DFCC9E0" w14:textId="16BC46A4" w:rsidR="00650923" w:rsidRPr="00E90A33" w:rsidRDefault="000430F5">
          <w:pPr>
            <w:pStyle w:val="TOC1"/>
            <w:tabs>
              <w:tab w:val="right" w:leader="dot" w:pos="9016"/>
            </w:tabs>
            <w:rPr>
              <w:rFonts w:eastAsiaTheme="minorEastAsia"/>
              <w:noProof/>
              <w:kern w:val="2"/>
              <w:sz w:val="24"/>
              <w:szCs w:val="24"/>
              <w:lang w:val="en-AU" w:eastAsia="en-AU"/>
              <w14:ligatures w14:val="standardContextual"/>
            </w:rPr>
          </w:pPr>
          <w:r>
            <w:fldChar w:fldCharType="begin"/>
          </w:r>
          <w:r>
            <w:instrText xml:space="preserve"> TOC \o "1-3" \h \z \u </w:instrText>
          </w:r>
          <w:r>
            <w:fldChar w:fldCharType="separate"/>
          </w:r>
          <w:hyperlink w:anchor="_Toc231374037" w:history="1">
            <w:r w:rsidR="00650923" w:rsidRPr="00E90A33">
              <w:rPr>
                <w:rStyle w:val="Hyperlink"/>
                <w:noProof/>
                <w:sz w:val="24"/>
                <w:szCs w:val="24"/>
              </w:rPr>
              <w:t>INFRASTRUCTURE CANBERRA</w:t>
            </w:r>
            <w:r w:rsidR="00650923" w:rsidRPr="00E90A33">
              <w:rPr>
                <w:noProof/>
                <w:webHidden/>
                <w:sz w:val="24"/>
                <w:szCs w:val="24"/>
              </w:rPr>
              <w:tab/>
            </w:r>
            <w:r w:rsidR="00650923" w:rsidRPr="00E90A33">
              <w:rPr>
                <w:noProof/>
                <w:webHidden/>
                <w:sz w:val="24"/>
                <w:szCs w:val="24"/>
              </w:rPr>
              <w:fldChar w:fldCharType="begin"/>
            </w:r>
            <w:r w:rsidR="00650923" w:rsidRPr="00E90A33">
              <w:rPr>
                <w:noProof/>
                <w:webHidden/>
                <w:sz w:val="24"/>
                <w:szCs w:val="24"/>
              </w:rPr>
              <w:instrText xml:space="preserve"> PAGEREF _Toc231374037 \h </w:instrText>
            </w:r>
            <w:r w:rsidR="00650923" w:rsidRPr="00E90A33">
              <w:rPr>
                <w:noProof/>
                <w:webHidden/>
                <w:sz w:val="24"/>
                <w:szCs w:val="24"/>
              </w:rPr>
            </w:r>
            <w:r w:rsidR="00650923" w:rsidRPr="00E90A33">
              <w:rPr>
                <w:noProof/>
                <w:webHidden/>
                <w:sz w:val="24"/>
                <w:szCs w:val="24"/>
              </w:rPr>
              <w:fldChar w:fldCharType="separate"/>
            </w:r>
            <w:r w:rsidR="00321B99">
              <w:rPr>
                <w:noProof/>
                <w:webHidden/>
                <w:sz w:val="24"/>
                <w:szCs w:val="24"/>
              </w:rPr>
              <w:t>1</w:t>
            </w:r>
            <w:r w:rsidR="00650923" w:rsidRPr="00E90A33">
              <w:rPr>
                <w:noProof/>
                <w:webHidden/>
                <w:sz w:val="24"/>
                <w:szCs w:val="24"/>
              </w:rPr>
              <w:fldChar w:fldCharType="end"/>
            </w:r>
          </w:hyperlink>
        </w:p>
        <w:p w14:paraId="25D96401" w14:textId="51CD1540" w:rsidR="00650923" w:rsidRPr="00E90A33" w:rsidRDefault="00650923">
          <w:pPr>
            <w:pStyle w:val="TOC2"/>
            <w:rPr>
              <w:rFonts w:asciiTheme="minorHAnsi" w:eastAsiaTheme="minorEastAsia" w:hAnsiTheme="minorHAnsi" w:cstheme="minorBidi"/>
              <w:kern w:val="2"/>
              <w:sz w:val="24"/>
              <w:szCs w:val="24"/>
              <w:lang w:val="en-AU" w:eastAsia="en-AU"/>
              <w14:ligatures w14:val="standardContextual"/>
            </w:rPr>
          </w:pPr>
          <w:hyperlink w:anchor="_Toc231374038" w:history="1">
            <w:r w:rsidRPr="00E90A33">
              <w:rPr>
                <w:rStyle w:val="Hyperlink"/>
                <w:sz w:val="24"/>
                <w:szCs w:val="24"/>
              </w:rPr>
              <w:t>Purpose</w:t>
            </w:r>
            <w:r w:rsidRPr="00E90A33">
              <w:rPr>
                <w:webHidden/>
                <w:sz w:val="24"/>
                <w:szCs w:val="24"/>
              </w:rPr>
              <w:tab/>
            </w:r>
            <w:r w:rsidRPr="00E90A33">
              <w:rPr>
                <w:webHidden/>
                <w:sz w:val="24"/>
                <w:szCs w:val="24"/>
              </w:rPr>
              <w:fldChar w:fldCharType="begin"/>
            </w:r>
            <w:r w:rsidRPr="00E90A33">
              <w:rPr>
                <w:webHidden/>
                <w:sz w:val="24"/>
                <w:szCs w:val="24"/>
              </w:rPr>
              <w:instrText xml:space="preserve"> PAGEREF _Toc231374038 \h </w:instrText>
            </w:r>
            <w:r w:rsidRPr="00E90A33">
              <w:rPr>
                <w:webHidden/>
                <w:sz w:val="24"/>
                <w:szCs w:val="24"/>
              </w:rPr>
            </w:r>
            <w:r w:rsidRPr="00E90A33">
              <w:rPr>
                <w:webHidden/>
                <w:sz w:val="24"/>
                <w:szCs w:val="24"/>
              </w:rPr>
              <w:fldChar w:fldCharType="separate"/>
            </w:r>
            <w:r w:rsidR="00321B99">
              <w:rPr>
                <w:webHidden/>
                <w:sz w:val="24"/>
                <w:szCs w:val="24"/>
              </w:rPr>
              <w:t>1</w:t>
            </w:r>
            <w:r w:rsidRPr="00E90A33">
              <w:rPr>
                <w:webHidden/>
                <w:sz w:val="24"/>
                <w:szCs w:val="24"/>
              </w:rPr>
              <w:fldChar w:fldCharType="end"/>
            </w:r>
          </w:hyperlink>
        </w:p>
        <w:p w14:paraId="1FDE34BC" w14:textId="16529935" w:rsidR="00650923" w:rsidRPr="00E90A33" w:rsidRDefault="00650923">
          <w:pPr>
            <w:pStyle w:val="TOC2"/>
            <w:rPr>
              <w:rFonts w:asciiTheme="minorHAnsi" w:eastAsiaTheme="minorEastAsia" w:hAnsiTheme="minorHAnsi" w:cstheme="minorBidi"/>
              <w:kern w:val="2"/>
              <w:sz w:val="24"/>
              <w:szCs w:val="24"/>
              <w:lang w:val="en-AU" w:eastAsia="en-AU"/>
              <w14:ligatures w14:val="standardContextual"/>
            </w:rPr>
          </w:pPr>
          <w:hyperlink w:anchor="_Toc231374039" w:history="1">
            <w:r w:rsidRPr="00E90A33">
              <w:rPr>
                <w:rStyle w:val="Hyperlink"/>
                <w:sz w:val="24"/>
                <w:szCs w:val="24"/>
              </w:rPr>
              <w:t>2026-27 Priorities</w:t>
            </w:r>
            <w:r w:rsidRPr="00E90A33">
              <w:rPr>
                <w:webHidden/>
                <w:sz w:val="24"/>
                <w:szCs w:val="24"/>
              </w:rPr>
              <w:tab/>
            </w:r>
            <w:r w:rsidRPr="00E90A33">
              <w:rPr>
                <w:webHidden/>
                <w:sz w:val="24"/>
                <w:szCs w:val="24"/>
              </w:rPr>
              <w:fldChar w:fldCharType="begin"/>
            </w:r>
            <w:r w:rsidRPr="00E90A33">
              <w:rPr>
                <w:webHidden/>
                <w:sz w:val="24"/>
                <w:szCs w:val="24"/>
              </w:rPr>
              <w:instrText xml:space="preserve"> PAGEREF _Toc231374039 \h </w:instrText>
            </w:r>
            <w:r w:rsidRPr="00E90A33">
              <w:rPr>
                <w:webHidden/>
                <w:sz w:val="24"/>
                <w:szCs w:val="24"/>
              </w:rPr>
            </w:r>
            <w:r w:rsidRPr="00E90A33">
              <w:rPr>
                <w:webHidden/>
                <w:sz w:val="24"/>
                <w:szCs w:val="24"/>
              </w:rPr>
              <w:fldChar w:fldCharType="separate"/>
            </w:r>
            <w:r w:rsidR="00321B99">
              <w:rPr>
                <w:webHidden/>
                <w:sz w:val="24"/>
                <w:szCs w:val="24"/>
              </w:rPr>
              <w:t>2</w:t>
            </w:r>
            <w:r w:rsidRPr="00E90A33">
              <w:rPr>
                <w:webHidden/>
                <w:sz w:val="24"/>
                <w:szCs w:val="24"/>
              </w:rPr>
              <w:fldChar w:fldCharType="end"/>
            </w:r>
          </w:hyperlink>
        </w:p>
        <w:p w14:paraId="2A99D6E2" w14:textId="2ECBFEB2" w:rsidR="00650923" w:rsidRPr="00E90A33" w:rsidRDefault="00650923">
          <w:pPr>
            <w:pStyle w:val="TOC2"/>
            <w:rPr>
              <w:rFonts w:asciiTheme="minorHAnsi" w:eastAsiaTheme="minorEastAsia" w:hAnsiTheme="minorHAnsi" w:cstheme="minorBidi"/>
              <w:kern w:val="2"/>
              <w:sz w:val="24"/>
              <w:szCs w:val="24"/>
              <w:lang w:val="en-AU" w:eastAsia="en-AU"/>
              <w14:ligatures w14:val="standardContextual"/>
            </w:rPr>
          </w:pPr>
          <w:hyperlink w:anchor="_Toc231374040" w:history="1">
            <w:r w:rsidRPr="00E90A33">
              <w:rPr>
                <w:rStyle w:val="Hyperlink"/>
                <w:sz w:val="24"/>
                <w:szCs w:val="24"/>
              </w:rPr>
              <w:t>Estimated Employment Levels</w:t>
            </w:r>
            <w:r w:rsidRPr="00E90A33">
              <w:rPr>
                <w:webHidden/>
                <w:sz w:val="24"/>
                <w:szCs w:val="24"/>
              </w:rPr>
              <w:tab/>
            </w:r>
            <w:r w:rsidRPr="00E90A33">
              <w:rPr>
                <w:webHidden/>
                <w:sz w:val="24"/>
                <w:szCs w:val="24"/>
              </w:rPr>
              <w:fldChar w:fldCharType="begin"/>
            </w:r>
            <w:r w:rsidRPr="00E90A33">
              <w:rPr>
                <w:webHidden/>
                <w:sz w:val="24"/>
                <w:szCs w:val="24"/>
              </w:rPr>
              <w:instrText xml:space="preserve"> PAGEREF _Toc231374040 \h </w:instrText>
            </w:r>
            <w:r w:rsidRPr="00E90A33">
              <w:rPr>
                <w:webHidden/>
                <w:sz w:val="24"/>
                <w:szCs w:val="24"/>
              </w:rPr>
            </w:r>
            <w:r w:rsidRPr="00E90A33">
              <w:rPr>
                <w:webHidden/>
                <w:sz w:val="24"/>
                <w:szCs w:val="24"/>
              </w:rPr>
              <w:fldChar w:fldCharType="separate"/>
            </w:r>
            <w:r w:rsidR="00321B99">
              <w:rPr>
                <w:webHidden/>
                <w:sz w:val="24"/>
                <w:szCs w:val="24"/>
              </w:rPr>
              <w:t>4</w:t>
            </w:r>
            <w:r w:rsidRPr="00E90A33">
              <w:rPr>
                <w:webHidden/>
                <w:sz w:val="24"/>
                <w:szCs w:val="24"/>
              </w:rPr>
              <w:fldChar w:fldCharType="end"/>
            </w:r>
          </w:hyperlink>
        </w:p>
        <w:p w14:paraId="6AD5539F" w14:textId="303B8C1B" w:rsidR="00650923" w:rsidRPr="00E90A33" w:rsidRDefault="00650923">
          <w:pPr>
            <w:pStyle w:val="TOC2"/>
            <w:rPr>
              <w:rFonts w:asciiTheme="minorHAnsi" w:eastAsiaTheme="minorEastAsia" w:hAnsiTheme="minorHAnsi" w:cstheme="minorBidi"/>
              <w:kern w:val="2"/>
              <w:sz w:val="24"/>
              <w:szCs w:val="24"/>
              <w:lang w:val="en-AU" w:eastAsia="en-AU"/>
              <w14:ligatures w14:val="standardContextual"/>
            </w:rPr>
          </w:pPr>
          <w:hyperlink w:anchor="_Toc231374041" w:history="1">
            <w:r w:rsidRPr="00E90A33">
              <w:rPr>
                <w:rStyle w:val="Hyperlink"/>
                <w:sz w:val="24"/>
                <w:szCs w:val="24"/>
              </w:rPr>
              <w:t>Strategic Objectives and Indicators</w:t>
            </w:r>
            <w:r w:rsidRPr="00E90A33">
              <w:rPr>
                <w:webHidden/>
                <w:sz w:val="24"/>
                <w:szCs w:val="24"/>
              </w:rPr>
              <w:tab/>
            </w:r>
            <w:r w:rsidRPr="00E90A33">
              <w:rPr>
                <w:webHidden/>
                <w:sz w:val="24"/>
                <w:szCs w:val="24"/>
              </w:rPr>
              <w:fldChar w:fldCharType="begin"/>
            </w:r>
            <w:r w:rsidRPr="00E90A33">
              <w:rPr>
                <w:webHidden/>
                <w:sz w:val="24"/>
                <w:szCs w:val="24"/>
              </w:rPr>
              <w:instrText xml:space="preserve"> PAGEREF _Toc231374041 \h </w:instrText>
            </w:r>
            <w:r w:rsidRPr="00E90A33">
              <w:rPr>
                <w:webHidden/>
                <w:sz w:val="24"/>
                <w:szCs w:val="24"/>
              </w:rPr>
            </w:r>
            <w:r w:rsidRPr="00E90A33">
              <w:rPr>
                <w:webHidden/>
                <w:sz w:val="24"/>
                <w:szCs w:val="24"/>
              </w:rPr>
              <w:fldChar w:fldCharType="separate"/>
            </w:r>
            <w:r w:rsidR="00321B99">
              <w:rPr>
                <w:webHidden/>
                <w:sz w:val="24"/>
                <w:szCs w:val="24"/>
              </w:rPr>
              <w:t>5</w:t>
            </w:r>
            <w:r w:rsidRPr="00E90A33">
              <w:rPr>
                <w:webHidden/>
                <w:sz w:val="24"/>
                <w:szCs w:val="24"/>
              </w:rPr>
              <w:fldChar w:fldCharType="end"/>
            </w:r>
          </w:hyperlink>
        </w:p>
        <w:p w14:paraId="14F5EB75" w14:textId="3B07D31E" w:rsidR="00650923" w:rsidRPr="00E90A33" w:rsidRDefault="00650923">
          <w:pPr>
            <w:pStyle w:val="TOC2"/>
            <w:rPr>
              <w:rFonts w:asciiTheme="minorHAnsi" w:eastAsiaTheme="minorEastAsia" w:hAnsiTheme="minorHAnsi" w:cstheme="minorBidi"/>
              <w:kern w:val="2"/>
              <w:sz w:val="24"/>
              <w:szCs w:val="24"/>
              <w:lang w:val="en-AU" w:eastAsia="en-AU"/>
              <w14:ligatures w14:val="standardContextual"/>
            </w:rPr>
          </w:pPr>
          <w:hyperlink w:anchor="_Toc231374042" w:history="1">
            <w:r w:rsidRPr="00E90A33">
              <w:rPr>
                <w:rStyle w:val="Hyperlink"/>
                <w:sz w:val="24"/>
                <w:szCs w:val="24"/>
              </w:rPr>
              <w:t>Output Class</w:t>
            </w:r>
            <w:r w:rsidRPr="00E90A33">
              <w:rPr>
                <w:webHidden/>
                <w:sz w:val="24"/>
                <w:szCs w:val="24"/>
              </w:rPr>
              <w:tab/>
            </w:r>
            <w:r w:rsidRPr="00E90A33">
              <w:rPr>
                <w:webHidden/>
                <w:sz w:val="24"/>
                <w:szCs w:val="24"/>
              </w:rPr>
              <w:fldChar w:fldCharType="begin"/>
            </w:r>
            <w:r w:rsidRPr="00E90A33">
              <w:rPr>
                <w:webHidden/>
                <w:sz w:val="24"/>
                <w:szCs w:val="24"/>
              </w:rPr>
              <w:instrText xml:space="preserve"> PAGEREF _Toc231374042 \h </w:instrText>
            </w:r>
            <w:r w:rsidRPr="00E90A33">
              <w:rPr>
                <w:webHidden/>
                <w:sz w:val="24"/>
                <w:szCs w:val="24"/>
              </w:rPr>
            </w:r>
            <w:r w:rsidRPr="00E90A33">
              <w:rPr>
                <w:webHidden/>
                <w:sz w:val="24"/>
                <w:szCs w:val="24"/>
              </w:rPr>
              <w:fldChar w:fldCharType="separate"/>
            </w:r>
            <w:r w:rsidR="00321B99">
              <w:rPr>
                <w:webHidden/>
                <w:sz w:val="24"/>
                <w:szCs w:val="24"/>
              </w:rPr>
              <w:t>7</w:t>
            </w:r>
            <w:r w:rsidRPr="00E90A33">
              <w:rPr>
                <w:webHidden/>
                <w:sz w:val="24"/>
                <w:szCs w:val="24"/>
              </w:rPr>
              <w:fldChar w:fldCharType="end"/>
            </w:r>
          </w:hyperlink>
        </w:p>
        <w:p w14:paraId="3956A22C" w14:textId="0D2A6D19" w:rsidR="00650923" w:rsidRPr="00E90A33" w:rsidRDefault="00650923">
          <w:pPr>
            <w:pStyle w:val="TOC2"/>
            <w:rPr>
              <w:rFonts w:asciiTheme="minorHAnsi" w:eastAsiaTheme="minorEastAsia" w:hAnsiTheme="minorHAnsi" w:cstheme="minorBidi"/>
              <w:kern w:val="2"/>
              <w:sz w:val="24"/>
              <w:szCs w:val="24"/>
              <w:lang w:val="en-AU" w:eastAsia="en-AU"/>
              <w14:ligatures w14:val="standardContextual"/>
            </w:rPr>
          </w:pPr>
          <w:hyperlink w:anchor="_Toc231374043" w:history="1">
            <w:r w:rsidRPr="00E90A33">
              <w:rPr>
                <w:rStyle w:val="Hyperlink"/>
                <w:sz w:val="24"/>
                <w:szCs w:val="24"/>
              </w:rPr>
              <w:t>Accountability Indicators for 2026-27</w:t>
            </w:r>
            <w:r w:rsidRPr="00E90A33">
              <w:rPr>
                <w:webHidden/>
                <w:sz w:val="24"/>
                <w:szCs w:val="24"/>
              </w:rPr>
              <w:tab/>
            </w:r>
            <w:r w:rsidRPr="00E90A33">
              <w:rPr>
                <w:webHidden/>
                <w:sz w:val="24"/>
                <w:szCs w:val="24"/>
              </w:rPr>
              <w:fldChar w:fldCharType="begin"/>
            </w:r>
            <w:r w:rsidRPr="00E90A33">
              <w:rPr>
                <w:webHidden/>
                <w:sz w:val="24"/>
                <w:szCs w:val="24"/>
              </w:rPr>
              <w:instrText xml:space="preserve"> PAGEREF _Toc231374043 \h </w:instrText>
            </w:r>
            <w:r w:rsidRPr="00E90A33">
              <w:rPr>
                <w:webHidden/>
                <w:sz w:val="24"/>
                <w:szCs w:val="24"/>
              </w:rPr>
            </w:r>
            <w:r w:rsidRPr="00E90A33">
              <w:rPr>
                <w:webHidden/>
                <w:sz w:val="24"/>
                <w:szCs w:val="24"/>
              </w:rPr>
              <w:fldChar w:fldCharType="separate"/>
            </w:r>
            <w:r w:rsidR="00321B99">
              <w:rPr>
                <w:webHidden/>
                <w:sz w:val="24"/>
                <w:szCs w:val="24"/>
              </w:rPr>
              <w:t>8</w:t>
            </w:r>
            <w:r w:rsidRPr="00E90A33">
              <w:rPr>
                <w:webHidden/>
                <w:sz w:val="24"/>
                <w:szCs w:val="24"/>
              </w:rPr>
              <w:fldChar w:fldCharType="end"/>
            </w:r>
          </w:hyperlink>
        </w:p>
        <w:p w14:paraId="4B985471" w14:textId="5EDB6715" w:rsidR="00650923" w:rsidRPr="00E90A33" w:rsidRDefault="00650923">
          <w:pPr>
            <w:pStyle w:val="TOC2"/>
            <w:rPr>
              <w:rFonts w:asciiTheme="minorHAnsi" w:eastAsiaTheme="minorEastAsia" w:hAnsiTheme="minorHAnsi" w:cstheme="minorBidi"/>
              <w:kern w:val="2"/>
              <w:sz w:val="24"/>
              <w:szCs w:val="24"/>
              <w:lang w:val="en-AU" w:eastAsia="en-AU"/>
              <w14:ligatures w14:val="standardContextual"/>
            </w:rPr>
          </w:pPr>
          <w:hyperlink w:anchor="_Toc231374044" w:history="1">
            <w:r w:rsidRPr="00E90A33">
              <w:rPr>
                <w:rStyle w:val="Hyperlink"/>
                <w:sz w:val="24"/>
                <w:szCs w:val="24"/>
              </w:rPr>
              <w:t>Changes to Appropriation</w:t>
            </w:r>
            <w:r w:rsidRPr="00E90A33">
              <w:rPr>
                <w:webHidden/>
                <w:sz w:val="24"/>
                <w:szCs w:val="24"/>
              </w:rPr>
              <w:tab/>
            </w:r>
            <w:r w:rsidRPr="00E90A33">
              <w:rPr>
                <w:webHidden/>
                <w:sz w:val="24"/>
                <w:szCs w:val="24"/>
              </w:rPr>
              <w:fldChar w:fldCharType="begin"/>
            </w:r>
            <w:r w:rsidRPr="00E90A33">
              <w:rPr>
                <w:webHidden/>
                <w:sz w:val="24"/>
                <w:szCs w:val="24"/>
              </w:rPr>
              <w:instrText xml:space="preserve"> PAGEREF _Toc231374044 \h </w:instrText>
            </w:r>
            <w:r w:rsidRPr="00E90A33">
              <w:rPr>
                <w:webHidden/>
                <w:sz w:val="24"/>
                <w:szCs w:val="24"/>
              </w:rPr>
            </w:r>
            <w:r w:rsidRPr="00E90A33">
              <w:rPr>
                <w:webHidden/>
                <w:sz w:val="24"/>
                <w:szCs w:val="24"/>
              </w:rPr>
              <w:fldChar w:fldCharType="separate"/>
            </w:r>
            <w:r w:rsidR="00321B99">
              <w:rPr>
                <w:webHidden/>
                <w:sz w:val="24"/>
                <w:szCs w:val="24"/>
              </w:rPr>
              <w:t>10</w:t>
            </w:r>
            <w:r w:rsidRPr="00E90A33">
              <w:rPr>
                <w:webHidden/>
                <w:sz w:val="24"/>
                <w:szCs w:val="24"/>
              </w:rPr>
              <w:fldChar w:fldCharType="end"/>
            </w:r>
          </w:hyperlink>
        </w:p>
        <w:p w14:paraId="2DEC4074" w14:textId="209B324D" w:rsidR="00650923" w:rsidRPr="00E90A33" w:rsidRDefault="00650923">
          <w:pPr>
            <w:pStyle w:val="TOC2"/>
            <w:rPr>
              <w:rFonts w:asciiTheme="minorHAnsi" w:eastAsiaTheme="minorEastAsia" w:hAnsiTheme="minorHAnsi" w:cstheme="minorBidi"/>
              <w:kern w:val="2"/>
              <w:sz w:val="24"/>
              <w:szCs w:val="24"/>
              <w:lang w:val="en-AU" w:eastAsia="en-AU"/>
              <w14:ligatures w14:val="standardContextual"/>
            </w:rPr>
          </w:pPr>
          <w:hyperlink w:anchor="_Toc231374045" w:history="1">
            <w:r w:rsidRPr="00E90A33">
              <w:rPr>
                <w:rStyle w:val="Hyperlink"/>
                <w:sz w:val="24"/>
                <w:szCs w:val="24"/>
              </w:rPr>
              <w:t>Summary of 2026-27 Infrastructure Program</w:t>
            </w:r>
            <w:r w:rsidRPr="00E90A33">
              <w:rPr>
                <w:webHidden/>
                <w:sz w:val="24"/>
                <w:szCs w:val="24"/>
              </w:rPr>
              <w:tab/>
            </w:r>
            <w:r w:rsidRPr="00E90A33">
              <w:rPr>
                <w:webHidden/>
                <w:sz w:val="24"/>
                <w:szCs w:val="24"/>
              </w:rPr>
              <w:fldChar w:fldCharType="begin"/>
            </w:r>
            <w:r w:rsidRPr="00E90A33">
              <w:rPr>
                <w:webHidden/>
                <w:sz w:val="24"/>
                <w:szCs w:val="24"/>
              </w:rPr>
              <w:instrText xml:space="preserve"> PAGEREF _Toc231374045 \h </w:instrText>
            </w:r>
            <w:r w:rsidRPr="00E90A33">
              <w:rPr>
                <w:webHidden/>
                <w:sz w:val="24"/>
                <w:szCs w:val="24"/>
              </w:rPr>
            </w:r>
            <w:r w:rsidRPr="00E90A33">
              <w:rPr>
                <w:webHidden/>
                <w:sz w:val="24"/>
                <w:szCs w:val="24"/>
              </w:rPr>
              <w:fldChar w:fldCharType="separate"/>
            </w:r>
            <w:r w:rsidR="00321B99">
              <w:rPr>
                <w:webHidden/>
                <w:sz w:val="24"/>
                <w:szCs w:val="24"/>
              </w:rPr>
              <w:t>17</w:t>
            </w:r>
            <w:r w:rsidRPr="00E90A33">
              <w:rPr>
                <w:webHidden/>
                <w:sz w:val="24"/>
                <w:szCs w:val="24"/>
              </w:rPr>
              <w:fldChar w:fldCharType="end"/>
            </w:r>
          </w:hyperlink>
        </w:p>
        <w:p w14:paraId="5B716DF7" w14:textId="07513D5E" w:rsidR="00650923" w:rsidRPr="00E90A33" w:rsidRDefault="00650923">
          <w:pPr>
            <w:pStyle w:val="TOC2"/>
            <w:rPr>
              <w:rFonts w:asciiTheme="minorHAnsi" w:eastAsiaTheme="minorEastAsia" w:hAnsiTheme="minorHAnsi" w:cstheme="minorBidi"/>
              <w:kern w:val="2"/>
              <w:sz w:val="24"/>
              <w:szCs w:val="24"/>
              <w:lang w:val="en-AU" w:eastAsia="en-AU"/>
              <w14:ligatures w14:val="standardContextual"/>
            </w:rPr>
          </w:pPr>
          <w:hyperlink w:anchor="_Toc231374046" w:history="1">
            <w:r w:rsidRPr="00E90A33">
              <w:rPr>
                <w:rStyle w:val="Hyperlink"/>
                <w:sz w:val="24"/>
                <w:szCs w:val="24"/>
              </w:rPr>
              <w:t>Financial Statements</w:t>
            </w:r>
            <w:r w:rsidRPr="00E90A33">
              <w:rPr>
                <w:webHidden/>
                <w:sz w:val="24"/>
                <w:szCs w:val="24"/>
              </w:rPr>
              <w:tab/>
            </w:r>
            <w:r w:rsidRPr="00E90A33">
              <w:rPr>
                <w:webHidden/>
                <w:sz w:val="24"/>
                <w:szCs w:val="24"/>
              </w:rPr>
              <w:fldChar w:fldCharType="begin"/>
            </w:r>
            <w:r w:rsidRPr="00E90A33">
              <w:rPr>
                <w:webHidden/>
                <w:sz w:val="24"/>
                <w:szCs w:val="24"/>
              </w:rPr>
              <w:instrText xml:space="preserve"> PAGEREF _Toc231374046 \h </w:instrText>
            </w:r>
            <w:r w:rsidRPr="00E90A33">
              <w:rPr>
                <w:webHidden/>
                <w:sz w:val="24"/>
                <w:szCs w:val="24"/>
              </w:rPr>
            </w:r>
            <w:r w:rsidRPr="00E90A33">
              <w:rPr>
                <w:webHidden/>
                <w:sz w:val="24"/>
                <w:szCs w:val="24"/>
              </w:rPr>
              <w:fldChar w:fldCharType="separate"/>
            </w:r>
            <w:r w:rsidR="00321B99">
              <w:rPr>
                <w:webHidden/>
                <w:sz w:val="24"/>
                <w:szCs w:val="24"/>
              </w:rPr>
              <w:t>20</w:t>
            </w:r>
            <w:r w:rsidRPr="00E90A33">
              <w:rPr>
                <w:webHidden/>
                <w:sz w:val="24"/>
                <w:szCs w:val="24"/>
              </w:rPr>
              <w:fldChar w:fldCharType="end"/>
            </w:r>
          </w:hyperlink>
        </w:p>
        <w:p w14:paraId="06092CAD" w14:textId="2994960B" w:rsidR="000430F5" w:rsidRDefault="000430F5">
          <w:r>
            <w:rPr>
              <w:b/>
              <w:bCs/>
              <w:noProof/>
            </w:rPr>
            <w:fldChar w:fldCharType="end"/>
          </w:r>
        </w:p>
      </w:sdtContent>
    </w:sdt>
    <w:p w14:paraId="18254C8D" w14:textId="34ACAC40" w:rsidR="00F123AF" w:rsidRDefault="00F123AF" w:rsidP="0016146B">
      <w:pPr>
        <w:pStyle w:val="TOCHeading"/>
        <w:pBdr>
          <w:top w:val="nil"/>
          <w:left w:val="nil"/>
          <w:bottom w:val="nil"/>
          <w:right w:val="nil"/>
          <w:between w:val="nil"/>
          <w:bar w:val="nil"/>
        </w:pBdr>
        <w:sectPr w:rsidR="00F123AF" w:rsidSect="00D86095">
          <w:type w:val="continuous"/>
          <w:pgSz w:w="11906" w:h="16838"/>
          <w:pgMar w:top="1151" w:right="1440" w:bottom="1729" w:left="1440" w:header="720" w:footer="720" w:gutter="0"/>
          <w:pgBorders>
            <w:top w:val="nil"/>
            <w:left w:val="nil"/>
            <w:bottom w:val="nil"/>
            <w:right w:val="nil"/>
          </w:pgBorders>
          <w:cols w:space="708"/>
          <w:docGrid w:linePitch="360"/>
        </w:sectPr>
      </w:pPr>
    </w:p>
    <w:p w14:paraId="69F66BE7" w14:textId="77777777" w:rsidR="00D00C2D" w:rsidRPr="00481D19" w:rsidRDefault="009B5C32" w:rsidP="001E43A5">
      <w:pPr>
        <w:pStyle w:val="Heading1"/>
        <w:pageBreakBefore/>
        <w:pBdr>
          <w:top w:val="nil"/>
          <w:left w:val="nil"/>
          <w:bottom w:val="nil"/>
          <w:right w:val="nil"/>
          <w:between w:val="nil"/>
          <w:bar w:val="nil"/>
        </w:pBdr>
        <w:rPr>
          <w:rFonts w:ascii="Calibri bold" w:hAnsi="Calibri bold"/>
          <w:sz w:val="40"/>
          <w:szCs w:val="40"/>
        </w:rPr>
      </w:pPr>
      <w:bookmarkStart w:id="3" w:name="RG_MARKER_56707"/>
      <w:bookmarkStart w:id="4" w:name="RG_MARKER_56705"/>
      <w:bookmarkStart w:id="5" w:name="_Toc231374037"/>
      <w:r w:rsidRPr="00481D19">
        <w:rPr>
          <w:rFonts w:ascii="Calibri bold" w:hAnsi="Calibri bold"/>
          <w:sz w:val="40"/>
          <w:szCs w:val="40"/>
        </w:rPr>
        <w:lastRenderedPageBreak/>
        <w:t>INFRASTRUCTURE CANBERRA</w:t>
      </w:r>
      <w:bookmarkEnd w:id="3"/>
      <w:bookmarkEnd w:id="4"/>
      <w:bookmarkEnd w:id="5"/>
    </w:p>
    <w:p w14:paraId="2D9673FB" w14:textId="77777777" w:rsidR="00D00C2D" w:rsidRDefault="009B5C32" w:rsidP="001E43A5">
      <w:pPr>
        <w:pStyle w:val="Heading2"/>
        <w:pBdr>
          <w:top w:val="nil"/>
          <w:left w:val="nil"/>
          <w:bottom w:val="nil"/>
          <w:right w:val="nil"/>
          <w:between w:val="nil"/>
          <w:bar w:val="nil"/>
        </w:pBdr>
      </w:pPr>
      <w:bookmarkStart w:id="6" w:name="_Toc231374038"/>
      <w:r>
        <w:t>Purpose</w:t>
      </w:r>
      <w:bookmarkEnd w:id="6"/>
    </w:p>
    <w:p w14:paraId="7F5FCBAE" w14:textId="2F0702FA" w:rsidR="00114C7C" w:rsidRPr="00E90A33" w:rsidRDefault="00114C7C" w:rsidP="00114C7C">
      <w:pPr>
        <w:pBdr>
          <w:top w:val="nil"/>
          <w:left w:val="nil"/>
          <w:bottom w:val="nil"/>
          <w:right w:val="nil"/>
          <w:between w:val="nil"/>
          <w:bar w:val="nil"/>
        </w:pBdr>
        <w:spacing w:after="160" w:line="256" w:lineRule="auto"/>
        <w:rPr>
          <w:rFonts w:ascii="Calibri" w:eastAsia="Calibri" w:hAnsi="Calibri" w:cs="Times New Roman"/>
          <w:sz w:val="24"/>
          <w:szCs w:val="24"/>
          <w:lang w:val="en-AU"/>
        </w:rPr>
      </w:pPr>
      <w:r w:rsidRPr="00E90A33">
        <w:rPr>
          <w:rFonts w:ascii="Calibri" w:eastAsia="Calibri" w:hAnsi="Calibri" w:cs="Times New Roman"/>
          <w:sz w:val="24"/>
          <w:szCs w:val="24"/>
          <w:lang w:val="en-AU"/>
        </w:rPr>
        <w:t>Infrastructure Canberra (iCBR) is the ACT Government’s leading directorate for capital infrastructure, property, and housing, playing a key role in the life of all Canberrans by creating infrastructure, places and spaces that enrich lives and connect growing and diversifying communities.</w:t>
      </w:r>
    </w:p>
    <w:p w14:paraId="1915C035" w14:textId="77777777" w:rsidR="00114C7C" w:rsidRPr="00E90A33" w:rsidRDefault="00114C7C" w:rsidP="00114C7C">
      <w:pPr>
        <w:pBdr>
          <w:top w:val="nil"/>
          <w:left w:val="nil"/>
          <w:bottom w:val="nil"/>
          <w:right w:val="nil"/>
          <w:between w:val="nil"/>
          <w:bar w:val="nil"/>
        </w:pBdr>
        <w:spacing w:after="160" w:line="256" w:lineRule="auto"/>
        <w:rPr>
          <w:rFonts w:ascii="Calibri" w:eastAsia="Calibri" w:hAnsi="Calibri" w:cs="Times New Roman"/>
          <w:sz w:val="24"/>
          <w:szCs w:val="24"/>
          <w:lang w:val="en-AU"/>
        </w:rPr>
      </w:pPr>
      <w:r w:rsidRPr="00E90A33">
        <w:rPr>
          <w:rFonts w:ascii="Calibri" w:eastAsia="Calibri" w:hAnsi="Calibri" w:cs="Times New Roman"/>
          <w:sz w:val="24"/>
          <w:szCs w:val="24"/>
          <w:lang w:val="en-AU"/>
        </w:rPr>
        <w:t>iCBR’s purpose is to efficiently develop, deliver and maintain infrastructure, places, and spaces. With Our Partners. For Our Community.</w:t>
      </w:r>
    </w:p>
    <w:p w14:paraId="068E80AC" w14:textId="418AAED5" w:rsidR="00114C7C" w:rsidRPr="00E90A33" w:rsidRDefault="00114C7C" w:rsidP="00114C7C">
      <w:pPr>
        <w:pBdr>
          <w:top w:val="nil"/>
          <w:left w:val="nil"/>
          <w:bottom w:val="nil"/>
          <w:right w:val="nil"/>
          <w:between w:val="nil"/>
          <w:bar w:val="nil"/>
        </w:pBdr>
        <w:spacing w:after="160" w:line="256" w:lineRule="auto"/>
        <w:rPr>
          <w:rFonts w:ascii="Calibri" w:eastAsia="Calibri" w:hAnsi="Calibri" w:cs="Times New Roman"/>
          <w:sz w:val="24"/>
          <w:szCs w:val="24"/>
          <w:lang w:val="en-AU"/>
        </w:rPr>
      </w:pPr>
      <w:r w:rsidRPr="00E90A33">
        <w:rPr>
          <w:rFonts w:ascii="Calibri" w:eastAsia="Calibri" w:hAnsi="Calibri" w:cs="Times New Roman"/>
          <w:sz w:val="24"/>
          <w:szCs w:val="24"/>
          <w:lang w:val="en-AU"/>
        </w:rPr>
        <w:t xml:space="preserve">iCBR is guided by a clear set of values and practices that underpin how we deliver for our community. Within this, iCBR has adopted </w:t>
      </w:r>
      <w:r w:rsidRPr="00E90A33">
        <w:rPr>
          <w:rFonts w:ascii="Calibri" w:eastAsia="Calibri" w:hAnsi="Calibri" w:cs="Times New Roman"/>
          <w:i/>
          <w:iCs/>
          <w:sz w:val="24"/>
          <w:szCs w:val="24"/>
          <w:lang w:val="en-AU"/>
        </w:rPr>
        <w:t>Yindyamarra</w:t>
      </w:r>
      <w:r w:rsidRPr="00E90A33">
        <w:rPr>
          <w:rFonts w:ascii="Calibri" w:eastAsia="Calibri" w:hAnsi="Calibri" w:cs="Times New Roman"/>
          <w:sz w:val="24"/>
          <w:szCs w:val="24"/>
          <w:lang w:val="en-AU"/>
        </w:rPr>
        <w:t xml:space="preserve">, which is a culturally informed goal-setting and decision-making framework. </w:t>
      </w:r>
    </w:p>
    <w:p w14:paraId="23EB068D" w14:textId="77777777" w:rsidR="00114C7C" w:rsidRPr="00E90A33" w:rsidRDefault="00114C7C" w:rsidP="00114C7C">
      <w:pPr>
        <w:pBdr>
          <w:top w:val="nil"/>
          <w:left w:val="nil"/>
          <w:bottom w:val="nil"/>
          <w:right w:val="nil"/>
          <w:between w:val="nil"/>
          <w:bar w:val="nil"/>
        </w:pBdr>
        <w:spacing w:after="160" w:line="256" w:lineRule="auto"/>
        <w:rPr>
          <w:rFonts w:ascii="Calibri" w:eastAsia="Calibri" w:hAnsi="Calibri" w:cs="Times New Roman"/>
          <w:sz w:val="24"/>
          <w:szCs w:val="24"/>
          <w:lang w:val="en-AU"/>
        </w:rPr>
      </w:pPr>
      <w:r w:rsidRPr="00E90A33">
        <w:rPr>
          <w:rFonts w:ascii="Calibri" w:eastAsia="Calibri" w:hAnsi="Calibri" w:cs="Times New Roman"/>
          <w:sz w:val="24"/>
          <w:szCs w:val="24"/>
          <w:lang w:val="en-AU"/>
        </w:rPr>
        <w:t>Yindyamarra is based on the cultural wisdom of the Ngunnnawal and Wiradjuri Nations that has been practiced by Aboriginal and Torres Strait Islander communities for thousands of years. It is a collective of five values: To Respect; To Honour; To Be Kind; To Be Gentle; To Be Careful.</w:t>
      </w:r>
    </w:p>
    <w:p w14:paraId="0A670E51" w14:textId="77777777" w:rsidR="00114C7C" w:rsidRPr="00E90A33" w:rsidRDefault="00114C7C" w:rsidP="00114C7C">
      <w:pPr>
        <w:pBdr>
          <w:top w:val="nil"/>
          <w:left w:val="nil"/>
          <w:bottom w:val="nil"/>
          <w:right w:val="nil"/>
          <w:between w:val="nil"/>
          <w:bar w:val="nil"/>
        </w:pBdr>
        <w:spacing w:after="160" w:line="256" w:lineRule="auto"/>
        <w:rPr>
          <w:rFonts w:ascii="Calibri" w:eastAsia="Calibri" w:hAnsi="Calibri" w:cs="Times New Roman"/>
          <w:sz w:val="24"/>
          <w:szCs w:val="24"/>
          <w:lang w:val="en-AU"/>
        </w:rPr>
      </w:pPr>
      <w:r w:rsidRPr="00E90A33">
        <w:rPr>
          <w:rFonts w:ascii="Calibri" w:eastAsia="Calibri" w:hAnsi="Calibri" w:cs="Times New Roman"/>
          <w:sz w:val="24"/>
          <w:szCs w:val="24"/>
          <w:lang w:val="en-AU"/>
        </w:rPr>
        <w:t>iCBR’s strategic objectives reflect key areas of focus.</w:t>
      </w:r>
    </w:p>
    <w:p w14:paraId="79260F93" w14:textId="77777777" w:rsidR="00114C7C" w:rsidRPr="001F407A" w:rsidRDefault="00114C7C" w:rsidP="00114C7C">
      <w:pPr>
        <w:numPr>
          <w:ilvl w:val="0"/>
          <w:numId w:val="6"/>
        </w:numPr>
        <w:spacing w:after="0" w:line="240" w:lineRule="auto"/>
        <w:ind w:left="360"/>
        <w:rPr>
          <w:rFonts w:eastAsia="Times New Roman"/>
          <w:b/>
          <w:bCs/>
          <w:sz w:val="24"/>
          <w:szCs w:val="24"/>
        </w:rPr>
      </w:pPr>
      <w:r w:rsidRPr="001F407A">
        <w:rPr>
          <w:rFonts w:eastAsia="Times New Roman"/>
          <w:b/>
          <w:bCs/>
          <w:sz w:val="24"/>
          <w:szCs w:val="24"/>
        </w:rPr>
        <w:t>OUR PEOPLE AND CULTURE AT OUR HEART</w:t>
      </w:r>
    </w:p>
    <w:p w14:paraId="10E274D2" w14:textId="2D3CCA27" w:rsidR="00114C7C" w:rsidRPr="001F407A" w:rsidRDefault="00114C7C" w:rsidP="00114C7C">
      <w:pPr>
        <w:ind w:left="360"/>
        <w:rPr>
          <w:rFonts w:ascii="Calibri" w:eastAsia="Calibri" w:hAnsi="Calibri" w:cs="Times New Roman"/>
          <w:sz w:val="24"/>
          <w:szCs w:val="24"/>
          <w:lang w:val="en-AU"/>
        </w:rPr>
      </w:pPr>
      <w:r w:rsidRPr="001F407A">
        <w:rPr>
          <w:rFonts w:ascii="Calibri" w:eastAsia="Calibri" w:hAnsi="Calibri" w:cs="Times New Roman"/>
          <w:sz w:val="24"/>
          <w:szCs w:val="24"/>
          <w:lang w:val="en-AU"/>
        </w:rPr>
        <w:t>Our people and environments are diverse, and we are committed to providing a safe, inclusive, healthy workplace based on trust, where performance and kindness thrive in unison.</w:t>
      </w:r>
    </w:p>
    <w:p w14:paraId="5AA852B0" w14:textId="77777777" w:rsidR="00114C7C" w:rsidRPr="001F407A" w:rsidRDefault="00114C7C" w:rsidP="00114C7C">
      <w:pPr>
        <w:numPr>
          <w:ilvl w:val="0"/>
          <w:numId w:val="6"/>
        </w:numPr>
        <w:spacing w:after="0" w:line="240" w:lineRule="auto"/>
        <w:ind w:left="360"/>
        <w:rPr>
          <w:rFonts w:eastAsia="Times New Roman"/>
          <w:b/>
          <w:bCs/>
          <w:sz w:val="24"/>
          <w:szCs w:val="24"/>
        </w:rPr>
      </w:pPr>
      <w:r w:rsidRPr="001F407A">
        <w:rPr>
          <w:rFonts w:eastAsia="Times New Roman"/>
          <w:b/>
          <w:bCs/>
          <w:sz w:val="24"/>
          <w:szCs w:val="24"/>
        </w:rPr>
        <w:t>EXCELLENCE IN SERVICE</w:t>
      </w:r>
    </w:p>
    <w:p w14:paraId="6AD5037F" w14:textId="259C8033" w:rsidR="00114C7C" w:rsidRPr="001F407A" w:rsidRDefault="00114C7C" w:rsidP="00114C7C">
      <w:pPr>
        <w:ind w:left="360"/>
        <w:rPr>
          <w:sz w:val="24"/>
          <w:szCs w:val="24"/>
        </w:rPr>
      </w:pPr>
      <w:r w:rsidRPr="001F407A">
        <w:rPr>
          <w:sz w:val="24"/>
          <w:szCs w:val="24"/>
        </w:rPr>
        <w:t>We exceed expectations. We are the leading experts for whole of Government decision making, investment and implementation in property management, leasing and maintenance, infrastructure and built-form, development, procurement, and delivery.</w:t>
      </w:r>
    </w:p>
    <w:p w14:paraId="08F42257" w14:textId="77777777" w:rsidR="00114C7C" w:rsidRPr="001F407A" w:rsidRDefault="00114C7C" w:rsidP="00114C7C">
      <w:pPr>
        <w:numPr>
          <w:ilvl w:val="0"/>
          <w:numId w:val="6"/>
        </w:numPr>
        <w:spacing w:after="0" w:line="240" w:lineRule="auto"/>
        <w:ind w:left="360"/>
        <w:rPr>
          <w:rFonts w:eastAsia="Times New Roman"/>
          <w:b/>
          <w:bCs/>
          <w:sz w:val="24"/>
          <w:szCs w:val="24"/>
        </w:rPr>
      </w:pPr>
      <w:r w:rsidRPr="001F407A">
        <w:rPr>
          <w:rFonts w:eastAsia="Times New Roman"/>
          <w:b/>
          <w:bCs/>
          <w:sz w:val="24"/>
          <w:szCs w:val="24"/>
        </w:rPr>
        <w:t>PARTNERING FOR SUCCESS</w:t>
      </w:r>
    </w:p>
    <w:p w14:paraId="6890CEAD" w14:textId="50FD698D" w:rsidR="00114C7C" w:rsidRPr="001F407A" w:rsidRDefault="00114C7C" w:rsidP="00114C7C">
      <w:pPr>
        <w:ind w:left="360"/>
        <w:rPr>
          <w:sz w:val="24"/>
          <w:szCs w:val="24"/>
        </w:rPr>
      </w:pPr>
      <w:r w:rsidRPr="001F407A">
        <w:rPr>
          <w:sz w:val="24"/>
          <w:szCs w:val="24"/>
        </w:rPr>
        <w:t>To deliver improved outcomes for our community, we prioritise genuine collaboration and robust governance with directorate and industry partners. We are the ACT Government industry lead and trusted advisors to our partners and decision-makers.</w:t>
      </w:r>
    </w:p>
    <w:p w14:paraId="1655C24E" w14:textId="77777777" w:rsidR="00114C7C" w:rsidRPr="001F407A" w:rsidRDefault="00114C7C" w:rsidP="00114C7C">
      <w:pPr>
        <w:numPr>
          <w:ilvl w:val="0"/>
          <w:numId w:val="6"/>
        </w:numPr>
        <w:spacing w:after="0" w:line="240" w:lineRule="auto"/>
        <w:ind w:left="360"/>
        <w:rPr>
          <w:rFonts w:eastAsia="Times New Roman"/>
          <w:b/>
          <w:bCs/>
          <w:sz w:val="24"/>
          <w:szCs w:val="24"/>
        </w:rPr>
      </w:pPr>
      <w:r w:rsidRPr="001F407A">
        <w:rPr>
          <w:rFonts w:eastAsia="Times New Roman"/>
          <w:b/>
          <w:bCs/>
          <w:sz w:val="24"/>
          <w:szCs w:val="24"/>
        </w:rPr>
        <w:t>BETTER TOOLS FOR OUTSTANDING OUTCOMES</w:t>
      </w:r>
    </w:p>
    <w:p w14:paraId="730BDCAF" w14:textId="77777777" w:rsidR="00114C7C" w:rsidRPr="00E90A33" w:rsidRDefault="00114C7C" w:rsidP="00114C7C">
      <w:pPr>
        <w:ind w:left="360"/>
        <w:rPr>
          <w:sz w:val="24"/>
          <w:szCs w:val="24"/>
        </w:rPr>
      </w:pPr>
      <w:r w:rsidRPr="00E90A33">
        <w:rPr>
          <w:sz w:val="24"/>
          <w:szCs w:val="24"/>
        </w:rPr>
        <w:t>We are growing the capability of our people, services, and industry, supported by data-driven insights, systems and processes that drive high quality outcomes, continuous improvement and challenge the status quo.</w:t>
      </w:r>
    </w:p>
    <w:p w14:paraId="640B14EC" w14:textId="77777777" w:rsidR="00B763C1" w:rsidRDefault="00B763C1" w:rsidP="00B763C1">
      <w:pPr>
        <w:pBdr>
          <w:top w:val="nil"/>
          <w:left w:val="nil"/>
          <w:bottom w:val="nil"/>
          <w:right w:val="nil"/>
          <w:between w:val="nil"/>
          <w:bar w:val="nil"/>
        </w:pBdr>
        <w:spacing w:after="160" w:line="256" w:lineRule="auto"/>
        <w:rPr>
          <w:rFonts w:ascii="Calibri" w:eastAsia="Calibri" w:hAnsi="Calibri" w:cs="Times New Roman"/>
          <w:lang w:val="en-AU"/>
        </w:rPr>
      </w:pPr>
    </w:p>
    <w:p w14:paraId="182E80D2" w14:textId="77777777" w:rsidR="00D00C2D" w:rsidRDefault="009B5C32" w:rsidP="001E43A5">
      <w:pPr>
        <w:pBdr>
          <w:top w:val="nil"/>
          <w:left w:val="nil"/>
          <w:bottom w:val="nil"/>
          <w:right w:val="nil"/>
          <w:between w:val="nil"/>
          <w:bar w:val="nil"/>
        </w:pBdr>
        <w:spacing w:after="160" w:line="256" w:lineRule="auto"/>
        <w:rPr>
          <w:rFonts w:ascii="Calibri" w:eastAsia="Calibri" w:hAnsi="Calibri" w:cs="Times New Roman"/>
          <w:lang w:val="en-AU"/>
        </w:rPr>
      </w:pPr>
      <w:r>
        <w:rPr>
          <w:rFonts w:ascii="Times New Roman" w:eastAsia="Calibri" w:hAnsi="Times New Roman" w:cs="Times New Roman"/>
          <w:sz w:val="24"/>
          <w:szCs w:val="24"/>
          <w:lang w:val="en-AU" w:eastAsia="en-AU"/>
        </w:rPr>
        <w:br w:type="page"/>
      </w:r>
    </w:p>
    <w:p w14:paraId="4B10BF05" w14:textId="77777777" w:rsidR="00D00C2D" w:rsidRDefault="009B5C32" w:rsidP="001E43A5">
      <w:pPr>
        <w:pStyle w:val="Heading2"/>
        <w:pBdr>
          <w:top w:val="nil"/>
          <w:left w:val="nil"/>
          <w:bottom w:val="nil"/>
          <w:right w:val="nil"/>
          <w:between w:val="nil"/>
          <w:bar w:val="nil"/>
        </w:pBdr>
      </w:pPr>
      <w:bookmarkStart w:id="7" w:name="_Toc231374039"/>
      <w:r>
        <w:lastRenderedPageBreak/>
        <w:t>2026-27 Priorities</w:t>
      </w:r>
      <w:bookmarkEnd w:id="7"/>
    </w:p>
    <w:p w14:paraId="301241E2" w14:textId="3C3B9B6D" w:rsidR="00114C7C" w:rsidRPr="00E90A33" w:rsidRDefault="00114C7C" w:rsidP="000F1159">
      <w:pPr>
        <w:spacing w:before="40" w:after="180"/>
        <w:rPr>
          <w:sz w:val="24"/>
          <w:szCs w:val="24"/>
        </w:rPr>
      </w:pPr>
      <w:r w:rsidRPr="00E90A33">
        <w:rPr>
          <w:sz w:val="24"/>
          <w:szCs w:val="24"/>
        </w:rPr>
        <w:t>In 2026-27, iCBR will continue to lead development, procurement, delivery, management, leasing and maintenance of sustainable and transformative infrastructure, places and spaces in the ACT.</w:t>
      </w:r>
    </w:p>
    <w:p w14:paraId="47765265" w14:textId="77777777" w:rsidR="00114C7C" w:rsidRPr="00E90A33" w:rsidRDefault="00114C7C" w:rsidP="00945D1F">
      <w:pPr>
        <w:spacing w:after="120"/>
        <w:rPr>
          <w:sz w:val="24"/>
          <w:szCs w:val="24"/>
        </w:rPr>
      </w:pPr>
      <w:r w:rsidRPr="00E90A33">
        <w:rPr>
          <w:sz w:val="24"/>
          <w:szCs w:val="24"/>
        </w:rPr>
        <w:t>iCBR priorities for 2026-27 include but are not limited to:</w:t>
      </w:r>
    </w:p>
    <w:p w14:paraId="2143B79F" w14:textId="7BD82F4C" w:rsidR="00114C7C" w:rsidRPr="00E90A33" w:rsidRDefault="00114C7C" w:rsidP="00945D1F">
      <w:pPr>
        <w:pStyle w:val="BBullet1"/>
        <w:spacing w:after="80"/>
        <w:ind w:left="425" w:hanging="425"/>
        <w:rPr>
          <w:sz w:val="24"/>
          <w:szCs w:val="24"/>
        </w:rPr>
      </w:pPr>
      <w:r w:rsidRPr="00E90A33">
        <w:rPr>
          <w:sz w:val="24"/>
          <w:szCs w:val="24"/>
        </w:rPr>
        <w:t>continue construction of the light rail network to Commonwealth Park, and conduct planning and approvals to extend the route to Woden</w:t>
      </w:r>
    </w:p>
    <w:p w14:paraId="3DE81AD0" w14:textId="5499C86D" w:rsidR="00114C7C" w:rsidRPr="00E90A33" w:rsidRDefault="00807994" w:rsidP="00945D1F">
      <w:pPr>
        <w:pStyle w:val="BBullet1"/>
        <w:spacing w:after="80"/>
        <w:ind w:left="425" w:hanging="425"/>
        <w:rPr>
          <w:sz w:val="24"/>
          <w:szCs w:val="24"/>
        </w:rPr>
      </w:pPr>
      <w:r w:rsidRPr="00E90A33">
        <w:rPr>
          <w:sz w:val="24"/>
          <w:szCs w:val="24"/>
        </w:rPr>
        <w:t xml:space="preserve">continue </w:t>
      </w:r>
      <w:r w:rsidR="00114C7C" w:rsidRPr="00E90A33">
        <w:rPr>
          <w:sz w:val="24"/>
          <w:szCs w:val="24"/>
        </w:rPr>
        <w:t>construction on a new Lyric Theatre</w:t>
      </w:r>
    </w:p>
    <w:p w14:paraId="0C59856B" w14:textId="76D2B876" w:rsidR="00114C7C" w:rsidRPr="00E90A33" w:rsidRDefault="00A439AE" w:rsidP="00945D1F">
      <w:pPr>
        <w:pStyle w:val="BBullet1"/>
        <w:spacing w:after="80"/>
        <w:ind w:left="425" w:hanging="425"/>
        <w:rPr>
          <w:sz w:val="24"/>
          <w:szCs w:val="24"/>
        </w:rPr>
      </w:pPr>
      <w:r w:rsidRPr="00E90A33">
        <w:rPr>
          <w:sz w:val="24"/>
          <w:szCs w:val="24"/>
        </w:rPr>
        <w:t>continue</w:t>
      </w:r>
      <w:r w:rsidR="00114C7C" w:rsidRPr="00E90A33">
        <w:rPr>
          <w:sz w:val="24"/>
          <w:szCs w:val="24"/>
        </w:rPr>
        <w:t xml:space="preserve"> to progress planning and design for a new aquatic centre in Commonwealth Park</w:t>
      </w:r>
    </w:p>
    <w:p w14:paraId="616003E7" w14:textId="0CFB7670" w:rsidR="00114C7C" w:rsidRPr="00E90A33" w:rsidRDefault="00114C7C" w:rsidP="00945D1F">
      <w:pPr>
        <w:pStyle w:val="BBullet1"/>
        <w:spacing w:after="80"/>
        <w:ind w:left="425" w:hanging="425"/>
        <w:rPr>
          <w:sz w:val="24"/>
          <w:szCs w:val="24"/>
        </w:rPr>
      </w:pPr>
      <w:r w:rsidRPr="00E90A33">
        <w:rPr>
          <w:sz w:val="24"/>
          <w:szCs w:val="24"/>
        </w:rPr>
        <w:t>continue to grow the ACT public housing portfolio toward the target of 13,200 homes by the end of 2030</w:t>
      </w:r>
    </w:p>
    <w:p w14:paraId="6DD55EFB" w14:textId="19960159" w:rsidR="00807994" w:rsidRPr="00E90A33" w:rsidRDefault="00807994" w:rsidP="00945D1F">
      <w:pPr>
        <w:pStyle w:val="BBullet1"/>
        <w:spacing w:after="80"/>
        <w:ind w:left="425" w:hanging="425"/>
        <w:rPr>
          <w:sz w:val="24"/>
          <w:szCs w:val="24"/>
        </w:rPr>
      </w:pPr>
      <w:r w:rsidRPr="00E90A33">
        <w:rPr>
          <w:sz w:val="24"/>
          <w:szCs w:val="24"/>
        </w:rPr>
        <w:t>continue the phased implementation of insourcing Public Housing repairs and maintenance </w:t>
      </w:r>
    </w:p>
    <w:p w14:paraId="3B82B14D" w14:textId="25FB6C00" w:rsidR="00114C7C" w:rsidRPr="00E90A33" w:rsidRDefault="00807994" w:rsidP="00945D1F">
      <w:pPr>
        <w:pStyle w:val="BBullet1"/>
        <w:spacing w:after="80"/>
        <w:ind w:left="425" w:hanging="425"/>
        <w:rPr>
          <w:sz w:val="24"/>
          <w:szCs w:val="24"/>
        </w:rPr>
      </w:pPr>
      <w:r w:rsidRPr="00E90A33">
        <w:rPr>
          <w:sz w:val="24"/>
          <w:szCs w:val="24"/>
          <w:lang w:val="en-US"/>
        </w:rPr>
        <w:t>continue to deliver repairs and maintenance to public housing with increased planned works </w:t>
      </w:r>
      <w:r w:rsidR="00114C7C" w:rsidRPr="00E90A33">
        <w:rPr>
          <w:sz w:val="24"/>
          <w:szCs w:val="24"/>
        </w:rPr>
        <w:t xml:space="preserve">commence </w:t>
      </w:r>
      <w:r w:rsidRPr="00E90A33">
        <w:rPr>
          <w:sz w:val="24"/>
          <w:szCs w:val="24"/>
        </w:rPr>
        <w:t xml:space="preserve">early works and demolition to enable </w:t>
      </w:r>
      <w:r w:rsidR="00114C7C" w:rsidRPr="00E90A33">
        <w:rPr>
          <w:sz w:val="24"/>
          <w:szCs w:val="24"/>
        </w:rPr>
        <w:t>construction of a new, state-of-the-art hospital in Canberra’s North</w:t>
      </w:r>
    </w:p>
    <w:p w14:paraId="1FD89E88" w14:textId="396AF027" w:rsidR="00114C7C" w:rsidRPr="00E90A33" w:rsidRDefault="00114C7C" w:rsidP="00945D1F">
      <w:pPr>
        <w:pStyle w:val="BBullet1"/>
        <w:spacing w:after="80"/>
        <w:ind w:left="425" w:hanging="425"/>
        <w:rPr>
          <w:sz w:val="24"/>
          <w:szCs w:val="24"/>
        </w:rPr>
      </w:pPr>
      <w:r w:rsidRPr="00E90A33">
        <w:rPr>
          <w:sz w:val="24"/>
          <w:szCs w:val="24"/>
        </w:rPr>
        <w:t>continue implementing the Canberra Hospital masterplan, prioritising the delivery of additional parking</w:t>
      </w:r>
    </w:p>
    <w:p w14:paraId="54468CCA" w14:textId="568BCBD4" w:rsidR="00114C7C" w:rsidRPr="00E90A33" w:rsidRDefault="00114C7C" w:rsidP="00945D1F">
      <w:pPr>
        <w:pStyle w:val="BBullet1"/>
        <w:spacing w:after="80"/>
        <w:ind w:left="425" w:hanging="425"/>
        <w:rPr>
          <w:sz w:val="24"/>
          <w:szCs w:val="24"/>
        </w:rPr>
      </w:pPr>
      <w:r w:rsidRPr="00E90A33">
        <w:rPr>
          <w:sz w:val="24"/>
          <w:szCs w:val="24"/>
        </w:rPr>
        <w:t>deliver a new facility for the Child and Adolescent Mental Health Service</w:t>
      </w:r>
    </w:p>
    <w:p w14:paraId="319402DE" w14:textId="4C175EAE" w:rsidR="00114C7C" w:rsidRPr="00E90A33" w:rsidRDefault="00807994" w:rsidP="00945D1F">
      <w:pPr>
        <w:pStyle w:val="BBullet1"/>
        <w:spacing w:after="80"/>
        <w:ind w:left="425" w:hanging="425"/>
        <w:rPr>
          <w:sz w:val="24"/>
          <w:szCs w:val="24"/>
        </w:rPr>
      </w:pPr>
      <w:r w:rsidRPr="00E90A33">
        <w:rPr>
          <w:sz w:val="24"/>
          <w:szCs w:val="24"/>
        </w:rPr>
        <w:t xml:space="preserve">commence operations at the new Gungahlin Community Centre, </w:t>
      </w:r>
      <w:r w:rsidR="00114C7C" w:rsidRPr="00E90A33">
        <w:rPr>
          <w:sz w:val="24"/>
          <w:szCs w:val="24"/>
        </w:rPr>
        <w:t>progress planning and design for new community centres in Woden and Molonglo, and provide upgrades to the Gordon Community Centre</w:t>
      </w:r>
    </w:p>
    <w:p w14:paraId="4EA5C8BF" w14:textId="7DDFBD1A" w:rsidR="00807994" w:rsidRPr="00E90A33" w:rsidRDefault="00807994" w:rsidP="00945D1F">
      <w:pPr>
        <w:pStyle w:val="BBullet1"/>
        <w:spacing w:after="80"/>
        <w:ind w:left="425" w:hanging="425"/>
        <w:rPr>
          <w:sz w:val="24"/>
          <w:szCs w:val="24"/>
        </w:rPr>
      </w:pPr>
      <w:r w:rsidRPr="00E90A33">
        <w:rPr>
          <w:sz w:val="24"/>
          <w:szCs w:val="24"/>
        </w:rPr>
        <w:t>continue the next stage of procurement to deliver a new City Police Station and Headquarters</w:t>
      </w:r>
    </w:p>
    <w:p w14:paraId="163EBE31" w14:textId="153DDE2E" w:rsidR="00114C7C" w:rsidRPr="00E90A33" w:rsidRDefault="00807994" w:rsidP="00945D1F">
      <w:pPr>
        <w:pStyle w:val="BBullet1"/>
        <w:spacing w:after="80"/>
        <w:ind w:left="425" w:hanging="425"/>
        <w:rPr>
          <w:sz w:val="24"/>
          <w:szCs w:val="24"/>
        </w:rPr>
      </w:pPr>
      <w:r w:rsidRPr="00E90A33">
        <w:rPr>
          <w:sz w:val="24"/>
          <w:szCs w:val="24"/>
        </w:rPr>
        <w:t>progress the</w:t>
      </w:r>
      <w:r w:rsidR="00114C7C" w:rsidRPr="00E90A33">
        <w:rPr>
          <w:sz w:val="24"/>
          <w:szCs w:val="24"/>
        </w:rPr>
        <w:t xml:space="preserve"> </w:t>
      </w:r>
      <w:r w:rsidR="00A065CC" w:rsidRPr="00E90A33">
        <w:rPr>
          <w:sz w:val="24"/>
          <w:szCs w:val="24"/>
        </w:rPr>
        <w:t>planning for</w:t>
      </w:r>
      <w:r w:rsidR="00114C7C" w:rsidRPr="00E90A33">
        <w:rPr>
          <w:sz w:val="24"/>
          <w:szCs w:val="24"/>
        </w:rPr>
        <w:t xml:space="preserve"> a dedicated Police Station in the future Molonglo Town Centre</w:t>
      </w:r>
    </w:p>
    <w:p w14:paraId="76B8A065" w14:textId="07FDE387" w:rsidR="00114C7C" w:rsidRPr="00E90A33" w:rsidRDefault="00114C7C" w:rsidP="00945D1F">
      <w:pPr>
        <w:pStyle w:val="BBullet1"/>
        <w:spacing w:after="80"/>
        <w:ind w:left="425" w:hanging="425"/>
        <w:rPr>
          <w:sz w:val="24"/>
          <w:szCs w:val="24"/>
        </w:rPr>
      </w:pPr>
      <w:r w:rsidRPr="00E90A33">
        <w:rPr>
          <w:sz w:val="24"/>
          <w:szCs w:val="24"/>
        </w:rPr>
        <w:t>complete design and commence construction of the Inner South Health Centre</w:t>
      </w:r>
    </w:p>
    <w:p w14:paraId="30A0BD4F" w14:textId="77012041" w:rsidR="00807994" w:rsidRPr="00E90A33" w:rsidRDefault="00807994" w:rsidP="00945D1F">
      <w:pPr>
        <w:pStyle w:val="BBullet1"/>
        <w:spacing w:after="80"/>
        <w:ind w:left="425" w:hanging="425"/>
        <w:rPr>
          <w:sz w:val="24"/>
          <w:szCs w:val="24"/>
        </w:rPr>
      </w:pPr>
      <w:r w:rsidRPr="00E90A33">
        <w:rPr>
          <w:sz w:val="24"/>
          <w:szCs w:val="24"/>
        </w:rPr>
        <w:t>complete construction for the South Tuggeranong Health Centre</w:t>
      </w:r>
    </w:p>
    <w:p w14:paraId="23EE26E0" w14:textId="320E72EF" w:rsidR="00114C7C" w:rsidRPr="00E90A33" w:rsidRDefault="00114C7C" w:rsidP="00945D1F">
      <w:pPr>
        <w:pStyle w:val="BBullet1"/>
        <w:spacing w:after="80"/>
        <w:ind w:left="425" w:hanging="425"/>
        <w:rPr>
          <w:sz w:val="24"/>
          <w:szCs w:val="24"/>
        </w:rPr>
      </w:pPr>
      <w:r w:rsidRPr="00E90A33">
        <w:rPr>
          <w:sz w:val="24"/>
          <w:szCs w:val="24"/>
        </w:rPr>
        <w:t>progress construction on committed major road projects, including Monaro Highway</w:t>
      </w:r>
      <w:r w:rsidR="00FB7229" w:rsidRPr="00E90A33">
        <w:rPr>
          <w:sz w:val="24"/>
          <w:szCs w:val="24"/>
        </w:rPr>
        <w:t xml:space="preserve"> package 1B</w:t>
      </w:r>
      <w:r w:rsidRPr="00E90A33">
        <w:rPr>
          <w:sz w:val="24"/>
          <w:szCs w:val="24"/>
        </w:rPr>
        <w:t>, William Hovell Drive duplication and Athlon Drive duplication</w:t>
      </w:r>
    </w:p>
    <w:p w14:paraId="02561AF2" w14:textId="6F5BF9D6" w:rsidR="00114C7C" w:rsidRPr="00E90A33" w:rsidRDefault="00114C7C" w:rsidP="00945D1F">
      <w:pPr>
        <w:pStyle w:val="BBullet1"/>
        <w:spacing w:after="80"/>
        <w:ind w:left="425" w:hanging="425"/>
        <w:rPr>
          <w:sz w:val="24"/>
          <w:szCs w:val="24"/>
        </w:rPr>
      </w:pPr>
      <w:r w:rsidRPr="00E90A33">
        <w:rPr>
          <w:sz w:val="24"/>
          <w:szCs w:val="24"/>
        </w:rPr>
        <w:t>complete construction of the New Recycling Facility and continue planning for the organic waste processing (FOGO) facility</w:t>
      </w:r>
    </w:p>
    <w:p w14:paraId="0184AC40" w14:textId="0814569C" w:rsidR="00807994" w:rsidRPr="00E90A33" w:rsidRDefault="00807994" w:rsidP="00945D1F">
      <w:pPr>
        <w:pStyle w:val="BBullet1"/>
        <w:spacing w:after="80"/>
        <w:ind w:left="425" w:hanging="425"/>
        <w:rPr>
          <w:sz w:val="24"/>
          <w:szCs w:val="24"/>
        </w:rPr>
      </w:pPr>
      <w:r w:rsidRPr="00E90A33">
        <w:rPr>
          <w:sz w:val="24"/>
          <w:szCs w:val="24"/>
        </w:rPr>
        <w:t>expanding the Belconnen Basketball Stadium with three new courts, including a convertible show court</w:t>
      </w:r>
    </w:p>
    <w:p w14:paraId="59D0C90C" w14:textId="7DF6F3F0" w:rsidR="00807994" w:rsidRPr="00E90A33" w:rsidRDefault="00807994" w:rsidP="00945D1F">
      <w:pPr>
        <w:pStyle w:val="BBullet1"/>
        <w:spacing w:after="80"/>
        <w:ind w:left="425" w:hanging="425"/>
        <w:rPr>
          <w:sz w:val="24"/>
          <w:szCs w:val="24"/>
        </w:rPr>
      </w:pPr>
      <w:r w:rsidRPr="00E90A33">
        <w:rPr>
          <w:sz w:val="24"/>
          <w:szCs w:val="24"/>
        </w:rPr>
        <w:t>continue the electrification of Government buildings and delivering the Public School Heating and Cooling Fund</w:t>
      </w:r>
    </w:p>
    <w:p w14:paraId="39BDBB3C" w14:textId="1455A69A" w:rsidR="00807994" w:rsidRPr="00E90A33" w:rsidRDefault="00807994" w:rsidP="00945D1F">
      <w:pPr>
        <w:pStyle w:val="BBullet1"/>
        <w:spacing w:after="80"/>
        <w:ind w:left="425" w:hanging="425"/>
        <w:rPr>
          <w:sz w:val="24"/>
          <w:szCs w:val="24"/>
        </w:rPr>
      </w:pPr>
      <w:r w:rsidRPr="00E90A33">
        <w:rPr>
          <w:sz w:val="24"/>
          <w:szCs w:val="24"/>
        </w:rPr>
        <w:t>complete construction of a new school in Whitlam</w:t>
      </w:r>
    </w:p>
    <w:p w14:paraId="3EC4C4FD" w14:textId="61DA21A9" w:rsidR="00807994" w:rsidRPr="00E90A33" w:rsidRDefault="00807994" w:rsidP="00945D1F">
      <w:pPr>
        <w:pStyle w:val="BBullet1"/>
        <w:spacing w:after="80"/>
        <w:ind w:left="425" w:hanging="425"/>
        <w:rPr>
          <w:sz w:val="24"/>
          <w:szCs w:val="24"/>
        </w:rPr>
      </w:pPr>
      <w:r w:rsidRPr="00E90A33">
        <w:rPr>
          <w:sz w:val="24"/>
          <w:szCs w:val="24"/>
        </w:rPr>
        <w:t>commence construction for a second college in Gungahlin</w:t>
      </w:r>
    </w:p>
    <w:p w14:paraId="1DC5EFBC" w14:textId="272C5095" w:rsidR="00807994" w:rsidRPr="00E90A33" w:rsidRDefault="00807994" w:rsidP="00945D1F">
      <w:pPr>
        <w:pStyle w:val="BBullet1"/>
        <w:spacing w:after="80"/>
        <w:ind w:left="425" w:hanging="425"/>
        <w:rPr>
          <w:sz w:val="24"/>
          <w:szCs w:val="24"/>
        </w:rPr>
      </w:pPr>
      <w:r w:rsidRPr="00E90A33">
        <w:rPr>
          <w:sz w:val="24"/>
          <w:szCs w:val="24"/>
        </w:rPr>
        <w:lastRenderedPageBreak/>
        <w:t>complete construction of the second stage of Strathnairn School</w:t>
      </w:r>
    </w:p>
    <w:p w14:paraId="4D8AC042" w14:textId="69099A35" w:rsidR="00807994" w:rsidRPr="00E90A33" w:rsidRDefault="00807994" w:rsidP="00945D1F">
      <w:pPr>
        <w:pStyle w:val="BBullet1"/>
        <w:spacing w:after="80"/>
        <w:ind w:left="425" w:hanging="425"/>
        <w:rPr>
          <w:sz w:val="24"/>
          <w:szCs w:val="24"/>
        </w:rPr>
      </w:pPr>
      <w:r w:rsidRPr="00E90A33">
        <w:rPr>
          <w:sz w:val="24"/>
          <w:szCs w:val="24"/>
        </w:rPr>
        <w:t>complete construction of the Narrabundah College modernisation</w:t>
      </w:r>
    </w:p>
    <w:p w14:paraId="5EFE9052" w14:textId="397FB052" w:rsidR="00807994" w:rsidRPr="00E90A33" w:rsidRDefault="00807994" w:rsidP="00945D1F">
      <w:pPr>
        <w:pStyle w:val="BBullet1"/>
        <w:spacing w:after="80"/>
        <w:ind w:left="425" w:hanging="425"/>
        <w:rPr>
          <w:sz w:val="24"/>
          <w:szCs w:val="24"/>
        </w:rPr>
      </w:pPr>
      <w:r w:rsidRPr="00E90A33">
        <w:rPr>
          <w:sz w:val="24"/>
          <w:szCs w:val="24"/>
        </w:rPr>
        <w:t>complete the second stage of construction at Garran Primary School</w:t>
      </w:r>
    </w:p>
    <w:p w14:paraId="66F38CA7" w14:textId="28146266" w:rsidR="00807994" w:rsidRPr="00E90A33" w:rsidRDefault="00807994" w:rsidP="00945D1F">
      <w:pPr>
        <w:pStyle w:val="BBullet1"/>
        <w:spacing w:after="80"/>
        <w:ind w:left="425" w:hanging="425"/>
        <w:rPr>
          <w:sz w:val="24"/>
          <w:szCs w:val="24"/>
        </w:rPr>
      </w:pPr>
      <w:r w:rsidRPr="00E90A33">
        <w:rPr>
          <w:sz w:val="24"/>
          <w:szCs w:val="24"/>
        </w:rPr>
        <w:t>commence construction at Majura Primary School</w:t>
      </w:r>
    </w:p>
    <w:p w14:paraId="2867CDF8" w14:textId="0228A9D3" w:rsidR="00807994" w:rsidRPr="00E90A33" w:rsidRDefault="00807994" w:rsidP="00945D1F">
      <w:pPr>
        <w:pStyle w:val="BBullet1"/>
        <w:spacing w:after="80"/>
        <w:ind w:left="425" w:hanging="425"/>
        <w:rPr>
          <w:sz w:val="24"/>
          <w:szCs w:val="24"/>
        </w:rPr>
      </w:pPr>
      <w:r w:rsidRPr="00E90A33">
        <w:rPr>
          <w:sz w:val="24"/>
          <w:szCs w:val="24"/>
        </w:rPr>
        <w:t>continue to lease, manage and maintain almost 250 public buildings and sites on behalf of the Government.</w:t>
      </w:r>
    </w:p>
    <w:p w14:paraId="0CE1475C" w14:textId="68E6B55E" w:rsidR="007A5722" w:rsidRPr="007A5722" w:rsidRDefault="007A5722" w:rsidP="00E90A33">
      <w:pPr>
        <w:pStyle w:val="BBullet1"/>
        <w:numPr>
          <w:ilvl w:val="0"/>
          <w:numId w:val="0"/>
        </w:numPr>
        <w:pBdr>
          <w:top w:val="nil"/>
          <w:left w:val="nil"/>
          <w:bottom w:val="nil"/>
          <w:right w:val="nil"/>
          <w:between w:val="nil"/>
          <w:bar w:val="nil"/>
        </w:pBdr>
      </w:pPr>
    </w:p>
    <w:p w14:paraId="0FE29CD1" w14:textId="77777777" w:rsidR="00E90A33" w:rsidRDefault="00E90A33">
      <w:pPr>
        <w:rPr>
          <w:rFonts w:ascii="Calibri" w:eastAsia="Times New Roman" w:hAnsi="Calibri" w:cs="Times New Roman"/>
          <w:b/>
          <w:sz w:val="32"/>
          <w:szCs w:val="32"/>
          <w:lang w:val="en-AU"/>
        </w:rPr>
      </w:pPr>
      <w:bookmarkStart w:id="8" w:name="_Toc231374040"/>
      <w:r>
        <w:br w:type="page"/>
      </w:r>
    </w:p>
    <w:p w14:paraId="47F28634" w14:textId="75B73113" w:rsidR="00D00C2D" w:rsidRDefault="009B5C32" w:rsidP="001E43A5">
      <w:pPr>
        <w:pStyle w:val="Heading2"/>
        <w:pBdr>
          <w:top w:val="nil"/>
          <w:left w:val="nil"/>
          <w:bottom w:val="nil"/>
          <w:right w:val="nil"/>
          <w:between w:val="nil"/>
          <w:bar w:val="nil"/>
        </w:pBdr>
      </w:pPr>
      <w:r>
        <w:lastRenderedPageBreak/>
        <w:t>Estimated Employment Levels</w:t>
      </w:r>
      <w:bookmarkEnd w:id="8"/>
    </w:p>
    <w:p w14:paraId="3E134FA8" w14:textId="789533E5" w:rsidR="00D00C2D" w:rsidRDefault="009B5C32" w:rsidP="001E43A5">
      <w:pPr>
        <w:pStyle w:val="Caption"/>
        <w:pBdr>
          <w:top w:val="nil"/>
          <w:left w:val="nil"/>
          <w:bottom w:val="nil"/>
          <w:right w:val="nil"/>
          <w:between w:val="nil"/>
          <w:bar w:val="nil"/>
        </w:pBdr>
      </w:pPr>
      <w:r>
        <w:t xml:space="preserve">Table </w:t>
      </w:r>
      <w:r>
        <w:fldChar w:fldCharType="begin"/>
      </w:r>
      <w:r>
        <w:instrText xml:space="preserve"> SEQ Table \* ARABIC </w:instrText>
      </w:r>
      <w:r>
        <w:fldChar w:fldCharType="separate"/>
      </w:r>
      <w:r w:rsidR="00321B99">
        <w:rPr>
          <w:noProof/>
        </w:rPr>
        <w:t>1</w:t>
      </w:r>
      <w:r>
        <w:rPr>
          <w:noProof/>
        </w:rPr>
        <w:fldChar w:fldCharType="end"/>
      </w:r>
      <w:r>
        <w:t>: Estimated Employment Levels</w:t>
      </w:r>
    </w:p>
    <w:tbl>
      <w:tblPr>
        <w:tblStyle w:val="TableGrid"/>
        <w:tblW w:w="9014"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2409"/>
        <w:gridCol w:w="1810"/>
        <w:gridCol w:w="1598"/>
        <w:gridCol w:w="1598"/>
        <w:gridCol w:w="1599"/>
      </w:tblGrid>
      <w:tr w:rsidR="00143C9C" w14:paraId="3A92899A" w14:textId="77777777" w:rsidTr="00633F76">
        <w:trPr>
          <w:tblHeader/>
        </w:trPr>
        <w:tc>
          <w:tcPr>
            <w:tcW w:w="2409" w:type="dxa"/>
            <w:tcBorders>
              <w:top w:val="single" w:sz="4" w:space="0" w:color="auto"/>
              <w:left w:val="nil"/>
              <w:bottom w:val="single" w:sz="4" w:space="0" w:color="auto"/>
              <w:right w:val="nil"/>
            </w:tcBorders>
          </w:tcPr>
          <w:p w14:paraId="05E3C6E9" w14:textId="77777777" w:rsidR="00D00C2D" w:rsidRDefault="00D00C2D"/>
        </w:tc>
        <w:tc>
          <w:tcPr>
            <w:tcW w:w="1810" w:type="dxa"/>
            <w:tcBorders>
              <w:top w:val="single" w:sz="4" w:space="0" w:color="auto"/>
              <w:left w:val="nil"/>
              <w:bottom w:val="single" w:sz="4" w:space="0" w:color="auto"/>
              <w:right w:val="nil"/>
            </w:tcBorders>
            <w:hideMark/>
          </w:tcPr>
          <w:p w14:paraId="0E529B2F" w14:textId="77777777" w:rsidR="00D00C2D" w:rsidRPr="00DC4611" w:rsidRDefault="009B5C32" w:rsidP="00DC4611">
            <w:pPr>
              <w:pStyle w:val="BTableHeaderText"/>
              <w:pBdr>
                <w:top w:val="nil"/>
                <w:left w:val="nil"/>
                <w:bottom w:val="nil"/>
                <w:right w:val="nil"/>
                <w:between w:val="nil"/>
                <w:bar w:val="nil"/>
              </w:pBdr>
            </w:pPr>
            <w:r w:rsidRPr="00DC4611">
              <w:t>2024-25</w:t>
            </w:r>
          </w:p>
          <w:p w14:paraId="121818F1" w14:textId="7FBE057A" w:rsidR="00D00C2D" w:rsidRDefault="009B5C32" w:rsidP="000B55B1">
            <w:pPr>
              <w:pStyle w:val="BTableHeaderText"/>
              <w:pBdr>
                <w:top w:val="nil"/>
                <w:left w:val="nil"/>
                <w:bottom w:val="nil"/>
                <w:right w:val="nil"/>
                <w:between w:val="nil"/>
                <w:bar w:val="nil"/>
              </w:pBdr>
            </w:pPr>
            <w:r>
              <w:t>Actual</w:t>
            </w:r>
          </w:p>
          <w:p w14:paraId="4181983D" w14:textId="77777777" w:rsidR="00D00C2D" w:rsidRDefault="009B5C32">
            <w:pPr>
              <w:pStyle w:val="BTableHeaderText"/>
              <w:pBdr>
                <w:top w:val="nil"/>
                <w:left w:val="nil"/>
                <w:bottom w:val="nil"/>
                <w:right w:val="nil"/>
                <w:between w:val="nil"/>
                <w:bar w:val="nil"/>
              </w:pBdr>
            </w:pPr>
            <w:r>
              <w:t>Outcome</w:t>
            </w:r>
            <w:r w:rsidR="008B2D01" w:rsidRPr="008B2D01">
              <w:rPr>
                <w:vertAlign w:val="superscript"/>
              </w:rPr>
              <w:t>1</w:t>
            </w:r>
          </w:p>
        </w:tc>
        <w:tc>
          <w:tcPr>
            <w:tcW w:w="1598" w:type="dxa"/>
            <w:tcBorders>
              <w:top w:val="single" w:sz="4" w:space="0" w:color="auto"/>
              <w:left w:val="nil"/>
              <w:bottom w:val="single" w:sz="4" w:space="0" w:color="auto"/>
              <w:right w:val="nil"/>
            </w:tcBorders>
            <w:hideMark/>
          </w:tcPr>
          <w:p w14:paraId="23BA28F7" w14:textId="77777777" w:rsidR="00D00C2D" w:rsidRDefault="009B5C32">
            <w:pPr>
              <w:pStyle w:val="BTableHeaderText"/>
              <w:pBdr>
                <w:top w:val="nil"/>
                <w:left w:val="nil"/>
                <w:bottom w:val="nil"/>
                <w:right w:val="nil"/>
                <w:between w:val="nil"/>
                <w:bar w:val="nil"/>
              </w:pBdr>
            </w:pPr>
            <w:r>
              <w:t>2025-26</w:t>
            </w:r>
          </w:p>
          <w:p w14:paraId="37C2462D" w14:textId="77777777" w:rsidR="00D00C2D" w:rsidRDefault="009B5C32">
            <w:pPr>
              <w:pStyle w:val="BTableHeaderText"/>
              <w:pBdr>
                <w:top w:val="nil"/>
                <w:left w:val="nil"/>
                <w:bottom w:val="nil"/>
                <w:right w:val="nil"/>
                <w:between w:val="nil"/>
                <w:bar w:val="nil"/>
              </w:pBdr>
            </w:pPr>
            <w:r>
              <w:t>Budget</w:t>
            </w:r>
          </w:p>
        </w:tc>
        <w:tc>
          <w:tcPr>
            <w:tcW w:w="1598" w:type="dxa"/>
            <w:tcBorders>
              <w:top w:val="single" w:sz="4" w:space="0" w:color="auto"/>
              <w:left w:val="nil"/>
              <w:bottom w:val="single" w:sz="4" w:space="0" w:color="auto"/>
              <w:right w:val="nil"/>
            </w:tcBorders>
            <w:hideMark/>
          </w:tcPr>
          <w:p w14:paraId="330AF9E6" w14:textId="77777777" w:rsidR="00D00C2D" w:rsidRDefault="009B5C32">
            <w:pPr>
              <w:pStyle w:val="BTableHeaderText"/>
              <w:pBdr>
                <w:top w:val="nil"/>
                <w:left w:val="nil"/>
                <w:bottom w:val="nil"/>
                <w:right w:val="nil"/>
                <w:between w:val="nil"/>
                <w:bar w:val="nil"/>
              </w:pBdr>
            </w:pPr>
            <w:r>
              <w:t>2025-26</w:t>
            </w:r>
          </w:p>
          <w:p w14:paraId="4721C652" w14:textId="77777777" w:rsidR="00D00C2D" w:rsidRPr="00070688" w:rsidRDefault="009B5C32">
            <w:pPr>
              <w:pStyle w:val="BTableHeaderText"/>
              <w:pBdr>
                <w:top w:val="nil"/>
                <w:left w:val="nil"/>
                <w:bottom w:val="nil"/>
                <w:right w:val="nil"/>
                <w:between w:val="nil"/>
                <w:bar w:val="nil"/>
              </w:pBdr>
            </w:pPr>
            <w:r w:rsidRPr="00070688">
              <w:t>Estimated</w:t>
            </w:r>
          </w:p>
          <w:p w14:paraId="75C2027D" w14:textId="77777777" w:rsidR="00D00C2D" w:rsidRDefault="009B5C32">
            <w:pPr>
              <w:pStyle w:val="BTableHeaderText"/>
              <w:pBdr>
                <w:top w:val="nil"/>
                <w:left w:val="nil"/>
                <w:bottom w:val="nil"/>
                <w:right w:val="nil"/>
                <w:between w:val="nil"/>
                <w:bar w:val="nil"/>
              </w:pBdr>
            </w:pPr>
            <w:r w:rsidRPr="00070688">
              <w:t>Outcome</w:t>
            </w:r>
            <w:r w:rsidRPr="00070688">
              <w:rPr>
                <w:vertAlign w:val="superscript"/>
              </w:rPr>
              <w:t>2</w:t>
            </w:r>
          </w:p>
        </w:tc>
        <w:tc>
          <w:tcPr>
            <w:tcW w:w="1599" w:type="dxa"/>
            <w:tcBorders>
              <w:top w:val="single" w:sz="4" w:space="0" w:color="auto"/>
              <w:left w:val="nil"/>
              <w:bottom w:val="single" w:sz="4" w:space="0" w:color="auto"/>
              <w:right w:val="nil"/>
            </w:tcBorders>
          </w:tcPr>
          <w:p w14:paraId="2EE67949" w14:textId="77777777" w:rsidR="00D00C2D" w:rsidRDefault="009B5C32">
            <w:pPr>
              <w:pStyle w:val="BTableHeaderText"/>
              <w:pBdr>
                <w:top w:val="nil"/>
                <w:left w:val="nil"/>
                <w:bottom w:val="nil"/>
                <w:right w:val="nil"/>
                <w:between w:val="nil"/>
                <w:bar w:val="nil"/>
              </w:pBdr>
            </w:pPr>
            <w:r>
              <w:t>2026-27</w:t>
            </w:r>
          </w:p>
          <w:p w14:paraId="5AC7B35E" w14:textId="77777777" w:rsidR="00D00C2D" w:rsidRPr="00070688" w:rsidRDefault="009B5C32">
            <w:pPr>
              <w:pStyle w:val="BTableHeaderText"/>
              <w:pBdr>
                <w:top w:val="nil"/>
                <w:left w:val="nil"/>
                <w:bottom w:val="nil"/>
                <w:right w:val="nil"/>
                <w:between w:val="nil"/>
                <w:bar w:val="nil"/>
              </w:pBdr>
            </w:pPr>
            <w:r w:rsidRPr="00070688">
              <w:t>Budget</w:t>
            </w:r>
            <w:r w:rsidRPr="00070688">
              <w:rPr>
                <w:vertAlign w:val="superscript"/>
              </w:rPr>
              <w:t>3</w:t>
            </w:r>
          </w:p>
          <w:p w14:paraId="3A3912C9" w14:textId="77777777" w:rsidR="00D00C2D" w:rsidRDefault="00D00C2D">
            <w:pPr>
              <w:pStyle w:val="BTableHeaderText"/>
            </w:pPr>
          </w:p>
        </w:tc>
      </w:tr>
      <w:tr w:rsidR="00143C9C" w14:paraId="000C1DA3" w14:textId="77777777" w:rsidTr="00633F76">
        <w:tc>
          <w:tcPr>
            <w:tcW w:w="2409" w:type="dxa"/>
            <w:tcBorders>
              <w:top w:val="single" w:sz="4" w:space="0" w:color="auto"/>
              <w:left w:val="nil"/>
              <w:bottom w:val="single" w:sz="4" w:space="0" w:color="auto"/>
              <w:right w:val="nil"/>
            </w:tcBorders>
            <w:hideMark/>
          </w:tcPr>
          <w:p w14:paraId="22B5B7F5" w14:textId="77777777" w:rsidR="00D00C2D" w:rsidRDefault="009B5C32">
            <w:pPr>
              <w:pBdr>
                <w:top w:val="nil"/>
                <w:left w:val="nil"/>
                <w:bottom w:val="nil"/>
                <w:right w:val="nil"/>
                <w:between w:val="nil"/>
                <w:bar w:val="nil"/>
              </w:pBdr>
              <w:rPr>
                <w:b/>
                <w:bCs/>
                <w:sz w:val="20"/>
                <w:szCs w:val="20"/>
              </w:rPr>
            </w:pPr>
            <w:r>
              <w:rPr>
                <w:b/>
                <w:bCs/>
                <w:sz w:val="20"/>
                <w:szCs w:val="20"/>
              </w:rPr>
              <w:t>Staffing (FTE)</w:t>
            </w:r>
          </w:p>
        </w:tc>
        <w:tc>
          <w:tcPr>
            <w:tcW w:w="1810" w:type="dxa"/>
            <w:tcBorders>
              <w:top w:val="single" w:sz="4" w:space="0" w:color="auto"/>
              <w:left w:val="nil"/>
              <w:bottom w:val="single" w:sz="4" w:space="0" w:color="auto"/>
              <w:right w:val="nil"/>
            </w:tcBorders>
            <w:hideMark/>
          </w:tcPr>
          <w:p w14:paraId="305EF1C5" w14:textId="77777777" w:rsidR="00D00C2D" w:rsidRDefault="009B5C32">
            <w:pPr>
              <w:pBdr>
                <w:top w:val="nil"/>
                <w:left w:val="nil"/>
                <w:bottom w:val="nil"/>
                <w:right w:val="nil"/>
                <w:between w:val="nil"/>
                <w:bar w:val="nil"/>
              </w:pBdr>
              <w:jc w:val="right"/>
              <w:rPr>
                <w:sz w:val="20"/>
                <w:szCs w:val="20"/>
              </w:rPr>
            </w:pPr>
            <w:r>
              <w:rPr>
                <w:sz w:val="20"/>
                <w:szCs w:val="20"/>
              </w:rPr>
              <w:t>532</w:t>
            </w:r>
          </w:p>
        </w:tc>
        <w:tc>
          <w:tcPr>
            <w:tcW w:w="1598" w:type="dxa"/>
            <w:tcBorders>
              <w:top w:val="single" w:sz="4" w:space="0" w:color="auto"/>
              <w:left w:val="nil"/>
              <w:bottom w:val="single" w:sz="4" w:space="0" w:color="auto"/>
              <w:right w:val="nil"/>
            </w:tcBorders>
            <w:hideMark/>
          </w:tcPr>
          <w:p w14:paraId="456DDC25" w14:textId="77777777" w:rsidR="00D00C2D" w:rsidRDefault="009B5C32">
            <w:pPr>
              <w:pBdr>
                <w:top w:val="nil"/>
                <w:left w:val="nil"/>
                <w:bottom w:val="nil"/>
                <w:right w:val="nil"/>
                <w:between w:val="nil"/>
                <w:bar w:val="nil"/>
              </w:pBdr>
              <w:jc w:val="right"/>
              <w:rPr>
                <w:sz w:val="20"/>
                <w:szCs w:val="20"/>
              </w:rPr>
            </w:pPr>
            <w:r>
              <w:rPr>
                <w:sz w:val="20"/>
                <w:szCs w:val="20"/>
              </w:rPr>
              <w:t>628</w:t>
            </w:r>
          </w:p>
        </w:tc>
        <w:tc>
          <w:tcPr>
            <w:tcW w:w="1598" w:type="dxa"/>
            <w:tcBorders>
              <w:top w:val="single" w:sz="4" w:space="0" w:color="auto"/>
              <w:left w:val="nil"/>
              <w:bottom w:val="single" w:sz="4" w:space="0" w:color="auto"/>
              <w:right w:val="nil"/>
            </w:tcBorders>
            <w:hideMark/>
          </w:tcPr>
          <w:p w14:paraId="22A35F85" w14:textId="37E5291C" w:rsidR="00D00C2D" w:rsidRDefault="009B5C32" w:rsidP="000B55B1">
            <w:pPr>
              <w:pBdr>
                <w:top w:val="nil"/>
                <w:left w:val="nil"/>
                <w:bottom w:val="nil"/>
                <w:right w:val="nil"/>
                <w:between w:val="nil"/>
                <w:bar w:val="nil"/>
              </w:pBdr>
              <w:jc w:val="right"/>
              <w:rPr>
                <w:sz w:val="20"/>
                <w:szCs w:val="20"/>
              </w:rPr>
            </w:pPr>
            <w:r>
              <w:rPr>
                <w:sz w:val="20"/>
                <w:szCs w:val="20"/>
              </w:rPr>
              <w:t>668</w:t>
            </w:r>
          </w:p>
        </w:tc>
        <w:tc>
          <w:tcPr>
            <w:tcW w:w="1599" w:type="dxa"/>
            <w:tcBorders>
              <w:top w:val="single" w:sz="4" w:space="0" w:color="auto"/>
              <w:left w:val="nil"/>
              <w:bottom w:val="single" w:sz="4" w:space="0" w:color="auto"/>
              <w:right w:val="nil"/>
            </w:tcBorders>
            <w:hideMark/>
          </w:tcPr>
          <w:p w14:paraId="70943041" w14:textId="6D66E086" w:rsidR="00D00C2D" w:rsidRDefault="009B5C32" w:rsidP="000B55B1">
            <w:pPr>
              <w:pBdr>
                <w:top w:val="nil"/>
                <w:left w:val="nil"/>
                <w:bottom w:val="nil"/>
                <w:right w:val="nil"/>
                <w:between w:val="nil"/>
                <w:bar w:val="nil"/>
              </w:pBdr>
              <w:jc w:val="right"/>
              <w:rPr>
                <w:sz w:val="20"/>
                <w:szCs w:val="20"/>
              </w:rPr>
            </w:pPr>
            <w:r>
              <w:rPr>
                <w:sz w:val="20"/>
                <w:szCs w:val="20"/>
              </w:rPr>
              <w:t>695</w:t>
            </w:r>
          </w:p>
        </w:tc>
      </w:tr>
    </w:tbl>
    <w:p w14:paraId="6BD9989B" w14:textId="77777777" w:rsidR="00D00C2D" w:rsidRDefault="009B5C32" w:rsidP="001E43A5">
      <w:pPr>
        <w:pStyle w:val="BNote"/>
        <w:pBdr>
          <w:top w:val="nil"/>
          <w:left w:val="nil"/>
          <w:bottom w:val="nil"/>
          <w:right w:val="nil"/>
          <w:between w:val="nil"/>
          <w:bar w:val="nil"/>
        </w:pBdr>
        <w:rPr>
          <w:b/>
          <w:bCs/>
        </w:rPr>
      </w:pPr>
      <w:r>
        <w:rPr>
          <w:b/>
          <w:bCs/>
        </w:rPr>
        <w:t>Note(s):</w:t>
      </w:r>
    </w:p>
    <w:p w14:paraId="15C05A77" w14:textId="7AECB8F1" w:rsidR="002A2490" w:rsidRDefault="009B5C32" w:rsidP="00DD1CF6">
      <w:pPr>
        <w:pStyle w:val="BNotelist"/>
        <w:numPr>
          <w:ilvl w:val="0"/>
          <w:numId w:val="8"/>
        </w:numPr>
        <w:pBdr>
          <w:top w:val="nil"/>
          <w:left w:val="nil"/>
          <w:bottom w:val="nil"/>
          <w:right w:val="nil"/>
          <w:between w:val="nil"/>
          <w:bar w:val="nil"/>
        </w:pBdr>
        <w:jc w:val="both"/>
      </w:pPr>
      <w:r w:rsidRPr="00DB7D37">
        <w:t>The figure</w:t>
      </w:r>
      <w:r>
        <w:t>s</w:t>
      </w:r>
      <w:r w:rsidRPr="00DB7D37">
        <w:t xml:space="preserve"> provided reflect</w:t>
      </w:r>
      <w:r w:rsidR="007A3713">
        <w:t xml:space="preserve"> the staffing levels as </w:t>
      </w:r>
      <w:r w:rsidR="00DC4611">
        <w:t>of</w:t>
      </w:r>
      <w:r w:rsidR="007A3713">
        <w:t xml:space="preserve"> 30 June 2025</w:t>
      </w:r>
      <w:r>
        <w:t xml:space="preserve"> for Infrastructure Canberra. </w:t>
      </w:r>
    </w:p>
    <w:p w14:paraId="0F5B3491" w14:textId="03D97C47" w:rsidR="00B66BFF" w:rsidRDefault="009B5C32" w:rsidP="00DD1CF6">
      <w:pPr>
        <w:pStyle w:val="BNotelist"/>
        <w:numPr>
          <w:ilvl w:val="0"/>
          <w:numId w:val="8"/>
        </w:numPr>
        <w:pBdr>
          <w:top w:val="nil"/>
          <w:left w:val="nil"/>
          <w:bottom w:val="nil"/>
          <w:right w:val="nil"/>
          <w:between w:val="nil"/>
          <w:bar w:val="nil"/>
        </w:pBdr>
        <w:jc w:val="both"/>
      </w:pPr>
      <w:r w:rsidRPr="00B66BFF">
        <w:t xml:space="preserve">The increase in the 2025-26 estimated outcome reflects Budget Review decisions, including machinery of government </w:t>
      </w:r>
      <w:r w:rsidR="00DD6DA7">
        <w:t>outcomes.</w:t>
      </w:r>
    </w:p>
    <w:p w14:paraId="38FC4E08" w14:textId="498173AE" w:rsidR="00B66BFF" w:rsidRDefault="009B5C32" w:rsidP="00DD1CF6">
      <w:pPr>
        <w:pStyle w:val="BNotelist"/>
        <w:numPr>
          <w:ilvl w:val="0"/>
          <w:numId w:val="8"/>
        </w:numPr>
        <w:pBdr>
          <w:top w:val="nil"/>
          <w:left w:val="nil"/>
          <w:bottom w:val="nil"/>
          <w:right w:val="nil"/>
          <w:between w:val="nil"/>
          <w:bar w:val="nil"/>
        </w:pBdr>
        <w:jc w:val="both"/>
      </w:pPr>
      <w:r w:rsidRPr="00B66BFF">
        <w:t>The increase in the 2026-2027 Budget compared to the 2025-26 Estimated Outcome is due to new initiatives commencing in 2026-27.</w:t>
      </w:r>
    </w:p>
    <w:p w14:paraId="424A5AF4" w14:textId="77777777" w:rsidR="007A3713" w:rsidRPr="00E500AC" w:rsidRDefault="009B5C32" w:rsidP="00B66BFF">
      <w:pPr>
        <w:pStyle w:val="BNotelist"/>
        <w:pBdr>
          <w:top w:val="nil"/>
          <w:left w:val="nil"/>
          <w:bottom w:val="nil"/>
          <w:right w:val="nil"/>
          <w:between w:val="nil"/>
          <w:bar w:val="nil"/>
        </w:pBdr>
        <w:ind w:left="360"/>
      </w:pPr>
      <w:r>
        <w:br w:type="page"/>
      </w:r>
    </w:p>
    <w:p w14:paraId="5AAFDC64" w14:textId="77777777" w:rsidR="00E5270D" w:rsidRPr="000B55B1" w:rsidRDefault="00E5270D" w:rsidP="00575A0E">
      <w:pPr>
        <w:pStyle w:val="Heading2"/>
        <w:rPr>
          <w:rFonts w:eastAsia="Calibri"/>
        </w:rPr>
      </w:pPr>
      <w:bookmarkStart w:id="9" w:name="_Toc200986842"/>
      <w:bookmarkStart w:id="10" w:name="_Toc231374041"/>
      <w:r w:rsidRPr="000B55B1">
        <w:rPr>
          <w:rFonts w:eastAsia="Calibri"/>
        </w:rPr>
        <w:lastRenderedPageBreak/>
        <w:t>Strategic Objectives and Indicators</w:t>
      </w:r>
      <w:bookmarkEnd w:id="9"/>
      <w:bookmarkEnd w:id="10"/>
    </w:p>
    <w:p w14:paraId="6F75A0CD" w14:textId="77777777" w:rsidR="00633F76" w:rsidRPr="000B55B1" w:rsidRDefault="00E5270D" w:rsidP="000B55B1">
      <w:pPr>
        <w:pStyle w:val="Heading3"/>
        <w:rPr>
          <w:rFonts w:eastAsia="Calibri"/>
        </w:rPr>
      </w:pPr>
      <w:r w:rsidRPr="000B55B1">
        <w:rPr>
          <w:rFonts w:eastAsia="Calibri"/>
        </w:rPr>
        <w:t>Strategic Objective 1</w:t>
      </w:r>
    </w:p>
    <w:p w14:paraId="455F472E" w14:textId="01D8A66F" w:rsidR="00E5270D" w:rsidRPr="00575A0E" w:rsidRDefault="00E5270D" w:rsidP="000B55B1">
      <w:pPr>
        <w:pStyle w:val="Heading4"/>
      </w:pPr>
      <w:r w:rsidRPr="00575A0E">
        <w:t>Our people and culture at our heart</w:t>
      </w:r>
    </w:p>
    <w:p w14:paraId="733A7AF0" w14:textId="77777777" w:rsidR="00E5270D" w:rsidRPr="000B55B1" w:rsidRDefault="00E5270D" w:rsidP="000B55B1">
      <w:pPr>
        <w:pBdr>
          <w:top w:val="nil"/>
          <w:left w:val="nil"/>
          <w:bottom w:val="nil"/>
          <w:right w:val="nil"/>
          <w:between w:val="nil"/>
          <w:bar w:val="nil"/>
        </w:pBdr>
        <w:spacing w:after="120"/>
        <w:rPr>
          <w:rFonts w:ascii="Calibri" w:eastAsia="Times New Roman" w:hAnsi="Calibri" w:cs="Times New Roman"/>
          <w:bCs/>
          <w:iCs/>
          <w:sz w:val="24"/>
          <w:szCs w:val="24"/>
        </w:rPr>
      </w:pPr>
      <w:r w:rsidRPr="000B55B1">
        <w:rPr>
          <w:rFonts w:ascii="Calibri" w:eastAsia="Times New Roman" w:hAnsi="Calibri" w:cs="Times New Roman"/>
          <w:bCs/>
          <w:iCs/>
          <w:sz w:val="24"/>
          <w:szCs w:val="24"/>
        </w:rPr>
        <w:t>Our people and environments are diverse, and we are committed to providing a safe, inclusive, healthy workplace based on trust, where performance and kindness thrive in unison.</w:t>
      </w:r>
    </w:p>
    <w:p w14:paraId="258B311D" w14:textId="77777777" w:rsidR="00E5270D" w:rsidRPr="001F407A" w:rsidRDefault="00E5270D" w:rsidP="000B55B1">
      <w:pPr>
        <w:pBdr>
          <w:top w:val="nil"/>
          <w:left w:val="nil"/>
          <w:bottom w:val="nil"/>
          <w:right w:val="nil"/>
          <w:between w:val="nil"/>
          <w:bar w:val="nil"/>
        </w:pBdr>
        <w:spacing w:after="120"/>
        <w:rPr>
          <w:rFonts w:ascii="Calibri" w:eastAsia="Calibri" w:hAnsi="Calibri" w:cs="Arial"/>
          <w:sz w:val="24"/>
          <w:szCs w:val="24"/>
        </w:rPr>
      </w:pPr>
      <w:r w:rsidRPr="001F407A">
        <w:rPr>
          <w:rFonts w:ascii="Calibri" w:eastAsia="Calibri" w:hAnsi="Calibri" w:cs="Arial"/>
          <w:b/>
          <w:bCs/>
          <w:sz w:val="24"/>
          <w:szCs w:val="24"/>
        </w:rPr>
        <w:t xml:space="preserve">Strategic Indicator 1.1: </w:t>
      </w:r>
      <w:r w:rsidRPr="001F407A">
        <w:rPr>
          <w:rFonts w:ascii="Calibri" w:eastAsia="Calibri" w:hAnsi="Calibri" w:cs="Arial"/>
          <w:sz w:val="24"/>
          <w:szCs w:val="24"/>
        </w:rPr>
        <w:t>We have a culture of knowledge sharing and continuous learning and support long term career development across the ACT Public Service and industry.</w:t>
      </w:r>
    </w:p>
    <w:p w14:paraId="67E7FCF9" w14:textId="61EF2523" w:rsidR="00E5270D" w:rsidRPr="001F407A" w:rsidRDefault="00E5270D" w:rsidP="000B55B1">
      <w:pPr>
        <w:pBdr>
          <w:top w:val="nil"/>
          <w:left w:val="nil"/>
          <w:bottom w:val="nil"/>
          <w:right w:val="nil"/>
          <w:between w:val="nil"/>
          <w:bar w:val="nil"/>
        </w:pBdr>
        <w:spacing w:after="120"/>
        <w:rPr>
          <w:rFonts w:ascii="Calibri" w:eastAsia="Calibri" w:hAnsi="Calibri" w:cs="Arial"/>
          <w:sz w:val="24"/>
          <w:szCs w:val="24"/>
        </w:rPr>
      </w:pPr>
      <w:r w:rsidRPr="001F407A">
        <w:rPr>
          <w:rFonts w:ascii="Calibri" w:eastAsia="Calibri" w:hAnsi="Calibri" w:cs="Arial"/>
          <w:b/>
          <w:bCs/>
          <w:sz w:val="24"/>
          <w:szCs w:val="24"/>
        </w:rPr>
        <w:t xml:space="preserve">Table </w:t>
      </w:r>
      <w:r w:rsidR="00633F76" w:rsidRPr="001F407A">
        <w:rPr>
          <w:rFonts w:ascii="Calibri" w:eastAsia="Calibri" w:hAnsi="Calibri" w:cs="Arial"/>
          <w:b/>
          <w:bCs/>
          <w:sz w:val="24"/>
          <w:szCs w:val="24"/>
        </w:rPr>
        <w:t>2</w:t>
      </w:r>
      <w:r w:rsidRPr="001F407A">
        <w:rPr>
          <w:rFonts w:ascii="Calibri" w:eastAsia="Calibri" w:hAnsi="Calibri" w:cs="Arial"/>
          <w:b/>
          <w:bCs/>
          <w:sz w:val="24"/>
          <w:szCs w:val="24"/>
        </w:rPr>
        <w:t>: Strategic Indicator 1.1 Measure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5"/>
        <w:gridCol w:w="2442"/>
      </w:tblGrid>
      <w:tr w:rsidR="00E5270D" w:rsidRPr="00DF002B" w14:paraId="14608045" w14:textId="77777777" w:rsidTr="00633F76">
        <w:trPr>
          <w:tblHeader/>
        </w:trPr>
        <w:tc>
          <w:tcPr>
            <w:tcW w:w="3629" w:type="pct"/>
            <w:tcBorders>
              <w:top w:val="single" w:sz="4" w:space="0" w:color="auto"/>
              <w:left w:val="nil"/>
              <w:bottom w:val="single" w:sz="4" w:space="0" w:color="auto"/>
              <w:right w:val="nil"/>
            </w:tcBorders>
          </w:tcPr>
          <w:p w14:paraId="49E0DBAF" w14:textId="77777777" w:rsidR="00E5270D" w:rsidRPr="00DF002B" w:rsidRDefault="00E5270D">
            <w:pPr>
              <w:rPr>
                <w:b/>
                <w:bCs/>
                <w:sz w:val="20"/>
                <w:szCs w:val="20"/>
              </w:rPr>
            </w:pPr>
            <w:r w:rsidRPr="00DF002B">
              <w:rPr>
                <w:b/>
                <w:bCs/>
                <w:sz w:val="20"/>
                <w:szCs w:val="20"/>
              </w:rPr>
              <w:t>Strategic Indicator</w:t>
            </w:r>
          </w:p>
        </w:tc>
        <w:tc>
          <w:tcPr>
            <w:tcW w:w="1371" w:type="pct"/>
            <w:tcBorders>
              <w:top w:val="single" w:sz="4" w:space="0" w:color="auto"/>
              <w:left w:val="nil"/>
              <w:bottom w:val="single" w:sz="4" w:space="0" w:color="auto"/>
              <w:right w:val="nil"/>
            </w:tcBorders>
            <w:hideMark/>
          </w:tcPr>
          <w:p w14:paraId="5258B2BF" w14:textId="09C68E95" w:rsidR="00E5270D" w:rsidRPr="00DF002B" w:rsidRDefault="00E5270D">
            <w:pPr>
              <w:pBdr>
                <w:top w:val="nil"/>
                <w:left w:val="nil"/>
                <w:bottom w:val="nil"/>
                <w:right w:val="nil"/>
                <w:between w:val="nil"/>
                <w:bar w:val="nil"/>
              </w:pBdr>
              <w:jc w:val="right"/>
              <w:rPr>
                <w:b/>
                <w:bCs/>
                <w:sz w:val="20"/>
                <w:szCs w:val="20"/>
              </w:rPr>
            </w:pPr>
            <w:r w:rsidRPr="00DF002B">
              <w:rPr>
                <w:b/>
                <w:bCs/>
                <w:sz w:val="20"/>
                <w:szCs w:val="20"/>
              </w:rPr>
              <w:t>202</w:t>
            </w:r>
            <w:r w:rsidR="00633F76">
              <w:rPr>
                <w:b/>
                <w:bCs/>
                <w:sz w:val="20"/>
                <w:szCs w:val="20"/>
              </w:rPr>
              <w:t>6</w:t>
            </w:r>
            <w:r w:rsidRPr="00DF002B">
              <w:rPr>
                <w:b/>
                <w:bCs/>
                <w:sz w:val="20"/>
                <w:szCs w:val="20"/>
              </w:rPr>
              <w:t>-2</w:t>
            </w:r>
            <w:r w:rsidR="00633F76">
              <w:rPr>
                <w:b/>
                <w:bCs/>
                <w:sz w:val="20"/>
                <w:szCs w:val="20"/>
              </w:rPr>
              <w:t>7</w:t>
            </w:r>
          </w:p>
          <w:p w14:paraId="2FCE31FD" w14:textId="77777777" w:rsidR="00E5270D" w:rsidRPr="00DF002B" w:rsidRDefault="00E5270D">
            <w:pPr>
              <w:pBdr>
                <w:top w:val="nil"/>
                <w:left w:val="nil"/>
                <w:bottom w:val="nil"/>
                <w:right w:val="nil"/>
                <w:between w:val="nil"/>
                <w:bar w:val="nil"/>
              </w:pBdr>
              <w:jc w:val="right"/>
              <w:rPr>
                <w:b/>
                <w:bCs/>
                <w:sz w:val="20"/>
                <w:szCs w:val="20"/>
              </w:rPr>
            </w:pPr>
            <w:r w:rsidRPr="00DF002B">
              <w:rPr>
                <w:b/>
                <w:bCs/>
                <w:sz w:val="20"/>
                <w:szCs w:val="20"/>
              </w:rPr>
              <w:t>Targets</w:t>
            </w:r>
          </w:p>
        </w:tc>
      </w:tr>
      <w:tr w:rsidR="00E5270D" w:rsidRPr="00DF002B" w14:paraId="25D122BE" w14:textId="77777777" w:rsidTr="00633F76">
        <w:tc>
          <w:tcPr>
            <w:tcW w:w="3629" w:type="pct"/>
            <w:tcBorders>
              <w:top w:val="single" w:sz="4" w:space="0" w:color="auto"/>
              <w:left w:val="nil"/>
              <w:right w:val="nil"/>
            </w:tcBorders>
          </w:tcPr>
          <w:p w14:paraId="552583DF" w14:textId="77777777" w:rsidR="00E5270D" w:rsidRPr="001F407A" w:rsidRDefault="00E5270D" w:rsidP="00E5270D">
            <w:pPr>
              <w:numPr>
                <w:ilvl w:val="0"/>
                <w:numId w:val="32"/>
              </w:numPr>
              <w:pBdr>
                <w:top w:val="nil"/>
                <w:left w:val="nil"/>
                <w:bottom w:val="nil"/>
                <w:right w:val="nil"/>
                <w:between w:val="nil"/>
                <w:bar w:val="nil"/>
              </w:pBdr>
              <w:rPr>
                <w:rFonts w:cs="Calibri"/>
                <w:sz w:val="20"/>
                <w:szCs w:val="20"/>
              </w:rPr>
            </w:pPr>
            <w:r w:rsidRPr="001F407A">
              <w:rPr>
                <w:rFonts w:cs="Calibri"/>
                <w:sz w:val="20"/>
                <w:szCs w:val="20"/>
              </w:rPr>
              <w:t>Develop and launch a Culture Transformation Plan</w:t>
            </w:r>
          </w:p>
        </w:tc>
        <w:tc>
          <w:tcPr>
            <w:tcW w:w="1371" w:type="pct"/>
            <w:tcBorders>
              <w:top w:val="single" w:sz="4" w:space="0" w:color="auto"/>
              <w:left w:val="nil"/>
              <w:right w:val="nil"/>
            </w:tcBorders>
          </w:tcPr>
          <w:p w14:paraId="1B40F3AE" w14:textId="77777777" w:rsidR="00E5270D" w:rsidRPr="001F407A" w:rsidRDefault="00E5270D">
            <w:pPr>
              <w:jc w:val="right"/>
              <w:rPr>
                <w:sz w:val="20"/>
                <w:szCs w:val="20"/>
              </w:rPr>
            </w:pPr>
            <w:r w:rsidRPr="001F407A">
              <w:rPr>
                <w:sz w:val="20"/>
                <w:szCs w:val="20"/>
              </w:rPr>
              <w:t>100%</w:t>
            </w:r>
          </w:p>
        </w:tc>
      </w:tr>
      <w:tr w:rsidR="00E5270D" w:rsidRPr="00DF002B" w14:paraId="0CC80905" w14:textId="77777777" w:rsidTr="00633F76">
        <w:tc>
          <w:tcPr>
            <w:tcW w:w="3629" w:type="pct"/>
            <w:tcBorders>
              <w:left w:val="nil"/>
              <w:bottom w:val="single" w:sz="4" w:space="0" w:color="auto"/>
              <w:right w:val="nil"/>
            </w:tcBorders>
          </w:tcPr>
          <w:p w14:paraId="632EA644" w14:textId="77777777" w:rsidR="00E5270D" w:rsidRPr="001F407A" w:rsidRDefault="00E5270D" w:rsidP="00E5270D">
            <w:pPr>
              <w:numPr>
                <w:ilvl w:val="0"/>
                <w:numId w:val="32"/>
              </w:numPr>
              <w:pBdr>
                <w:top w:val="nil"/>
                <w:left w:val="nil"/>
                <w:bottom w:val="nil"/>
                <w:right w:val="nil"/>
                <w:between w:val="nil"/>
                <w:bar w:val="nil"/>
              </w:pBdr>
              <w:rPr>
                <w:rFonts w:cs="Calibri"/>
                <w:sz w:val="20"/>
                <w:szCs w:val="20"/>
              </w:rPr>
            </w:pPr>
            <w:r w:rsidRPr="001F407A">
              <w:rPr>
                <w:rFonts w:cs="Calibri"/>
                <w:sz w:val="20"/>
                <w:szCs w:val="20"/>
              </w:rPr>
              <w:t>Staff undertaking required core learning</w:t>
            </w:r>
          </w:p>
        </w:tc>
        <w:tc>
          <w:tcPr>
            <w:tcW w:w="1371" w:type="pct"/>
            <w:tcBorders>
              <w:left w:val="nil"/>
              <w:bottom w:val="single" w:sz="4" w:space="0" w:color="auto"/>
              <w:right w:val="nil"/>
            </w:tcBorders>
          </w:tcPr>
          <w:p w14:paraId="0FAD7757" w14:textId="77777777" w:rsidR="00E5270D" w:rsidRPr="001F407A" w:rsidRDefault="00E5270D">
            <w:pPr>
              <w:jc w:val="right"/>
              <w:rPr>
                <w:sz w:val="20"/>
                <w:szCs w:val="20"/>
              </w:rPr>
            </w:pPr>
            <w:r w:rsidRPr="001F407A">
              <w:rPr>
                <w:sz w:val="20"/>
                <w:szCs w:val="20"/>
              </w:rPr>
              <w:t>80%</w:t>
            </w:r>
          </w:p>
        </w:tc>
      </w:tr>
    </w:tbl>
    <w:p w14:paraId="710EB212" w14:textId="77777777" w:rsidR="00E5270D" w:rsidRPr="00DF002B" w:rsidRDefault="00E5270D" w:rsidP="00E5270D">
      <w:pPr>
        <w:pBdr>
          <w:top w:val="nil"/>
          <w:left w:val="nil"/>
          <w:bottom w:val="nil"/>
          <w:right w:val="nil"/>
          <w:between w:val="nil"/>
          <w:bar w:val="nil"/>
        </w:pBdr>
        <w:ind w:left="-76"/>
        <w:rPr>
          <w:rFonts w:ascii="Calibri" w:eastAsia="Calibri" w:hAnsi="Calibri" w:cs="Arial"/>
        </w:rPr>
      </w:pPr>
    </w:p>
    <w:p w14:paraId="5BD251A7" w14:textId="77777777" w:rsidR="00E5270D" w:rsidRPr="00575A0E" w:rsidRDefault="00E5270D" w:rsidP="000B55B1">
      <w:pPr>
        <w:pStyle w:val="Heading3"/>
        <w:rPr>
          <w:rFonts w:eastAsia="Calibri"/>
        </w:rPr>
      </w:pPr>
      <w:r w:rsidRPr="00575A0E">
        <w:rPr>
          <w:rFonts w:eastAsia="Calibri"/>
        </w:rPr>
        <w:t>Strategic Objective 2</w:t>
      </w:r>
    </w:p>
    <w:p w14:paraId="2E9349E9" w14:textId="77777777" w:rsidR="00E5270D" w:rsidRPr="000B55B1" w:rsidRDefault="00E5270D" w:rsidP="000B55B1">
      <w:pPr>
        <w:pStyle w:val="Heading4"/>
        <w:rPr>
          <w:szCs w:val="20"/>
        </w:rPr>
      </w:pPr>
      <w:r w:rsidRPr="000B55B1">
        <w:rPr>
          <w:szCs w:val="20"/>
        </w:rPr>
        <w:t>Excellence in service</w:t>
      </w:r>
    </w:p>
    <w:p w14:paraId="63874C1B" w14:textId="77777777" w:rsidR="00E5270D" w:rsidRPr="001F407A" w:rsidRDefault="00E5270D" w:rsidP="000B55B1">
      <w:pPr>
        <w:pBdr>
          <w:top w:val="nil"/>
          <w:left w:val="nil"/>
          <w:bottom w:val="nil"/>
          <w:right w:val="nil"/>
          <w:between w:val="nil"/>
          <w:bar w:val="nil"/>
        </w:pBdr>
        <w:spacing w:after="120"/>
        <w:rPr>
          <w:rFonts w:ascii="Calibri" w:eastAsia="Calibri" w:hAnsi="Calibri" w:cs="Arial"/>
          <w:sz w:val="24"/>
          <w:szCs w:val="24"/>
        </w:rPr>
      </w:pPr>
      <w:r w:rsidRPr="001F407A">
        <w:rPr>
          <w:rFonts w:ascii="Calibri" w:eastAsia="Calibri" w:hAnsi="Calibri" w:cs="Arial"/>
          <w:sz w:val="24"/>
          <w:szCs w:val="24"/>
        </w:rPr>
        <w:t>We exceed expectations. We are the leading experts for whole of Government decision making, investment and implementation in property management, leasing and maintenance, infrastructure and built-form, development, procurement and delivery.</w:t>
      </w:r>
    </w:p>
    <w:p w14:paraId="587F8731" w14:textId="77777777" w:rsidR="00E5270D" w:rsidRPr="001F407A" w:rsidRDefault="00E5270D" w:rsidP="000B55B1">
      <w:pPr>
        <w:pBdr>
          <w:top w:val="nil"/>
          <w:left w:val="nil"/>
          <w:bottom w:val="nil"/>
          <w:right w:val="nil"/>
          <w:between w:val="nil"/>
          <w:bar w:val="nil"/>
        </w:pBdr>
        <w:spacing w:after="120"/>
        <w:rPr>
          <w:rFonts w:ascii="Calibri" w:eastAsia="Calibri" w:hAnsi="Calibri" w:cs="Arial"/>
          <w:sz w:val="24"/>
          <w:szCs w:val="24"/>
        </w:rPr>
      </w:pPr>
      <w:r w:rsidRPr="001F407A">
        <w:rPr>
          <w:rFonts w:ascii="Calibri" w:eastAsia="Calibri" w:hAnsi="Calibri" w:cs="Arial"/>
          <w:b/>
          <w:bCs/>
          <w:sz w:val="24"/>
          <w:szCs w:val="24"/>
        </w:rPr>
        <w:t xml:space="preserve">Strategic Indicator 2.1: </w:t>
      </w:r>
      <w:r w:rsidRPr="001F407A">
        <w:rPr>
          <w:rFonts w:ascii="Calibri" w:eastAsia="Calibri" w:hAnsi="Calibri" w:cs="Arial"/>
          <w:sz w:val="24"/>
          <w:szCs w:val="24"/>
        </w:rPr>
        <w:t>Plan for the future of our environment through sustainability in design.</w:t>
      </w:r>
    </w:p>
    <w:p w14:paraId="2F724568" w14:textId="77777777" w:rsidR="00E5270D" w:rsidRPr="001F407A" w:rsidRDefault="00E5270D" w:rsidP="000B55B1">
      <w:pPr>
        <w:pBdr>
          <w:top w:val="nil"/>
          <w:left w:val="nil"/>
          <w:bottom w:val="nil"/>
          <w:right w:val="nil"/>
          <w:between w:val="nil"/>
          <w:bar w:val="nil"/>
        </w:pBdr>
        <w:spacing w:after="120"/>
        <w:rPr>
          <w:rFonts w:ascii="Calibri" w:eastAsia="Calibri" w:hAnsi="Calibri" w:cs="Calibri"/>
          <w:sz w:val="24"/>
          <w:szCs w:val="24"/>
        </w:rPr>
      </w:pPr>
      <w:r w:rsidRPr="001F407A">
        <w:rPr>
          <w:rFonts w:ascii="Calibri" w:eastAsia="Calibri" w:hAnsi="Calibri" w:cs="Calibri"/>
          <w:sz w:val="24"/>
          <w:szCs w:val="24"/>
        </w:rPr>
        <w:t xml:space="preserve">iCBR </w:t>
      </w:r>
      <w:r w:rsidRPr="001F407A">
        <w:rPr>
          <w:rFonts w:ascii="Calibri" w:hAnsi="Calibri" w:cs="Calibri"/>
          <w:sz w:val="24"/>
          <w:szCs w:val="24"/>
        </w:rPr>
        <w:t>Projects are required to embed sustainability considerations at all stages of design, addressing key domains such as climate resilience, energy and carbon, biodiversity, water management, pollution control, circular economy, and community outcomes.</w:t>
      </w:r>
    </w:p>
    <w:p w14:paraId="4DDD821E" w14:textId="77777777" w:rsidR="00E5270D" w:rsidRPr="001F407A" w:rsidRDefault="00E5270D" w:rsidP="000B55B1">
      <w:pPr>
        <w:pBdr>
          <w:top w:val="nil"/>
          <w:left w:val="nil"/>
          <w:bottom w:val="nil"/>
          <w:right w:val="nil"/>
          <w:between w:val="nil"/>
          <w:bar w:val="nil"/>
        </w:pBdr>
        <w:spacing w:after="120"/>
        <w:rPr>
          <w:rFonts w:ascii="Calibri" w:eastAsia="Calibri" w:hAnsi="Calibri" w:cs="Arial"/>
          <w:sz w:val="24"/>
          <w:szCs w:val="24"/>
        </w:rPr>
      </w:pPr>
      <w:r w:rsidRPr="001F407A">
        <w:rPr>
          <w:rFonts w:ascii="Calibri" w:eastAsia="Calibri" w:hAnsi="Calibri" w:cs="Arial"/>
          <w:b/>
          <w:bCs/>
          <w:sz w:val="24"/>
          <w:szCs w:val="24"/>
        </w:rPr>
        <w:t xml:space="preserve">Strategic Indicator 2.2: </w:t>
      </w:r>
      <w:r w:rsidRPr="001F407A">
        <w:rPr>
          <w:rFonts w:ascii="Calibri" w:eastAsia="Calibri" w:hAnsi="Calibri" w:cs="Arial"/>
          <w:sz w:val="24"/>
          <w:szCs w:val="24"/>
        </w:rPr>
        <w:t>Manage infrastructure/assets/property</w:t>
      </w:r>
      <w:r w:rsidRPr="001F407A">
        <w:rPr>
          <w:rFonts w:ascii="Calibri" w:eastAsia="Calibri" w:hAnsi="Calibri" w:cs="Arial"/>
          <w:b/>
          <w:bCs/>
          <w:sz w:val="24"/>
          <w:szCs w:val="24"/>
        </w:rPr>
        <w:t xml:space="preserve"> </w:t>
      </w:r>
      <w:r w:rsidRPr="001F407A">
        <w:rPr>
          <w:rFonts w:ascii="Calibri" w:eastAsia="Calibri" w:hAnsi="Calibri" w:cs="Arial"/>
          <w:sz w:val="24"/>
          <w:szCs w:val="24"/>
        </w:rPr>
        <w:t>for optimal use and community benefit through maintenance, planning and accommodation services.</w:t>
      </w:r>
    </w:p>
    <w:p w14:paraId="45D5A2D9" w14:textId="1EC06E37" w:rsidR="00E5270D" w:rsidRPr="00575A0E" w:rsidRDefault="00E5270D" w:rsidP="000B55B1">
      <w:pPr>
        <w:pStyle w:val="Heading3"/>
        <w:rPr>
          <w:rFonts w:eastAsia="Calibri"/>
        </w:rPr>
      </w:pPr>
      <w:r w:rsidRPr="00575A0E">
        <w:rPr>
          <w:rFonts w:eastAsia="Calibri"/>
        </w:rPr>
        <w:t>Strategic Objective 3</w:t>
      </w:r>
    </w:p>
    <w:p w14:paraId="2FD53287" w14:textId="77777777" w:rsidR="00E5270D" w:rsidRPr="000B55B1" w:rsidRDefault="00E5270D" w:rsidP="000B55B1">
      <w:pPr>
        <w:pStyle w:val="Heading4"/>
        <w:rPr>
          <w:szCs w:val="20"/>
        </w:rPr>
      </w:pPr>
      <w:r w:rsidRPr="000B55B1">
        <w:rPr>
          <w:szCs w:val="20"/>
        </w:rPr>
        <w:t>Partnering for success</w:t>
      </w:r>
    </w:p>
    <w:p w14:paraId="21003AC3" w14:textId="77777777" w:rsidR="00E5270D" w:rsidRPr="001F407A" w:rsidRDefault="00E5270D" w:rsidP="000B55B1">
      <w:pPr>
        <w:pBdr>
          <w:top w:val="nil"/>
          <w:left w:val="nil"/>
          <w:bottom w:val="nil"/>
          <w:right w:val="nil"/>
          <w:between w:val="nil"/>
          <w:bar w:val="nil"/>
        </w:pBdr>
        <w:spacing w:after="120"/>
        <w:rPr>
          <w:rFonts w:ascii="Calibri" w:eastAsia="Calibri" w:hAnsi="Calibri" w:cs="Arial"/>
          <w:sz w:val="24"/>
          <w:szCs w:val="24"/>
        </w:rPr>
      </w:pPr>
      <w:r w:rsidRPr="001F407A">
        <w:rPr>
          <w:rFonts w:ascii="Calibri" w:eastAsia="Calibri" w:hAnsi="Calibri" w:cs="Arial"/>
          <w:sz w:val="24"/>
          <w:szCs w:val="24"/>
        </w:rPr>
        <w:t>To deliver improved outcomes for our community, we prioritise genuine collaboration and robust governance with directorate and industry partners. We are the ACT Government industry lead and trusted advisors to our partners and decision-makers.</w:t>
      </w:r>
    </w:p>
    <w:p w14:paraId="20DB1CE3" w14:textId="77777777" w:rsidR="00E5270D" w:rsidRPr="001F407A" w:rsidRDefault="00E5270D" w:rsidP="000B55B1">
      <w:pPr>
        <w:pBdr>
          <w:top w:val="nil"/>
          <w:left w:val="nil"/>
          <w:bottom w:val="nil"/>
          <w:right w:val="nil"/>
          <w:between w:val="nil"/>
          <w:bar w:val="nil"/>
        </w:pBdr>
        <w:spacing w:after="120"/>
        <w:rPr>
          <w:rFonts w:ascii="Calibri" w:eastAsia="Calibri" w:hAnsi="Calibri" w:cs="Arial"/>
          <w:sz w:val="24"/>
          <w:szCs w:val="24"/>
        </w:rPr>
      </w:pPr>
      <w:r w:rsidRPr="001F407A">
        <w:rPr>
          <w:rFonts w:ascii="Calibri" w:eastAsia="Calibri" w:hAnsi="Calibri" w:cs="Arial"/>
          <w:b/>
          <w:bCs/>
          <w:sz w:val="24"/>
          <w:szCs w:val="24"/>
        </w:rPr>
        <w:t xml:space="preserve">Strategic Indicator 3.1: </w:t>
      </w:r>
      <w:r w:rsidRPr="001F407A">
        <w:rPr>
          <w:rFonts w:ascii="Calibri" w:eastAsia="Calibri" w:hAnsi="Calibri" w:cs="Arial"/>
          <w:sz w:val="24"/>
          <w:szCs w:val="24"/>
        </w:rPr>
        <w:t>We provide best practice, value for money outcomes across the infrastructure pipeline.</w:t>
      </w:r>
    </w:p>
    <w:p w14:paraId="10F00656" w14:textId="77777777" w:rsidR="00E5270D" w:rsidRPr="001F407A" w:rsidRDefault="00E5270D" w:rsidP="000B55B1">
      <w:pPr>
        <w:keepNext/>
        <w:pBdr>
          <w:top w:val="nil"/>
          <w:left w:val="nil"/>
          <w:bottom w:val="nil"/>
          <w:right w:val="nil"/>
          <w:between w:val="nil"/>
          <w:bar w:val="nil"/>
        </w:pBdr>
        <w:spacing w:after="120"/>
        <w:rPr>
          <w:rFonts w:ascii="Calibri" w:eastAsia="Calibri" w:hAnsi="Calibri" w:cs="Arial"/>
          <w:bCs/>
          <w:sz w:val="24"/>
          <w:szCs w:val="24"/>
        </w:rPr>
      </w:pPr>
      <w:r w:rsidRPr="001F407A">
        <w:rPr>
          <w:rFonts w:ascii="Calibri" w:eastAsia="Calibri" w:hAnsi="Calibri" w:cs="Arial"/>
          <w:b/>
          <w:sz w:val="24"/>
          <w:szCs w:val="24"/>
        </w:rPr>
        <w:lastRenderedPageBreak/>
        <w:t xml:space="preserve">Strategic Indicator 3.2: </w:t>
      </w:r>
      <w:r w:rsidRPr="001F407A">
        <w:rPr>
          <w:rFonts w:ascii="Calibri" w:eastAsia="Calibri" w:hAnsi="Calibri" w:cs="Arial"/>
          <w:bCs/>
          <w:sz w:val="24"/>
          <w:szCs w:val="24"/>
        </w:rPr>
        <w:t>We work in genuine partnership with Aboriginal and Torres Strait Islander Peoples. In doing so, we seek to identify and address challenges associated with systemic racism, embed and practice meaningful cultural values and strengthen collaboration.</w:t>
      </w:r>
    </w:p>
    <w:p w14:paraId="632FCADC" w14:textId="63B09AB6" w:rsidR="00E5270D" w:rsidRPr="001F407A" w:rsidRDefault="00E5270D" w:rsidP="001F407A">
      <w:pPr>
        <w:pBdr>
          <w:top w:val="nil"/>
          <w:left w:val="nil"/>
          <w:bottom w:val="nil"/>
          <w:right w:val="nil"/>
          <w:between w:val="nil"/>
          <w:bar w:val="nil"/>
        </w:pBdr>
        <w:spacing w:before="240"/>
        <w:rPr>
          <w:rFonts w:ascii="Calibri" w:eastAsia="Calibri" w:hAnsi="Calibri" w:cs="Arial"/>
          <w:b/>
          <w:sz w:val="24"/>
          <w:szCs w:val="24"/>
        </w:rPr>
      </w:pPr>
      <w:r w:rsidRPr="001F407A">
        <w:rPr>
          <w:rFonts w:ascii="Calibri" w:eastAsia="Calibri" w:hAnsi="Calibri" w:cs="Arial"/>
          <w:b/>
          <w:sz w:val="24"/>
          <w:szCs w:val="24"/>
        </w:rPr>
        <w:t xml:space="preserve">Table </w:t>
      </w:r>
      <w:r w:rsidR="00633F76" w:rsidRPr="001F407A">
        <w:rPr>
          <w:rFonts w:ascii="Calibri" w:eastAsia="Calibri" w:hAnsi="Calibri" w:cs="Arial"/>
          <w:b/>
          <w:sz w:val="24"/>
          <w:szCs w:val="24"/>
        </w:rPr>
        <w:t>3</w:t>
      </w:r>
      <w:r w:rsidRPr="001F407A">
        <w:rPr>
          <w:rFonts w:ascii="Calibri" w:eastAsia="Calibri" w:hAnsi="Calibri" w:cs="Arial"/>
          <w:b/>
          <w:sz w:val="24"/>
          <w:szCs w:val="24"/>
        </w:rPr>
        <w:t>: Strategic Indicator 3.2 Measure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5"/>
        <w:gridCol w:w="2442"/>
      </w:tblGrid>
      <w:tr w:rsidR="00E5270D" w:rsidRPr="00DF002B" w14:paraId="24FEED2D" w14:textId="77777777" w:rsidTr="00633F76">
        <w:trPr>
          <w:tblHeader/>
        </w:trPr>
        <w:tc>
          <w:tcPr>
            <w:tcW w:w="3629" w:type="pct"/>
            <w:tcBorders>
              <w:top w:val="single" w:sz="4" w:space="0" w:color="auto"/>
              <w:left w:val="nil"/>
              <w:bottom w:val="single" w:sz="4" w:space="0" w:color="auto"/>
              <w:right w:val="nil"/>
            </w:tcBorders>
          </w:tcPr>
          <w:p w14:paraId="3B864DE9" w14:textId="77777777" w:rsidR="00E5270D" w:rsidRPr="00DF002B" w:rsidRDefault="00E5270D"/>
        </w:tc>
        <w:tc>
          <w:tcPr>
            <w:tcW w:w="1371" w:type="pct"/>
            <w:tcBorders>
              <w:top w:val="single" w:sz="4" w:space="0" w:color="auto"/>
              <w:left w:val="nil"/>
              <w:bottom w:val="single" w:sz="4" w:space="0" w:color="auto"/>
              <w:right w:val="nil"/>
            </w:tcBorders>
            <w:hideMark/>
          </w:tcPr>
          <w:p w14:paraId="2A67C461" w14:textId="4ED54DBF" w:rsidR="00E5270D" w:rsidRPr="00DF002B" w:rsidRDefault="00E5270D">
            <w:pPr>
              <w:jc w:val="right"/>
              <w:rPr>
                <w:b/>
                <w:bCs/>
                <w:sz w:val="20"/>
                <w:szCs w:val="20"/>
              </w:rPr>
            </w:pPr>
            <w:r w:rsidRPr="00DF002B">
              <w:rPr>
                <w:b/>
                <w:bCs/>
                <w:sz w:val="20"/>
                <w:szCs w:val="20"/>
              </w:rPr>
              <w:t>202</w:t>
            </w:r>
            <w:r w:rsidR="00633F76">
              <w:rPr>
                <w:b/>
                <w:bCs/>
                <w:sz w:val="20"/>
                <w:szCs w:val="20"/>
              </w:rPr>
              <w:t>6</w:t>
            </w:r>
            <w:r w:rsidRPr="00DF002B">
              <w:rPr>
                <w:b/>
                <w:bCs/>
                <w:sz w:val="20"/>
                <w:szCs w:val="20"/>
              </w:rPr>
              <w:t>-2</w:t>
            </w:r>
            <w:r w:rsidR="00633F76">
              <w:rPr>
                <w:b/>
                <w:bCs/>
                <w:sz w:val="20"/>
                <w:szCs w:val="20"/>
              </w:rPr>
              <w:t>7</w:t>
            </w:r>
          </w:p>
          <w:p w14:paraId="69E583D2" w14:textId="77777777" w:rsidR="00E5270D" w:rsidRPr="00DF002B" w:rsidRDefault="00E5270D">
            <w:pPr>
              <w:jc w:val="right"/>
              <w:rPr>
                <w:b/>
                <w:bCs/>
                <w:sz w:val="20"/>
                <w:szCs w:val="20"/>
              </w:rPr>
            </w:pPr>
            <w:r w:rsidRPr="00DF002B">
              <w:rPr>
                <w:b/>
                <w:bCs/>
                <w:sz w:val="20"/>
                <w:szCs w:val="20"/>
              </w:rPr>
              <w:t>Targets</w:t>
            </w:r>
          </w:p>
        </w:tc>
      </w:tr>
      <w:tr w:rsidR="00E5270D" w:rsidRPr="00DF002B" w14:paraId="19957C32" w14:textId="77777777" w:rsidTr="00633F76">
        <w:tc>
          <w:tcPr>
            <w:tcW w:w="3629" w:type="pct"/>
            <w:tcBorders>
              <w:top w:val="single" w:sz="4" w:space="0" w:color="auto"/>
              <w:left w:val="nil"/>
              <w:bottom w:val="single" w:sz="4" w:space="0" w:color="auto"/>
              <w:right w:val="nil"/>
            </w:tcBorders>
            <w:hideMark/>
          </w:tcPr>
          <w:p w14:paraId="62DDA1AD" w14:textId="77777777" w:rsidR="00E5270D" w:rsidRPr="001F407A" w:rsidRDefault="00E5270D" w:rsidP="00E5270D">
            <w:pPr>
              <w:numPr>
                <w:ilvl w:val="0"/>
                <w:numId w:val="34"/>
              </w:numPr>
              <w:rPr>
                <w:sz w:val="20"/>
                <w:szCs w:val="20"/>
              </w:rPr>
            </w:pPr>
            <w:r w:rsidRPr="001F407A">
              <w:rPr>
                <w:sz w:val="20"/>
                <w:szCs w:val="20"/>
              </w:rPr>
              <w:t xml:space="preserve">ACT Aboriginal and Torres Strait Islander Agreement iCBR Phase Three Implementation Plan actions delivered on time </w:t>
            </w:r>
          </w:p>
        </w:tc>
        <w:tc>
          <w:tcPr>
            <w:tcW w:w="1371" w:type="pct"/>
            <w:tcBorders>
              <w:top w:val="single" w:sz="4" w:space="0" w:color="auto"/>
              <w:left w:val="nil"/>
              <w:bottom w:val="single" w:sz="4" w:space="0" w:color="auto"/>
              <w:right w:val="nil"/>
            </w:tcBorders>
            <w:hideMark/>
          </w:tcPr>
          <w:p w14:paraId="6B904AE1" w14:textId="77777777" w:rsidR="00E5270D" w:rsidRPr="001F407A" w:rsidRDefault="00E5270D">
            <w:pPr>
              <w:jc w:val="right"/>
              <w:rPr>
                <w:sz w:val="20"/>
                <w:szCs w:val="20"/>
              </w:rPr>
            </w:pPr>
            <w:r w:rsidRPr="001F407A">
              <w:rPr>
                <w:sz w:val="20"/>
                <w:szCs w:val="20"/>
              </w:rPr>
              <w:t>100%</w:t>
            </w:r>
          </w:p>
        </w:tc>
      </w:tr>
    </w:tbl>
    <w:p w14:paraId="16CA57B8" w14:textId="77777777" w:rsidR="00E5270D" w:rsidRPr="00575A0E" w:rsidRDefault="00E5270D" w:rsidP="000B55B1">
      <w:pPr>
        <w:pStyle w:val="Heading3"/>
        <w:rPr>
          <w:rFonts w:eastAsia="Calibri"/>
        </w:rPr>
      </w:pPr>
      <w:r w:rsidRPr="00575A0E">
        <w:rPr>
          <w:rFonts w:eastAsia="Calibri"/>
        </w:rPr>
        <w:t xml:space="preserve">Strategic Objective 4 </w:t>
      </w:r>
    </w:p>
    <w:p w14:paraId="6B93E13E" w14:textId="77777777" w:rsidR="00E5270D" w:rsidRPr="000B55B1" w:rsidRDefault="00E5270D" w:rsidP="000B55B1">
      <w:pPr>
        <w:pStyle w:val="Heading4"/>
        <w:rPr>
          <w:szCs w:val="20"/>
        </w:rPr>
      </w:pPr>
      <w:r w:rsidRPr="000B55B1">
        <w:rPr>
          <w:szCs w:val="20"/>
        </w:rPr>
        <w:t>Better tools for outstanding outcomes</w:t>
      </w:r>
    </w:p>
    <w:p w14:paraId="2334F898" w14:textId="77777777" w:rsidR="00E5270D" w:rsidRPr="001F407A" w:rsidRDefault="00E5270D" w:rsidP="000B55B1">
      <w:pPr>
        <w:pBdr>
          <w:top w:val="nil"/>
          <w:left w:val="nil"/>
          <w:bottom w:val="nil"/>
          <w:right w:val="nil"/>
          <w:between w:val="nil"/>
          <w:bar w:val="nil"/>
        </w:pBdr>
        <w:spacing w:after="120"/>
        <w:rPr>
          <w:rFonts w:ascii="Calibri" w:eastAsia="Calibri" w:hAnsi="Calibri" w:cs="Arial"/>
          <w:sz w:val="24"/>
          <w:szCs w:val="24"/>
        </w:rPr>
      </w:pPr>
      <w:r w:rsidRPr="001F407A">
        <w:rPr>
          <w:rFonts w:ascii="Calibri" w:eastAsia="Calibri" w:hAnsi="Calibri" w:cs="Arial"/>
          <w:sz w:val="24"/>
          <w:szCs w:val="24"/>
        </w:rPr>
        <w:t>We are growing the capability of our people, services and industry, supported by data-driven insights, systems and processes that drive high quality outcomes, continuous improvement and challenge the status quo.</w:t>
      </w:r>
    </w:p>
    <w:p w14:paraId="42319671" w14:textId="77777777" w:rsidR="00E5270D" w:rsidRPr="001F407A" w:rsidRDefault="00E5270D" w:rsidP="000B55B1">
      <w:pPr>
        <w:pBdr>
          <w:top w:val="nil"/>
          <w:left w:val="nil"/>
          <w:bottom w:val="nil"/>
          <w:right w:val="nil"/>
          <w:between w:val="nil"/>
          <w:bar w:val="nil"/>
        </w:pBdr>
        <w:spacing w:after="120"/>
        <w:rPr>
          <w:rFonts w:ascii="Calibri" w:eastAsia="Calibri" w:hAnsi="Calibri" w:cs="Arial"/>
          <w:sz w:val="24"/>
          <w:szCs w:val="24"/>
        </w:rPr>
      </w:pPr>
      <w:r w:rsidRPr="001F407A">
        <w:rPr>
          <w:rFonts w:ascii="Calibri" w:eastAsia="Calibri" w:hAnsi="Calibri" w:cs="Arial"/>
          <w:b/>
          <w:bCs/>
          <w:sz w:val="24"/>
          <w:szCs w:val="24"/>
        </w:rPr>
        <w:t xml:space="preserve">Strategic Indicator 4.1: </w:t>
      </w:r>
      <w:r w:rsidRPr="001F407A">
        <w:rPr>
          <w:rFonts w:ascii="Calibri" w:eastAsia="Calibri" w:hAnsi="Calibri" w:cs="Arial"/>
          <w:sz w:val="24"/>
          <w:szCs w:val="24"/>
        </w:rPr>
        <w:t>We work closely and collaboratively with industry to grow capability.</w:t>
      </w:r>
    </w:p>
    <w:p w14:paraId="036541E0" w14:textId="09F6A79E" w:rsidR="00E5270D" w:rsidRPr="001F407A" w:rsidRDefault="00E5270D" w:rsidP="000B55B1">
      <w:pPr>
        <w:pBdr>
          <w:top w:val="nil"/>
          <w:left w:val="nil"/>
          <w:bottom w:val="nil"/>
          <w:right w:val="nil"/>
          <w:between w:val="nil"/>
          <w:bar w:val="nil"/>
        </w:pBdr>
        <w:spacing w:before="240"/>
        <w:rPr>
          <w:rFonts w:ascii="Calibri" w:eastAsia="Calibri" w:hAnsi="Calibri" w:cs="Arial"/>
          <w:b/>
          <w:bCs/>
          <w:sz w:val="24"/>
          <w:szCs w:val="24"/>
        </w:rPr>
      </w:pPr>
      <w:r w:rsidRPr="001F407A">
        <w:rPr>
          <w:rFonts w:ascii="Calibri" w:eastAsia="Calibri" w:hAnsi="Calibri" w:cs="Arial"/>
          <w:b/>
          <w:bCs/>
          <w:sz w:val="24"/>
          <w:szCs w:val="24"/>
        </w:rPr>
        <w:t xml:space="preserve">Table </w:t>
      </w:r>
      <w:r w:rsidR="00633F76" w:rsidRPr="001F407A">
        <w:rPr>
          <w:rFonts w:ascii="Calibri" w:eastAsia="Calibri" w:hAnsi="Calibri" w:cs="Arial"/>
          <w:b/>
          <w:bCs/>
          <w:sz w:val="24"/>
          <w:szCs w:val="24"/>
        </w:rPr>
        <w:t>4</w:t>
      </w:r>
      <w:r w:rsidRPr="001F407A">
        <w:rPr>
          <w:rFonts w:ascii="Calibri" w:eastAsia="Calibri" w:hAnsi="Calibri" w:cs="Arial"/>
          <w:b/>
          <w:bCs/>
          <w:sz w:val="24"/>
          <w:szCs w:val="24"/>
        </w:rPr>
        <w:t>: Strategic Indicator 4.1 Measure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5"/>
        <w:gridCol w:w="2442"/>
      </w:tblGrid>
      <w:tr w:rsidR="00E5270D" w:rsidRPr="00DF002B" w14:paraId="17F08D1E" w14:textId="77777777" w:rsidTr="00633F76">
        <w:trPr>
          <w:tblHeader/>
        </w:trPr>
        <w:tc>
          <w:tcPr>
            <w:tcW w:w="3629" w:type="pct"/>
            <w:tcBorders>
              <w:top w:val="single" w:sz="4" w:space="0" w:color="auto"/>
              <w:left w:val="nil"/>
              <w:bottom w:val="single" w:sz="4" w:space="0" w:color="auto"/>
              <w:right w:val="nil"/>
            </w:tcBorders>
          </w:tcPr>
          <w:p w14:paraId="5E9CD32A" w14:textId="77777777" w:rsidR="00E5270D" w:rsidRPr="00DF002B" w:rsidRDefault="00E5270D"/>
        </w:tc>
        <w:tc>
          <w:tcPr>
            <w:tcW w:w="1371" w:type="pct"/>
            <w:tcBorders>
              <w:top w:val="single" w:sz="4" w:space="0" w:color="auto"/>
              <w:left w:val="nil"/>
              <w:bottom w:val="single" w:sz="4" w:space="0" w:color="auto"/>
              <w:right w:val="nil"/>
            </w:tcBorders>
            <w:hideMark/>
          </w:tcPr>
          <w:p w14:paraId="415DD337" w14:textId="5490E4A0" w:rsidR="00E5270D" w:rsidRPr="00DF002B" w:rsidRDefault="00E5270D">
            <w:pPr>
              <w:jc w:val="right"/>
              <w:rPr>
                <w:b/>
                <w:bCs/>
                <w:sz w:val="20"/>
                <w:szCs w:val="20"/>
              </w:rPr>
            </w:pPr>
            <w:r w:rsidRPr="00DF002B">
              <w:rPr>
                <w:b/>
                <w:bCs/>
                <w:sz w:val="20"/>
                <w:szCs w:val="20"/>
              </w:rPr>
              <w:t>202</w:t>
            </w:r>
            <w:r w:rsidR="00633F76">
              <w:rPr>
                <w:b/>
                <w:bCs/>
                <w:sz w:val="20"/>
                <w:szCs w:val="20"/>
              </w:rPr>
              <w:t>6</w:t>
            </w:r>
            <w:r w:rsidRPr="00DF002B">
              <w:rPr>
                <w:b/>
                <w:bCs/>
                <w:sz w:val="20"/>
                <w:szCs w:val="20"/>
              </w:rPr>
              <w:t>-2</w:t>
            </w:r>
            <w:r w:rsidR="00633F76">
              <w:rPr>
                <w:b/>
                <w:bCs/>
                <w:sz w:val="20"/>
                <w:szCs w:val="20"/>
              </w:rPr>
              <w:t>7</w:t>
            </w:r>
          </w:p>
          <w:p w14:paraId="477CC078" w14:textId="77777777" w:rsidR="00E5270D" w:rsidRPr="00DF002B" w:rsidRDefault="00E5270D">
            <w:pPr>
              <w:jc w:val="right"/>
              <w:rPr>
                <w:b/>
                <w:bCs/>
                <w:sz w:val="20"/>
                <w:szCs w:val="20"/>
              </w:rPr>
            </w:pPr>
            <w:r w:rsidRPr="00DF002B">
              <w:rPr>
                <w:b/>
                <w:bCs/>
                <w:sz w:val="20"/>
                <w:szCs w:val="20"/>
              </w:rPr>
              <w:t>Targets</w:t>
            </w:r>
          </w:p>
        </w:tc>
      </w:tr>
      <w:tr w:rsidR="00E5270D" w:rsidRPr="00DF002B" w14:paraId="33051844" w14:textId="77777777" w:rsidTr="00633F76">
        <w:tc>
          <w:tcPr>
            <w:tcW w:w="3629" w:type="pct"/>
            <w:tcBorders>
              <w:top w:val="single" w:sz="4" w:space="0" w:color="auto"/>
              <w:left w:val="nil"/>
              <w:bottom w:val="single" w:sz="4" w:space="0" w:color="auto"/>
              <w:right w:val="nil"/>
            </w:tcBorders>
            <w:hideMark/>
          </w:tcPr>
          <w:p w14:paraId="0262835B" w14:textId="77777777" w:rsidR="00E5270D" w:rsidRPr="001F407A" w:rsidRDefault="00E5270D" w:rsidP="00E5270D">
            <w:pPr>
              <w:numPr>
                <w:ilvl w:val="0"/>
                <w:numId w:val="33"/>
              </w:numPr>
              <w:rPr>
                <w:sz w:val="20"/>
                <w:szCs w:val="20"/>
              </w:rPr>
            </w:pPr>
            <w:r w:rsidRPr="001F407A">
              <w:rPr>
                <w:sz w:val="20"/>
                <w:szCs w:val="20"/>
              </w:rPr>
              <w:t>Hold bi-annual industry forums and release bi-annual industry newsletters</w:t>
            </w:r>
          </w:p>
        </w:tc>
        <w:tc>
          <w:tcPr>
            <w:tcW w:w="1371" w:type="pct"/>
            <w:tcBorders>
              <w:top w:val="single" w:sz="4" w:space="0" w:color="auto"/>
              <w:left w:val="nil"/>
              <w:bottom w:val="single" w:sz="4" w:space="0" w:color="auto"/>
              <w:right w:val="nil"/>
            </w:tcBorders>
            <w:hideMark/>
          </w:tcPr>
          <w:p w14:paraId="1855EA2A" w14:textId="77777777" w:rsidR="00E5270D" w:rsidRPr="001F407A" w:rsidRDefault="00E5270D">
            <w:pPr>
              <w:jc w:val="right"/>
              <w:rPr>
                <w:sz w:val="20"/>
                <w:szCs w:val="20"/>
              </w:rPr>
            </w:pPr>
            <w:r w:rsidRPr="001F407A">
              <w:rPr>
                <w:sz w:val="20"/>
                <w:szCs w:val="20"/>
              </w:rPr>
              <w:t>100%</w:t>
            </w:r>
          </w:p>
        </w:tc>
      </w:tr>
    </w:tbl>
    <w:p w14:paraId="041A8AC9" w14:textId="1DA72405" w:rsidR="00FA0AF5" w:rsidRDefault="009B5C32" w:rsidP="0040097E">
      <w:pPr>
        <w:pStyle w:val="Heading2"/>
        <w:pageBreakBefore/>
        <w:pBdr>
          <w:top w:val="nil"/>
          <w:left w:val="nil"/>
          <w:bottom w:val="nil"/>
          <w:right w:val="nil"/>
          <w:between w:val="nil"/>
          <w:bar w:val="nil"/>
        </w:pBdr>
      </w:pPr>
      <w:bookmarkStart w:id="11" w:name="RG_MARKER_56710"/>
      <w:bookmarkStart w:id="12" w:name="RG_MARKER_56708"/>
      <w:bookmarkStart w:id="13" w:name="RG_MARKER_56709"/>
      <w:bookmarkStart w:id="14" w:name="_Toc231374042"/>
      <w:r>
        <w:lastRenderedPageBreak/>
        <w:t>Output Class</w:t>
      </w:r>
      <w:bookmarkEnd w:id="11"/>
      <w:bookmarkEnd w:id="12"/>
      <w:bookmarkEnd w:id="13"/>
      <w:bookmarkEnd w:id="14"/>
      <w:r w:rsidR="00852C39">
        <w:t xml:space="preserve"> 1: Infrastructure Canberra</w:t>
      </w:r>
    </w:p>
    <w:p w14:paraId="094AED02" w14:textId="41F9E791" w:rsidR="00B02A39" w:rsidRPr="003D1063" w:rsidRDefault="009B5C32" w:rsidP="000F1159">
      <w:pPr>
        <w:pBdr>
          <w:top w:val="nil"/>
          <w:left w:val="nil"/>
          <w:bottom w:val="nil"/>
          <w:right w:val="nil"/>
          <w:between w:val="nil"/>
          <w:bar w:val="nil"/>
        </w:pBdr>
        <w:spacing w:before="40" w:after="180" w:line="257" w:lineRule="auto"/>
        <w:rPr>
          <w:rFonts w:ascii="Calibri" w:eastAsia="Calibri" w:hAnsi="Calibri" w:cs="Times New Roman"/>
          <w:sz w:val="24"/>
          <w:szCs w:val="24"/>
          <w:lang w:val="en-AU"/>
        </w:rPr>
      </w:pPr>
      <w:r w:rsidRPr="003D1063">
        <w:rPr>
          <w:rFonts w:ascii="Calibri" w:eastAsia="Calibri" w:hAnsi="Calibri" w:cs="Times New Roman"/>
          <w:sz w:val="24"/>
          <w:szCs w:val="24"/>
          <w:lang w:val="en-AU"/>
        </w:rPr>
        <w:t xml:space="preserve">In 2026-27, </w:t>
      </w:r>
      <w:r w:rsidR="007D3BD8" w:rsidRPr="003D1063">
        <w:rPr>
          <w:rFonts w:ascii="Calibri" w:eastAsia="Calibri" w:hAnsi="Calibri" w:cs="Times New Roman"/>
          <w:sz w:val="24"/>
          <w:szCs w:val="24"/>
          <w:lang w:val="en-AU"/>
        </w:rPr>
        <w:t>iCBR</w:t>
      </w:r>
      <w:r w:rsidRPr="003D1063">
        <w:rPr>
          <w:rFonts w:ascii="Calibri" w:eastAsia="Calibri" w:hAnsi="Calibri" w:cs="Times New Roman"/>
          <w:sz w:val="24"/>
          <w:szCs w:val="24"/>
          <w:lang w:val="en-AU"/>
        </w:rPr>
        <w:t xml:space="preserve"> will consist of one Output Class – Infrastructure Canberra. </w:t>
      </w:r>
      <w:r w:rsidR="00236F5F" w:rsidRPr="003D1063">
        <w:rPr>
          <w:rFonts w:ascii="Calibri" w:eastAsia="Calibri" w:hAnsi="Calibri" w:cs="Times New Roman"/>
          <w:sz w:val="24"/>
          <w:szCs w:val="24"/>
          <w:lang w:val="en-AU"/>
        </w:rPr>
        <w:t xml:space="preserve">Through this </w:t>
      </w:r>
      <w:r w:rsidRPr="003D1063">
        <w:rPr>
          <w:rFonts w:ascii="Calibri" w:eastAsia="Calibri" w:hAnsi="Calibri" w:cs="Times New Roman"/>
          <w:sz w:val="24"/>
          <w:szCs w:val="24"/>
          <w:lang w:val="en-AU"/>
        </w:rPr>
        <w:t>O</w:t>
      </w:r>
      <w:r w:rsidR="00236F5F" w:rsidRPr="003D1063">
        <w:rPr>
          <w:rFonts w:ascii="Calibri" w:eastAsia="Calibri" w:hAnsi="Calibri" w:cs="Times New Roman"/>
          <w:sz w:val="24"/>
          <w:szCs w:val="24"/>
          <w:lang w:val="en-AU"/>
        </w:rPr>
        <w:t xml:space="preserve">utput </w:t>
      </w:r>
      <w:r w:rsidRPr="003D1063">
        <w:rPr>
          <w:rFonts w:ascii="Calibri" w:eastAsia="Calibri" w:hAnsi="Calibri" w:cs="Times New Roman"/>
          <w:sz w:val="24"/>
          <w:szCs w:val="24"/>
          <w:lang w:val="en-AU"/>
        </w:rPr>
        <w:t xml:space="preserve">Class </w:t>
      </w:r>
      <w:r w:rsidR="00236F5F" w:rsidRPr="003D1063">
        <w:rPr>
          <w:rFonts w:ascii="Calibri" w:eastAsia="Calibri" w:hAnsi="Calibri" w:cs="Times New Roman"/>
          <w:sz w:val="24"/>
          <w:szCs w:val="24"/>
          <w:lang w:val="en-AU"/>
        </w:rPr>
        <w:t>the Directorate is responsible for the development, procurement, delivery, management, leasing and maintenance of capital infrastructure and property in the Australian Capital Territory.</w:t>
      </w:r>
    </w:p>
    <w:p w14:paraId="1A730ABE" w14:textId="77777777" w:rsidR="00B02A39" w:rsidRPr="003D1063" w:rsidRDefault="009B5C32" w:rsidP="000F1159">
      <w:pPr>
        <w:pBdr>
          <w:top w:val="nil"/>
          <w:left w:val="nil"/>
          <w:bottom w:val="nil"/>
          <w:right w:val="nil"/>
          <w:between w:val="nil"/>
          <w:bar w:val="nil"/>
        </w:pBdr>
        <w:spacing w:after="160"/>
        <w:rPr>
          <w:rFonts w:ascii="Calibri" w:eastAsia="Calibri" w:hAnsi="Calibri" w:cs="Times New Roman"/>
          <w:sz w:val="24"/>
          <w:szCs w:val="24"/>
          <w:lang w:val="en-AU"/>
        </w:rPr>
      </w:pPr>
      <w:r w:rsidRPr="003D1063">
        <w:rPr>
          <w:rFonts w:ascii="Calibri" w:eastAsia="Calibri" w:hAnsi="Calibri" w:cs="Times New Roman"/>
          <w:sz w:val="24"/>
          <w:szCs w:val="24"/>
          <w:lang w:val="en-AU"/>
        </w:rPr>
        <w:t>The Directorate will deliver this by:</w:t>
      </w:r>
    </w:p>
    <w:p w14:paraId="4A6FEA86" w14:textId="4EF4ABC5" w:rsidR="00B02A39" w:rsidRPr="003D1063" w:rsidRDefault="009B5C32" w:rsidP="000F1159">
      <w:pPr>
        <w:pStyle w:val="BBullet1"/>
        <w:spacing w:after="80" w:line="276" w:lineRule="auto"/>
        <w:ind w:left="425" w:hanging="425"/>
        <w:rPr>
          <w:sz w:val="24"/>
          <w:szCs w:val="24"/>
        </w:rPr>
      </w:pPr>
      <w:r w:rsidRPr="003D1063">
        <w:rPr>
          <w:sz w:val="24"/>
          <w:szCs w:val="24"/>
        </w:rPr>
        <w:t>leading the development, procurement and delivery of infrastructure projects for the ACT Government</w:t>
      </w:r>
    </w:p>
    <w:p w14:paraId="4284E5CE" w14:textId="62D3BE76" w:rsidR="00B02A39" w:rsidRPr="003D1063" w:rsidRDefault="009B5C32" w:rsidP="000F1159">
      <w:pPr>
        <w:pStyle w:val="BBullet1"/>
        <w:spacing w:after="80" w:line="276" w:lineRule="auto"/>
        <w:ind w:left="425" w:hanging="425"/>
        <w:rPr>
          <w:sz w:val="24"/>
          <w:szCs w:val="24"/>
        </w:rPr>
      </w:pPr>
      <w:r w:rsidRPr="003D1063">
        <w:rPr>
          <w:sz w:val="24"/>
          <w:szCs w:val="24"/>
        </w:rPr>
        <w:t>supporting the planning, and leading the procurement and delivery, of government infrastructure programs and projects in partnership with ACT Government directorates</w:t>
      </w:r>
    </w:p>
    <w:p w14:paraId="7F70E27A" w14:textId="5F0E1050" w:rsidR="00B02A39" w:rsidRPr="003D1063" w:rsidRDefault="009B5C32" w:rsidP="000F1159">
      <w:pPr>
        <w:pStyle w:val="BBullet1"/>
        <w:spacing w:after="80" w:line="276" w:lineRule="auto"/>
        <w:ind w:left="425" w:hanging="425"/>
        <w:rPr>
          <w:sz w:val="24"/>
          <w:szCs w:val="24"/>
        </w:rPr>
      </w:pPr>
      <w:r w:rsidRPr="003D1063">
        <w:rPr>
          <w:sz w:val="24"/>
          <w:szCs w:val="24"/>
        </w:rPr>
        <w:t>leading leasing and associated property management and maintenance services across the ACT Government property portfolio</w:t>
      </w:r>
    </w:p>
    <w:p w14:paraId="28AD6FF0" w14:textId="3A232022" w:rsidR="00B02A39" w:rsidRPr="003D1063" w:rsidRDefault="009B5C32" w:rsidP="000F1159">
      <w:pPr>
        <w:pStyle w:val="BBullet1"/>
        <w:spacing w:after="80" w:line="276" w:lineRule="auto"/>
        <w:ind w:left="425" w:hanging="425"/>
        <w:rPr>
          <w:sz w:val="24"/>
          <w:szCs w:val="24"/>
        </w:rPr>
      </w:pPr>
      <w:r w:rsidRPr="003D1063">
        <w:rPr>
          <w:sz w:val="24"/>
          <w:szCs w:val="24"/>
        </w:rPr>
        <w:t>coordinating and shaping the ACT Infrastructure Plan and Pipeline and developing a portfolio and program management framework to support ACT Government infrastructure initiatives and</w:t>
      </w:r>
    </w:p>
    <w:p w14:paraId="20AC095B" w14:textId="77777777" w:rsidR="00B02A39" w:rsidRPr="003D1063" w:rsidRDefault="009B5C32" w:rsidP="000F1159">
      <w:pPr>
        <w:pStyle w:val="BBullet1"/>
        <w:spacing w:after="80" w:line="276" w:lineRule="auto"/>
        <w:ind w:left="425" w:hanging="425"/>
        <w:rPr>
          <w:sz w:val="24"/>
          <w:szCs w:val="24"/>
        </w:rPr>
      </w:pPr>
      <w:r w:rsidRPr="003D1063">
        <w:rPr>
          <w:sz w:val="24"/>
          <w:szCs w:val="24"/>
        </w:rPr>
        <w:t>providing strategic advice, expertise and assurance across the ACT Government and decision-makers, industry and key stakeholders on infrastructure policy, investment, planning, delivery and management.</w:t>
      </w:r>
    </w:p>
    <w:p w14:paraId="02EFA042" w14:textId="77777777" w:rsidR="00FA0AF5" w:rsidRPr="003D1063" w:rsidRDefault="009B5C32" w:rsidP="000F1159">
      <w:pPr>
        <w:pBdr>
          <w:top w:val="nil"/>
          <w:left w:val="nil"/>
          <w:bottom w:val="nil"/>
          <w:right w:val="nil"/>
          <w:between w:val="nil"/>
          <w:bar w:val="nil"/>
        </w:pBdr>
        <w:spacing w:after="160"/>
        <w:rPr>
          <w:rFonts w:ascii="Calibri" w:eastAsia="Calibri" w:hAnsi="Calibri" w:cs="Times New Roman"/>
          <w:sz w:val="24"/>
          <w:szCs w:val="24"/>
          <w:lang w:val="en-AU"/>
        </w:rPr>
      </w:pPr>
      <w:r w:rsidRPr="003D1063">
        <w:rPr>
          <w:rFonts w:ascii="Calibri" w:eastAsia="Calibri" w:hAnsi="Calibri" w:cs="Times New Roman"/>
          <w:sz w:val="24"/>
          <w:szCs w:val="24"/>
          <w:lang w:val="en-AU"/>
        </w:rPr>
        <w:t>The Directorate will deliver these core functions in a safe, timely, cost efficient and quality manner, and in collaboration and consultation with ACT Government directorates, industry and the Community.</w:t>
      </w:r>
    </w:p>
    <w:p w14:paraId="3DE3C04B" w14:textId="20F555DB" w:rsidR="009305A9" w:rsidRDefault="009B5C32" w:rsidP="009305A9">
      <w:pPr>
        <w:pStyle w:val="Caption"/>
        <w:pBdr>
          <w:top w:val="nil"/>
          <w:left w:val="nil"/>
          <w:bottom w:val="nil"/>
          <w:right w:val="nil"/>
          <w:between w:val="nil"/>
          <w:bar w:val="nil"/>
        </w:pBdr>
        <w:rPr>
          <w:sz w:val="20"/>
        </w:rPr>
      </w:pPr>
      <w:r>
        <w:rPr>
          <w:sz w:val="20"/>
        </w:rPr>
        <w:t xml:space="preserve">Table </w:t>
      </w:r>
      <w:r w:rsidR="00633F76">
        <w:rPr>
          <w:sz w:val="20"/>
        </w:rPr>
        <w:t>5</w:t>
      </w:r>
      <w:r>
        <w:rPr>
          <w:sz w:val="20"/>
        </w:rPr>
        <w:t xml:space="preserve">: </w:t>
      </w:r>
      <w:r w:rsidR="00852C39">
        <w:rPr>
          <w:sz w:val="20"/>
        </w:rPr>
        <w:t xml:space="preserve">Output Class 1: </w:t>
      </w:r>
      <w:r>
        <w:rPr>
          <w:sz w:val="20"/>
        </w:rPr>
        <w:t>Infrastructure Canberra ($’000)</w:t>
      </w:r>
    </w:p>
    <w:tbl>
      <w:tblPr>
        <w:tblW w:w="8940" w:type="dxa"/>
        <w:tblLayout w:type="fixed"/>
        <w:tblLook w:val="0600" w:firstRow="0" w:lastRow="0" w:firstColumn="0" w:lastColumn="0" w:noHBand="1" w:noVBand="1"/>
        <w:tblCaption w:val="vt_OutputCMTEDD"/>
        <w:tblDescription w:val="#VALUE!"/>
      </w:tblPr>
      <w:tblGrid>
        <w:gridCol w:w="5115"/>
        <w:gridCol w:w="2175"/>
        <w:gridCol w:w="1650"/>
      </w:tblGrid>
      <w:tr w:rsidR="00143C9C" w14:paraId="29D50B15" w14:textId="77777777" w:rsidTr="00633F76">
        <w:trPr>
          <w:trHeight w:val="552"/>
        </w:trPr>
        <w:tc>
          <w:tcPr>
            <w:tcW w:w="5115" w:type="dxa"/>
            <w:tcBorders>
              <w:top w:val="single" w:sz="4" w:space="0" w:color="auto"/>
              <w:left w:val="nil"/>
              <w:bottom w:val="single" w:sz="4" w:space="0" w:color="000000"/>
              <w:right w:val="nil"/>
              <w:tl2br w:val="nil"/>
              <w:tr2bl w:val="nil"/>
            </w:tcBorders>
            <w:noWrap/>
            <w:tcMar>
              <w:left w:w="0" w:type="dxa"/>
              <w:right w:w="0" w:type="dxa"/>
            </w:tcMar>
          </w:tcPr>
          <w:p w14:paraId="6554DF8D" w14:textId="77777777" w:rsidR="00143C9C" w:rsidRDefault="00143C9C">
            <w:pPr>
              <w:spacing w:after="0" w:line="240" w:lineRule="auto"/>
              <w:rPr>
                <w:rFonts w:ascii="Calibri" w:eastAsia="Calibri" w:hAnsi="Calibri" w:cs="Calibri"/>
                <w:color w:val="000000"/>
                <w:lang w:val="en-AU"/>
              </w:rPr>
            </w:pPr>
          </w:p>
        </w:tc>
        <w:tc>
          <w:tcPr>
            <w:tcW w:w="2175" w:type="dxa"/>
            <w:tcBorders>
              <w:top w:val="single" w:sz="4" w:space="0" w:color="auto"/>
              <w:left w:val="nil"/>
              <w:bottom w:val="single" w:sz="4" w:space="0" w:color="000000"/>
              <w:right w:val="nil"/>
              <w:tl2br w:val="nil"/>
              <w:tr2bl w:val="nil"/>
            </w:tcBorders>
            <w:tcMar>
              <w:left w:w="40" w:type="dxa"/>
              <w:right w:w="40" w:type="dxa"/>
            </w:tcMar>
          </w:tcPr>
          <w:p w14:paraId="0411210F" w14:textId="77777777" w:rsidR="00143C9C" w:rsidRDefault="009B5C32">
            <w:pPr>
              <w:pBdr>
                <w:top w:val="nil"/>
                <w:left w:val="nil"/>
                <w:bottom w:val="nil"/>
                <w:right w:val="nil"/>
                <w:between w:val="nil"/>
                <w:bar w:val="nil"/>
              </w:pBdr>
              <w:spacing w:after="0" w:line="240" w:lineRule="auto"/>
              <w:jc w:val="right"/>
              <w:rPr>
                <w:rFonts w:ascii="Calibri" w:eastAsia="Calibri" w:hAnsi="Calibri" w:cs="Calibri"/>
                <w:b/>
                <w:color w:val="000000"/>
                <w:lang w:val="en-AU"/>
              </w:rPr>
            </w:pPr>
            <w:r>
              <w:rPr>
                <w:rFonts w:ascii="Calibri" w:eastAsia="Calibri" w:hAnsi="Calibri" w:cs="Calibri"/>
                <w:b/>
                <w:color w:val="000000"/>
                <w:sz w:val="20"/>
                <w:lang w:val="en-AU"/>
              </w:rPr>
              <w:t>2025-26</w:t>
            </w:r>
          </w:p>
          <w:p w14:paraId="202DE117" w14:textId="77777777" w:rsidR="00143C9C" w:rsidRDefault="009B5C32">
            <w:pPr>
              <w:pBdr>
                <w:top w:val="nil"/>
                <w:left w:val="nil"/>
                <w:bottom w:val="nil"/>
                <w:right w:val="nil"/>
                <w:between w:val="nil"/>
                <w:bar w:val="nil"/>
              </w:pBdr>
              <w:spacing w:after="0" w:line="240" w:lineRule="auto"/>
              <w:jc w:val="right"/>
              <w:rPr>
                <w:rFonts w:ascii="Calibri" w:eastAsia="Calibri" w:hAnsi="Calibri" w:cs="Calibri"/>
                <w:b/>
                <w:color w:val="000000"/>
                <w:lang w:val="en-AU"/>
              </w:rPr>
            </w:pPr>
            <w:r>
              <w:rPr>
                <w:rFonts w:ascii="Calibri" w:eastAsia="Calibri" w:hAnsi="Calibri" w:cs="Calibri"/>
                <w:b/>
                <w:color w:val="000000"/>
                <w:sz w:val="20"/>
                <w:lang w:val="en-AU"/>
              </w:rPr>
              <w:t xml:space="preserve">  Estimated Outcome</w:t>
            </w:r>
          </w:p>
        </w:tc>
        <w:tc>
          <w:tcPr>
            <w:tcW w:w="1650" w:type="dxa"/>
            <w:tcBorders>
              <w:top w:val="single" w:sz="4" w:space="0" w:color="auto"/>
              <w:left w:val="nil"/>
              <w:bottom w:val="single" w:sz="4" w:space="0" w:color="000000"/>
              <w:right w:val="nil"/>
              <w:tl2br w:val="nil"/>
              <w:tr2bl w:val="nil"/>
            </w:tcBorders>
            <w:tcMar>
              <w:left w:w="40" w:type="dxa"/>
              <w:right w:w="40" w:type="dxa"/>
            </w:tcMar>
          </w:tcPr>
          <w:p w14:paraId="1B210261" w14:textId="77777777" w:rsidR="00143C9C" w:rsidRDefault="009B5C32">
            <w:pPr>
              <w:pBdr>
                <w:top w:val="nil"/>
                <w:left w:val="nil"/>
                <w:bottom w:val="nil"/>
                <w:right w:val="nil"/>
                <w:between w:val="nil"/>
                <w:bar w:val="nil"/>
              </w:pBdr>
              <w:spacing w:after="0" w:line="240" w:lineRule="auto"/>
              <w:jc w:val="right"/>
              <w:rPr>
                <w:rFonts w:ascii="Calibri" w:eastAsia="Calibri" w:hAnsi="Calibri" w:cs="Calibri"/>
                <w:b/>
                <w:color w:val="000000"/>
                <w:lang w:val="en-AU"/>
              </w:rPr>
            </w:pPr>
            <w:r>
              <w:rPr>
                <w:rFonts w:ascii="Calibri" w:eastAsia="Calibri" w:hAnsi="Calibri" w:cs="Calibri"/>
                <w:b/>
                <w:color w:val="000000"/>
                <w:sz w:val="20"/>
                <w:lang w:val="en-AU"/>
              </w:rPr>
              <w:t>2026-27</w:t>
            </w:r>
          </w:p>
          <w:p w14:paraId="5C65009A" w14:textId="77777777" w:rsidR="00143C9C" w:rsidRDefault="009B5C32">
            <w:pPr>
              <w:pBdr>
                <w:top w:val="nil"/>
                <w:left w:val="nil"/>
                <w:bottom w:val="nil"/>
                <w:right w:val="nil"/>
                <w:between w:val="nil"/>
                <w:bar w:val="nil"/>
              </w:pBdr>
              <w:spacing w:after="0" w:line="240" w:lineRule="auto"/>
              <w:jc w:val="right"/>
              <w:rPr>
                <w:rFonts w:ascii="Calibri" w:eastAsia="Calibri" w:hAnsi="Calibri" w:cs="Calibri"/>
                <w:b/>
                <w:color w:val="000000"/>
                <w:lang w:val="en-AU"/>
              </w:rPr>
            </w:pPr>
            <w:r>
              <w:rPr>
                <w:rFonts w:ascii="Calibri" w:eastAsia="Calibri" w:hAnsi="Calibri" w:cs="Calibri"/>
                <w:b/>
                <w:color w:val="000000"/>
                <w:sz w:val="20"/>
                <w:lang w:val="en-AU"/>
              </w:rPr>
              <w:t xml:space="preserve">  Budget</w:t>
            </w:r>
          </w:p>
        </w:tc>
      </w:tr>
      <w:tr w:rsidR="00143C9C" w14:paraId="081F4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115" w:type="dxa"/>
            <w:tcBorders>
              <w:top w:val="single" w:sz="4" w:space="0" w:color="000000"/>
              <w:left w:val="nil"/>
              <w:bottom w:val="nil"/>
              <w:right w:val="nil"/>
              <w:tl2br w:val="nil"/>
              <w:tr2bl w:val="nil"/>
            </w:tcBorders>
            <w:noWrap/>
            <w:tcMar>
              <w:left w:w="40" w:type="dxa"/>
              <w:right w:w="40" w:type="dxa"/>
            </w:tcMar>
          </w:tcPr>
          <w:p w14:paraId="6D16F71F" w14:textId="77777777" w:rsidR="00143C9C" w:rsidRDefault="009B5C32">
            <w:pPr>
              <w:pBdr>
                <w:top w:val="nil"/>
                <w:left w:val="nil"/>
                <w:bottom w:val="nil"/>
                <w:right w:val="nil"/>
                <w:between w:val="nil"/>
                <w:bar w:val="nil"/>
              </w:pBdr>
              <w:spacing w:after="0" w:line="240" w:lineRule="auto"/>
              <w:rPr>
                <w:rFonts w:ascii="Calibri" w:eastAsia="Calibri" w:hAnsi="Calibri" w:cs="Calibri"/>
                <w:b/>
                <w:color w:val="000000"/>
                <w:lang w:val="en-AU"/>
              </w:rPr>
            </w:pPr>
            <w:r>
              <w:rPr>
                <w:rFonts w:ascii="Calibri" w:eastAsia="Calibri" w:hAnsi="Calibri" w:cs="Calibri"/>
                <w:b/>
                <w:color w:val="000000"/>
                <w:sz w:val="20"/>
                <w:lang w:val="en-AU"/>
              </w:rPr>
              <w:t>Total Cost</w:t>
            </w:r>
            <w:r>
              <w:rPr>
                <w:rFonts w:ascii="Calibri" w:eastAsia="Calibri" w:hAnsi="Calibri" w:cs="Calibri"/>
                <w:b/>
                <w:color w:val="000000"/>
                <w:sz w:val="20"/>
                <w:vertAlign w:val="superscript"/>
                <w:lang w:val="en-AU"/>
              </w:rPr>
              <w:t xml:space="preserve"> 1</w:t>
            </w:r>
          </w:p>
        </w:tc>
        <w:tc>
          <w:tcPr>
            <w:tcW w:w="2175" w:type="dxa"/>
            <w:tcBorders>
              <w:top w:val="single" w:sz="4" w:space="0" w:color="000000"/>
              <w:left w:val="nil"/>
              <w:bottom w:val="nil"/>
              <w:right w:val="nil"/>
              <w:tl2br w:val="nil"/>
              <w:tr2bl w:val="nil"/>
            </w:tcBorders>
            <w:noWrap/>
            <w:tcMar>
              <w:left w:w="40" w:type="dxa"/>
              <w:right w:w="40" w:type="dxa"/>
            </w:tcMar>
          </w:tcPr>
          <w:p w14:paraId="25135FF1" w14:textId="77777777" w:rsidR="00143C9C" w:rsidRDefault="009B5C32">
            <w:pPr>
              <w:pBdr>
                <w:top w:val="nil"/>
                <w:left w:val="nil"/>
                <w:bottom w:val="nil"/>
                <w:right w:val="nil"/>
                <w:between w:val="nil"/>
                <w:bar w:val="nil"/>
              </w:pBdr>
              <w:spacing w:after="0" w:line="240" w:lineRule="auto"/>
              <w:jc w:val="right"/>
              <w:rPr>
                <w:rFonts w:ascii="Calibri" w:eastAsia="Calibri" w:hAnsi="Calibri" w:cs="Calibri"/>
                <w:color w:val="000000"/>
                <w:lang w:val="en-AU"/>
              </w:rPr>
            </w:pPr>
            <w:r>
              <w:rPr>
                <w:rFonts w:ascii="Calibri" w:eastAsia="Calibri" w:hAnsi="Calibri" w:cs="Calibri"/>
                <w:color w:val="000000"/>
                <w:sz w:val="20"/>
                <w:lang w:val="en-AU"/>
              </w:rPr>
              <w:t>303,332</w:t>
            </w:r>
          </w:p>
        </w:tc>
        <w:tc>
          <w:tcPr>
            <w:tcW w:w="1650" w:type="dxa"/>
            <w:tcBorders>
              <w:top w:val="single" w:sz="4" w:space="0" w:color="000000"/>
              <w:left w:val="nil"/>
              <w:bottom w:val="nil"/>
              <w:right w:val="nil"/>
              <w:tl2br w:val="nil"/>
              <w:tr2bl w:val="nil"/>
            </w:tcBorders>
            <w:noWrap/>
            <w:tcMar>
              <w:left w:w="40" w:type="dxa"/>
              <w:right w:w="40" w:type="dxa"/>
            </w:tcMar>
          </w:tcPr>
          <w:p w14:paraId="735467CE" w14:textId="77777777" w:rsidR="00143C9C" w:rsidRDefault="009B5C32">
            <w:pPr>
              <w:pBdr>
                <w:top w:val="nil"/>
                <w:left w:val="nil"/>
                <w:bottom w:val="nil"/>
                <w:right w:val="nil"/>
                <w:between w:val="nil"/>
                <w:bar w:val="nil"/>
              </w:pBdr>
              <w:spacing w:after="0" w:line="240" w:lineRule="auto"/>
              <w:jc w:val="right"/>
              <w:rPr>
                <w:rFonts w:ascii="Calibri" w:eastAsia="Calibri" w:hAnsi="Calibri" w:cs="Calibri"/>
                <w:color w:val="000000"/>
                <w:lang w:val="en-AU"/>
              </w:rPr>
            </w:pPr>
            <w:r>
              <w:rPr>
                <w:rFonts w:ascii="Calibri" w:eastAsia="Calibri" w:hAnsi="Calibri" w:cs="Calibri"/>
                <w:color w:val="000000"/>
                <w:sz w:val="20"/>
                <w:lang w:val="en-AU"/>
              </w:rPr>
              <w:t>313,012</w:t>
            </w:r>
          </w:p>
        </w:tc>
      </w:tr>
      <w:tr w:rsidR="00143C9C" w14:paraId="23F28345" w14:textId="77777777" w:rsidTr="00633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5115" w:type="dxa"/>
            <w:tcBorders>
              <w:top w:val="nil"/>
              <w:left w:val="nil"/>
              <w:bottom w:val="single" w:sz="4" w:space="0" w:color="auto"/>
              <w:right w:val="nil"/>
              <w:tl2br w:val="nil"/>
              <w:tr2bl w:val="nil"/>
            </w:tcBorders>
            <w:noWrap/>
            <w:tcMar>
              <w:left w:w="40" w:type="dxa"/>
              <w:right w:w="40" w:type="dxa"/>
            </w:tcMar>
          </w:tcPr>
          <w:p w14:paraId="31E9E4A8" w14:textId="77777777" w:rsidR="00143C9C" w:rsidRDefault="009B5C32">
            <w:pPr>
              <w:pBdr>
                <w:top w:val="nil"/>
                <w:left w:val="nil"/>
                <w:bottom w:val="nil"/>
                <w:right w:val="nil"/>
                <w:between w:val="nil"/>
                <w:bar w:val="nil"/>
              </w:pBdr>
              <w:spacing w:after="0" w:line="240" w:lineRule="auto"/>
              <w:rPr>
                <w:rFonts w:ascii="Calibri" w:eastAsia="Calibri" w:hAnsi="Calibri" w:cs="Calibri"/>
                <w:b/>
                <w:color w:val="000000"/>
                <w:lang w:val="en-AU"/>
              </w:rPr>
            </w:pPr>
            <w:r>
              <w:rPr>
                <w:rFonts w:ascii="Calibri" w:eastAsia="Calibri" w:hAnsi="Calibri" w:cs="Calibri"/>
                <w:b/>
                <w:color w:val="000000"/>
                <w:sz w:val="20"/>
                <w:lang w:val="en-AU"/>
              </w:rPr>
              <w:t xml:space="preserve">Controlled Recurrent Payments </w:t>
            </w:r>
            <w:r>
              <w:rPr>
                <w:rFonts w:ascii="Calibri" w:eastAsia="Calibri" w:hAnsi="Calibri" w:cs="Calibri"/>
                <w:b/>
                <w:color w:val="000000"/>
                <w:sz w:val="20"/>
                <w:vertAlign w:val="superscript"/>
                <w:lang w:val="en-AU"/>
              </w:rPr>
              <w:t>2</w:t>
            </w:r>
          </w:p>
        </w:tc>
        <w:tc>
          <w:tcPr>
            <w:tcW w:w="2175" w:type="dxa"/>
            <w:tcBorders>
              <w:top w:val="nil"/>
              <w:left w:val="nil"/>
              <w:bottom w:val="single" w:sz="4" w:space="0" w:color="auto"/>
              <w:right w:val="nil"/>
              <w:tl2br w:val="nil"/>
              <w:tr2bl w:val="nil"/>
            </w:tcBorders>
            <w:noWrap/>
            <w:tcMar>
              <w:left w:w="40" w:type="dxa"/>
              <w:right w:w="40" w:type="dxa"/>
            </w:tcMar>
          </w:tcPr>
          <w:p w14:paraId="74F5CD01" w14:textId="77777777" w:rsidR="00143C9C" w:rsidRDefault="009B5C32">
            <w:pPr>
              <w:pBdr>
                <w:top w:val="nil"/>
                <w:left w:val="nil"/>
                <w:bottom w:val="nil"/>
                <w:right w:val="nil"/>
                <w:between w:val="nil"/>
                <w:bar w:val="nil"/>
              </w:pBdr>
              <w:spacing w:after="0" w:line="240" w:lineRule="auto"/>
              <w:jc w:val="right"/>
              <w:rPr>
                <w:rFonts w:ascii="Calibri" w:eastAsia="Calibri" w:hAnsi="Calibri" w:cs="Calibri"/>
                <w:color w:val="000000"/>
                <w:lang w:val="en-AU"/>
              </w:rPr>
            </w:pPr>
            <w:r>
              <w:rPr>
                <w:rFonts w:ascii="Calibri" w:eastAsia="Calibri" w:hAnsi="Calibri" w:cs="Calibri"/>
                <w:color w:val="000000"/>
                <w:sz w:val="20"/>
                <w:lang w:val="en-AU"/>
              </w:rPr>
              <w:t>138,987</w:t>
            </w:r>
          </w:p>
        </w:tc>
        <w:tc>
          <w:tcPr>
            <w:tcW w:w="1650" w:type="dxa"/>
            <w:tcBorders>
              <w:top w:val="nil"/>
              <w:left w:val="nil"/>
              <w:bottom w:val="single" w:sz="4" w:space="0" w:color="auto"/>
              <w:right w:val="nil"/>
              <w:tl2br w:val="nil"/>
              <w:tr2bl w:val="nil"/>
            </w:tcBorders>
            <w:noWrap/>
            <w:tcMar>
              <w:left w:w="40" w:type="dxa"/>
              <w:right w:w="40" w:type="dxa"/>
            </w:tcMar>
          </w:tcPr>
          <w:p w14:paraId="14C6A69D" w14:textId="77777777" w:rsidR="00143C9C" w:rsidRDefault="009B5C32">
            <w:pPr>
              <w:pBdr>
                <w:top w:val="nil"/>
                <w:left w:val="nil"/>
                <w:bottom w:val="nil"/>
                <w:right w:val="nil"/>
                <w:between w:val="nil"/>
                <w:bar w:val="nil"/>
              </w:pBdr>
              <w:spacing w:after="0" w:line="240" w:lineRule="auto"/>
              <w:jc w:val="right"/>
              <w:rPr>
                <w:rFonts w:ascii="Calibri" w:eastAsia="Calibri" w:hAnsi="Calibri" w:cs="Calibri"/>
                <w:color w:val="000000"/>
                <w:lang w:val="en-AU"/>
              </w:rPr>
            </w:pPr>
            <w:r>
              <w:rPr>
                <w:rFonts w:ascii="Calibri" w:eastAsia="Calibri" w:hAnsi="Calibri" w:cs="Calibri"/>
                <w:color w:val="000000"/>
                <w:sz w:val="20"/>
                <w:lang w:val="en-AU"/>
              </w:rPr>
              <w:t>148,036</w:t>
            </w:r>
          </w:p>
        </w:tc>
      </w:tr>
    </w:tbl>
    <w:p w14:paraId="29A2A451" w14:textId="77777777" w:rsidR="009305A9" w:rsidRDefault="009B5C32" w:rsidP="009305A9">
      <w:pPr>
        <w:pStyle w:val="BNote"/>
        <w:pBdr>
          <w:top w:val="nil"/>
          <w:left w:val="nil"/>
          <w:bottom w:val="nil"/>
          <w:right w:val="nil"/>
          <w:between w:val="nil"/>
          <w:bar w:val="nil"/>
        </w:pBdr>
        <w:rPr>
          <w:b/>
          <w:bCs/>
        </w:rPr>
      </w:pPr>
      <w:r>
        <w:rPr>
          <w:b/>
          <w:bCs/>
        </w:rPr>
        <w:t>Notes:</w:t>
      </w:r>
    </w:p>
    <w:p w14:paraId="5F867E62" w14:textId="77777777" w:rsidR="009305A9" w:rsidRDefault="009B5C32" w:rsidP="009305A9">
      <w:pPr>
        <w:pStyle w:val="BNotelist"/>
        <w:numPr>
          <w:ilvl w:val="0"/>
          <w:numId w:val="15"/>
        </w:numPr>
        <w:pBdr>
          <w:top w:val="nil"/>
          <w:left w:val="nil"/>
          <w:bottom w:val="nil"/>
          <w:right w:val="nil"/>
          <w:between w:val="nil"/>
          <w:bar w:val="nil"/>
        </w:pBdr>
      </w:pPr>
      <w:r>
        <w:t>Total cost includes depreciation and amortisation of $85.436 million in 2025-26 and $83.305 million in 2026-27.</w:t>
      </w:r>
    </w:p>
    <w:p w14:paraId="45AB4FF7" w14:textId="6C3FFAC4" w:rsidR="009305A9" w:rsidRDefault="009B5C32" w:rsidP="009305A9">
      <w:pPr>
        <w:pStyle w:val="BNotelist"/>
        <w:numPr>
          <w:ilvl w:val="0"/>
          <w:numId w:val="15"/>
        </w:numPr>
        <w:pBdr>
          <w:top w:val="nil"/>
          <w:left w:val="nil"/>
          <w:bottom w:val="nil"/>
          <w:right w:val="nil"/>
          <w:between w:val="nil"/>
          <w:bar w:val="nil"/>
        </w:pBdr>
      </w:pPr>
      <w:r>
        <w:t xml:space="preserve">The increase in 2026-27 </w:t>
      </w:r>
      <w:r w:rsidRPr="00630D01">
        <w:t xml:space="preserve">from the </w:t>
      </w:r>
      <w:r>
        <w:t xml:space="preserve">2025-26 </w:t>
      </w:r>
      <w:r w:rsidRPr="00630D01">
        <w:t xml:space="preserve">is due </w:t>
      </w:r>
      <w:r w:rsidR="00014C30" w:rsidRPr="00014C30">
        <w:t>to the c</w:t>
      </w:r>
      <w:r w:rsidR="00014C30" w:rsidRPr="00630D01">
        <w:t>hanges</w:t>
      </w:r>
      <w:r>
        <w:t xml:space="preserve"> in</w:t>
      </w:r>
      <w:r w:rsidRPr="00630D01">
        <w:t xml:space="preserve"> the program of works </w:t>
      </w:r>
      <w:r>
        <w:t xml:space="preserve">scheduled </w:t>
      </w:r>
      <w:r w:rsidRPr="00630D01">
        <w:t xml:space="preserve">for delivery in </w:t>
      </w:r>
      <w:r>
        <w:t xml:space="preserve">2026-27 </w:t>
      </w:r>
      <w:r w:rsidRPr="00630D01">
        <w:t xml:space="preserve">as summarised </w:t>
      </w:r>
      <w:r w:rsidRPr="002315E7">
        <w:t xml:space="preserve">in Table </w:t>
      </w:r>
      <w:r w:rsidR="00633F76">
        <w:t>7</w:t>
      </w:r>
      <w:r w:rsidRPr="002315E7">
        <w:t>:</w:t>
      </w:r>
      <w:r w:rsidRPr="00630D01">
        <w:t xml:space="preserve"> Changes to Appropriation – Controlled Recurrent Payments</w:t>
      </w:r>
      <w:r>
        <w:t>.</w:t>
      </w:r>
    </w:p>
    <w:p w14:paraId="582792D1" w14:textId="77777777" w:rsidR="00DD709A" w:rsidRDefault="009B5C32" w:rsidP="00DD709A">
      <w:pPr>
        <w:pStyle w:val="BSnoteslist"/>
        <w:pBdr>
          <w:top w:val="nil"/>
          <w:left w:val="nil"/>
          <w:bottom w:val="nil"/>
          <w:right w:val="nil"/>
          <w:between w:val="nil"/>
          <w:bar w:val="nil"/>
        </w:pBdr>
      </w:pPr>
      <w:r>
        <w:t xml:space="preserve"> </w:t>
      </w:r>
    </w:p>
    <w:p w14:paraId="01383ED6" w14:textId="77777777" w:rsidR="002416D1" w:rsidRDefault="009B5C32" w:rsidP="001879E4">
      <w:pPr>
        <w:pStyle w:val="Heading2"/>
        <w:pageBreakBefore/>
        <w:pBdr>
          <w:top w:val="nil"/>
          <w:left w:val="nil"/>
          <w:bottom w:val="nil"/>
          <w:right w:val="nil"/>
          <w:between w:val="nil"/>
          <w:bar w:val="nil"/>
        </w:pBdr>
        <w:ind w:left="0" w:firstLine="0"/>
      </w:pPr>
      <w:bookmarkStart w:id="15" w:name="RG_MARKER_56718"/>
      <w:bookmarkStart w:id="16" w:name="_Toc231374043"/>
      <w:r>
        <w:lastRenderedPageBreak/>
        <w:t>Accountability Indicators for 2026-27</w:t>
      </w:r>
      <w:bookmarkEnd w:id="15"/>
      <w:bookmarkEnd w:id="16"/>
    </w:p>
    <w:p w14:paraId="65CF4239" w14:textId="1638D48D" w:rsidR="002416D1" w:rsidRDefault="009B5C32" w:rsidP="00650923">
      <w:pPr>
        <w:rPr>
          <w:rFonts w:cstheme="minorHAnsi"/>
          <w:b/>
          <w:bCs/>
          <w:sz w:val="28"/>
          <w:szCs w:val="28"/>
        </w:rPr>
      </w:pPr>
      <w:r w:rsidRPr="00650923">
        <w:rPr>
          <w:rFonts w:cstheme="minorHAnsi"/>
          <w:b/>
          <w:bCs/>
          <w:sz w:val="28"/>
          <w:szCs w:val="28"/>
        </w:rPr>
        <w:t>Output Class</w:t>
      </w:r>
      <w:r w:rsidR="00F014C5">
        <w:rPr>
          <w:rFonts w:cstheme="minorHAnsi"/>
          <w:b/>
          <w:bCs/>
          <w:sz w:val="28"/>
          <w:szCs w:val="28"/>
        </w:rPr>
        <w:t xml:space="preserve"> 1</w:t>
      </w:r>
      <w:r w:rsidRPr="00650923">
        <w:rPr>
          <w:rFonts w:cstheme="minorHAnsi"/>
          <w:b/>
          <w:bCs/>
          <w:sz w:val="28"/>
          <w:szCs w:val="28"/>
        </w:rPr>
        <w:t>: Infrastructure Canberra</w:t>
      </w:r>
    </w:p>
    <w:p w14:paraId="38D12BD6" w14:textId="77023D19" w:rsidR="00A831C2" w:rsidRPr="00A831C2" w:rsidRDefault="00A831C2" w:rsidP="00650923">
      <w:pPr>
        <w:rPr>
          <w:rFonts w:ascii="Calibri" w:hAnsi="Calibri" w:cs="Calibri"/>
          <w:b/>
          <w:bCs/>
          <w:i/>
          <w:iCs/>
          <w:sz w:val="24"/>
          <w:szCs w:val="24"/>
        </w:rPr>
      </w:pPr>
      <w:r w:rsidRPr="00A831C2">
        <w:rPr>
          <w:rFonts w:ascii="Calibri" w:hAnsi="Calibri" w:cs="Calibri"/>
          <w:b/>
          <w:bCs/>
          <w:i/>
          <w:iCs/>
          <w:sz w:val="24"/>
          <w:szCs w:val="24"/>
        </w:rPr>
        <w:t>Output 1.1: Infrastructure Canberra</w:t>
      </w:r>
    </w:p>
    <w:p w14:paraId="5B2C8489" w14:textId="27A44325" w:rsidR="00251747" w:rsidRDefault="009B5C32" w:rsidP="00251747">
      <w:pPr>
        <w:pStyle w:val="Caption"/>
        <w:pBdr>
          <w:top w:val="nil"/>
          <w:left w:val="nil"/>
          <w:bottom w:val="nil"/>
          <w:right w:val="nil"/>
          <w:between w:val="nil"/>
          <w:bar w:val="nil"/>
        </w:pBdr>
      </w:pPr>
      <w:r>
        <w:t xml:space="preserve">Table </w:t>
      </w:r>
      <w:r w:rsidR="00633F76">
        <w:t>6</w:t>
      </w:r>
      <w:r>
        <w:t>: Accountability Indicators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1574"/>
        <w:gridCol w:w="1581"/>
        <w:gridCol w:w="1575"/>
      </w:tblGrid>
      <w:tr w:rsidR="00143C9C" w14:paraId="47356395" w14:textId="77777777" w:rsidTr="004F07EA">
        <w:trPr>
          <w:tblHeader/>
        </w:trPr>
        <w:tc>
          <w:tcPr>
            <w:tcW w:w="4176" w:type="dxa"/>
            <w:tcBorders>
              <w:top w:val="single" w:sz="12" w:space="0" w:color="auto"/>
              <w:left w:val="nil"/>
              <w:bottom w:val="single" w:sz="12" w:space="0" w:color="auto"/>
              <w:right w:val="nil"/>
            </w:tcBorders>
          </w:tcPr>
          <w:p w14:paraId="55E55C6D" w14:textId="77777777" w:rsidR="005E0D79" w:rsidRDefault="005E0D79" w:rsidP="005E0D79"/>
        </w:tc>
        <w:tc>
          <w:tcPr>
            <w:tcW w:w="1574" w:type="dxa"/>
            <w:tcBorders>
              <w:top w:val="single" w:sz="12" w:space="0" w:color="auto"/>
              <w:left w:val="nil"/>
              <w:bottom w:val="single" w:sz="12" w:space="0" w:color="auto"/>
              <w:right w:val="nil"/>
            </w:tcBorders>
            <w:hideMark/>
          </w:tcPr>
          <w:p w14:paraId="5B17A793" w14:textId="77777777" w:rsidR="005E0D79" w:rsidRDefault="009B5C32" w:rsidP="005E0D79">
            <w:pPr>
              <w:pStyle w:val="BTableHeaderText"/>
              <w:pBdr>
                <w:top w:val="nil"/>
                <w:left w:val="nil"/>
                <w:bottom w:val="nil"/>
                <w:right w:val="nil"/>
                <w:between w:val="nil"/>
                <w:bar w:val="nil"/>
              </w:pBdr>
            </w:pPr>
            <w:r>
              <w:t>2025-26</w:t>
            </w:r>
          </w:p>
          <w:p w14:paraId="35849469" w14:textId="77777777" w:rsidR="005E0D79" w:rsidRDefault="009B5C32" w:rsidP="005E0D79">
            <w:pPr>
              <w:pStyle w:val="BTableHeaderText"/>
              <w:pBdr>
                <w:top w:val="nil"/>
                <w:left w:val="nil"/>
                <w:bottom w:val="nil"/>
                <w:right w:val="nil"/>
                <w:between w:val="nil"/>
                <w:bar w:val="nil"/>
              </w:pBdr>
            </w:pPr>
            <w:r>
              <w:t>Targets</w:t>
            </w:r>
          </w:p>
        </w:tc>
        <w:tc>
          <w:tcPr>
            <w:tcW w:w="1581" w:type="dxa"/>
            <w:tcBorders>
              <w:top w:val="single" w:sz="12" w:space="0" w:color="auto"/>
              <w:left w:val="nil"/>
              <w:bottom w:val="single" w:sz="12" w:space="0" w:color="auto"/>
              <w:right w:val="nil"/>
            </w:tcBorders>
            <w:hideMark/>
          </w:tcPr>
          <w:p w14:paraId="3A3E4A19" w14:textId="77777777" w:rsidR="005E0D79" w:rsidRDefault="009B5C32" w:rsidP="005E0D79">
            <w:pPr>
              <w:pStyle w:val="BTableHeaderText"/>
              <w:pBdr>
                <w:top w:val="nil"/>
                <w:left w:val="nil"/>
                <w:bottom w:val="nil"/>
                <w:right w:val="nil"/>
                <w:between w:val="nil"/>
                <w:bar w:val="nil"/>
              </w:pBdr>
            </w:pPr>
            <w:r>
              <w:t>2025-26</w:t>
            </w:r>
          </w:p>
          <w:p w14:paraId="02AD85A4" w14:textId="581E5220" w:rsidR="005E0D79" w:rsidRDefault="009B5C32" w:rsidP="005E0D79">
            <w:pPr>
              <w:pStyle w:val="BTableHeaderText"/>
              <w:pBdr>
                <w:top w:val="nil"/>
                <w:left w:val="nil"/>
                <w:bottom w:val="nil"/>
                <w:right w:val="nil"/>
                <w:between w:val="nil"/>
                <w:bar w:val="nil"/>
              </w:pBdr>
            </w:pPr>
            <w:r>
              <w:t>Estimated</w:t>
            </w:r>
          </w:p>
          <w:p w14:paraId="55EC8EE9" w14:textId="77777777" w:rsidR="005E0D79" w:rsidRDefault="009B5C32" w:rsidP="005E0D79">
            <w:pPr>
              <w:pStyle w:val="BTableHeaderText"/>
              <w:pBdr>
                <w:top w:val="nil"/>
                <w:left w:val="nil"/>
                <w:bottom w:val="nil"/>
                <w:right w:val="nil"/>
                <w:between w:val="nil"/>
                <w:bar w:val="nil"/>
              </w:pBdr>
            </w:pPr>
            <w:r>
              <w:t>Outcome</w:t>
            </w:r>
          </w:p>
        </w:tc>
        <w:tc>
          <w:tcPr>
            <w:tcW w:w="1575" w:type="dxa"/>
            <w:tcBorders>
              <w:top w:val="single" w:sz="12" w:space="0" w:color="auto"/>
              <w:left w:val="nil"/>
              <w:bottom w:val="single" w:sz="12" w:space="0" w:color="auto"/>
              <w:right w:val="nil"/>
            </w:tcBorders>
            <w:hideMark/>
          </w:tcPr>
          <w:p w14:paraId="6F337289" w14:textId="77777777" w:rsidR="005E0D79" w:rsidRDefault="009B5C32" w:rsidP="005E0D79">
            <w:pPr>
              <w:pStyle w:val="BTableHeaderText"/>
              <w:pBdr>
                <w:top w:val="nil"/>
                <w:left w:val="nil"/>
                <w:bottom w:val="nil"/>
                <w:right w:val="nil"/>
                <w:between w:val="nil"/>
                <w:bar w:val="nil"/>
              </w:pBdr>
            </w:pPr>
            <w:r>
              <w:t>2026-27</w:t>
            </w:r>
          </w:p>
          <w:p w14:paraId="23BDE636" w14:textId="77777777" w:rsidR="005E0D79" w:rsidRDefault="009B5C32" w:rsidP="005E0D79">
            <w:pPr>
              <w:pStyle w:val="BTableHeaderText"/>
              <w:pBdr>
                <w:top w:val="nil"/>
                <w:left w:val="nil"/>
                <w:bottom w:val="nil"/>
                <w:right w:val="nil"/>
                <w:between w:val="nil"/>
                <w:bar w:val="nil"/>
              </w:pBdr>
            </w:pPr>
            <w:r>
              <w:t>Targets</w:t>
            </w:r>
          </w:p>
        </w:tc>
      </w:tr>
      <w:tr w:rsidR="00143C9C" w14:paraId="336B4AB1" w14:textId="77777777" w:rsidTr="004F07EA">
        <w:tc>
          <w:tcPr>
            <w:tcW w:w="4176" w:type="dxa"/>
            <w:tcBorders>
              <w:top w:val="single" w:sz="12" w:space="0" w:color="auto"/>
            </w:tcBorders>
            <w:hideMark/>
          </w:tcPr>
          <w:p w14:paraId="663A2D48" w14:textId="77777777" w:rsidR="005E0D79" w:rsidRDefault="009B5C32" w:rsidP="005E0D79">
            <w:pPr>
              <w:pStyle w:val="BTableList"/>
              <w:pBdr>
                <w:top w:val="nil"/>
                <w:left w:val="nil"/>
                <w:bottom w:val="nil"/>
                <w:right w:val="nil"/>
                <w:between w:val="nil"/>
                <w:bar w:val="nil"/>
              </w:pBdr>
            </w:pPr>
            <w:r>
              <w:t>Actual expenditure for</w:t>
            </w:r>
            <w:r w:rsidRPr="00251747">
              <w:t xml:space="preserve"> Infrastructure Canberra's Infrastructure Program versus the Budget amount</w:t>
            </w:r>
          </w:p>
        </w:tc>
        <w:tc>
          <w:tcPr>
            <w:tcW w:w="1574" w:type="dxa"/>
            <w:tcBorders>
              <w:top w:val="single" w:sz="12" w:space="0" w:color="auto"/>
            </w:tcBorders>
            <w:hideMark/>
          </w:tcPr>
          <w:p w14:paraId="60E82169" w14:textId="77777777" w:rsidR="005E0D79" w:rsidRDefault="009B5C32" w:rsidP="005E0D79">
            <w:pPr>
              <w:pBdr>
                <w:top w:val="nil"/>
                <w:left w:val="nil"/>
                <w:bottom w:val="nil"/>
                <w:right w:val="nil"/>
                <w:between w:val="nil"/>
                <w:bar w:val="nil"/>
              </w:pBdr>
              <w:jc w:val="right"/>
              <w:rPr>
                <w:sz w:val="20"/>
                <w:szCs w:val="20"/>
              </w:rPr>
            </w:pPr>
            <w:r>
              <w:rPr>
                <w:sz w:val="20"/>
                <w:szCs w:val="20"/>
              </w:rPr>
              <w:t>&gt;90%</w:t>
            </w:r>
          </w:p>
          <w:p w14:paraId="44569575" w14:textId="77777777" w:rsidR="005E0D79" w:rsidRDefault="005E0D79" w:rsidP="005E0D79">
            <w:pPr>
              <w:jc w:val="right"/>
              <w:rPr>
                <w:sz w:val="20"/>
                <w:szCs w:val="20"/>
              </w:rPr>
            </w:pPr>
          </w:p>
          <w:p w14:paraId="48B07AF3" w14:textId="77777777" w:rsidR="005E0D79" w:rsidRDefault="005E0D79" w:rsidP="005E0D79">
            <w:pPr>
              <w:jc w:val="right"/>
              <w:rPr>
                <w:sz w:val="20"/>
                <w:szCs w:val="20"/>
              </w:rPr>
            </w:pPr>
          </w:p>
        </w:tc>
        <w:tc>
          <w:tcPr>
            <w:tcW w:w="1581" w:type="dxa"/>
            <w:tcBorders>
              <w:top w:val="single" w:sz="12" w:space="0" w:color="auto"/>
            </w:tcBorders>
            <w:hideMark/>
          </w:tcPr>
          <w:p w14:paraId="3569A720" w14:textId="77777777" w:rsidR="005E0D79" w:rsidRDefault="009B5C32" w:rsidP="005E0D79">
            <w:pPr>
              <w:pBdr>
                <w:top w:val="nil"/>
                <w:left w:val="nil"/>
                <w:bottom w:val="nil"/>
                <w:right w:val="nil"/>
                <w:between w:val="nil"/>
                <w:bar w:val="nil"/>
              </w:pBdr>
              <w:jc w:val="right"/>
              <w:rPr>
                <w:sz w:val="20"/>
                <w:szCs w:val="20"/>
              </w:rPr>
            </w:pPr>
            <w:r>
              <w:rPr>
                <w:sz w:val="20"/>
                <w:szCs w:val="20"/>
              </w:rPr>
              <w:t>90.18%</w:t>
            </w:r>
          </w:p>
          <w:p w14:paraId="313D5137" w14:textId="77777777" w:rsidR="005E0D79" w:rsidRDefault="005E0D79" w:rsidP="005E0D79">
            <w:pPr>
              <w:jc w:val="right"/>
              <w:rPr>
                <w:sz w:val="20"/>
                <w:szCs w:val="20"/>
              </w:rPr>
            </w:pPr>
          </w:p>
          <w:p w14:paraId="1861759D" w14:textId="77777777" w:rsidR="005E0D79" w:rsidRDefault="005E0D79" w:rsidP="005E0D79">
            <w:pPr>
              <w:jc w:val="right"/>
              <w:rPr>
                <w:sz w:val="20"/>
                <w:szCs w:val="20"/>
              </w:rPr>
            </w:pPr>
          </w:p>
        </w:tc>
        <w:tc>
          <w:tcPr>
            <w:tcW w:w="1575" w:type="dxa"/>
            <w:tcBorders>
              <w:top w:val="single" w:sz="12" w:space="0" w:color="auto"/>
            </w:tcBorders>
            <w:hideMark/>
          </w:tcPr>
          <w:p w14:paraId="6DE9B836" w14:textId="77777777" w:rsidR="005E0D79" w:rsidRDefault="009B5C32" w:rsidP="005E0D79">
            <w:pPr>
              <w:pBdr>
                <w:top w:val="nil"/>
                <w:left w:val="nil"/>
                <w:bottom w:val="nil"/>
                <w:right w:val="nil"/>
                <w:between w:val="nil"/>
                <w:bar w:val="nil"/>
              </w:pBdr>
              <w:jc w:val="right"/>
              <w:rPr>
                <w:sz w:val="20"/>
                <w:szCs w:val="20"/>
              </w:rPr>
            </w:pPr>
            <w:r>
              <w:rPr>
                <w:sz w:val="20"/>
                <w:szCs w:val="20"/>
              </w:rPr>
              <w:t>&gt;90%</w:t>
            </w:r>
          </w:p>
          <w:p w14:paraId="3A4CE7F4" w14:textId="77777777" w:rsidR="005E0D79" w:rsidRDefault="005E0D79" w:rsidP="005E0D79">
            <w:pPr>
              <w:jc w:val="right"/>
              <w:rPr>
                <w:sz w:val="20"/>
                <w:szCs w:val="20"/>
              </w:rPr>
            </w:pPr>
          </w:p>
        </w:tc>
      </w:tr>
      <w:tr w:rsidR="00143C9C" w14:paraId="76F30A66" w14:textId="77777777" w:rsidTr="004F07EA">
        <w:tc>
          <w:tcPr>
            <w:tcW w:w="4176" w:type="dxa"/>
          </w:tcPr>
          <w:p w14:paraId="361D33FB" w14:textId="77777777" w:rsidR="005E0D79" w:rsidRDefault="009B5C32" w:rsidP="005E0D79">
            <w:pPr>
              <w:pStyle w:val="BTableList"/>
              <w:pBdr>
                <w:top w:val="nil"/>
                <w:left w:val="nil"/>
                <w:bottom w:val="nil"/>
                <w:right w:val="nil"/>
                <w:between w:val="nil"/>
                <w:bar w:val="nil"/>
              </w:pBdr>
            </w:pPr>
            <w:r w:rsidRPr="00251747">
              <w:t>Proportion of eligible projects that have had WHS audits performed in accordance with the Active Certification Policy</w:t>
            </w:r>
          </w:p>
        </w:tc>
        <w:tc>
          <w:tcPr>
            <w:tcW w:w="1574" w:type="dxa"/>
          </w:tcPr>
          <w:p w14:paraId="195FE932" w14:textId="77777777" w:rsidR="005E0D79" w:rsidRDefault="009B5C32" w:rsidP="005E0D79">
            <w:pPr>
              <w:pBdr>
                <w:top w:val="nil"/>
                <w:left w:val="nil"/>
                <w:bottom w:val="nil"/>
                <w:right w:val="nil"/>
                <w:between w:val="nil"/>
                <w:bar w:val="nil"/>
              </w:pBdr>
              <w:jc w:val="right"/>
              <w:rPr>
                <w:sz w:val="20"/>
                <w:szCs w:val="20"/>
              </w:rPr>
            </w:pPr>
            <w:r>
              <w:rPr>
                <w:sz w:val="20"/>
                <w:szCs w:val="20"/>
              </w:rPr>
              <w:t>95%</w:t>
            </w:r>
          </w:p>
          <w:p w14:paraId="0F81E1CF" w14:textId="77777777" w:rsidR="005E0D79" w:rsidRDefault="005E0D79" w:rsidP="005E0D79">
            <w:pPr>
              <w:jc w:val="right"/>
              <w:rPr>
                <w:sz w:val="20"/>
                <w:szCs w:val="20"/>
              </w:rPr>
            </w:pPr>
          </w:p>
          <w:p w14:paraId="04C06FFC" w14:textId="77777777" w:rsidR="005E0D79" w:rsidRDefault="005E0D79" w:rsidP="005E0D79">
            <w:pPr>
              <w:jc w:val="right"/>
              <w:rPr>
                <w:sz w:val="20"/>
                <w:szCs w:val="20"/>
              </w:rPr>
            </w:pPr>
          </w:p>
        </w:tc>
        <w:tc>
          <w:tcPr>
            <w:tcW w:w="1581" w:type="dxa"/>
          </w:tcPr>
          <w:p w14:paraId="6594C959" w14:textId="77777777" w:rsidR="005E0D79" w:rsidRDefault="009B5C32" w:rsidP="005E0D79">
            <w:pPr>
              <w:pBdr>
                <w:top w:val="nil"/>
                <w:left w:val="nil"/>
                <w:bottom w:val="nil"/>
                <w:right w:val="nil"/>
                <w:between w:val="nil"/>
                <w:bar w:val="nil"/>
              </w:pBdr>
              <w:jc w:val="right"/>
              <w:rPr>
                <w:sz w:val="20"/>
                <w:szCs w:val="20"/>
              </w:rPr>
            </w:pPr>
            <w:r>
              <w:rPr>
                <w:sz w:val="20"/>
                <w:szCs w:val="20"/>
              </w:rPr>
              <w:t>99.5%</w:t>
            </w:r>
          </w:p>
          <w:p w14:paraId="17FD3B05" w14:textId="77777777" w:rsidR="005E0D79" w:rsidRDefault="005E0D79" w:rsidP="005E0D79">
            <w:pPr>
              <w:jc w:val="right"/>
              <w:rPr>
                <w:sz w:val="20"/>
                <w:szCs w:val="20"/>
              </w:rPr>
            </w:pPr>
          </w:p>
          <w:p w14:paraId="68CDE091" w14:textId="77777777" w:rsidR="005E0D79" w:rsidRDefault="005E0D79" w:rsidP="005E0D79">
            <w:pPr>
              <w:jc w:val="right"/>
              <w:rPr>
                <w:sz w:val="20"/>
                <w:szCs w:val="20"/>
              </w:rPr>
            </w:pPr>
          </w:p>
        </w:tc>
        <w:tc>
          <w:tcPr>
            <w:tcW w:w="1575" w:type="dxa"/>
          </w:tcPr>
          <w:p w14:paraId="3D2D0BE5" w14:textId="77777777" w:rsidR="005E0D79" w:rsidRDefault="009B5C32" w:rsidP="005E0D79">
            <w:pPr>
              <w:pBdr>
                <w:top w:val="nil"/>
                <w:left w:val="nil"/>
                <w:bottom w:val="nil"/>
                <w:right w:val="nil"/>
                <w:between w:val="nil"/>
                <w:bar w:val="nil"/>
              </w:pBdr>
              <w:jc w:val="right"/>
              <w:rPr>
                <w:sz w:val="20"/>
                <w:szCs w:val="20"/>
              </w:rPr>
            </w:pPr>
            <w:r>
              <w:rPr>
                <w:sz w:val="20"/>
                <w:szCs w:val="20"/>
              </w:rPr>
              <w:t>95%</w:t>
            </w:r>
          </w:p>
          <w:p w14:paraId="042E1547" w14:textId="77777777" w:rsidR="005E0D79" w:rsidRDefault="005E0D79" w:rsidP="005E0D79">
            <w:pPr>
              <w:jc w:val="right"/>
              <w:rPr>
                <w:sz w:val="20"/>
                <w:szCs w:val="20"/>
              </w:rPr>
            </w:pPr>
          </w:p>
        </w:tc>
      </w:tr>
      <w:tr w:rsidR="00143C9C" w14:paraId="1F357810" w14:textId="77777777" w:rsidTr="004F07EA">
        <w:tc>
          <w:tcPr>
            <w:tcW w:w="4176" w:type="dxa"/>
          </w:tcPr>
          <w:p w14:paraId="64E2E171" w14:textId="77777777" w:rsidR="005E0D79" w:rsidRPr="00251747" w:rsidRDefault="009B5C32" w:rsidP="005E0D79">
            <w:pPr>
              <w:pStyle w:val="BTableList"/>
              <w:pBdr>
                <w:top w:val="nil"/>
                <w:left w:val="nil"/>
                <w:bottom w:val="nil"/>
                <w:right w:val="nil"/>
                <w:between w:val="nil"/>
                <w:bar w:val="nil"/>
              </w:pBdr>
            </w:pPr>
            <w:r w:rsidRPr="000C0596">
              <w:t>Percentage of valid invoices paid within the agreed contract timeframes</w:t>
            </w:r>
          </w:p>
        </w:tc>
        <w:tc>
          <w:tcPr>
            <w:tcW w:w="1574" w:type="dxa"/>
          </w:tcPr>
          <w:p w14:paraId="6EEF8596" w14:textId="77777777" w:rsidR="005E0D79" w:rsidRDefault="009B5C32" w:rsidP="005E0D79">
            <w:pPr>
              <w:pBdr>
                <w:top w:val="nil"/>
                <w:left w:val="nil"/>
                <w:bottom w:val="nil"/>
                <w:right w:val="nil"/>
                <w:between w:val="nil"/>
                <w:bar w:val="nil"/>
              </w:pBdr>
              <w:jc w:val="right"/>
              <w:rPr>
                <w:sz w:val="20"/>
                <w:szCs w:val="20"/>
              </w:rPr>
            </w:pPr>
            <w:r>
              <w:rPr>
                <w:sz w:val="20"/>
                <w:szCs w:val="20"/>
              </w:rPr>
              <w:t>N/A</w:t>
            </w:r>
          </w:p>
        </w:tc>
        <w:tc>
          <w:tcPr>
            <w:tcW w:w="1581" w:type="dxa"/>
          </w:tcPr>
          <w:p w14:paraId="75E4CE04" w14:textId="77777777" w:rsidR="005E0D79" w:rsidRDefault="009B5C32" w:rsidP="005E0D79">
            <w:pPr>
              <w:pBdr>
                <w:top w:val="nil"/>
                <w:left w:val="nil"/>
                <w:bottom w:val="nil"/>
                <w:right w:val="nil"/>
                <w:between w:val="nil"/>
                <w:bar w:val="nil"/>
              </w:pBdr>
              <w:jc w:val="right"/>
              <w:rPr>
                <w:sz w:val="20"/>
                <w:szCs w:val="20"/>
              </w:rPr>
            </w:pPr>
            <w:r>
              <w:rPr>
                <w:sz w:val="20"/>
                <w:szCs w:val="20"/>
              </w:rPr>
              <w:t>N/A</w:t>
            </w:r>
          </w:p>
        </w:tc>
        <w:tc>
          <w:tcPr>
            <w:tcW w:w="1575" w:type="dxa"/>
          </w:tcPr>
          <w:p w14:paraId="65C0597A" w14:textId="77777777" w:rsidR="005E0D79" w:rsidRDefault="009B5C32" w:rsidP="005E0D79">
            <w:pPr>
              <w:pBdr>
                <w:top w:val="nil"/>
                <w:left w:val="nil"/>
                <w:bottom w:val="nil"/>
                <w:right w:val="nil"/>
                <w:between w:val="nil"/>
                <w:bar w:val="nil"/>
              </w:pBdr>
              <w:jc w:val="right"/>
              <w:rPr>
                <w:sz w:val="20"/>
                <w:szCs w:val="20"/>
              </w:rPr>
            </w:pPr>
            <w:r>
              <w:rPr>
                <w:sz w:val="20"/>
                <w:szCs w:val="20"/>
              </w:rPr>
              <w:t>95</w:t>
            </w:r>
            <w:r w:rsidR="00815525">
              <w:rPr>
                <w:sz w:val="20"/>
                <w:szCs w:val="20"/>
              </w:rPr>
              <w:t>%</w:t>
            </w:r>
          </w:p>
        </w:tc>
      </w:tr>
      <w:tr w:rsidR="00143C9C" w14:paraId="510684D7" w14:textId="77777777" w:rsidTr="004F07EA">
        <w:tc>
          <w:tcPr>
            <w:tcW w:w="4176" w:type="dxa"/>
          </w:tcPr>
          <w:p w14:paraId="614BB003" w14:textId="77777777" w:rsidR="005E0D79" w:rsidRDefault="009B5C32" w:rsidP="005E0D79">
            <w:pPr>
              <w:pStyle w:val="BTableList"/>
              <w:pBdr>
                <w:top w:val="nil"/>
                <w:left w:val="nil"/>
                <w:bottom w:val="nil"/>
                <w:right w:val="nil"/>
                <w:between w:val="nil"/>
                <w:bar w:val="nil"/>
              </w:pBdr>
            </w:pPr>
            <w:r w:rsidRPr="00596C42">
              <w:t>Property services requests received, actioned and attended to within agreed timeframes</w:t>
            </w:r>
          </w:p>
        </w:tc>
        <w:tc>
          <w:tcPr>
            <w:tcW w:w="1574" w:type="dxa"/>
          </w:tcPr>
          <w:p w14:paraId="2FAC57C1" w14:textId="77777777" w:rsidR="005E0D79" w:rsidRDefault="009B5C32" w:rsidP="005E0D79">
            <w:pPr>
              <w:pBdr>
                <w:top w:val="nil"/>
                <w:left w:val="nil"/>
                <w:bottom w:val="nil"/>
                <w:right w:val="nil"/>
                <w:between w:val="nil"/>
                <w:bar w:val="nil"/>
              </w:pBdr>
              <w:jc w:val="right"/>
              <w:rPr>
                <w:sz w:val="20"/>
                <w:szCs w:val="20"/>
              </w:rPr>
            </w:pPr>
            <w:r>
              <w:rPr>
                <w:sz w:val="20"/>
                <w:szCs w:val="20"/>
              </w:rPr>
              <w:t>90%</w:t>
            </w:r>
          </w:p>
        </w:tc>
        <w:tc>
          <w:tcPr>
            <w:tcW w:w="1581" w:type="dxa"/>
          </w:tcPr>
          <w:p w14:paraId="01AF59D7" w14:textId="77777777" w:rsidR="005E0D79" w:rsidRDefault="009B5C32" w:rsidP="005E0D79">
            <w:pPr>
              <w:pBdr>
                <w:top w:val="nil"/>
                <w:left w:val="nil"/>
                <w:bottom w:val="nil"/>
                <w:right w:val="nil"/>
                <w:between w:val="nil"/>
                <w:bar w:val="nil"/>
              </w:pBdr>
              <w:jc w:val="right"/>
              <w:rPr>
                <w:sz w:val="20"/>
                <w:szCs w:val="20"/>
              </w:rPr>
            </w:pPr>
            <w:r>
              <w:rPr>
                <w:sz w:val="20"/>
                <w:szCs w:val="20"/>
              </w:rPr>
              <w:t>&lt;97%</w:t>
            </w:r>
          </w:p>
        </w:tc>
        <w:tc>
          <w:tcPr>
            <w:tcW w:w="1575" w:type="dxa"/>
          </w:tcPr>
          <w:p w14:paraId="3F162E99" w14:textId="77777777" w:rsidR="005E0D79" w:rsidRDefault="009B5C32" w:rsidP="005E0D79">
            <w:pPr>
              <w:pBdr>
                <w:top w:val="nil"/>
                <w:left w:val="nil"/>
                <w:bottom w:val="nil"/>
                <w:right w:val="nil"/>
                <w:between w:val="nil"/>
                <w:bar w:val="nil"/>
              </w:pBdr>
              <w:jc w:val="right"/>
              <w:rPr>
                <w:sz w:val="20"/>
                <w:szCs w:val="20"/>
              </w:rPr>
            </w:pPr>
            <w:r>
              <w:rPr>
                <w:sz w:val="20"/>
                <w:szCs w:val="20"/>
              </w:rPr>
              <w:t>90%</w:t>
            </w:r>
          </w:p>
        </w:tc>
      </w:tr>
      <w:tr w:rsidR="00143C9C" w14:paraId="45C2004E" w14:textId="77777777" w:rsidTr="004F07EA">
        <w:tc>
          <w:tcPr>
            <w:tcW w:w="4176" w:type="dxa"/>
          </w:tcPr>
          <w:p w14:paraId="0223141C" w14:textId="77777777" w:rsidR="005E0D79" w:rsidRDefault="009B5C32" w:rsidP="005E0D79">
            <w:pPr>
              <w:pStyle w:val="BTableList"/>
              <w:pBdr>
                <w:top w:val="nil"/>
                <w:left w:val="nil"/>
                <w:bottom w:val="nil"/>
                <w:right w:val="nil"/>
                <w:between w:val="nil"/>
                <w:bar w:val="nil"/>
              </w:pBdr>
            </w:pPr>
            <w:r w:rsidRPr="00815525">
              <w:t>Time taken for vacant iCBR managed community portfolio properties to be ready for leasing within agreed timeframes.</w:t>
            </w:r>
          </w:p>
        </w:tc>
        <w:tc>
          <w:tcPr>
            <w:tcW w:w="1574" w:type="dxa"/>
          </w:tcPr>
          <w:p w14:paraId="16C72E25" w14:textId="77777777" w:rsidR="005E0D79" w:rsidRDefault="009B5C32" w:rsidP="005E0D79">
            <w:pPr>
              <w:pBdr>
                <w:top w:val="nil"/>
                <w:left w:val="nil"/>
                <w:bottom w:val="nil"/>
                <w:right w:val="nil"/>
                <w:between w:val="nil"/>
                <w:bar w:val="nil"/>
              </w:pBdr>
              <w:jc w:val="right"/>
              <w:rPr>
                <w:sz w:val="20"/>
                <w:szCs w:val="20"/>
              </w:rPr>
            </w:pPr>
            <w:r>
              <w:rPr>
                <w:sz w:val="20"/>
                <w:szCs w:val="20"/>
              </w:rPr>
              <w:t>N/A</w:t>
            </w:r>
          </w:p>
        </w:tc>
        <w:tc>
          <w:tcPr>
            <w:tcW w:w="1581" w:type="dxa"/>
          </w:tcPr>
          <w:p w14:paraId="72420F37" w14:textId="77777777" w:rsidR="005E0D79" w:rsidRDefault="009B5C32" w:rsidP="005E0D79">
            <w:pPr>
              <w:pBdr>
                <w:top w:val="nil"/>
                <w:left w:val="nil"/>
                <w:bottom w:val="nil"/>
                <w:right w:val="nil"/>
                <w:between w:val="nil"/>
                <w:bar w:val="nil"/>
              </w:pBdr>
              <w:jc w:val="right"/>
              <w:rPr>
                <w:sz w:val="20"/>
                <w:szCs w:val="20"/>
              </w:rPr>
            </w:pPr>
            <w:r>
              <w:rPr>
                <w:sz w:val="20"/>
                <w:szCs w:val="20"/>
              </w:rPr>
              <w:t>N/A</w:t>
            </w:r>
          </w:p>
        </w:tc>
        <w:tc>
          <w:tcPr>
            <w:tcW w:w="1575" w:type="dxa"/>
          </w:tcPr>
          <w:p w14:paraId="6B4EB6A6" w14:textId="77777777" w:rsidR="005E0D79" w:rsidRDefault="009B5C32" w:rsidP="005E0D79">
            <w:pPr>
              <w:pBdr>
                <w:top w:val="nil"/>
                <w:left w:val="nil"/>
                <w:bottom w:val="nil"/>
                <w:right w:val="nil"/>
                <w:between w:val="nil"/>
                <w:bar w:val="nil"/>
              </w:pBdr>
              <w:jc w:val="right"/>
              <w:rPr>
                <w:sz w:val="20"/>
                <w:szCs w:val="20"/>
              </w:rPr>
            </w:pPr>
            <w:r>
              <w:rPr>
                <w:sz w:val="20"/>
                <w:szCs w:val="20"/>
              </w:rPr>
              <w:t>100%</w:t>
            </w:r>
          </w:p>
        </w:tc>
      </w:tr>
      <w:tr w:rsidR="00143C9C" w14:paraId="376F287B" w14:textId="77777777" w:rsidTr="004F07EA">
        <w:tc>
          <w:tcPr>
            <w:tcW w:w="4176" w:type="dxa"/>
          </w:tcPr>
          <w:p w14:paraId="3E928FDF" w14:textId="77777777" w:rsidR="005E0D79" w:rsidRPr="00251747" w:rsidRDefault="009B5C32" w:rsidP="005E0D79">
            <w:pPr>
              <w:pStyle w:val="BTableList"/>
              <w:pBdr>
                <w:top w:val="nil"/>
                <w:left w:val="nil"/>
                <w:bottom w:val="nil"/>
                <w:right w:val="nil"/>
                <w:between w:val="nil"/>
                <w:bar w:val="nil"/>
              </w:pBdr>
            </w:pPr>
            <w:r w:rsidRPr="009374E0">
              <w:t>Infrastructure Pipeline - % of open approaches to market that have been placed on the Pipeline at least 30 days prior to release to market</w:t>
            </w:r>
          </w:p>
        </w:tc>
        <w:tc>
          <w:tcPr>
            <w:tcW w:w="1574" w:type="dxa"/>
          </w:tcPr>
          <w:p w14:paraId="17A62832" w14:textId="77777777" w:rsidR="005E0D79" w:rsidRDefault="009B5C32" w:rsidP="005E0D79">
            <w:pPr>
              <w:pBdr>
                <w:top w:val="nil"/>
                <w:left w:val="nil"/>
                <w:bottom w:val="nil"/>
                <w:right w:val="nil"/>
                <w:between w:val="nil"/>
                <w:bar w:val="nil"/>
              </w:pBdr>
              <w:jc w:val="right"/>
              <w:rPr>
                <w:sz w:val="20"/>
                <w:szCs w:val="20"/>
              </w:rPr>
            </w:pPr>
            <w:r>
              <w:rPr>
                <w:sz w:val="20"/>
                <w:szCs w:val="20"/>
              </w:rPr>
              <w:t>80%</w:t>
            </w:r>
          </w:p>
        </w:tc>
        <w:tc>
          <w:tcPr>
            <w:tcW w:w="1581" w:type="dxa"/>
          </w:tcPr>
          <w:p w14:paraId="5C60B2E5" w14:textId="77777777" w:rsidR="005E0D79" w:rsidRDefault="009B5C32" w:rsidP="005E0D79">
            <w:pPr>
              <w:pBdr>
                <w:top w:val="nil"/>
                <w:left w:val="nil"/>
                <w:bottom w:val="nil"/>
                <w:right w:val="nil"/>
                <w:between w:val="nil"/>
                <w:bar w:val="nil"/>
              </w:pBdr>
              <w:jc w:val="right"/>
              <w:rPr>
                <w:sz w:val="20"/>
                <w:szCs w:val="20"/>
              </w:rPr>
            </w:pPr>
            <w:r>
              <w:rPr>
                <w:sz w:val="20"/>
                <w:szCs w:val="20"/>
              </w:rPr>
              <w:t>58.6%</w:t>
            </w:r>
          </w:p>
        </w:tc>
        <w:tc>
          <w:tcPr>
            <w:tcW w:w="1575" w:type="dxa"/>
          </w:tcPr>
          <w:p w14:paraId="04BBE5E5" w14:textId="77777777" w:rsidR="005E0D79" w:rsidRDefault="009B5C32" w:rsidP="005E0D79">
            <w:pPr>
              <w:pBdr>
                <w:top w:val="nil"/>
                <w:left w:val="nil"/>
                <w:bottom w:val="nil"/>
                <w:right w:val="nil"/>
                <w:between w:val="nil"/>
                <w:bar w:val="nil"/>
              </w:pBdr>
              <w:jc w:val="right"/>
              <w:rPr>
                <w:sz w:val="20"/>
                <w:szCs w:val="20"/>
              </w:rPr>
            </w:pPr>
            <w:r>
              <w:rPr>
                <w:sz w:val="20"/>
                <w:szCs w:val="20"/>
              </w:rPr>
              <w:t>80%</w:t>
            </w:r>
          </w:p>
        </w:tc>
      </w:tr>
      <w:tr w:rsidR="00143C9C" w14:paraId="79A638C7" w14:textId="77777777" w:rsidTr="004F07EA">
        <w:tc>
          <w:tcPr>
            <w:tcW w:w="4176" w:type="dxa"/>
          </w:tcPr>
          <w:p w14:paraId="3E70C98E" w14:textId="77777777" w:rsidR="005E0D79" w:rsidRPr="00251747" w:rsidRDefault="009B5C32" w:rsidP="005E0D79">
            <w:pPr>
              <w:pStyle w:val="BTableList"/>
              <w:pBdr>
                <w:top w:val="nil"/>
                <w:left w:val="nil"/>
                <w:bottom w:val="nil"/>
                <w:right w:val="nil"/>
                <w:between w:val="nil"/>
                <w:bar w:val="nil"/>
              </w:pBdr>
            </w:pPr>
            <w:r w:rsidRPr="009374E0">
              <w:t>Percentage of applicable contracts awarded to prequalified contractors/consultants</w:t>
            </w:r>
          </w:p>
        </w:tc>
        <w:tc>
          <w:tcPr>
            <w:tcW w:w="1574" w:type="dxa"/>
          </w:tcPr>
          <w:p w14:paraId="07F12262" w14:textId="77777777" w:rsidR="005E0D79" w:rsidRDefault="009B5C32" w:rsidP="005E0D79">
            <w:pPr>
              <w:pBdr>
                <w:top w:val="nil"/>
                <w:left w:val="nil"/>
                <w:bottom w:val="nil"/>
                <w:right w:val="nil"/>
                <w:between w:val="nil"/>
                <w:bar w:val="nil"/>
              </w:pBdr>
              <w:jc w:val="right"/>
              <w:rPr>
                <w:sz w:val="20"/>
                <w:szCs w:val="20"/>
              </w:rPr>
            </w:pPr>
            <w:r>
              <w:rPr>
                <w:sz w:val="20"/>
                <w:szCs w:val="20"/>
              </w:rPr>
              <w:t>100%</w:t>
            </w:r>
          </w:p>
        </w:tc>
        <w:tc>
          <w:tcPr>
            <w:tcW w:w="1581" w:type="dxa"/>
          </w:tcPr>
          <w:p w14:paraId="48C0BC41" w14:textId="77777777" w:rsidR="005E0D79" w:rsidRDefault="009B5C32" w:rsidP="005E0D79">
            <w:pPr>
              <w:pBdr>
                <w:top w:val="nil"/>
                <w:left w:val="nil"/>
                <w:bottom w:val="nil"/>
                <w:right w:val="nil"/>
                <w:between w:val="nil"/>
                <w:bar w:val="nil"/>
              </w:pBdr>
              <w:jc w:val="right"/>
              <w:rPr>
                <w:sz w:val="20"/>
                <w:szCs w:val="20"/>
              </w:rPr>
            </w:pPr>
            <w:r>
              <w:rPr>
                <w:sz w:val="20"/>
                <w:szCs w:val="20"/>
              </w:rPr>
              <w:t>100%</w:t>
            </w:r>
          </w:p>
        </w:tc>
        <w:tc>
          <w:tcPr>
            <w:tcW w:w="1575" w:type="dxa"/>
          </w:tcPr>
          <w:p w14:paraId="2502DB5D" w14:textId="77777777" w:rsidR="005E0D79" w:rsidRDefault="009B5C32" w:rsidP="005E0D79">
            <w:pPr>
              <w:pBdr>
                <w:top w:val="nil"/>
                <w:left w:val="nil"/>
                <w:bottom w:val="nil"/>
                <w:right w:val="nil"/>
                <w:between w:val="nil"/>
                <w:bar w:val="nil"/>
              </w:pBdr>
              <w:jc w:val="right"/>
              <w:rPr>
                <w:sz w:val="20"/>
                <w:szCs w:val="20"/>
              </w:rPr>
            </w:pPr>
            <w:r>
              <w:rPr>
                <w:sz w:val="20"/>
                <w:szCs w:val="20"/>
              </w:rPr>
              <w:t>100%</w:t>
            </w:r>
          </w:p>
        </w:tc>
      </w:tr>
      <w:tr w:rsidR="00143C9C" w14:paraId="74ADD5CC" w14:textId="77777777" w:rsidTr="004F07EA">
        <w:tc>
          <w:tcPr>
            <w:tcW w:w="4176" w:type="dxa"/>
          </w:tcPr>
          <w:p w14:paraId="5558770A" w14:textId="36AA4473" w:rsidR="009374E0" w:rsidRPr="00251747" w:rsidRDefault="009B5C32" w:rsidP="004F07EA">
            <w:pPr>
              <w:pStyle w:val="BTableList"/>
              <w:pBdr>
                <w:top w:val="nil"/>
                <w:left w:val="nil"/>
                <w:bottom w:val="nil"/>
                <w:right w:val="nil"/>
                <w:between w:val="nil"/>
                <w:bar w:val="nil"/>
              </w:pBdr>
            </w:pPr>
            <w:r w:rsidRPr="009374E0">
              <w:t>Proportion of annual public housing repairs and maintenance expenditure allocated to planned works and proactive maintenance</w:t>
            </w:r>
            <w:r>
              <w:t>.</w:t>
            </w:r>
          </w:p>
        </w:tc>
        <w:tc>
          <w:tcPr>
            <w:tcW w:w="1574" w:type="dxa"/>
          </w:tcPr>
          <w:p w14:paraId="3DDBB07F" w14:textId="77777777" w:rsidR="005E0D79" w:rsidRDefault="009B5C32" w:rsidP="005E0D79">
            <w:pPr>
              <w:pBdr>
                <w:top w:val="nil"/>
                <w:left w:val="nil"/>
                <w:bottom w:val="nil"/>
                <w:right w:val="nil"/>
                <w:between w:val="nil"/>
                <w:bar w:val="nil"/>
              </w:pBdr>
              <w:jc w:val="right"/>
              <w:rPr>
                <w:sz w:val="20"/>
                <w:szCs w:val="20"/>
              </w:rPr>
            </w:pPr>
            <w:r>
              <w:rPr>
                <w:sz w:val="20"/>
                <w:szCs w:val="20"/>
              </w:rPr>
              <w:t>N/A</w:t>
            </w:r>
          </w:p>
        </w:tc>
        <w:tc>
          <w:tcPr>
            <w:tcW w:w="1581" w:type="dxa"/>
          </w:tcPr>
          <w:p w14:paraId="300EC743" w14:textId="77777777" w:rsidR="005E0D79" w:rsidRDefault="009B5C32" w:rsidP="005E0D79">
            <w:pPr>
              <w:pBdr>
                <w:top w:val="nil"/>
                <w:left w:val="nil"/>
                <w:bottom w:val="nil"/>
                <w:right w:val="nil"/>
                <w:between w:val="nil"/>
                <w:bar w:val="nil"/>
              </w:pBdr>
              <w:jc w:val="right"/>
              <w:rPr>
                <w:sz w:val="20"/>
                <w:szCs w:val="20"/>
              </w:rPr>
            </w:pPr>
            <w:r>
              <w:rPr>
                <w:sz w:val="20"/>
                <w:szCs w:val="20"/>
              </w:rPr>
              <w:t>N/A</w:t>
            </w:r>
          </w:p>
        </w:tc>
        <w:tc>
          <w:tcPr>
            <w:tcW w:w="1575" w:type="dxa"/>
          </w:tcPr>
          <w:p w14:paraId="41FF27FC" w14:textId="2DF1D2E7" w:rsidR="005E0D79" w:rsidRDefault="00FB7229" w:rsidP="005E0D79">
            <w:pPr>
              <w:pBdr>
                <w:top w:val="nil"/>
                <w:left w:val="nil"/>
                <w:bottom w:val="nil"/>
                <w:right w:val="nil"/>
                <w:between w:val="nil"/>
                <w:bar w:val="nil"/>
              </w:pBdr>
              <w:jc w:val="right"/>
              <w:rPr>
                <w:sz w:val="20"/>
                <w:szCs w:val="20"/>
              </w:rPr>
            </w:pPr>
            <w:r>
              <w:rPr>
                <w:sz w:val="20"/>
                <w:szCs w:val="20"/>
              </w:rPr>
              <w:t>&gt;</w:t>
            </w:r>
            <w:r w:rsidR="009B5C32">
              <w:rPr>
                <w:sz w:val="20"/>
                <w:szCs w:val="20"/>
              </w:rPr>
              <w:t>70%</w:t>
            </w:r>
          </w:p>
        </w:tc>
      </w:tr>
      <w:tr w:rsidR="004F07EA" w14:paraId="13D707FD" w14:textId="77777777" w:rsidTr="004F07EA">
        <w:tc>
          <w:tcPr>
            <w:tcW w:w="4176" w:type="dxa"/>
          </w:tcPr>
          <w:p w14:paraId="5D094FC9" w14:textId="0DC084A6" w:rsidR="004F07EA" w:rsidRPr="009374E0" w:rsidRDefault="004F07EA" w:rsidP="004F07EA">
            <w:pPr>
              <w:pStyle w:val="BTableList"/>
              <w:numPr>
                <w:ilvl w:val="0"/>
                <w:numId w:val="0"/>
              </w:numPr>
              <w:pBdr>
                <w:top w:val="nil"/>
                <w:left w:val="nil"/>
                <w:bottom w:val="nil"/>
                <w:right w:val="nil"/>
                <w:between w:val="nil"/>
                <w:bar w:val="nil"/>
              </w:pBdr>
              <w:ind w:left="360" w:hanging="360"/>
            </w:pPr>
            <w:r w:rsidRPr="009374E0">
              <w:rPr>
                <w:b/>
                <w:bCs/>
              </w:rPr>
              <w:t>Discontinued Indicators</w:t>
            </w:r>
            <w:r>
              <w:rPr>
                <w:b/>
                <w:bCs/>
              </w:rPr>
              <w:t>:</w:t>
            </w:r>
          </w:p>
        </w:tc>
        <w:tc>
          <w:tcPr>
            <w:tcW w:w="1574" w:type="dxa"/>
          </w:tcPr>
          <w:p w14:paraId="4946C3E9" w14:textId="77777777" w:rsidR="004F07EA" w:rsidRDefault="004F07EA" w:rsidP="005E0D79">
            <w:pPr>
              <w:pBdr>
                <w:top w:val="nil"/>
                <w:left w:val="nil"/>
                <w:bottom w:val="nil"/>
                <w:right w:val="nil"/>
                <w:between w:val="nil"/>
                <w:bar w:val="nil"/>
              </w:pBdr>
              <w:jc w:val="right"/>
              <w:rPr>
                <w:sz w:val="20"/>
                <w:szCs w:val="20"/>
              </w:rPr>
            </w:pPr>
          </w:p>
        </w:tc>
        <w:tc>
          <w:tcPr>
            <w:tcW w:w="1581" w:type="dxa"/>
          </w:tcPr>
          <w:p w14:paraId="3AD69F15" w14:textId="77777777" w:rsidR="004F07EA" w:rsidRDefault="004F07EA" w:rsidP="005E0D79">
            <w:pPr>
              <w:pBdr>
                <w:top w:val="nil"/>
                <w:left w:val="nil"/>
                <w:bottom w:val="nil"/>
                <w:right w:val="nil"/>
                <w:between w:val="nil"/>
                <w:bar w:val="nil"/>
              </w:pBdr>
              <w:jc w:val="right"/>
              <w:rPr>
                <w:sz w:val="20"/>
                <w:szCs w:val="20"/>
              </w:rPr>
            </w:pPr>
          </w:p>
        </w:tc>
        <w:tc>
          <w:tcPr>
            <w:tcW w:w="1575" w:type="dxa"/>
          </w:tcPr>
          <w:p w14:paraId="56A1AF83" w14:textId="77777777" w:rsidR="004F07EA" w:rsidRDefault="004F07EA" w:rsidP="005E0D79">
            <w:pPr>
              <w:pBdr>
                <w:top w:val="nil"/>
                <w:left w:val="nil"/>
                <w:bottom w:val="nil"/>
                <w:right w:val="nil"/>
                <w:between w:val="nil"/>
                <w:bar w:val="nil"/>
              </w:pBdr>
              <w:jc w:val="right"/>
              <w:rPr>
                <w:sz w:val="20"/>
                <w:szCs w:val="20"/>
              </w:rPr>
            </w:pPr>
          </w:p>
        </w:tc>
      </w:tr>
      <w:tr w:rsidR="00143C9C" w14:paraId="7A7E452F" w14:textId="77777777" w:rsidTr="004F07EA">
        <w:tc>
          <w:tcPr>
            <w:tcW w:w="4176" w:type="dxa"/>
          </w:tcPr>
          <w:p w14:paraId="4BEFD87D" w14:textId="3D10AFE6" w:rsidR="005E0D79" w:rsidRPr="00251747" w:rsidRDefault="009B5C32" w:rsidP="005E0D79">
            <w:pPr>
              <w:pStyle w:val="BTableList"/>
              <w:pBdr>
                <w:top w:val="nil"/>
                <w:left w:val="nil"/>
                <w:bottom w:val="nil"/>
                <w:right w:val="nil"/>
                <w:between w:val="nil"/>
                <w:bar w:val="nil"/>
              </w:pBdr>
            </w:pPr>
            <w:r w:rsidRPr="009374E0">
              <w:t>Project lessons learnt completed</w:t>
            </w:r>
            <w:r w:rsidR="004F07EA" w:rsidRPr="004F07EA">
              <w:rPr>
                <w:vertAlign w:val="superscript"/>
              </w:rPr>
              <w:t>1</w:t>
            </w:r>
          </w:p>
        </w:tc>
        <w:tc>
          <w:tcPr>
            <w:tcW w:w="1574" w:type="dxa"/>
          </w:tcPr>
          <w:p w14:paraId="4B51041C" w14:textId="77777777" w:rsidR="005E0D79" w:rsidRDefault="009B5C32" w:rsidP="005E0D79">
            <w:pPr>
              <w:pBdr>
                <w:top w:val="nil"/>
                <w:left w:val="nil"/>
                <w:bottom w:val="nil"/>
                <w:right w:val="nil"/>
                <w:between w:val="nil"/>
                <w:bar w:val="nil"/>
              </w:pBdr>
              <w:jc w:val="right"/>
              <w:rPr>
                <w:sz w:val="20"/>
                <w:szCs w:val="20"/>
              </w:rPr>
            </w:pPr>
            <w:r>
              <w:rPr>
                <w:sz w:val="20"/>
                <w:szCs w:val="20"/>
              </w:rPr>
              <w:t>100%</w:t>
            </w:r>
          </w:p>
        </w:tc>
        <w:tc>
          <w:tcPr>
            <w:tcW w:w="1581" w:type="dxa"/>
          </w:tcPr>
          <w:p w14:paraId="7E1771B2" w14:textId="3FD640E7" w:rsidR="005E0D79" w:rsidRDefault="001C63A9" w:rsidP="005E0D79">
            <w:pPr>
              <w:pBdr>
                <w:top w:val="nil"/>
                <w:left w:val="nil"/>
                <w:bottom w:val="nil"/>
                <w:right w:val="nil"/>
                <w:between w:val="nil"/>
                <w:bar w:val="nil"/>
              </w:pBdr>
              <w:jc w:val="right"/>
              <w:rPr>
                <w:sz w:val="20"/>
                <w:szCs w:val="20"/>
              </w:rPr>
            </w:pPr>
            <w:r>
              <w:rPr>
                <w:sz w:val="20"/>
                <w:szCs w:val="20"/>
              </w:rPr>
              <w:t>10</w:t>
            </w:r>
            <w:r w:rsidR="009B5C32">
              <w:rPr>
                <w:sz w:val="20"/>
                <w:szCs w:val="20"/>
              </w:rPr>
              <w:t>0%</w:t>
            </w:r>
          </w:p>
        </w:tc>
        <w:tc>
          <w:tcPr>
            <w:tcW w:w="1575" w:type="dxa"/>
          </w:tcPr>
          <w:p w14:paraId="6471BD76" w14:textId="77777777" w:rsidR="005E0D79" w:rsidRDefault="009B5C32" w:rsidP="005E0D79">
            <w:pPr>
              <w:pBdr>
                <w:top w:val="nil"/>
                <w:left w:val="nil"/>
                <w:bottom w:val="nil"/>
                <w:right w:val="nil"/>
                <w:between w:val="nil"/>
                <w:bar w:val="nil"/>
              </w:pBdr>
              <w:jc w:val="right"/>
              <w:rPr>
                <w:sz w:val="20"/>
                <w:szCs w:val="20"/>
              </w:rPr>
            </w:pPr>
            <w:r>
              <w:rPr>
                <w:sz w:val="20"/>
                <w:szCs w:val="20"/>
              </w:rPr>
              <w:t xml:space="preserve">N/A </w:t>
            </w:r>
          </w:p>
        </w:tc>
      </w:tr>
      <w:tr w:rsidR="00143C9C" w14:paraId="3D2B79A7" w14:textId="77777777" w:rsidTr="004F07EA">
        <w:tc>
          <w:tcPr>
            <w:tcW w:w="4176" w:type="dxa"/>
          </w:tcPr>
          <w:p w14:paraId="59311CCD" w14:textId="53D5BCED" w:rsidR="005E0D79" w:rsidRPr="00251747" w:rsidRDefault="009B5C32" w:rsidP="005E0D79">
            <w:pPr>
              <w:pStyle w:val="BTableList"/>
              <w:pBdr>
                <w:top w:val="nil"/>
                <w:left w:val="nil"/>
                <w:bottom w:val="nil"/>
                <w:right w:val="nil"/>
                <w:between w:val="nil"/>
                <w:bar w:val="nil"/>
              </w:pBdr>
            </w:pPr>
            <w:r w:rsidRPr="006D511F">
              <w:t>Percentage of Procurement Evaluation Reports issued to the financial delegate within 20 business days</w:t>
            </w:r>
            <w:r w:rsidR="004F07EA" w:rsidRPr="004F07EA">
              <w:rPr>
                <w:vertAlign w:val="superscript"/>
              </w:rPr>
              <w:t>2</w:t>
            </w:r>
          </w:p>
        </w:tc>
        <w:tc>
          <w:tcPr>
            <w:tcW w:w="1574" w:type="dxa"/>
          </w:tcPr>
          <w:p w14:paraId="4C2AC0B5" w14:textId="77777777" w:rsidR="005E0D79" w:rsidRDefault="009B5C32" w:rsidP="005E0D79">
            <w:pPr>
              <w:pBdr>
                <w:top w:val="nil"/>
                <w:left w:val="nil"/>
                <w:bottom w:val="nil"/>
                <w:right w:val="nil"/>
                <w:between w:val="nil"/>
                <w:bar w:val="nil"/>
              </w:pBdr>
              <w:jc w:val="right"/>
              <w:rPr>
                <w:sz w:val="20"/>
                <w:szCs w:val="20"/>
              </w:rPr>
            </w:pPr>
            <w:r>
              <w:rPr>
                <w:sz w:val="20"/>
                <w:szCs w:val="20"/>
              </w:rPr>
              <w:t>85%</w:t>
            </w:r>
          </w:p>
        </w:tc>
        <w:tc>
          <w:tcPr>
            <w:tcW w:w="1581" w:type="dxa"/>
          </w:tcPr>
          <w:p w14:paraId="1F2FD099" w14:textId="3E1A30F0" w:rsidR="005E0D79" w:rsidRDefault="009B5C32" w:rsidP="005E0D79">
            <w:pPr>
              <w:pBdr>
                <w:top w:val="nil"/>
                <w:left w:val="nil"/>
                <w:bottom w:val="nil"/>
                <w:right w:val="nil"/>
                <w:between w:val="nil"/>
                <w:bar w:val="nil"/>
              </w:pBdr>
              <w:jc w:val="right"/>
              <w:rPr>
                <w:sz w:val="20"/>
                <w:szCs w:val="20"/>
              </w:rPr>
            </w:pPr>
            <w:r>
              <w:rPr>
                <w:sz w:val="20"/>
                <w:szCs w:val="20"/>
              </w:rPr>
              <w:t>69.8%</w:t>
            </w:r>
          </w:p>
        </w:tc>
        <w:tc>
          <w:tcPr>
            <w:tcW w:w="1575" w:type="dxa"/>
          </w:tcPr>
          <w:p w14:paraId="08624631" w14:textId="77777777" w:rsidR="005E0D79" w:rsidRDefault="009B5C32" w:rsidP="005E0D79">
            <w:pPr>
              <w:pBdr>
                <w:top w:val="nil"/>
                <w:left w:val="nil"/>
                <w:bottom w:val="nil"/>
                <w:right w:val="nil"/>
                <w:between w:val="nil"/>
                <w:bar w:val="nil"/>
              </w:pBdr>
              <w:jc w:val="right"/>
              <w:rPr>
                <w:sz w:val="20"/>
                <w:szCs w:val="20"/>
              </w:rPr>
            </w:pPr>
            <w:r>
              <w:rPr>
                <w:sz w:val="20"/>
                <w:szCs w:val="20"/>
              </w:rPr>
              <w:t>N/A</w:t>
            </w:r>
          </w:p>
        </w:tc>
      </w:tr>
      <w:tr w:rsidR="00143C9C" w14:paraId="4AEF8E23" w14:textId="77777777" w:rsidTr="004F07EA">
        <w:tc>
          <w:tcPr>
            <w:tcW w:w="4176" w:type="dxa"/>
          </w:tcPr>
          <w:p w14:paraId="47E6C9D1" w14:textId="49BDAC8F" w:rsidR="005E0D79" w:rsidRPr="00251747" w:rsidRDefault="009B5C32" w:rsidP="005E0D79">
            <w:pPr>
              <w:pStyle w:val="BTableList"/>
              <w:pBdr>
                <w:top w:val="nil"/>
                <w:left w:val="nil"/>
                <w:bottom w:val="nil"/>
                <w:right w:val="nil"/>
                <w:between w:val="nil"/>
                <w:bar w:val="nil"/>
              </w:pBdr>
            </w:pPr>
            <w:r w:rsidRPr="006D511F">
              <w:t>Percentage of valid claims for payment assessed and certified within 10 business days</w:t>
            </w:r>
            <w:r w:rsidR="004F07EA" w:rsidRPr="004F07EA">
              <w:rPr>
                <w:vertAlign w:val="superscript"/>
              </w:rPr>
              <w:t>3</w:t>
            </w:r>
          </w:p>
        </w:tc>
        <w:tc>
          <w:tcPr>
            <w:tcW w:w="1574" w:type="dxa"/>
          </w:tcPr>
          <w:p w14:paraId="7BD94212" w14:textId="77777777" w:rsidR="005E0D79" w:rsidRDefault="009B5C32" w:rsidP="005E0D79">
            <w:pPr>
              <w:pBdr>
                <w:top w:val="nil"/>
                <w:left w:val="nil"/>
                <w:bottom w:val="nil"/>
                <w:right w:val="nil"/>
                <w:between w:val="nil"/>
                <w:bar w:val="nil"/>
              </w:pBdr>
              <w:jc w:val="right"/>
              <w:rPr>
                <w:sz w:val="20"/>
                <w:szCs w:val="20"/>
              </w:rPr>
            </w:pPr>
            <w:r>
              <w:rPr>
                <w:sz w:val="20"/>
                <w:szCs w:val="20"/>
              </w:rPr>
              <w:t>95%</w:t>
            </w:r>
          </w:p>
        </w:tc>
        <w:tc>
          <w:tcPr>
            <w:tcW w:w="1581" w:type="dxa"/>
          </w:tcPr>
          <w:p w14:paraId="58C8A300" w14:textId="3733F282" w:rsidR="005E0D79" w:rsidRDefault="009B5C32" w:rsidP="005E0D79">
            <w:pPr>
              <w:pBdr>
                <w:top w:val="nil"/>
                <w:left w:val="nil"/>
                <w:bottom w:val="nil"/>
                <w:right w:val="nil"/>
                <w:between w:val="nil"/>
                <w:bar w:val="nil"/>
              </w:pBdr>
              <w:jc w:val="right"/>
              <w:rPr>
                <w:sz w:val="20"/>
                <w:szCs w:val="20"/>
              </w:rPr>
            </w:pPr>
            <w:r>
              <w:rPr>
                <w:sz w:val="20"/>
                <w:szCs w:val="20"/>
              </w:rPr>
              <w:t>89.3%</w:t>
            </w:r>
          </w:p>
        </w:tc>
        <w:tc>
          <w:tcPr>
            <w:tcW w:w="1575" w:type="dxa"/>
          </w:tcPr>
          <w:p w14:paraId="24221796" w14:textId="77777777" w:rsidR="005E0D79" w:rsidRDefault="009B5C32" w:rsidP="005E0D79">
            <w:pPr>
              <w:pBdr>
                <w:top w:val="nil"/>
                <w:left w:val="nil"/>
                <w:bottom w:val="nil"/>
                <w:right w:val="nil"/>
                <w:between w:val="nil"/>
                <w:bar w:val="nil"/>
              </w:pBdr>
              <w:jc w:val="right"/>
              <w:rPr>
                <w:sz w:val="20"/>
                <w:szCs w:val="20"/>
              </w:rPr>
            </w:pPr>
            <w:r>
              <w:rPr>
                <w:sz w:val="20"/>
                <w:szCs w:val="20"/>
              </w:rPr>
              <w:t>N/A</w:t>
            </w:r>
          </w:p>
        </w:tc>
      </w:tr>
      <w:tr w:rsidR="00143C9C" w14:paraId="39D3EB25" w14:textId="77777777" w:rsidTr="004F07EA">
        <w:tc>
          <w:tcPr>
            <w:tcW w:w="4176" w:type="dxa"/>
          </w:tcPr>
          <w:p w14:paraId="632CBAD7" w14:textId="0C91C956" w:rsidR="005E0D79" w:rsidRPr="00251747" w:rsidRDefault="009B5C32" w:rsidP="005E0D79">
            <w:pPr>
              <w:pStyle w:val="BTableList"/>
              <w:pBdr>
                <w:top w:val="nil"/>
                <w:left w:val="nil"/>
                <w:bottom w:val="nil"/>
                <w:right w:val="nil"/>
                <w:between w:val="nil"/>
                <w:bar w:val="nil"/>
              </w:pBdr>
            </w:pPr>
            <w:r w:rsidRPr="006D511F">
              <w:t>Percentage of customers satisfied with management of aquatic centres</w:t>
            </w:r>
            <w:r w:rsidR="004F07EA" w:rsidRPr="004F07EA">
              <w:rPr>
                <w:vertAlign w:val="superscript"/>
              </w:rPr>
              <w:t>4</w:t>
            </w:r>
          </w:p>
        </w:tc>
        <w:tc>
          <w:tcPr>
            <w:tcW w:w="1574" w:type="dxa"/>
          </w:tcPr>
          <w:p w14:paraId="4608BA0C" w14:textId="77777777" w:rsidR="005E0D79" w:rsidRDefault="009B5C32" w:rsidP="005E0D79">
            <w:pPr>
              <w:pBdr>
                <w:top w:val="nil"/>
                <w:left w:val="nil"/>
                <w:bottom w:val="nil"/>
                <w:right w:val="nil"/>
                <w:between w:val="nil"/>
                <w:bar w:val="nil"/>
              </w:pBdr>
              <w:jc w:val="right"/>
              <w:rPr>
                <w:sz w:val="20"/>
                <w:szCs w:val="20"/>
              </w:rPr>
            </w:pPr>
            <w:r>
              <w:rPr>
                <w:sz w:val="20"/>
                <w:szCs w:val="20"/>
              </w:rPr>
              <w:t>87%</w:t>
            </w:r>
          </w:p>
        </w:tc>
        <w:tc>
          <w:tcPr>
            <w:tcW w:w="1581" w:type="dxa"/>
          </w:tcPr>
          <w:p w14:paraId="57D6466F" w14:textId="46AB679B" w:rsidR="005E0D79" w:rsidRDefault="009B5C32" w:rsidP="005E0D79">
            <w:pPr>
              <w:pBdr>
                <w:top w:val="nil"/>
                <w:left w:val="nil"/>
                <w:bottom w:val="nil"/>
                <w:right w:val="nil"/>
                <w:between w:val="nil"/>
                <w:bar w:val="nil"/>
              </w:pBdr>
              <w:jc w:val="right"/>
              <w:rPr>
                <w:sz w:val="20"/>
                <w:szCs w:val="20"/>
              </w:rPr>
            </w:pPr>
            <w:r>
              <w:rPr>
                <w:sz w:val="20"/>
                <w:szCs w:val="20"/>
              </w:rPr>
              <w:t>N/A</w:t>
            </w:r>
            <w:r w:rsidR="002F6210" w:rsidRPr="002F6210">
              <w:rPr>
                <w:sz w:val="20"/>
                <w:szCs w:val="20"/>
                <w:vertAlign w:val="superscript"/>
              </w:rPr>
              <w:t>4</w:t>
            </w:r>
          </w:p>
        </w:tc>
        <w:tc>
          <w:tcPr>
            <w:tcW w:w="1575" w:type="dxa"/>
          </w:tcPr>
          <w:p w14:paraId="5258F5A0" w14:textId="77777777" w:rsidR="005E0D79" w:rsidRDefault="009B5C32" w:rsidP="005E0D79">
            <w:pPr>
              <w:pBdr>
                <w:top w:val="nil"/>
                <w:left w:val="nil"/>
                <w:bottom w:val="nil"/>
                <w:right w:val="nil"/>
                <w:between w:val="nil"/>
                <w:bar w:val="nil"/>
              </w:pBdr>
              <w:jc w:val="right"/>
              <w:rPr>
                <w:sz w:val="20"/>
                <w:szCs w:val="20"/>
              </w:rPr>
            </w:pPr>
            <w:r>
              <w:rPr>
                <w:sz w:val="20"/>
                <w:szCs w:val="20"/>
              </w:rPr>
              <w:t>N/A</w:t>
            </w:r>
          </w:p>
        </w:tc>
      </w:tr>
      <w:tr w:rsidR="00143C9C" w14:paraId="23FCDDFB" w14:textId="77777777" w:rsidTr="004F07EA">
        <w:tc>
          <w:tcPr>
            <w:tcW w:w="4176" w:type="dxa"/>
          </w:tcPr>
          <w:p w14:paraId="11F0B320" w14:textId="4FE5A47C" w:rsidR="005E0D79" w:rsidRPr="00BE6BE1" w:rsidRDefault="009B5C32" w:rsidP="005E0D79">
            <w:pPr>
              <w:pStyle w:val="BTableList"/>
              <w:pBdr>
                <w:top w:val="nil"/>
                <w:left w:val="nil"/>
                <w:bottom w:val="nil"/>
                <w:right w:val="nil"/>
                <w:between w:val="nil"/>
                <w:bar w:val="nil"/>
              </w:pBdr>
            </w:pPr>
            <w:r w:rsidRPr="00FD7C12">
              <w:t>Occupancy rate for Community leased accommodation</w:t>
            </w:r>
            <w:r w:rsidR="004F07EA" w:rsidRPr="004F07EA">
              <w:rPr>
                <w:vertAlign w:val="superscript"/>
              </w:rPr>
              <w:t>5</w:t>
            </w:r>
          </w:p>
        </w:tc>
        <w:tc>
          <w:tcPr>
            <w:tcW w:w="1574" w:type="dxa"/>
          </w:tcPr>
          <w:p w14:paraId="5A148D71" w14:textId="77777777" w:rsidR="005E0D79" w:rsidRDefault="009B5C32" w:rsidP="005E0D79">
            <w:pPr>
              <w:pBdr>
                <w:top w:val="nil"/>
                <w:left w:val="nil"/>
                <w:bottom w:val="nil"/>
                <w:right w:val="nil"/>
                <w:between w:val="nil"/>
                <w:bar w:val="nil"/>
              </w:pBdr>
              <w:jc w:val="right"/>
              <w:rPr>
                <w:sz w:val="20"/>
                <w:szCs w:val="20"/>
              </w:rPr>
            </w:pPr>
            <w:r>
              <w:rPr>
                <w:sz w:val="20"/>
                <w:szCs w:val="20"/>
              </w:rPr>
              <w:t>&gt;97%</w:t>
            </w:r>
          </w:p>
        </w:tc>
        <w:tc>
          <w:tcPr>
            <w:tcW w:w="1581" w:type="dxa"/>
          </w:tcPr>
          <w:p w14:paraId="61831871" w14:textId="77777777" w:rsidR="005E0D79" w:rsidRDefault="009B5C32" w:rsidP="005E0D79">
            <w:pPr>
              <w:pBdr>
                <w:top w:val="nil"/>
                <w:left w:val="nil"/>
                <w:bottom w:val="nil"/>
                <w:right w:val="nil"/>
                <w:between w:val="nil"/>
                <w:bar w:val="nil"/>
              </w:pBdr>
              <w:jc w:val="right"/>
              <w:rPr>
                <w:sz w:val="20"/>
                <w:szCs w:val="20"/>
              </w:rPr>
            </w:pPr>
            <w:r>
              <w:rPr>
                <w:sz w:val="20"/>
                <w:szCs w:val="20"/>
              </w:rPr>
              <w:t>97.1%</w:t>
            </w:r>
          </w:p>
        </w:tc>
        <w:tc>
          <w:tcPr>
            <w:tcW w:w="1575" w:type="dxa"/>
          </w:tcPr>
          <w:p w14:paraId="7D4D9292" w14:textId="77777777" w:rsidR="005E0D79" w:rsidRDefault="009B5C32" w:rsidP="005E0D79">
            <w:pPr>
              <w:pBdr>
                <w:top w:val="nil"/>
                <w:left w:val="nil"/>
                <w:bottom w:val="nil"/>
                <w:right w:val="nil"/>
                <w:between w:val="nil"/>
                <w:bar w:val="nil"/>
              </w:pBdr>
              <w:jc w:val="right"/>
              <w:rPr>
                <w:sz w:val="20"/>
                <w:szCs w:val="20"/>
              </w:rPr>
            </w:pPr>
            <w:r>
              <w:rPr>
                <w:sz w:val="20"/>
                <w:szCs w:val="20"/>
              </w:rPr>
              <w:t>N/A</w:t>
            </w:r>
          </w:p>
        </w:tc>
      </w:tr>
      <w:tr w:rsidR="00143C9C" w14:paraId="0BF4B1B5" w14:textId="77777777" w:rsidTr="004F07EA">
        <w:tc>
          <w:tcPr>
            <w:tcW w:w="4176" w:type="dxa"/>
          </w:tcPr>
          <w:p w14:paraId="36DCB23D" w14:textId="37E40463" w:rsidR="005E0D79" w:rsidRPr="00BE6BE1" w:rsidRDefault="009B5C32" w:rsidP="005E0D79">
            <w:pPr>
              <w:pStyle w:val="BTableList"/>
              <w:pBdr>
                <w:top w:val="nil"/>
                <w:left w:val="nil"/>
                <w:bottom w:val="nil"/>
                <w:right w:val="nil"/>
                <w:between w:val="nil"/>
                <w:bar w:val="nil"/>
              </w:pBdr>
            </w:pPr>
            <w:r w:rsidRPr="00FD7C12">
              <w:t>Percentage of planned capital upgrade projects completed by expenditure</w:t>
            </w:r>
            <w:r w:rsidR="004F07EA" w:rsidRPr="004F07EA">
              <w:rPr>
                <w:vertAlign w:val="superscript"/>
              </w:rPr>
              <w:t>6</w:t>
            </w:r>
          </w:p>
        </w:tc>
        <w:tc>
          <w:tcPr>
            <w:tcW w:w="1574" w:type="dxa"/>
          </w:tcPr>
          <w:p w14:paraId="4BAE8FA6" w14:textId="77777777" w:rsidR="005E0D79" w:rsidRDefault="009B5C32" w:rsidP="005E0D79">
            <w:pPr>
              <w:pBdr>
                <w:top w:val="nil"/>
                <w:left w:val="nil"/>
                <w:bottom w:val="nil"/>
                <w:right w:val="nil"/>
                <w:between w:val="nil"/>
                <w:bar w:val="nil"/>
              </w:pBdr>
              <w:jc w:val="right"/>
              <w:rPr>
                <w:sz w:val="20"/>
                <w:szCs w:val="20"/>
              </w:rPr>
            </w:pPr>
            <w:r>
              <w:rPr>
                <w:sz w:val="20"/>
                <w:szCs w:val="20"/>
              </w:rPr>
              <w:t>&gt;85%</w:t>
            </w:r>
          </w:p>
        </w:tc>
        <w:tc>
          <w:tcPr>
            <w:tcW w:w="1581" w:type="dxa"/>
          </w:tcPr>
          <w:p w14:paraId="02C9A3B5" w14:textId="22EF79BF" w:rsidR="005E0D79" w:rsidRDefault="009B5C32" w:rsidP="005E0D79">
            <w:pPr>
              <w:pBdr>
                <w:top w:val="nil"/>
                <w:left w:val="nil"/>
                <w:bottom w:val="nil"/>
                <w:right w:val="nil"/>
                <w:between w:val="nil"/>
                <w:bar w:val="nil"/>
              </w:pBdr>
              <w:jc w:val="right"/>
              <w:rPr>
                <w:sz w:val="20"/>
                <w:szCs w:val="20"/>
              </w:rPr>
            </w:pPr>
            <w:r>
              <w:rPr>
                <w:sz w:val="20"/>
                <w:szCs w:val="20"/>
              </w:rPr>
              <w:t>23%</w:t>
            </w:r>
            <w:r w:rsidR="002F6210" w:rsidRPr="002F6210">
              <w:rPr>
                <w:sz w:val="20"/>
                <w:szCs w:val="20"/>
                <w:vertAlign w:val="superscript"/>
              </w:rPr>
              <w:t>6</w:t>
            </w:r>
          </w:p>
        </w:tc>
        <w:tc>
          <w:tcPr>
            <w:tcW w:w="1575" w:type="dxa"/>
          </w:tcPr>
          <w:p w14:paraId="0C9A0669" w14:textId="77777777" w:rsidR="005E0D79" w:rsidRDefault="009B5C32" w:rsidP="005E0D79">
            <w:pPr>
              <w:pBdr>
                <w:top w:val="nil"/>
                <w:left w:val="nil"/>
                <w:bottom w:val="nil"/>
                <w:right w:val="nil"/>
                <w:between w:val="nil"/>
                <w:bar w:val="nil"/>
              </w:pBdr>
              <w:jc w:val="right"/>
              <w:rPr>
                <w:sz w:val="20"/>
                <w:szCs w:val="20"/>
              </w:rPr>
            </w:pPr>
            <w:r>
              <w:rPr>
                <w:sz w:val="20"/>
                <w:szCs w:val="20"/>
              </w:rPr>
              <w:t>N/A</w:t>
            </w:r>
          </w:p>
        </w:tc>
      </w:tr>
      <w:tr w:rsidR="00143C9C" w14:paraId="7E8F6877" w14:textId="77777777" w:rsidTr="004F07EA">
        <w:tc>
          <w:tcPr>
            <w:tcW w:w="4176" w:type="dxa"/>
          </w:tcPr>
          <w:p w14:paraId="455222C5" w14:textId="41890D8D" w:rsidR="00FD7C12" w:rsidRPr="00BE6BE1" w:rsidRDefault="009B5C32" w:rsidP="00FD7C12">
            <w:pPr>
              <w:pStyle w:val="BTableList"/>
              <w:pBdr>
                <w:top w:val="nil"/>
                <w:left w:val="nil"/>
                <w:bottom w:val="nil"/>
                <w:right w:val="nil"/>
                <w:between w:val="nil"/>
                <w:bar w:val="nil"/>
              </w:pBdr>
            </w:pPr>
            <w:r w:rsidRPr="00FD7C12">
              <w:t>Assets powered with natural gas removed from ACT Government owned sites</w:t>
            </w:r>
            <w:r w:rsidR="004F07EA" w:rsidRPr="004F07EA">
              <w:rPr>
                <w:vertAlign w:val="superscript"/>
              </w:rPr>
              <w:t>7</w:t>
            </w:r>
          </w:p>
        </w:tc>
        <w:tc>
          <w:tcPr>
            <w:tcW w:w="1574" w:type="dxa"/>
          </w:tcPr>
          <w:p w14:paraId="7B0CA8B9" w14:textId="77777777" w:rsidR="005E0D79" w:rsidRDefault="009B5C32" w:rsidP="005E0D79">
            <w:pPr>
              <w:pBdr>
                <w:top w:val="nil"/>
                <w:left w:val="nil"/>
                <w:bottom w:val="nil"/>
                <w:right w:val="nil"/>
                <w:between w:val="nil"/>
                <w:bar w:val="nil"/>
              </w:pBdr>
              <w:jc w:val="right"/>
              <w:rPr>
                <w:sz w:val="20"/>
                <w:szCs w:val="20"/>
              </w:rPr>
            </w:pPr>
            <w:r>
              <w:rPr>
                <w:sz w:val="20"/>
                <w:szCs w:val="20"/>
              </w:rPr>
              <w:t>25</w:t>
            </w:r>
          </w:p>
        </w:tc>
        <w:tc>
          <w:tcPr>
            <w:tcW w:w="1581" w:type="dxa"/>
          </w:tcPr>
          <w:p w14:paraId="2FB1AD41" w14:textId="77777777" w:rsidR="005E0D79" w:rsidRDefault="009B5C32" w:rsidP="005E0D79">
            <w:pPr>
              <w:pBdr>
                <w:top w:val="nil"/>
                <w:left w:val="nil"/>
                <w:bottom w:val="nil"/>
                <w:right w:val="nil"/>
                <w:between w:val="nil"/>
                <w:bar w:val="nil"/>
              </w:pBdr>
              <w:jc w:val="right"/>
              <w:rPr>
                <w:sz w:val="20"/>
                <w:szCs w:val="20"/>
              </w:rPr>
            </w:pPr>
            <w:r>
              <w:rPr>
                <w:sz w:val="20"/>
                <w:szCs w:val="20"/>
              </w:rPr>
              <w:t>25</w:t>
            </w:r>
          </w:p>
        </w:tc>
        <w:tc>
          <w:tcPr>
            <w:tcW w:w="1575" w:type="dxa"/>
          </w:tcPr>
          <w:p w14:paraId="4E506DC1" w14:textId="77777777" w:rsidR="005E0D79" w:rsidRDefault="009B5C32" w:rsidP="005E0D79">
            <w:pPr>
              <w:pBdr>
                <w:top w:val="nil"/>
                <w:left w:val="nil"/>
                <w:bottom w:val="nil"/>
                <w:right w:val="nil"/>
                <w:between w:val="nil"/>
                <w:bar w:val="nil"/>
              </w:pBdr>
              <w:jc w:val="right"/>
              <w:rPr>
                <w:sz w:val="20"/>
                <w:szCs w:val="20"/>
              </w:rPr>
            </w:pPr>
            <w:r>
              <w:rPr>
                <w:sz w:val="20"/>
                <w:szCs w:val="20"/>
              </w:rPr>
              <w:t>N/A</w:t>
            </w:r>
          </w:p>
        </w:tc>
      </w:tr>
      <w:tr w:rsidR="00143C9C" w14:paraId="3DB18E37" w14:textId="77777777" w:rsidTr="004F07EA">
        <w:tc>
          <w:tcPr>
            <w:tcW w:w="4176" w:type="dxa"/>
          </w:tcPr>
          <w:p w14:paraId="5EA797E3" w14:textId="41D9ADEB" w:rsidR="00FD7C12" w:rsidRPr="00FD7C12" w:rsidRDefault="009B5C32" w:rsidP="00FD7C12">
            <w:pPr>
              <w:pStyle w:val="BTableList"/>
              <w:pBdr>
                <w:top w:val="nil"/>
                <w:left w:val="nil"/>
                <w:bottom w:val="nil"/>
                <w:right w:val="nil"/>
                <w:between w:val="nil"/>
                <w:bar w:val="nil"/>
              </w:pBdr>
            </w:pPr>
            <w:r w:rsidRPr="00FD7C12">
              <w:t>Number of Tier 1 and 2 projects that have undergone a project assurance review</w:t>
            </w:r>
            <w:r w:rsidR="004F07EA" w:rsidRPr="004F07EA">
              <w:rPr>
                <w:vertAlign w:val="superscript"/>
              </w:rPr>
              <w:t>8</w:t>
            </w:r>
          </w:p>
        </w:tc>
        <w:tc>
          <w:tcPr>
            <w:tcW w:w="1574" w:type="dxa"/>
          </w:tcPr>
          <w:p w14:paraId="5E7AC6A4" w14:textId="77777777" w:rsidR="00FD7C12" w:rsidRDefault="009B5C32" w:rsidP="005E0D79">
            <w:pPr>
              <w:pBdr>
                <w:top w:val="nil"/>
                <w:left w:val="nil"/>
                <w:bottom w:val="nil"/>
                <w:right w:val="nil"/>
                <w:between w:val="nil"/>
                <w:bar w:val="nil"/>
              </w:pBdr>
              <w:jc w:val="right"/>
              <w:rPr>
                <w:sz w:val="20"/>
                <w:szCs w:val="20"/>
              </w:rPr>
            </w:pPr>
            <w:r>
              <w:rPr>
                <w:sz w:val="20"/>
                <w:szCs w:val="20"/>
              </w:rPr>
              <w:t>4</w:t>
            </w:r>
          </w:p>
        </w:tc>
        <w:tc>
          <w:tcPr>
            <w:tcW w:w="1581" w:type="dxa"/>
          </w:tcPr>
          <w:p w14:paraId="27235FFD" w14:textId="1A312038" w:rsidR="00FD7C12" w:rsidRDefault="009B5C32" w:rsidP="005E0D79">
            <w:pPr>
              <w:pBdr>
                <w:top w:val="nil"/>
                <w:left w:val="nil"/>
                <w:bottom w:val="nil"/>
                <w:right w:val="nil"/>
                <w:between w:val="nil"/>
                <w:bar w:val="nil"/>
              </w:pBdr>
              <w:jc w:val="right"/>
              <w:rPr>
                <w:sz w:val="20"/>
                <w:szCs w:val="20"/>
              </w:rPr>
            </w:pPr>
            <w:r>
              <w:rPr>
                <w:sz w:val="20"/>
                <w:szCs w:val="20"/>
              </w:rPr>
              <w:t>N/A</w:t>
            </w:r>
            <w:r w:rsidR="00133A87" w:rsidRPr="00133A87">
              <w:rPr>
                <w:sz w:val="20"/>
                <w:szCs w:val="20"/>
                <w:vertAlign w:val="superscript"/>
              </w:rPr>
              <w:t>8</w:t>
            </w:r>
          </w:p>
        </w:tc>
        <w:tc>
          <w:tcPr>
            <w:tcW w:w="1575" w:type="dxa"/>
          </w:tcPr>
          <w:p w14:paraId="132641A8" w14:textId="77777777" w:rsidR="00FD7C12" w:rsidRDefault="009B5C32" w:rsidP="005E0D79">
            <w:pPr>
              <w:pBdr>
                <w:top w:val="nil"/>
                <w:left w:val="nil"/>
                <w:bottom w:val="nil"/>
                <w:right w:val="nil"/>
                <w:between w:val="nil"/>
                <w:bar w:val="nil"/>
              </w:pBdr>
              <w:jc w:val="right"/>
              <w:rPr>
                <w:sz w:val="20"/>
                <w:szCs w:val="20"/>
              </w:rPr>
            </w:pPr>
            <w:r>
              <w:rPr>
                <w:sz w:val="20"/>
                <w:szCs w:val="20"/>
              </w:rPr>
              <w:t>N/A</w:t>
            </w:r>
          </w:p>
        </w:tc>
      </w:tr>
      <w:tr w:rsidR="00143C9C" w14:paraId="3448E67E" w14:textId="77777777" w:rsidTr="004F07EA">
        <w:tc>
          <w:tcPr>
            <w:tcW w:w="4176" w:type="dxa"/>
          </w:tcPr>
          <w:p w14:paraId="5FA9B90F" w14:textId="56F1E617" w:rsidR="00FD7C12" w:rsidRPr="00FD7C12" w:rsidRDefault="009B5C32" w:rsidP="00FD7C12">
            <w:pPr>
              <w:pStyle w:val="BTableList"/>
              <w:pBdr>
                <w:top w:val="nil"/>
                <w:left w:val="nil"/>
                <w:bottom w:val="nil"/>
                <w:right w:val="nil"/>
                <w:between w:val="nil"/>
                <w:bar w:val="nil"/>
              </w:pBdr>
            </w:pPr>
            <w:r w:rsidRPr="00FD7C12">
              <w:t>Industry Engagement Strategy and Plan launched to industry</w:t>
            </w:r>
            <w:r w:rsidR="004F07EA" w:rsidRPr="004F07EA">
              <w:rPr>
                <w:vertAlign w:val="superscript"/>
              </w:rPr>
              <w:t>9</w:t>
            </w:r>
          </w:p>
        </w:tc>
        <w:tc>
          <w:tcPr>
            <w:tcW w:w="1574" w:type="dxa"/>
          </w:tcPr>
          <w:p w14:paraId="0D2D4F91" w14:textId="77777777" w:rsidR="00FD7C12" w:rsidRDefault="009B5C32" w:rsidP="005E0D79">
            <w:pPr>
              <w:pBdr>
                <w:top w:val="nil"/>
                <w:left w:val="nil"/>
                <w:bottom w:val="nil"/>
                <w:right w:val="nil"/>
                <w:between w:val="nil"/>
                <w:bar w:val="nil"/>
              </w:pBdr>
              <w:jc w:val="right"/>
              <w:rPr>
                <w:sz w:val="20"/>
                <w:szCs w:val="20"/>
              </w:rPr>
            </w:pPr>
            <w:r>
              <w:rPr>
                <w:sz w:val="20"/>
                <w:szCs w:val="20"/>
              </w:rPr>
              <w:t>100%</w:t>
            </w:r>
          </w:p>
        </w:tc>
        <w:tc>
          <w:tcPr>
            <w:tcW w:w="1581" w:type="dxa"/>
          </w:tcPr>
          <w:p w14:paraId="1E521C5C" w14:textId="77777777" w:rsidR="00FD7C12" w:rsidRDefault="009B5C32" w:rsidP="005E0D79">
            <w:pPr>
              <w:pBdr>
                <w:top w:val="nil"/>
                <w:left w:val="nil"/>
                <w:bottom w:val="nil"/>
                <w:right w:val="nil"/>
                <w:between w:val="nil"/>
                <w:bar w:val="nil"/>
              </w:pBdr>
              <w:jc w:val="right"/>
              <w:rPr>
                <w:sz w:val="20"/>
                <w:szCs w:val="20"/>
              </w:rPr>
            </w:pPr>
            <w:r>
              <w:rPr>
                <w:sz w:val="20"/>
                <w:szCs w:val="20"/>
              </w:rPr>
              <w:t>100%</w:t>
            </w:r>
          </w:p>
        </w:tc>
        <w:tc>
          <w:tcPr>
            <w:tcW w:w="1575" w:type="dxa"/>
          </w:tcPr>
          <w:p w14:paraId="4F16AF1E" w14:textId="77777777" w:rsidR="00FD7C12" w:rsidRDefault="009B5C32" w:rsidP="005E0D79">
            <w:pPr>
              <w:pBdr>
                <w:top w:val="nil"/>
                <w:left w:val="nil"/>
                <w:bottom w:val="nil"/>
                <w:right w:val="nil"/>
                <w:between w:val="nil"/>
                <w:bar w:val="nil"/>
              </w:pBdr>
              <w:jc w:val="right"/>
              <w:rPr>
                <w:sz w:val="20"/>
                <w:szCs w:val="20"/>
              </w:rPr>
            </w:pPr>
            <w:r>
              <w:rPr>
                <w:sz w:val="20"/>
                <w:szCs w:val="20"/>
              </w:rPr>
              <w:t>N/A</w:t>
            </w:r>
          </w:p>
        </w:tc>
      </w:tr>
      <w:tr w:rsidR="00143C9C" w14:paraId="2BC31D6B" w14:textId="77777777" w:rsidTr="004E50FA">
        <w:tc>
          <w:tcPr>
            <w:tcW w:w="4176" w:type="dxa"/>
            <w:tcBorders>
              <w:bottom w:val="single" w:sz="12" w:space="0" w:color="auto"/>
            </w:tcBorders>
          </w:tcPr>
          <w:p w14:paraId="6BBF4C62" w14:textId="64FDC380" w:rsidR="00FD7C12" w:rsidRPr="00FD7C12" w:rsidRDefault="009B5C32" w:rsidP="00FD7C12">
            <w:pPr>
              <w:pStyle w:val="BTableList"/>
              <w:pBdr>
                <w:top w:val="nil"/>
                <w:left w:val="nil"/>
                <w:bottom w:val="nil"/>
                <w:right w:val="nil"/>
                <w:between w:val="nil"/>
                <w:bar w:val="nil"/>
              </w:pBdr>
            </w:pPr>
            <w:r w:rsidRPr="00FD7C12">
              <w:lastRenderedPageBreak/>
              <w:t>Establishment of the Construction Procurement Accreditation</w:t>
            </w:r>
            <w:r w:rsidR="004F07EA" w:rsidRPr="004F07EA">
              <w:rPr>
                <w:vertAlign w:val="superscript"/>
              </w:rPr>
              <w:t>10</w:t>
            </w:r>
          </w:p>
        </w:tc>
        <w:tc>
          <w:tcPr>
            <w:tcW w:w="1574" w:type="dxa"/>
            <w:tcBorders>
              <w:bottom w:val="single" w:sz="12" w:space="0" w:color="auto"/>
            </w:tcBorders>
          </w:tcPr>
          <w:p w14:paraId="24E238ED" w14:textId="77777777" w:rsidR="00FD7C12" w:rsidRDefault="009B5C32" w:rsidP="00FD7C12">
            <w:pPr>
              <w:pBdr>
                <w:top w:val="nil"/>
                <w:left w:val="nil"/>
                <w:bottom w:val="nil"/>
                <w:right w:val="nil"/>
                <w:between w:val="nil"/>
                <w:bar w:val="nil"/>
              </w:pBdr>
              <w:jc w:val="right"/>
              <w:rPr>
                <w:sz w:val="20"/>
                <w:szCs w:val="20"/>
              </w:rPr>
            </w:pPr>
            <w:r>
              <w:rPr>
                <w:sz w:val="20"/>
                <w:szCs w:val="20"/>
              </w:rPr>
              <w:t>100%</w:t>
            </w:r>
          </w:p>
        </w:tc>
        <w:tc>
          <w:tcPr>
            <w:tcW w:w="1581" w:type="dxa"/>
            <w:tcBorders>
              <w:bottom w:val="single" w:sz="12" w:space="0" w:color="auto"/>
            </w:tcBorders>
          </w:tcPr>
          <w:p w14:paraId="15AE902D" w14:textId="77777777" w:rsidR="00FD7C12" w:rsidRDefault="009B5C32" w:rsidP="00FD7C12">
            <w:pPr>
              <w:pBdr>
                <w:top w:val="nil"/>
                <w:left w:val="nil"/>
                <w:bottom w:val="nil"/>
                <w:right w:val="nil"/>
                <w:between w:val="nil"/>
                <w:bar w:val="nil"/>
              </w:pBdr>
              <w:jc w:val="right"/>
              <w:rPr>
                <w:sz w:val="20"/>
                <w:szCs w:val="20"/>
              </w:rPr>
            </w:pPr>
            <w:r>
              <w:rPr>
                <w:sz w:val="20"/>
                <w:szCs w:val="20"/>
              </w:rPr>
              <w:t>0%</w:t>
            </w:r>
          </w:p>
        </w:tc>
        <w:tc>
          <w:tcPr>
            <w:tcW w:w="1575" w:type="dxa"/>
            <w:tcBorders>
              <w:bottom w:val="single" w:sz="12" w:space="0" w:color="auto"/>
            </w:tcBorders>
          </w:tcPr>
          <w:p w14:paraId="64DDCB0A" w14:textId="77777777" w:rsidR="00FD7C12" w:rsidRDefault="009B5C32" w:rsidP="00FD7C12">
            <w:pPr>
              <w:pBdr>
                <w:top w:val="nil"/>
                <w:left w:val="nil"/>
                <w:bottom w:val="nil"/>
                <w:right w:val="nil"/>
                <w:between w:val="nil"/>
                <w:bar w:val="nil"/>
              </w:pBdr>
              <w:jc w:val="right"/>
              <w:rPr>
                <w:sz w:val="20"/>
                <w:szCs w:val="20"/>
              </w:rPr>
            </w:pPr>
            <w:r>
              <w:rPr>
                <w:sz w:val="20"/>
                <w:szCs w:val="20"/>
              </w:rPr>
              <w:t>N/A</w:t>
            </w:r>
          </w:p>
        </w:tc>
      </w:tr>
    </w:tbl>
    <w:p w14:paraId="57459675" w14:textId="77777777" w:rsidR="00BE6BE1" w:rsidRDefault="009B5C32" w:rsidP="00BE6BE1">
      <w:pPr>
        <w:pStyle w:val="BNote"/>
        <w:pBdr>
          <w:top w:val="nil"/>
          <w:left w:val="nil"/>
          <w:bottom w:val="nil"/>
          <w:right w:val="nil"/>
          <w:between w:val="nil"/>
          <w:bar w:val="nil"/>
        </w:pBdr>
        <w:rPr>
          <w:b/>
          <w:bCs/>
        </w:rPr>
      </w:pPr>
      <w:r>
        <w:rPr>
          <w:b/>
          <w:bCs/>
        </w:rPr>
        <w:t>Explanation of Accountability Indicators:</w:t>
      </w:r>
    </w:p>
    <w:p w14:paraId="49CDC216" w14:textId="18729F38" w:rsidR="00884B68" w:rsidRDefault="009B5C32" w:rsidP="006D413A">
      <w:pPr>
        <w:pStyle w:val="BNoteLista"/>
        <w:numPr>
          <w:ilvl w:val="0"/>
          <w:numId w:val="19"/>
        </w:numPr>
        <w:pBdr>
          <w:top w:val="nil"/>
          <w:left w:val="nil"/>
          <w:bottom w:val="nil"/>
          <w:right w:val="nil"/>
          <w:between w:val="nil"/>
          <w:bar w:val="nil"/>
        </w:pBdr>
      </w:pPr>
      <w:r w:rsidRPr="00884B68">
        <w:t>This</w:t>
      </w:r>
      <w:r w:rsidR="006D413A">
        <w:t xml:space="preserve"> </w:t>
      </w:r>
      <w:r w:rsidRPr="00884B68">
        <w:t xml:space="preserve">measure (actual expenditure) provides forward leading guidance for </w:t>
      </w:r>
      <w:r w:rsidR="007E1C90">
        <w:t>iCBR</w:t>
      </w:r>
      <w:r w:rsidR="007D3BD8">
        <w:t>’s</w:t>
      </w:r>
      <w:r w:rsidR="007E1C90">
        <w:t xml:space="preserve"> </w:t>
      </w:r>
      <w:r w:rsidRPr="00884B68">
        <w:t>reputation in delivering infrastructure on behalf of the Territory and its Community.</w:t>
      </w:r>
    </w:p>
    <w:p w14:paraId="759B9749" w14:textId="776E3BFA" w:rsidR="00F67237" w:rsidRDefault="009B5C32" w:rsidP="006D413A">
      <w:pPr>
        <w:pStyle w:val="BNoteLista"/>
        <w:numPr>
          <w:ilvl w:val="0"/>
          <w:numId w:val="19"/>
        </w:numPr>
        <w:pBdr>
          <w:top w:val="nil"/>
          <w:left w:val="nil"/>
          <w:bottom w:val="nil"/>
          <w:right w:val="nil"/>
          <w:between w:val="nil"/>
          <w:bar w:val="nil"/>
        </w:pBdr>
      </w:pPr>
      <w:r w:rsidRPr="00F67237">
        <w:t xml:space="preserve">The Active Certification Policy (ACP) encourages an environment that, as far as reasonable practical attempts to consistently improve work health and safety on construction projects. Auditors assess the supplier’s work health and safety implementation and compliance with site-specific safety management system, policies, procedures, and workplace instructions. </w:t>
      </w:r>
    </w:p>
    <w:p w14:paraId="6D07CECB" w14:textId="5B4D222A" w:rsidR="00F67237" w:rsidRDefault="009B5C32" w:rsidP="006D413A">
      <w:pPr>
        <w:pStyle w:val="BNoteLista"/>
        <w:numPr>
          <w:ilvl w:val="0"/>
          <w:numId w:val="19"/>
        </w:numPr>
        <w:pBdr>
          <w:top w:val="nil"/>
          <w:left w:val="nil"/>
          <w:bottom w:val="nil"/>
          <w:right w:val="nil"/>
          <w:between w:val="nil"/>
          <w:bar w:val="nil"/>
        </w:pBdr>
      </w:pPr>
      <w:r w:rsidRPr="00F67237">
        <w:t>This indicator has been introduced to measure performance against ACT Government payment terms and includes all contracts under direct management by iCBR.</w:t>
      </w:r>
    </w:p>
    <w:p w14:paraId="5F952493" w14:textId="234EBA23" w:rsidR="00F67237" w:rsidRPr="00F67237" w:rsidRDefault="009B5C32" w:rsidP="005D4B41">
      <w:pPr>
        <w:pStyle w:val="BNoteLista"/>
        <w:numPr>
          <w:ilvl w:val="0"/>
          <w:numId w:val="19"/>
        </w:numPr>
        <w:pBdr>
          <w:top w:val="nil"/>
          <w:left w:val="nil"/>
          <w:bottom w:val="nil"/>
          <w:right w:val="nil"/>
          <w:between w:val="nil"/>
          <w:bar w:val="nil"/>
        </w:pBdr>
      </w:pPr>
      <w:r w:rsidRPr="00F67237">
        <w:t>Places and Spaces agreed timeframes for property services are:</w:t>
      </w:r>
    </w:p>
    <w:p w14:paraId="18BCD8C0" w14:textId="642B35B3" w:rsidR="004F07EA" w:rsidRPr="00F67237" w:rsidRDefault="004F07EA" w:rsidP="002F6210">
      <w:pPr>
        <w:pStyle w:val="BNoteLista"/>
        <w:numPr>
          <w:ilvl w:val="1"/>
          <w:numId w:val="19"/>
        </w:numPr>
      </w:pPr>
      <w:r w:rsidRPr="00F67237">
        <w:t xml:space="preserve">Urgent – trades person attends within </w:t>
      </w:r>
      <w:r w:rsidR="0030582F">
        <w:t>four</w:t>
      </w:r>
      <w:r>
        <w:t xml:space="preserve"> </w:t>
      </w:r>
      <w:r w:rsidRPr="00F67237">
        <w:t>hours</w:t>
      </w:r>
    </w:p>
    <w:p w14:paraId="1FD40263" w14:textId="10D49913" w:rsidR="004F07EA" w:rsidRPr="00F67237" w:rsidRDefault="004F07EA" w:rsidP="002F6210">
      <w:pPr>
        <w:pStyle w:val="BNoteLista"/>
        <w:numPr>
          <w:ilvl w:val="1"/>
          <w:numId w:val="19"/>
        </w:numPr>
      </w:pPr>
      <w:r w:rsidRPr="00F67237">
        <w:t xml:space="preserve">High Priority – trades person attends within </w:t>
      </w:r>
      <w:r w:rsidR="0030582F">
        <w:t>three</w:t>
      </w:r>
      <w:r w:rsidRPr="00F67237">
        <w:t xml:space="preserve"> working days</w:t>
      </w:r>
    </w:p>
    <w:p w14:paraId="236C5221" w14:textId="580F3F87" w:rsidR="004F07EA" w:rsidRPr="00F67237" w:rsidRDefault="004F07EA" w:rsidP="002F6210">
      <w:pPr>
        <w:pStyle w:val="BNoteLista"/>
        <w:numPr>
          <w:ilvl w:val="1"/>
          <w:numId w:val="19"/>
        </w:numPr>
      </w:pPr>
      <w:r w:rsidRPr="00F67237">
        <w:t xml:space="preserve">Routine – trades person attends within </w:t>
      </w:r>
      <w:r w:rsidR="0030582F">
        <w:t>ten</w:t>
      </w:r>
      <w:r w:rsidRPr="00F67237">
        <w:t xml:space="preserve"> working days.</w:t>
      </w:r>
    </w:p>
    <w:p w14:paraId="13A03263" w14:textId="21796A6A" w:rsidR="00F67237" w:rsidRDefault="009B5C32" w:rsidP="006D413A">
      <w:pPr>
        <w:pStyle w:val="BNoteLista"/>
        <w:numPr>
          <w:ilvl w:val="0"/>
          <w:numId w:val="19"/>
        </w:numPr>
        <w:pBdr>
          <w:top w:val="nil"/>
          <w:left w:val="nil"/>
          <w:bottom w:val="nil"/>
          <w:right w:val="nil"/>
          <w:between w:val="nil"/>
          <w:bar w:val="nil"/>
        </w:pBdr>
      </w:pPr>
      <w:r w:rsidRPr="00F67237">
        <w:t>This is a new accountability indicator for 2026-27</w:t>
      </w:r>
      <w:r w:rsidR="001C63A9" w:rsidRPr="001C63A9">
        <w:rPr>
          <w:rFonts w:asciiTheme="minorHAnsi" w:eastAsiaTheme="minorHAnsi" w:hAnsiTheme="minorHAnsi" w:cstheme="minorBidi"/>
          <w:bCs/>
          <w:sz w:val="22"/>
          <w:szCs w:val="18"/>
          <w:lang w:val="en-US"/>
        </w:rPr>
        <w:t xml:space="preserve"> </w:t>
      </w:r>
      <w:r w:rsidR="001C63A9" w:rsidRPr="001C63A9">
        <w:rPr>
          <w:bCs/>
          <w:lang w:val="en-US"/>
        </w:rPr>
        <w:t>to measure iCBR’s management of community venues to support community use</w:t>
      </w:r>
      <w:r w:rsidR="001C63A9">
        <w:rPr>
          <w:bCs/>
          <w:lang w:val="en-US"/>
        </w:rPr>
        <w:t>.</w:t>
      </w:r>
    </w:p>
    <w:p w14:paraId="03B9AEF3" w14:textId="3EFCAC7E" w:rsidR="00F67237" w:rsidRPr="00F67237" w:rsidRDefault="001C63A9" w:rsidP="006D413A">
      <w:pPr>
        <w:pStyle w:val="BNoteLista"/>
        <w:numPr>
          <w:ilvl w:val="0"/>
          <w:numId w:val="19"/>
        </w:numPr>
        <w:pBdr>
          <w:top w:val="nil"/>
          <w:left w:val="nil"/>
          <w:bottom w:val="nil"/>
          <w:right w:val="nil"/>
          <w:between w:val="nil"/>
          <w:bar w:val="nil"/>
        </w:pBdr>
      </w:pPr>
      <w:r>
        <w:rPr>
          <w:bCs/>
          <w:szCs w:val="18"/>
        </w:rPr>
        <w:t>Ensuring planned construction related procurements are publicly notified at least 30 days prior to release promotes transparency, enhances industry preparedness and demonstrates a commitment to fair and equitable procurement practices</w:t>
      </w:r>
      <w:r w:rsidR="009B5C32" w:rsidRPr="00371968">
        <w:t>.</w:t>
      </w:r>
    </w:p>
    <w:p w14:paraId="05794F7C" w14:textId="4958A8EB" w:rsidR="00F67237" w:rsidRDefault="009B5C32" w:rsidP="006D413A">
      <w:pPr>
        <w:pStyle w:val="BNoteLista"/>
        <w:numPr>
          <w:ilvl w:val="0"/>
          <w:numId w:val="19"/>
        </w:numPr>
        <w:pBdr>
          <w:top w:val="nil"/>
          <w:left w:val="nil"/>
          <w:bottom w:val="nil"/>
          <w:right w:val="nil"/>
          <w:between w:val="nil"/>
          <w:bar w:val="nil"/>
        </w:pBdr>
      </w:pPr>
      <w:r w:rsidRPr="00371968">
        <w:t>The Prequalification Scheme aims to manage risk, support sustainability, and streamline tendering to make it easier for firms to work with the ACT Government</w:t>
      </w:r>
      <w:r>
        <w:t>.</w:t>
      </w:r>
    </w:p>
    <w:p w14:paraId="19EB0C29" w14:textId="1F1CDE55" w:rsidR="00371968" w:rsidRDefault="009B5C32" w:rsidP="006D413A">
      <w:pPr>
        <w:pStyle w:val="BNoteLista"/>
        <w:numPr>
          <w:ilvl w:val="0"/>
          <w:numId w:val="19"/>
        </w:numPr>
        <w:pBdr>
          <w:top w:val="nil"/>
          <w:left w:val="nil"/>
          <w:bottom w:val="nil"/>
          <w:right w:val="nil"/>
          <w:between w:val="nil"/>
          <w:bar w:val="nil"/>
        </w:pBdr>
      </w:pPr>
      <w:r w:rsidRPr="00371968">
        <w:t>This indicator has been introduced to measure iCBR’s management of the Territory’s public housing portfolio and commitment to improving tenant experience and living standards.</w:t>
      </w:r>
    </w:p>
    <w:p w14:paraId="6CB5CEA9" w14:textId="77777777" w:rsidR="002F4588" w:rsidRDefault="002F4588" w:rsidP="002F6210">
      <w:pPr>
        <w:pStyle w:val="BNoteLista"/>
        <w:numPr>
          <w:ilvl w:val="0"/>
          <w:numId w:val="0"/>
        </w:numPr>
        <w:pBdr>
          <w:top w:val="nil"/>
          <w:left w:val="nil"/>
          <w:bottom w:val="nil"/>
          <w:right w:val="nil"/>
          <w:between w:val="nil"/>
          <w:bar w:val="nil"/>
        </w:pBdr>
        <w:jc w:val="both"/>
      </w:pPr>
    </w:p>
    <w:p w14:paraId="7C03ADA7" w14:textId="43D4EAF5" w:rsidR="0068000A" w:rsidRPr="0068000A" w:rsidRDefault="0068000A" w:rsidP="0068000A">
      <w:pPr>
        <w:pStyle w:val="BNoteLista"/>
        <w:numPr>
          <w:ilvl w:val="0"/>
          <w:numId w:val="0"/>
        </w:numPr>
        <w:pBdr>
          <w:top w:val="nil"/>
          <w:left w:val="nil"/>
          <w:bottom w:val="nil"/>
          <w:right w:val="nil"/>
          <w:between w:val="nil"/>
          <w:bar w:val="nil"/>
        </w:pBdr>
        <w:jc w:val="both"/>
        <w:rPr>
          <w:b/>
          <w:bCs/>
        </w:rPr>
      </w:pPr>
      <w:r w:rsidRPr="0068000A">
        <w:rPr>
          <w:b/>
          <w:bCs/>
        </w:rPr>
        <w:t>Notes:</w:t>
      </w:r>
    </w:p>
    <w:p w14:paraId="1A780B0E" w14:textId="77777777" w:rsidR="002F6210" w:rsidRPr="002F6210" w:rsidRDefault="002F6210" w:rsidP="002F6210">
      <w:pPr>
        <w:pStyle w:val="BNoteLista"/>
      </w:pPr>
      <w:r w:rsidRPr="002F6210">
        <w:t xml:space="preserve">This indicator has been discontinued due to difficulty in measurement and applicability to Tier 3 projects. </w:t>
      </w:r>
    </w:p>
    <w:p w14:paraId="0A4CE378" w14:textId="77777777" w:rsidR="002F6210" w:rsidRPr="002F6210" w:rsidRDefault="002F6210" w:rsidP="002F6210">
      <w:pPr>
        <w:pStyle w:val="BNoteLista"/>
        <w:pBdr>
          <w:top w:val="nil"/>
          <w:left w:val="nil"/>
          <w:bottom w:val="nil"/>
          <w:right w:val="nil"/>
          <w:between w:val="nil"/>
          <w:bar w:val="nil"/>
        </w:pBdr>
        <w:jc w:val="both"/>
        <w:rPr>
          <w:rFonts w:cs="Calibri"/>
          <w:szCs w:val="18"/>
        </w:rPr>
      </w:pPr>
      <w:r w:rsidRPr="002F6210">
        <w:rPr>
          <w:rFonts w:cs="Calibri"/>
          <w:szCs w:val="18"/>
        </w:rPr>
        <w:t>This indicator has been discontinued as due to the transfer of all Tier 1 and Tier 2 infrastructure projects to iCBR, it no longer reflects iCBR’s current structure and business model.</w:t>
      </w:r>
    </w:p>
    <w:p w14:paraId="42BF1BBB" w14:textId="77777777" w:rsidR="002F6210" w:rsidRPr="002F6210" w:rsidRDefault="002F6210" w:rsidP="002F6210">
      <w:pPr>
        <w:pStyle w:val="BNoteLista"/>
        <w:pBdr>
          <w:top w:val="nil"/>
          <w:left w:val="nil"/>
          <w:bottom w:val="nil"/>
          <w:right w:val="nil"/>
          <w:between w:val="nil"/>
          <w:bar w:val="nil"/>
        </w:pBdr>
        <w:jc w:val="both"/>
        <w:rPr>
          <w:rFonts w:cs="Calibri"/>
          <w:szCs w:val="18"/>
        </w:rPr>
      </w:pPr>
      <w:r w:rsidRPr="002F6210">
        <w:rPr>
          <w:rFonts w:cs="Calibri"/>
          <w:szCs w:val="18"/>
        </w:rPr>
        <w:t>This indicator has been discontinued and replaced with indicator 1.1(c).</w:t>
      </w:r>
    </w:p>
    <w:p w14:paraId="3897A40F" w14:textId="77777777" w:rsidR="002F6210" w:rsidRPr="002F6210" w:rsidRDefault="002F6210" w:rsidP="002F6210">
      <w:pPr>
        <w:pStyle w:val="BNoteLista"/>
        <w:pBdr>
          <w:top w:val="nil"/>
          <w:left w:val="nil"/>
          <w:bottom w:val="nil"/>
          <w:right w:val="nil"/>
          <w:between w:val="nil"/>
          <w:bar w:val="nil"/>
        </w:pBdr>
        <w:jc w:val="both"/>
        <w:rPr>
          <w:rFonts w:cs="Calibri"/>
          <w:szCs w:val="18"/>
        </w:rPr>
      </w:pPr>
      <w:r w:rsidRPr="002F6210">
        <w:rPr>
          <w:rFonts w:cs="Calibri"/>
          <w:szCs w:val="18"/>
        </w:rPr>
        <w:t>This indicator has been discontinued as it is not under the control of iCBR as these facilities are managed by private operators. The estimated outcome for this indicator is not available as survey results have not been received.</w:t>
      </w:r>
    </w:p>
    <w:p w14:paraId="2C7DA619" w14:textId="77777777" w:rsidR="002F6210" w:rsidRPr="002F6210" w:rsidRDefault="002F6210" w:rsidP="002F6210">
      <w:pPr>
        <w:pStyle w:val="BNoteLista"/>
        <w:pBdr>
          <w:top w:val="nil"/>
          <w:left w:val="nil"/>
          <w:bottom w:val="nil"/>
          <w:right w:val="nil"/>
          <w:between w:val="nil"/>
          <w:bar w:val="nil"/>
        </w:pBdr>
        <w:jc w:val="both"/>
        <w:rPr>
          <w:rFonts w:cs="Calibri"/>
          <w:szCs w:val="18"/>
        </w:rPr>
      </w:pPr>
      <w:r w:rsidRPr="002F6210">
        <w:rPr>
          <w:rFonts w:cs="Calibri"/>
          <w:szCs w:val="18"/>
        </w:rPr>
        <w:t>This indicator has been discontinued and replaced with indicator 1.1(e).</w:t>
      </w:r>
    </w:p>
    <w:p w14:paraId="6B59CDF8" w14:textId="22539A60" w:rsidR="002F6210" w:rsidRPr="002F6210" w:rsidRDefault="002F6210" w:rsidP="002F6210">
      <w:pPr>
        <w:pStyle w:val="BNoteLista"/>
        <w:pBdr>
          <w:top w:val="nil"/>
          <w:left w:val="nil"/>
          <w:bottom w:val="nil"/>
          <w:right w:val="nil"/>
          <w:between w:val="nil"/>
          <w:bar w:val="nil"/>
        </w:pBdr>
        <w:jc w:val="both"/>
        <w:rPr>
          <w:rFonts w:cs="Calibri"/>
          <w:szCs w:val="18"/>
        </w:rPr>
      </w:pPr>
      <w:r w:rsidRPr="002F6210">
        <w:rPr>
          <w:rFonts w:cs="Calibri"/>
          <w:szCs w:val="18"/>
        </w:rPr>
        <w:t xml:space="preserve">This indicator has been discontinued and is now captured within indicator 1.1(a). The estimated outcome for this indicator </w:t>
      </w:r>
      <w:r w:rsidR="00F5786F">
        <w:rPr>
          <w:rFonts w:cs="Calibri"/>
          <w:szCs w:val="18"/>
        </w:rPr>
        <w:t>is anticipated to be below the target by end of year, driven by iCBR’s ARP program. The variance reflects the complexity of delivering works in operational facilities, procurement delays and contractor availability. The program is fully committed with twenty-six active projects.</w:t>
      </w:r>
    </w:p>
    <w:p w14:paraId="6F3F8878" w14:textId="77777777" w:rsidR="002F6210" w:rsidRPr="002F6210" w:rsidRDefault="002F6210" w:rsidP="002F6210">
      <w:pPr>
        <w:pStyle w:val="BNoteLista"/>
        <w:pBdr>
          <w:top w:val="nil"/>
          <w:left w:val="nil"/>
          <w:bottom w:val="nil"/>
          <w:right w:val="nil"/>
          <w:between w:val="nil"/>
          <w:bar w:val="nil"/>
        </w:pBdr>
        <w:jc w:val="both"/>
        <w:rPr>
          <w:rFonts w:cs="Calibri"/>
          <w:szCs w:val="18"/>
        </w:rPr>
      </w:pPr>
      <w:r w:rsidRPr="002F6210">
        <w:rPr>
          <w:rFonts w:cs="Calibri"/>
          <w:szCs w:val="18"/>
        </w:rPr>
        <w:t>This indicator has been discontinued as it was project based and suited to discrete asset conversion activities.</w:t>
      </w:r>
    </w:p>
    <w:p w14:paraId="73635AA7" w14:textId="77777777" w:rsidR="002F6210" w:rsidRPr="002F6210" w:rsidRDefault="002F6210" w:rsidP="002F6210">
      <w:pPr>
        <w:pStyle w:val="BNoteLista"/>
        <w:pBdr>
          <w:top w:val="nil"/>
          <w:left w:val="nil"/>
          <w:bottom w:val="nil"/>
          <w:right w:val="nil"/>
          <w:between w:val="nil"/>
          <w:bar w:val="nil"/>
        </w:pBdr>
        <w:jc w:val="both"/>
        <w:rPr>
          <w:rFonts w:cs="Calibri"/>
          <w:szCs w:val="18"/>
        </w:rPr>
      </w:pPr>
      <w:r w:rsidRPr="002F6210">
        <w:rPr>
          <w:rFonts w:cs="Calibri"/>
          <w:szCs w:val="18"/>
        </w:rPr>
        <w:t>This indicator has been discontinued as a new program governance model is being established to perform this assurance function. Estimated outcome for this indicator is not available as the project assurance framework was discontinued.</w:t>
      </w:r>
    </w:p>
    <w:p w14:paraId="4599AAA2" w14:textId="093B7F07" w:rsidR="002F6210" w:rsidRPr="002F6210" w:rsidRDefault="002F6210" w:rsidP="002F6210">
      <w:pPr>
        <w:pStyle w:val="BNoteLista"/>
        <w:pBdr>
          <w:top w:val="nil"/>
          <w:left w:val="nil"/>
          <w:bottom w:val="nil"/>
          <w:right w:val="nil"/>
          <w:between w:val="nil"/>
          <w:bar w:val="nil"/>
        </w:pBdr>
        <w:jc w:val="both"/>
        <w:rPr>
          <w:rFonts w:cs="Calibri"/>
          <w:szCs w:val="18"/>
        </w:rPr>
      </w:pPr>
      <w:r w:rsidRPr="002F6210">
        <w:rPr>
          <w:rFonts w:cs="Calibri"/>
          <w:szCs w:val="18"/>
        </w:rPr>
        <w:t>This indicator has been discontinued as the Industry Engagement Strategy and Plan was formally launched to industry in 2025</w:t>
      </w:r>
      <w:r w:rsidR="00F5786F">
        <w:rPr>
          <w:rFonts w:cs="Calibri"/>
          <w:szCs w:val="18"/>
        </w:rPr>
        <w:t>-</w:t>
      </w:r>
      <w:r w:rsidRPr="002F6210">
        <w:rPr>
          <w:rFonts w:cs="Calibri"/>
          <w:szCs w:val="18"/>
        </w:rPr>
        <w:t>26.</w:t>
      </w:r>
    </w:p>
    <w:p w14:paraId="7099CF58" w14:textId="44A82B92" w:rsidR="00F67237" w:rsidRPr="002F6210" w:rsidRDefault="002F6210" w:rsidP="002F6210">
      <w:pPr>
        <w:pStyle w:val="BNoteLista"/>
        <w:pBdr>
          <w:top w:val="nil"/>
          <w:left w:val="nil"/>
          <w:bottom w:val="nil"/>
          <w:right w:val="nil"/>
          <w:between w:val="nil"/>
          <w:bar w:val="nil"/>
        </w:pBdr>
        <w:jc w:val="both"/>
        <w:rPr>
          <w:rFonts w:cs="Calibri"/>
          <w:szCs w:val="18"/>
        </w:rPr>
      </w:pPr>
      <w:r w:rsidRPr="002F6210">
        <w:rPr>
          <w:rFonts w:cs="Calibri"/>
          <w:szCs w:val="18"/>
        </w:rPr>
        <w:t>This indicator has been discontinued as it reflected the implementation of a proposed accreditation program that was ultimately delivered through alternative mechanisms to achieve the intended capability uplift outcomes including the adoption of the whole of government project management framework</w:t>
      </w:r>
      <w:r>
        <w:rPr>
          <w:rFonts w:cs="Calibri"/>
          <w:szCs w:val="18"/>
        </w:rPr>
        <w:t>.</w:t>
      </w:r>
    </w:p>
    <w:p w14:paraId="57B451C9" w14:textId="77777777" w:rsidR="00CC416C" w:rsidRDefault="009B5C32" w:rsidP="00217BD1">
      <w:pPr>
        <w:pStyle w:val="Heading2"/>
        <w:keepLines w:val="0"/>
        <w:pageBreakBefore/>
        <w:pBdr>
          <w:top w:val="nil"/>
          <w:left w:val="nil"/>
          <w:bottom w:val="nil"/>
          <w:right w:val="nil"/>
          <w:between w:val="nil"/>
          <w:bar w:val="nil"/>
        </w:pBdr>
        <w:ind w:left="0" w:firstLine="0"/>
        <w:rPr>
          <w:szCs w:val="20"/>
        </w:rPr>
      </w:pPr>
      <w:bookmarkStart w:id="17" w:name="RG_MARKER_56721"/>
      <w:bookmarkStart w:id="18" w:name="RG_MARKER_56719"/>
      <w:bookmarkStart w:id="19" w:name="RG_MARKER_56720"/>
      <w:bookmarkStart w:id="20" w:name="_Toc452467801"/>
      <w:bookmarkStart w:id="21" w:name="_Toc231374044"/>
      <w:r>
        <w:rPr>
          <w:szCs w:val="20"/>
        </w:rPr>
        <w:lastRenderedPageBreak/>
        <w:t>Changes to Appropriation</w:t>
      </w:r>
      <w:bookmarkEnd w:id="17"/>
      <w:bookmarkEnd w:id="18"/>
      <w:bookmarkEnd w:id="19"/>
      <w:bookmarkEnd w:id="20"/>
      <w:bookmarkEnd w:id="21"/>
    </w:p>
    <w:p w14:paraId="3BB27EBC" w14:textId="2584CE2B" w:rsidR="00CC416C" w:rsidRDefault="009B5C32" w:rsidP="00A241EC">
      <w:pPr>
        <w:pStyle w:val="Caption"/>
        <w:pBdr>
          <w:top w:val="nil"/>
          <w:left w:val="nil"/>
          <w:bottom w:val="nil"/>
          <w:right w:val="nil"/>
          <w:between w:val="nil"/>
          <w:bar w:val="nil"/>
        </w:pBdr>
        <w:rPr>
          <w:rFonts w:eastAsia="Times New Roman"/>
          <w:iCs w:val="0"/>
        </w:rPr>
      </w:pPr>
      <w:r w:rsidRPr="00F0682D">
        <w:rPr>
          <w:rFonts w:eastAsia="Times New Roman"/>
          <w:bCs/>
          <w:iCs w:val="0"/>
          <w:color w:val="000000"/>
        </w:rPr>
        <w:t xml:space="preserve">Table </w:t>
      </w:r>
      <w:r w:rsidR="00633F76">
        <w:rPr>
          <w:rFonts w:eastAsia="Times New Roman"/>
          <w:bCs/>
          <w:iCs w:val="0"/>
          <w:color w:val="000000"/>
        </w:rPr>
        <w:t>7</w:t>
      </w:r>
      <w:r w:rsidRPr="00F0682D">
        <w:rPr>
          <w:rFonts w:eastAsia="Times New Roman"/>
          <w:bCs/>
          <w:iCs w:val="0"/>
          <w:color w:val="000000"/>
        </w:rPr>
        <w:t>: Changes to appropriation –</w:t>
      </w:r>
      <w:r w:rsidRPr="00F0682D">
        <w:rPr>
          <w:rFonts w:eastAsia="Times New Roman"/>
          <w:bCs/>
          <w:iCs w:val="0"/>
          <w:color w:val="000000"/>
          <w:szCs w:val="20"/>
        </w:rPr>
        <w:t xml:space="preserve"> </w:t>
      </w:r>
      <w:r w:rsidRPr="00F0682D">
        <w:rPr>
          <w:rFonts w:eastAsia="Times New Roman"/>
          <w:bCs/>
          <w:iCs w:val="0"/>
          <w:color w:val="000000"/>
        </w:rPr>
        <w:t>Controlled Recurrent Payments</w:t>
      </w:r>
      <w:r>
        <w:rPr>
          <w:rFonts w:eastAsia="Times New Roman"/>
          <w:bCs/>
          <w:iCs w:val="0"/>
          <w:color w:val="000000"/>
        </w:rPr>
        <w:t xml:space="preserve"> ($’000)</w:t>
      </w:r>
    </w:p>
    <w:tbl>
      <w:tblPr>
        <w:tblStyle w:val="CDMRange1"/>
        <w:tblW w:w="8920" w:type="dxa"/>
        <w:tblLayout w:type="fixed"/>
        <w:tblLook w:val="0620" w:firstRow="1" w:lastRow="0" w:firstColumn="0" w:lastColumn="0" w:noHBand="1" w:noVBand="1"/>
      </w:tblPr>
      <w:tblGrid>
        <w:gridCol w:w="3960"/>
        <w:gridCol w:w="992"/>
        <w:gridCol w:w="992"/>
        <w:gridCol w:w="992"/>
        <w:gridCol w:w="992"/>
        <w:gridCol w:w="992"/>
      </w:tblGrid>
      <w:tr w:rsidR="00143C9C" w14:paraId="3D9C18D0" w14:textId="77777777" w:rsidTr="00A24F93">
        <w:trPr>
          <w:trHeight w:val="740"/>
          <w:tblHeader/>
        </w:trPr>
        <w:tc>
          <w:tcPr>
            <w:tcW w:w="3960" w:type="dxa"/>
            <w:tcBorders>
              <w:top w:val="single" w:sz="12" w:space="0" w:color="000000"/>
              <w:left w:val="nil"/>
              <w:bottom w:val="single" w:sz="12" w:space="0" w:color="000000"/>
              <w:right w:val="nil"/>
              <w:tl2br w:val="nil"/>
              <w:tr2bl w:val="nil"/>
            </w:tcBorders>
            <w:noWrap/>
            <w:tcMar>
              <w:left w:w="0" w:type="dxa"/>
              <w:right w:w="0" w:type="dxa"/>
            </w:tcMar>
            <w:vAlign w:val="bottom"/>
          </w:tcPr>
          <w:p w14:paraId="49B4CFA8" w14:textId="77777777" w:rsidR="00143C9C" w:rsidRDefault="00143C9C">
            <w:pPr>
              <w:rPr>
                <w:rFonts w:eastAsia="Calibri" w:cs="Calibri"/>
                <w:color w:val="000000"/>
              </w:rPr>
            </w:pPr>
          </w:p>
        </w:tc>
        <w:tc>
          <w:tcPr>
            <w:tcW w:w="992"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388F464F"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2025-26 Estimated Outcome</w:t>
            </w:r>
          </w:p>
        </w:tc>
        <w:tc>
          <w:tcPr>
            <w:tcW w:w="992"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B891C37"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2026-27 Budget</w:t>
            </w:r>
          </w:p>
        </w:tc>
        <w:tc>
          <w:tcPr>
            <w:tcW w:w="992"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60C49D1"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2027-28 Estimate</w:t>
            </w:r>
          </w:p>
        </w:tc>
        <w:tc>
          <w:tcPr>
            <w:tcW w:w="992"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07896B1"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2028-29 Estimate</w:t>
            </w:r>
          </w:p>
        </w:tc>
        <w:tc>
          <w:tcPr>
            <w:tcW w:w="992"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D39CDE1"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2029-30 Estimate</w:t>
            </w:r>
          </w:p>
        </w:tc>
      </w:tr>
      <w:tr w:rsidR="00143C9C" w14:paraId="42A30F03"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3960" w:type="dxa"/>
            <w:tcBorders>
              <w:top w:val="single" w:sz="12" w:space="0" w:color="000000"/>
              <w:left w:val="nil"/>
              <w:bottom w:val="nil"/>
              <w:right w:val="nil"/>
              <w:tl2br w:val="nil"/>
              <w:tr2bl w:val="nil"/>
            </w:tcBorders>
            <w:noWrap/>
            <w:tcMar>
              <w:left w:w="40" w:type="dxa"/>
              <w:right w:w="40" w:type="dxa"/>
            </w:tcMar>
            <w:vAlign w:val="bottom"/>
          </w:tcPr>
          <w:p w14:paraId="2870C8DE"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2025-26 Budget</w:t>
            </w:r>
          </w:p>
        </w:tc>
        <w:tc>
          <w:tcPr>
            <w:tcW w:w="992" w:type="dxa"/>
            <w:tcBorders>
              <w:top w:val="single" w:sz="12" w:space="0" w:color="000000"/>
              <w:left w:val="nil"/>
              <w:bottom w:val="nil"/>
              <w:right w:val="nil"/>
              <w:tl2br w:val="nil"/>
              <w:tr2bl w:val="nil"/>
            </w:tcBorders>
            <w:noWrap/>
            <w:tcMar>
              <w:left w:w="40" w:type="dxa"/>
              <w:right w:w="40" w:type="dxa"/>
            </w:tcMar>
            <w:vAlign w:val="bottom"/>
          </w:tcPr>
          <w:p w14:paraId="09D6B64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156,955</w:t>
            </w:r>
          </w:p>
        </w:tc>
        <w:tc>
          <w:tcPr>
            <w:tcW w:w="992" w:type="dxa"/>
            <w:tcBorders>
              <w:top w:val="single" w:sz="12" w:space="0" w:color="000000"/>
              <w:left w:val="nil"/>
              <w:bottom w:val="nil"/>
              <w:right w:val="nil"/>
              <w:tl2br w:val="nil"/>
              <w:tr2bl w:val="nil"/>
            </w:tcBorders>
            <w:noWrap/>
            <w:tcMar>
              <w:left w:w="40" w:type="dxa"/>
              <w:right w:w="40" w:type="dxa"/>
            </w:tcMar>
            <w:vAlign w:val="bottom"/>
          </w:tcPr>
          <w:p w14:paraId="0D1C970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124,498</w:t>
            </w:r>
          </w:p>
        </w:tc>
        <w:tc>
          <w:tcPr>
            <w:tcW w:w="992" w:type="dxa"/>
            <w:tcBorders>
              <w:top w:val="single" w:sz="12" w:space="0" w:color="000000"/>
              <w:left w:val="nil"/>
              <w:bottom w:val="nil"/>
              <w:right w:val="nil"/>
              <w:tl2br w:val="nil"/>
              <w:tr2bl w:val="nil"/>
            </w:tcBorders>
            <w:noWrap/>
            <w:tcMar>
              <w:left w:w="40" w:type="dxa"/>
              <w:right w:w="40" w:type="dxa"/>
            </w:tcMar>
            <w:vAlign w:val="bottom"/>
          </w:tcPr>
          <w:p w14:paraId="1CDA55A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153,144</w:t>
            </w:r>
          </w:p>
        </w:tc>
        <w:tc>
          <w:tcPr>
            <w:tcW w:w="992" w:type="dxa"/>
            <w:tcBorders>
              <w:top w:val="single" w:sz="12" w:space="0" w:color="000000"/>
              <w:left w:val="nil"/>
              <w:bottom w:val="nil"/>
              <w:right w:val="nil"/>
              <w:tl2br w:val="nil"/>
              <w:tr2bl w:val="nil"/>
            </w:tcBorders>
            <w:noWrap/>
            <w:tcMar>
              <w:left w:w="40" w:type="dxa"/>
              <w:right w:w="40" w:type="dxa"/>
            </w:tcMar>
            <w:vAlign w:val="bottom"/>
          </w:tcPr>
          <w:p w14:paraId="7F14183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137,836</w:t>
            </w:r>
          </w:p>
        </w:tc>
        <w:tc>
          <w:tcPr>
            <w:tcW w:w="992" w:type="dxa"/>
            <w:tcBorders>
              <w:top w:val="single" w:sz="12" w:space="0" w:color="000000"/>
              <w:left w:val="nil"/>
              <w:bottom w:val="nil"/>
              <w:right w:val="nil"/>
              <w:tl2br w:val="nil"/>
              <w:tr2bl w:val="nil"/>
            </w:tcBorders>
            <w:noWrap/>
            <w:tcMar>
              <w:left w:w="40" w:type="dxa"/>
              <w:right w:w="40" w:type="dxa"/>
            </w:tcMar>
            <w:vAlign w:val="bottom"/>
          </w:tcPr>
          <w:p w14:paraId="40F2EE0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137,298</w:t>
            </w:r>
          </w:p>
        </w:tc>
      </w:tr>
      <w:tr w:rsidR="00143C9C" w14:paraId="3F04CD84"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3960" w:type="dxa"/>
            <w:tcBorders>
              <w:top w:val="nil"/>
              <w:left w:val="nil"/>
              <w:bottom w:val="nil"/>
              <w:right w:val="nil"/>
              <w:tl2br w:val="nil"/>
              <w:tr2bl w:val="nil"/>
            </w:tcBorders>
            <w:noWrap/>
            <w:tcMar>
              <w:left w:w="40" w:type="dxa"/>
              <w:right w:w="40" w:type="dxa"/>
            </w:tcMar>
            <w:vAlign w:val="bottom"/>
          </w:tcPr>
          <w:p w14:paraId="0483B8F7"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2025-26 Budget Review</w:t>
            </w:r>
          </w:p>
        </w:tc>
        <w:tc>
          <w:tcPr>
            <w:tcW w:w="992" w:type="dxa"/>
            <w:tcBorders>
              <w:top w:val="nil"/>
              <w:left w:val="nil"/>
              <w:bottom w:val="nil"/>
              <w:right w:val="nil"/>
              <w:tl2br w:val="nil"/>
              <w:tr2bl w:val="nil"/>
            </w:tcBorders>
            <w:noWrap/>
            <w:tcMar>
              <w:left w:w="0" w:type="dxa"/>
              <w:right w:w="0" w:type="dxa"/>
            </w:tcMar>
            <w:vAlign w:val="bottom"/>
          </w:tcPr>
          <w:p w14:paraId="4C5B8B29"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6EF67CE8"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0122C865"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2E6E84C3"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60E7FDE9" w14:textId="77777777" w:rsidR="00143C9C" w:rsidRDefault="00143C9C">
            <w:pPr>
              <w:rPr>
                <w:rFonts w:eastAsia="Calibri" w:cs="Calibri"/>
                <w:color w:val="FFFFFF"/>
              </w:rPr>
            </w:pPr>
          </w:p>
        </w:tc>
      </w:tr>
      <w:tr w:rsidR="00143C9C" w14:paraId="5559BB2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40" w:type="dxa"/>
              <w:right w:w="40" w:type="dxa"/>
            </w:tcMar>
          </w:tcPr>
          <w:p w14:paraId="364D1878"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facilities for ACT Policing</w:t>
            </w:r>
          </w:p>
        </w:tc>
        <w:tc>
          <w:tcPr>
            <w:tcW w:w="992" w:type="dxa"/>
            <w:tcBorders>
              <w:top w:val="nil"/>
              <w:left w:val="nil"/>
              <w:bottom w:val="nil"/>
              <w:right w:val="nil"/>
              <w:tl2br w:val="nil"/>
              <w:tr2bl w:val="nil"/>
            </w:tcBorders>
            <w:noWrap/>
            <w:tcMar>
              <w:left w:w="40" w:type="dxa"/>
              <w:right w:w="40" w:type="dxa"/>
            </w:tcMar>
          </w:tcPr>
          <w:p w14:paraId="46B0936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98</w:t>
            </w:r>
          </w:p>
        </w:tc>
        <w:tc>
          <w:tcPr>
            <w:tcW w:w="992" w:type="dxa"/>
            <w:tcBorders>
              <w:top w:val="nil"/>
              <w:left w:val="nil"/>
              <w:bottom w:val="nil"/>
              <w:right w:val="nil"/>
              <w:tl2br w:val="nil"/>
              <w:tr2bl w:val="nil"/>
            </w:tcBorders>
            <w:noWrap/>
            <w:tcMar>
              <w:left w:w="40" w:type="dxa"/>
              <w:right w:w="40" w:type="dxa"/>
            </w:tcMar>
          </w:tcPr>
          <w:p w14:paraId="7F14A2A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55B0A34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7474C71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3F059CB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20A80C19"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3960" w:type="dxa"/>
            <w:tcBorders>
              <w:top w:val="nil"/>
              <w:left w:val="nil"/>
              <w:bottom w:val="nil"/>
              <w:right w:val="nil"/>
              <w:tl2br w:val="nil"/>
              <w:tr2bl w:val="nil"/>
            </w:tcBorders>
            <w:noWrap/>
            <w:tcMar>
              <w:left w:w="40" w:type="dxa"/>
              <w:right w:w="40" w:type="dxa"/>
            </w:tcMar>
            <w:vAlign w:val="bottom"/>
          </w:tcPr>
          <w:p w14:paraId="6E6E64A4"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FMA Section 16B Rollovers from 2024-25</w:t>
            </w:r>
          </w:p>
        </w:tc>
        <w:tc>
          <w:tcPr>
            <w:tcW w:w="992" w:type="dxa"/>
            <w:tcBorders>
              <w:top w:val="nil"/>
              <w:left w:val="nil"/>
              <w:bottom w:val="nil"/>
              <w:right w:val="nil"/>
              <w:tl2br w:val="nil"/>
              <w:tr2bl w:val="nil"/>
            </w:tcBorders>
            <w:noWrap/>
            <w:tcMar>
              <w:left w:w="0" w:type="dxa"/>
              <w:right w:w="0" w:type="dxa"/>
            </w:tcMar>
            <w:vAlign w:val="bottom"/>
          </w:tcPr>
          <w:p w14:paraId="1C17E9BB"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5C6E720A"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1419D1F0"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3D9791AB"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7ABC30C6" w14:textId="77777777" w:rsidR="00143C9C" w:rsidRDefault="00143C9C">
            <w:pPr>
              <w:rPr>
                <w:rFonts w:eastAsia="Calibri" w:cs="Calibri"/>
                <w:color w:val="FFFFFF"/>
              </w:rPr>
            </w:pPr>
          </w:p>
        </w:tc>
      </w:tr>
      <w:tr w:rsidR="00143C9C" w14:paraId="27632CCF"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40" w:type="dxa"/>
              <w:right w:w="40" w:type="dxa"/>
            </w:tcMar>
          </w:tcPr>
          <w:p w14:paraId="69E4F1C6"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Climate action – Big Canberra Battery Stream 1</w:t>
            </w:r>
          </w:p>
        </w:tc>
        <w:tc>
          <w:tcPr>
            <w:tcW w:w="992" w:type="dxa"/>
            <w:tcBorders>
              <w:top w:val="nil"/>
              <w:left w:val="nil"/>
              <w:bottom w:val="nil"/>
              <w:right w:val="nil"/>
              <w:tl2br w:val="nil"/>
              <w:tr2bl w:val="nil"/>
            </w:tcBorders>
            <w:noWrap/>
            <w:tcMar>
              <w:left w:w="40" w:type="dxa"/>
              <w:right w:w="40" w:type="dxa"/>
            </w:tcMar>
          </w:tcPr>
          <w:p w14:paraId="0F1C18D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190</w:t>
            </w:r>
          </w:p>
        </w:tc>
        <w:tc>
          <w:tcPr>
            <w:tcW w:w="992" w:type="dxa"/>
            <w:tcBorders>
              <w:top w:val="nil"/>
              <w:left w:val="nil"/>
              <w:bottom w:val="nil"/>
              <w:right w:val="nil"/>
              <w:tl2br w:val="nil"/>
              <w:tr2bl w:val="nil"/>
            </w:tcBorders>
            <w:noWrap/>
            <w:tcMar>
              <w:left w:w="40" w:type="dxa"/>
              <w:right w:w="40" w:type="dxa"/>
            </w:tcMar>
          </w:tcPr>
          <w:p w14:paraId="43F1B6C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2AFD3BB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4FE7E1D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0DD1096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1F7D881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40" w:type="dxa"/>
              <w:right w:w="40" w:type="dxa"/>
            </w:tcMar>
          </w:tcPr>
          <w:p w14:paraId="22BAB9FF"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Continuing the electrification of Government Gas Assets</w:t>
            </w:r>
          </w:p>
        </w:tc>
        <w:tc>
          <w:tcPr>
            <w:tcW w:w="992" w:type="dxa"/>
            <w:tcBorders>
              <w:top w:val="nil"/>
              <w:left w:val="nil"/>
              <w:bottom w:val="nil"/>
              <w:right w:val="nil"/>
              <w:tl2br w:val="nil"/>
              <w:tr2bl w:val="nil"/>
            </w:tcBorders>
            <w:noWrap/>
            <w:tcMar>
              <w:left w:w="40" w:type="dxa"/>
              <w:right w:w="40" w:type="dxa"/>
            </w:tcMar>
          </w:tcPr>
          <w:p w14:paraId="707E395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264</w:t>
            </w:r>
          </w:p>
        </w:tc>
        <w:tc>
          <w:tcPr>
            <w:tcW w:w="992" w:type="dxa"/>
            <w:tcBorders>
              <w:top w:val="nil"/>
              <w:left w:val="nil"/>
              <w:bottom w:val="nil"/>
              <w:right w:val="nil"/>
              <w:tl2br w:val="nil"/>
              <w:tr2bl w:val="nil"/>
            </w:tcBorders>
            <w:noWrap/>
            <w:tcMar>
              <w:left w:w="40" w:type="dxa"/>
              <w:right w:w="40" w:type="dxa"/>
            </w:tcMar>
          </w:tcPr>
          <w:p w14:paraId="356A7FF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51BB296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142F262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6FD6D38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3EB931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40" w:type="dxa"/>
              <w:right w:w="40" w:type="dxa"/>
            </w:tcMar>
          </w:tcPr>
          <w:p w14:paraId="2DDB5824"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Well-prepared emergency services – Better facilities for ACT Policing</w:t>
            </w:r>
          </w:p>
        </w:tc>
        <w:tc>
          <w:tcPr>
            <w:tcW w:w="992" w:type="dxa"/>
            <w:tcBorders>
              <w:top w:val="nil"/>
              <w:left w:val="nil"/>
              <w:bottom w:val="nil"/>
              <w:right w:val="nil"/>
              <w:tl2br w:val="nil"/>
              <w:tr2bl w:val="nil"/>
            </w:tcBorders>
            <w:noWrap/>
            <w:tcMar>
              <w:left w:w="40" w:type="dxa"/>
              <w:right w:w="40" w:type="dxa"/>
            </w:tcMar>
          </w:tcPr>
          <w:p w14:paraId="52D118D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-109</w:t>
            </w:r>
          </w:p>
        </w:tc>
        <w:tc>
          <w:tcPr>
            <w:tcW w:w="992" w:type="dxa"/>
            <w:tcBorders>
              <w:top w:val="nil"/>
              <w:left w:val="nil"/>
              <w:bottom w:val="nil"/>
              <w:right w:val="nil"/>
              <w:tl2br w:val="nil"/>
              <w:tr2bl w:val="nil"/>
            </w:tcBorders>
            <w:noWrap/>
            <w:tcMar>
              <w:left w:w="40" w:type="dxa"/>
              <w:right w:w="40" w:type="dxa"/>
            </w:tcMar>
          </w:tcPr>
          <w:p w14:paraId="3AB3FAE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25AD4C3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045244E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6329569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2CE9480"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960" w:type="dxa"/>
            <w:tcBorders>
              <w:top w:val="nil"/>
              <w:left w:val="nil"/>
              <w:bottom w:val="nil"/>
              <w:right w:val="nil"/>
              <w:tl2br w:val="nil"/>
              <w:tr2bl w:val="nil"/>
            </w:tcBorders>
            <w:tcMar>
              <w:left w:w="40" w:type="dxa"/>
              <w:right w:w="40" w:type="dxa"/>
            </w:tcMar>
            <w:vAlign w:val="bottom"/>
          </w:tcPr>
          <w:p w14:paraId="3F765742"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2026-27 Budget Policy Decisions</w:t>
            </w:r>
          </w:p>
        </w:tc>
        <w:tc>
          <w:tcPr>
            <w:tcW w:w="992" w:type="dxa"/>
            <w:tcBorders>
              <w:top w:val="nil"/>
              <w:left w:val="nil"/>
              <w:bottom w:val="nil"/>
              <w:right w:val="nil"/>
              <w:tl2br w:val="nil"/>
              <w:tr2bl w:val="nil"/>
            </w:tcBorders>
            <w:noWrap/>
            <w:tcMar>
              <w:left w:w="0" w:type="dxa"/>
              <w:right w:w="0" w:type="dxa"/>
            </w:tcMar>
            <w:vAlign w:val="bottom"/>
          </w:tcPr>
          <w:p w14:paraId="39FE5585"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6D23A149"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0AEF62C9"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1CAD76D6"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45B4C3F6" w14:textId="77777777" w:rsidR="00143C9C" w:rsidRDefault="00143C9C">
            <w:pPr>
              <w:rPr>
                <w:rFonts w:eastAsia="Calibri" w:cs="Calibri"/>
                <w:color w:val="FFFFFF"/>
              </w:rPr>
            </w:pPr>
          </w:p>
        </w:tc>
      </w:tr>
      <w:tr w:rsidR="00F63E0B" w14:paraId="1F2E373E"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960" w:type="dxa"/>
            <w:tcBorders>
              <w:top w:val="nil"/>
              <w:left w:val="nil"/>
              <w:bottom w:val="nil"/>
              <w:right w:val="nil"/>
              <w:tl2br w:val="nil"/>
              <w:tr2bl w:val="nil"/>
            </w:tcBorders>
            <w:tcMar>
              <w:left w:w="40" w:type="dxa"/>
              <w:right w:w="40" w:type="dxa"/>
            </w:tcMar>
            <w:vAlign w:val="bottom"/>
          </w:tcPr>
          <w:p w14:paraId="4FD63761" w14:textId="4F897329" w:rsidR="00F63E0B" w:rsidRPr="0006090D" w:rsidRDefault="00F63E0B" w:rsidP="00F63E0B">
            <w:pPr>
              <w:pBdr>
                <w:top w:val="nil"/>
                <w:left w:val="nil"/>
                <w:bottom w:val="nil"/>
                <w:right w:val="nil"/>
                <w:between w:val="nil"/>
                <w:bar w:val="nil"/>
              </w:pBdr>
              <w:ind w:left="170" w:hanging="170"/>
              <w:rPr>
                <w:rFonts w:ascii="Calibri" w:eastAsia="Calibri" w:hAnsi="Calibri" w:cs="Calibri"/>
                <w:color w:val="000000"/>
                <w:sz w:val="18"/>
                <w:lang w:eastAsia="en-US"/>
              </w:rPr>
            </w:pPr>
            <w:r w:rsidRPr="00F63E0B">
              <w:rPr>
                <w:rFonts w:ascii="Calibri" w:eastAsia="Calibri" w:hAnsi="Calibri" w:cs="Calibri"/>
                <w:color w:val="000000"/>
                <w:sz w:val="18"/>
                <w:lang w:eastAsia="en-US"/>
              </w:rPr>
              <w:t>Delivering Light Rail to Woden</w:t>
            </w:r>
          </w:p>
        </w:tc>
        <w:tc>
          <w:tcPr>
            <w:tcW w:w="992" w:type="dxa"/>
            <w:tcBorders>
              <w:top w:val="nil"/>
              <w:left w:val="nil"/>
              <w:bottom w:val="nil"/>
              <w:right w:val="nil"/>
              <w:tl2br w:val="nil"/>
              <w:tr2bl w:val="nil"/>
            </w:tcBorders>
            <w:noWrap/>
            <w:tcMar>
              <w:left w:w="40" w:type="dxa"/>
              <w:right w:w="40" w:type="dxa"/>
            </w:tcMar>
            <w:vAlign w:val="bottom"/>
          </w:tcPr>
          <w:p w14:paraId="68176B1D" w14:textId="7D4D86B0"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6575206F" w14:textId="69130552"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800</w:t>
            </w:r>
          </w:p>
        </w:tc>
        <w:tc>
          <w:tcPr>
            <w:tcW w:w="992" w:type="dxa"/>
            <w:tcBorders>
              <w:top w:val="nil"/>
              <w:left w:val="nil"/>
              <w:bottom w:val="nil"/>
              <w:right w:val="nil"/>
              <w:tl2br w:val="nil"/>
              <w:tr2bl w:val="nil"/>
            </w:tcBorders>
            <w:noWrap/>
            <w:tcMar>
              <w:left w:w="40" w:type="dxa"/>
              <w:right w:w="40" w:type="dxa"/>
            </w:tcMar>
            <w:vAlign w:val="bottom"/>
          </w:tcPr>
          <w:p w14:paraId="596A278D" w14:textId="797F37F4"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587C3545" w14:textId="2D207C6D"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30148B3C" w14:textId="36D633D6"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r>
      <w:tr w:rsidR="00F63E0B" w14:paraId="4B68F04B"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960" w:type="dxa"/>
            <w:tcBorders>
              <w:top w:val="nil"/>
              <w:left w:val="nil"/>
              <w:bottom w:val="nil"/>
              <w:right w:val="nil"/>
              <w:tl2br w:val="nil"/>
              <w:tr2bl w:val="nil"/>
            </w:tcBorders>
            <w:tcMar>
              <w:left w:w="40" w:type="dxa"/>
              <w:right w:w="40" w:type="dxa"/>
            </w:tcMar>
            <w:vAlign w:val="bottom"/>
          </w:tcPr>
          <w:p w14:paraId="0A23CE11" w14:textId="6262845D" w:rsidR="00F63E0B" w:rsidRPr="0006090D" w:rsidRDefault="00F63E0B" w:rsidP="00F63E0B">
            <w:pPr>
              <w:pBdr>
                <w:top w:val="nil"/>
                <w:left w:val="nil"/>
                <w:bottom w:val="nil"/>
                <w:right w:val="nil"/>
                <w:between w:val="nil"/>
                <w:bar w:val="nil"/>
              </w:pBdr>
              <w:ind w:left="170" w:hanging="170"/>
              <w:rPr>
                <w:rFonts w:ascii="Calibri" w:eastAsia="Calibri" w:hAnsi="Calibri" w:cs="Calibri"/>
                <w:color w:val="000000"/>
                <w:sz w:val="18"/>
                <w:lang w:eastAsia="en-US"/>
              </w:rPr>
            </w:pPr>
            <w:r w:rsidRPr="00F63E0B">
              <w:rPr>
                <w:rFonts w:ascii="Calibri" w:eastAsia="Calibri" w:hAnsi="Calibri" w:cs="Calibri"/>
                <w:color w:val="000000"/>
                <w:sz w:val="18"/>
                <w:lang w:eastAsia="en-US"/>
              </w:rPr>
              <w:t>Infrastructure Canberra and Digital Canberra Sustainability</w:t>
            </w:r>
          </w:p>
        </w:tc>
        <w:tc>
          <w:tcPr>
            <w:tcW w:w="992" w:type="dxa"/>
            <w:tcBorders>
              <w:top w:val="nil"/>
              <w:left w:val="nil"/>
              <w:bottom w:val="nil"/>
              <w:right w:val="nil"/>
              <w:tl2br w:val="nil"/>
              <w:tr2bl w:val="nil"/>
            </w:tcBorders>
            <w:noWrap/>
            <w:tcMar>
              <w:left w:w="40" w:type="dxa"/>
              <w:right w:w="40" w:type="dxa"/>
            </w:tcMar>
            <w:vAlign w:val="bottom"/>
          </w:tcPr>
          <w:p w14:paraId="1AA5144E" w14:textId="64E81045"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4A08BBAB" w14:textId="6313C6B1"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16,604</w:t>
            </w:r>
          </w:p>
        </w:tc>
        <w:tc>
          <w:tcPr>
            <w:tcW w:w="992" w:type="dxa"/>
            <w:tcBorders>
              <w:top w:val="nil"/>
              <w:left w:val="nil"/>
              <w:bottom w:val="nil"/>
              <w:right w:val="nil"/>
              <w:tl2br w:val="nil"/>
              <w:tr2bl w:val="nil"/>
            </w:tcBorders>
            <w:noWrap/>
            <w:tcMar>
              <w:left w:w="40" w:type="dxa"/>
              <w:right w:w="40" w:type="dxa"/>
            </w:tcMar>
            <w:vAlign w:val="bottom"/>
          </w:tcPr>
          <w:p w14:paraId="4C1465F6" w14:textId="7020780E"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45987C36" w14:textId="363B02D2"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05E20866" w14:textId="31E0F741"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r>
      <w:tr w:rsidR="00F63E0B" w14:paraId="05C414B4"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960" w:type="dxa"/>
            <w:tcBorders>
              <w:top w:val="nil"/>
              <w:left w:val="nil"/>
              <w:bottom w:val="nil"/>
              <w:right w:val="nil"/>
              <w:tl2br w:val="nil"/>
              <w:tr2bl w:val="nil"/>
            </w:tcBorders>
            <w:tcMar>
              <w:left w:w="40" w:type="dxa"/>
              <w:right w:w="40" w:type="dxa"/>
            </w:tcMar>
            <w:vAlign w:val="bottom"/>
          </w:tcPr>
          <w:p w14:paraId="381BEBF5" w14:textId="55C29D6C" w:rsidR="00F63E0B" w:rsidRPr="0006090D" w:rsidRDefault="00F63E0B" w:rsidP="00F63E0B">
            <w:pPr>
              <w:pBdr>
                <w:top w:val="nil"/>
                <w:left w:val="nil"/>
                <w:bottom w:val="nil"/>
                <w:right w:val="nil"/>
                <w:between w:val="nil"/>
                <w:bar w:val="nil"/>
              </w:pBdr>
              <w:ind w:left="170" w:hanging="170"/>
              <w:rPr>
                <w:rFonts w:ascii="Calibri" w:eastAsia="Calibri" w:hAnsi="Calibri" w:cs="Calibri"/>
                <w:color w:val="000000"/>
                <w:sz w:val="18"/>
                <w:lang w:eastAsia="en-US"/>
              </w:rPr>
            </w:pPr>
            <w:r w:rsidRPr="00F63E0B">
              <w:rPr>
                <w:rFonts w:ascii="Calibri" w:eastAsia="Calibri" w:hAnsi="Calibri" w:cs="Calibri"/>
                <w:color w:val="000000"/>
                <w:sz w:val="18"/>
                <w:lang w:eastAsia="en-US"/>
              </w:rPr>
              <w:t>Investing in public services – Relocation of Access Canberra Woden</w:t>
            </w:r>
          </w:p>
        </w:tc>
        <w:tc>
          <w:tcPr>
            <w:tcW w:w="992" w:type="dxa"/>
            <w:tcBorders>
              <w:top w:val="nil"/>
              <w:left w:val="nil"/>
              <w:bottom w:val="nil"/>
              <w:right w:val="nil"/>
              <w:tl2br w:val="nil"/>
              <w:tr2bl w:val="nil"/>
            </w:tcBorders>
            <w:noWrap/>
            <w:tcMar>
              <w:left w:w="40" w:type="dxa"/>
              <w:right w:w="40" w:type="dxa"/>
            </w:tcMar>
            <w:vAlign w:val="bottom"/>
          </w:tcPr>
          <w:p w14:paraId="2237E5A8" w14:textId="6E7C6879"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557214BA" w14:textId="41324344"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14921457" w14:textId="25269779"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43230F3E" w14:textId="5F9E8B7B"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31</w:t>
            </w:r>
          </w:p>
        </w:tc>
        <w:tc>
          <w:tcPr>
            <w:tcW w:w="992" w:type="dxa"/>
            <w:tcBorders>
              <w:top w:val="nil"/>
              <w:left w:val="nil"/>
              <w:bottom w:val="nil"/>
              <w:right w:val="nil"/>
              <w:tl2br w:val="nil"/>
              <w:tr2bl w:val="nil"/>
            </w:tcBorders>
            <w:noWrap/>
            <w:tcMar>
              <w:left w:w="40" w:type="dxa"/>
              <w:right w:w="40" w:type="dxa"/>
            </w:tcMar>
            <w:vAlign w:val="bottom"/>
          </w:tcPr>
          <w:p w14:paraId="330C9BDC" w14:textId="6F8A4E60"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62</w:t>
            </w:r>
          </w:p>
        </w:tc>
      </w:tr>
      <w:tr w:rsidR="00F63E0B" w14:paraId="65D51893"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40" w:type="dxa"/>
              <w:right w:w="40" w:type="dxa"/>
            </w:tcMar>
            <w:vAlign w:val="bottom"/>
          </w:tcPr>
          <w:p w14:paraId="3866619D" w14:textId="631C05E1" w:rsidR="00F63E0B" w:rsidRPr="0006090D" w:rsidRDefault="00F63E0B" w:rsidP="00F63E0B">
            <w:pPr>
              <w:pBdr>
                <w:top w:val="nil"/>
                <w:left w:val="nil"/>
                <w:bottom w:val="nil"/>
                <w:right w:val="nil"/>
                <w:between w:val="nil"/>
                <w:bar w:val="nil"/>
              </w:pBdr>
              <w:ind w:left="170" w:hanging="170"/>
              <w:rPr>
                <w:rFonts w:ascii="Calibri" w:eastAsia="Calibri" w:hAnsi="Calibri" w:cs="Calibri"/>
                <w:color w:val="000000"/>
                <w:sz w:val="18"/>
                <w:lang w:eastAsia="en-US"/>
              </w:rPr>
            </w:pPr>
            <w:r w:rsidRPr="00F63E0B">
              <w:rPr>
                <w:rFonts w:ascii="Calibri" w:eastAsia="Calibri" w:hAnsi="Calibri" w:cs="Calibri"/>
                <w:color w:val="000000"/>
                <w:sz w:val="18"/>
                <w:lang w:eastAsia="en-US"/>
              </w:rPr>
              <w:t>Managing government and community facilities</w:t>
            </w:r>
          </w:p>
        </w:tc>
        <w:tc>
          <w:tcPr>
            <w:tcW w:w="992" w:type="dxa"/>
            <w:tcBorders>
              <w:top w:val="nil"/>
              <w:left w:val="nil"/>
              <w:bottom w:val="nil"/>
              <w:right w:val="nil"/>
              <w:tl2br w:val="nil"/>
              <w:tr2bl w:val="nil"/>
            </w:tcBorders>
            <w:noWrap/>
            <w:tcMar>
              <w:left w:w="40" w:type="dxa"/>
              <w:right w:w="40" w:type="dxa"/>
            </w:tcMar>
            <w:vAlign w:val="bottom"/>
          </w:tcPr>
          <w:p w14:paraId="4ABB8359" w14:textId="234416E9"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16AAD9D5" w14:textId="6D486EA1"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2,060</w:t>
            </w:r>
          </w:p>
        </w:tc>
        <w:tc>
          <w:tcPr>
            <w:tcW w:w="992" w:type="dxa"/>
            <w:tcBorders>
              <w:top w:val="nil"/>
              <w:left w:val="nil"/>
              <w:bottom w:val="nil"/>
              <w:right w:val="nil"/>
              <w:tl2br w:val="nil"/>
              <w:tr2bl w:val="nil"/>
            </w:tcBorders>
            <w:noWrap/>
            <w:tcMar>
              <w:left w:w="40" w:type="dxa"/>
              <w:right w:w="40" w:type="dxa"/>
            </w:tcMar>
            <w:vAlign w:val="bottom"/>
          </w:tcPr>
          <w:p w14:paraId="33737475" w14:textId="4E6DB030"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902</w:t>
            </w:r>
          </w:p>
        </w:tc>
        <w:tc>
          <w:tcPr>
            <w:tcW w:w="992" w:type="dxa"/>
            <w:tcBorders>
              <w:top w:val="nil"/>
              <w:left w:val="nil"/>
              <w:bottom w:val="nil"/>
              <w:right w:val="nil"/>
              <w:tl2br w:val="nil"/>
              <w:tr2bl w:val="nil"/>
            </w:tcBorders>
            <w:noWrap/>
            <w:tcMar>
              <w:left w:w="40" w:type="dxa"/>
              <w:right w:w="40" w:type="dxa"/>
            </w:tcMar>
            <w:vAlign w:val="bottom"/>
          </w:tcPr>
          <w:p w14:paraId="6F476931" w14:textId="4D6C1DCC"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219B81F3" w14:textId="2964489E"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r>
      <w:tr w:rsidR="00F63E0B" w14:paraId="69A925A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40" w:type="dxa"/>
              <w:right w:w="40" w:type="dxa"/>
            </w:tcMar>
            <w:vAlign w:val="bottom"/>
          </w:tcPr>
          <w:p w14:paraId="3B1C9C50" w14:textId="1F9ADEC3" w:rsidR="00F63E0B" w:rsidRPr="0006090D" w:rsidRDefault="00F63E0B" w:rsidP="00F63E0B">
            <w:pPr>
              <w:pBdr>
                <w:top w:val="nil"/>
                <w:left w:val="nil"/>
                <w:bottom w:val="nil"/>
                <w:right w:val="nil"/>
                <w:between w:val="nil"/>
                <w:bar w:val="nil"/>
              </w:pBdr>
              <w:ind w:left="170" w:hanging="170"/>
              <w:rPr>
                <w:rFonts w:ascii="Calibri" w:eastAsia="Calibri" w:hAnsi="Calibri" w:cs="Calibri"/>
                <w:color w:val="000000"/>
                <w:sz w:val="18"/>
                <w:lang w:eastAsia="en-US"/>
              </w:rPr>
            </w:pPr>
            <w:r w:rsidRPr="00F63E0B">
              <w:rPr>
                <w:rFonts w:ascii="Calibri" w:eastAsia="Calibri" w:hAnsi="Calibri" w:cs="Calibri"/>
                <w:color w:val="000000"/>
                <w:sz w:val="18"/>
                <w:lang w:eastAsia="en-US"/>
              </w:rPr>
              <w:t>New City Police Station and Headquarters</w:t>
            </w:r>
          </w:p>
        </w:tc>
        <w:tc>
          <w:tcPr>
            <w:tcW w:w="992" w:type="dxa"/>
            <w:tcBorders>
              <w:top w:val="nil"/>
              <w:left w:val="nil"/>
              <w:bottom w:val="nil"/>
              <w:right w:val="nil"/>
              <w:tl2br w:val="nil"/>
              <w:tr2bl w:val="nil"/>
            </w:tcBorders>
            <w:noWrap/>
            <w:tcMar>
              <w:left w:w="40" w:type="dxa"/>
              <w:right w:w="40" w:type="dxa"/>
            </w:tcMar>
            <w:vAlign w:val="bottom"/>
          </w:tcPr>
          <w:p w14:paraId="53A58BE4" w14:textId="7F5AAB3C"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10F49A13" w14:textId="38AC00A4"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3,767</w:t>
            </w:r>
          </w:p>
        </w:tc>
        <w:tc>
          <w:tcPr>
            <w:tcW w:w="992" w:type="dxa"/>
            <w:tcBorders>
              <w:top w:val="nil"/>
              <w:left w:val="nil"/>
              <w:bottom w:val="nil"/>
              <w:right w:val="nil"/>
              <w:tl2br w:val="nil"/>
              <w:tr2bl w:val="nil"/>
            </w:tcBorders>
            <w:noWrap/>
            <w:tcMar>
              <w:left w:w="40" w:type="dxa"/>
              <w:right w:w="40" w:type="dxa"/>
            </w:tcMar>
            <w:vAlign w:val="bottom"/>
          </w:tcPr>
          <w:p w14:paraId="12C78221" w14:textId="02008743"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0AD7DA73" w14:textId="0052B9F6"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15E41292" w14:textId="2F48217A"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r>
      <w:tr w:rsidR="00F63E0B" w14:paraId="7957E62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40" w:type="dxa"/>
              <w:right w:w="40" w:type="dxa"/>
            </w:tcMar>
            <w:vAlign w:val="bottom"/>
          </w:tcPr>
          <w:p w14:paraId="19159357" w14:textId="0EEEEED2" w:rsidR="00F63E0B" w:rsidRPr="0006090D" w:rsidRDefault="00F63E0B" w:rsidP="00F63E0B">
            <w:pPr>
              <w:pBdr>
                <w:top w:val="nil"/>
                <w:left w:val="nil"/>
                <w:bottom w:val="nil"/>
                <w:right w:val="nil"/>
                <w:between w:val="nil"/>
                <w:bar w:val="nil"/>
              </w:pBdr>
              <w:ind w:left="170" w:hanging="170"/>
              <w:rPr>
                <w:rFonts w:ascii="Calibri" w:eastAsia="Calibri" w:hAnsi="Calibri" w:cs="Calibri"/>
                <w:color w:val="000000"/>
                <w:sz w:val="18"/>
                <w:lang w:eastAsia="en-US"/>
              </w:rPr>
            </w:pPr>
            <w:r w:rsidRPr="00F63E0B">
              <w:rPr>
                <w:rFonts w:ascii="Calibri" w:eastAsia="Calibri" w:hAnsi="Calibri" w:cs="Calibri"/>
                <w:color w:val="000000"/>
                <w:sz w:val="18"/>
                <w:lang w:eastAsia="en-US"/>
              </w:rPr>
              <w:t>Progressing public housing repairs and maintenance insourcing</w:t>
            </w:r>
          </w:p>
        </w:tc>
        <w:tc>
          <w:tcPr>
            <w:tcW w:w="992" w:type="dxa"/>
            <w:tcBorders>
              <w:top w:val="nil"/>
              <w:left w:val="nil"/>
              <w:bottom w:val="nil"/>
              <w:right w:val="nil"/>
              <w:tl2br w:val="nil"/>
              <w:tr2bl w:val="nil"/>
            </w:tcBorders>
            <w:noWrap/>
            <w:tcMar>
              <w:left w:w="40" w:type="dxa"/>
              <w:right w:w="40" w:type="dxa"/>
            </w:tcMar>
            <w:vAlign w:val="bottom"/>
          </w:tcPr>
          <w:p w14:paraId="6BC24220" w14:textId="3BEC1699"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166FB772" w14:textId="0747A8AC"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2,309</w:t>
            </w:r>
          </w:p>
        </w:tc>
        <w:tc>
          <w:tcPr>
            <w:tcW w:w="992" w:type="dxa"/>
            <w:tcBorders>
              <w:top w:val="nil"/>
              <w:left w:val="nil"/>
              <w:bottom w:val="nil"/>
              <w:right w:val="nil"/>
              <w:tl2br w:val="nil"/>
              <w:tr2bl w:val="nil"/>
            </w:tcBorders>
            <w:noWrap/>
            <w:tcMar>
              <w:left w:w="40" w:type="dxa"/>
              <w:right w:w="40" w:type="dxa"/>
            </w:tcMar>
            <w:vAlign w:val="bottom"/>
          </w:tcPr>
          <w:p w14:paraId="56DD4098" w14:textId="23D712C4"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2,342</w:t>
            </w:r>
          </w:p>
        </w:tc>
        <w:tc>
          <w:tcPr>
            <w:tcW w:w="992" w:type="dxa"/>
            <w:tcBorders>
              <w:top w:val="nil"/>
              <w:left w:val="nil"/>
              <w:bottom w:val="nil"/>
              <w:right w:val="nil"/>
              <w:tl2br w:val="nil"/>
              <w:tr2bl w:val="nil"/>
            </w:tcBorders>
            <w:noWrap/>
            <w:tcMar>
              <w:left w:w="40" w:type="dxa"/>
              <w:right w:w="40" w:type="dxa"/>
            </w:tcMar>
            <w:vAlign w:val="bottom"/>
          </w:tcPr>
          <w:p w14:paraId="0103D932" w14:textId="158FAADD"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8,157</w:t>
            </w:r>
          </w:p>
        </w:tc>
        <w:tc>
          <w:tcPr>
            <w:tcW w:w="992" w:type="dxa"/>
            <w:tcBorders>
              <w:top w:val="nil"/>
              <w:left w:val="nil"/>
              <w:bottom w:val="nil"/>
              <w:right w:val="nil"/>
              <w:tl2br w:val="nil"/>
              <w:tr2bl w:val="nil"/>
            </w:tcBorders>
            <w:noWrap/>
            <w:tcMar>
              <w:left w:w="40" w:type="dxa"/>
              <w:right w:w="40" w:type="dxa"/>
            </w:tcMar>
            <w:vAlign w:val="bottom"/>
          </w:tcPr>
          <w:p w14:paraId="0BAFFBB4" w14:textId="1E79569D"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8,804</w:t>
            </w:r>
          </w:p>
        </w:tc>
      </w:tr>
      <w:tr w:rsidR="00F63E0B" w14:paraId="4CECDF26"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40" w:type="dxa"/>
              <w:right w:w="40" w:type="dxa"/>
            </w:tcMar>
            <w:vAlign w:val="bottom"/>
          </w:tcPr>
          <w:p w14:paraId="3C247F1B" w14:textId="075CA097" w:rsidR="00F63E0B" w:rsidRPr="0006090D" w:rsidRDefault="00F63E0B" w:rsidP="00F63E0B">
            <w:pPr>
              <w:pBdr>
                <w:top w:val="nil"/>
                <w:left w:val="nil"/>
                <w:bottom w:val="nil"/>
                <w:right w:val="nil"/>
                <w:between w:val="nil"/>
                <w:bar w:val="nil"/>
              </w:pBdr>
              <w:ind w:left="170" w:hanging="170"/>
              <w:rPr>
                <w:rFonts w:ascii="Calibri" w:eastAsia="Calibri" w:hAnsi="Calibri" w:cs="Calibri"/>
                <w:color w:val="000000"/>
                <w:sz w:val="18"/>
                <w:lang w:eastAsia="en-US"/>
              </w:rPr>
            </w:pPr>
            <w:r w:rsidRPr="00F63E0B">
              <w:rPr>
                <w:rFonts w:ascii="Calibri" w:eastAsia="Calibri" w:hAnsi="Calibri" w:cs="Calibri"/>
                <w:color w:val="000000"/>
                <w:sz w:val="18"/>
                <w:lang w:eastAsia="en-US"/>
              </w:rPr>
              <w:t>Public pools upgrades, operations and maintenance</w:t>
            </w:r>
          </w:p>
        </w:tc>
        <w:tc>
          <w:tcPr>
            <w:tcW w:w="992" w:type="dxa"/>
            <w:tcBorders>
              <w:top w:val="nil"/>
              <w:left w:val="nil"/>
              <w:bottom w:val="nil"/>
              <w:right w:val="nil"/>
              <w:tl2br w:val="nil"/>
              <w:tr2bl w:val="nil"/>
            </w:tcBorders>
            <w:noWrap/>
            <w:tcMar>
              <w:left w:w="40" w:type="dxa"/>
              <w:right w:w="40" w:type="dxa"/>
            </w:tcMar>
            <w:vAlign w:val="bottom"/>
          </w:tcPr>
          <w:p w14:paraId="5F2CFB75" w14:textId="3C9A5112"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vAlign w:val="bottom"/>
          </w:tcPr>
          <w:p w14:paraId="5BB7B0BD" w14:textId="3273F969"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5,202</w:t>
            </w:r>
          </w:p>
        </w:tc>
        <w:tc>
          <w:tcPr>
            <w:tcW w:w="992" w:type="dxa"/>
            <w:tcBorders>
              <w:top w:val="nil"/>
              <w:left w:val="nil"/>
              <w:bottom w:val="nil"/>
              <w:right w:val="nil"/>
              <w:tl2br w:val="nil"/>
              <w:tr2bl w:val="nil"/>
            </w:tcBorders>
            <w:noWrap/>
            <w:tcMar>
              <w:left w:w="40" w:type="dxa"/>
              <w:right w:w="40" w:type="dxa"/>
            </w:tcMar>
            <w:vAlign w:val="bottom"/>
          </w:tcPr>
          <w:p w14:paraId="31041874" w14:textId="318B65C7"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4,107</w:t>
            </w:r>
          </w:p>
        </w:tc>
        <w:tc>
          <w:tcPr>
            <w:tcW w:w="992" w:type="dxa"/>
            <w:tcBorders>
              <w:top w:val="nil"/>
              <w:left w:val="nil"/>
              <w:bottom w:val="nil"/>
              <w:right w:val="nil"/>
              <w:tl2br w:val="nil"/>
              <w:tr2bl w:val="nil"/>
            </w:tcBorders>
            <w:noWrap/>
            <w:tcMar>
              <w:left w:w="40" w:type="dxa"/>
              <w:right w:w="40" w:type="dxa"/>
            </w:tcMar>
            <w:vAlign w:val="bottom"/>
          </w:tcPr>
          <w:p w14:paraId="052AF329" w14:textId="78298986"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4,742</w:t>
            </w:r>
          </w:p>
        </w:tc>
        <w:tc>
          <w:tcPr>
            <w:tcW w:w="992" w:type="dxa"/>
            <w:tcBorders>
              <w:top w:val="nil"/>
              <w:left w:val="nil"/>
              <w:bottom w:val="nil"/>
              <w:right w:val="nil"/>
              <w:tl2br w:val="nil"/>
              <w:tr2bl w:val="nil"/>
            </w:tcBorders>
            <w:noWrap/>
            <w:tcMar>
              <w:left w:w="40" w:type="dxa"/>
              <w:right w:w="40" w:type="dxa"/>
            </w:tcMar>
            <w:vAlign w:val="bottom"/>
          </w:tcPr>
          <w:p w14:paraId="5BBF1747" w14:textId="17151A10" w:rsidR="00F63E0B" w:rsidRPr="0006090D" w:rsidRDefault="00F63E0B" w:rsidP="00F63E0B">
            <w:pPr>
              <w:pBdr>
                <w:top w:val="nil"/>
                <w:left w:val="nil"/>
                <w:bottom w:val="nil"/>
                <w:right w:val="nil"/>
                <w:between w:val="nil"/>
                <w:bar w:val="nil"/>
              </w:pBdr>
              <w:jc w:val="right"/>
              <w:rPr>
                <w:rFonts w:ascii="Calibri" w:eastAsia="Calibri" w:hAnsi="Calibri" w:cs="Calibri"/>
                <w:color w:val="000000"/>
                <w:sz w:val="18"/>
                <w:lang w:eastAsia="en-US"/>
              </w:rPr>
            </w:pPr>
            <w:r w:rsidRPr="00F63E0B">
              <w:rPr>
                <w:rFonts w:ascii="Calibri" w:eastAsia="Calibri" w:hAnsi="Calibri" w:cs="Calibri"/>
                <w:color w:val="000000"/>
                <w:sz w:val="18"/>
                <w:lang w:eastAsia="en-US"/>
              </w:rPr>
              <w:t>2,925</w:t>
            </w:r>
          </w:p>
        </w:tc>
      </w:tr>
      <w:tr w:rsidR="006E7797" w14:paraId="7A28E3FA"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40" w:type="dxa"/>
              <w:right w:w="40" w:type="dxa"/>
            </w:tcMar>
            <w:vAlign w:val="center"/>
          </w:tcPr>
          <w:p w14:paraId="5BABCAB8" w14:textId="5750FF6F" w:rsidR="006E7797" w:rsidRDefault="006E7797" w:rsidP="006E7797">
            <w:pPr>
              <w:pBdr>
                <w:top w:val="nil"/>
                <w:left w:val="nil"/>
                <w:bottom w:val="nil"/>
                <w:right w:val="nil"/>
                <w:between w:val="nil"/>
                <w:bar w:val="nil"/>
              </w:pBdr>
              <w:ind w:left="170" w:hanging="170"/>
              <w:rPr>
                <w:rFonts w:eastAsia="Calibri" w:cs="Calibri"/>
                <w:i/>
                <w:color w:val="000000"/>
                <w:u w:val="single"/>
              </w:rPr>
            </w:pPr>
            <w:r>
              <w:rPr>
                <w:rFonts w:ascii="Calibri" w:eastAsia="Calibri" w:hAnsi="Calibri" w:cs="Calibri"/>
                <w:i/>
                <w:color w:val="000000"/>
                <w:sz w:val="18"/>
                <w:u w:val="single"/>
                <w:lang w:eastAsia="en-US"/>
              </w:rPr>
              <w:t>Offsets</w:t>
            </w:r>
          </w:p>
        </w:tc>
        <w:tc>
          <w:tcPr>
            <w:tcW w:w="992" w:type="dxa"/>
            <w:tcBorders>
              <w:top w:val="nil"/>
              <w:left w:val="nil"/>
              <w:bottom w:val="nil"/>
              <w:right w:val="nil"/>
              <w:tl2br w:val="nil"/>
              <w:tr2bl w:val="nil"/>
            </w:tcBorders>
            <w:noWrap/>
            <w:tcMar>
              <w:left w:w="0" w:type="dxa"/>
              <w:right w:w="0" w:type="dxa"/>
            </w:tcMar>
          </w:tcPr>
          <w:p w14:paraId="688CC923"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7C0D2AD0"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20306B5F"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7C93CE16"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4D561322" w14:textId="77777777" w:rsidR="006E7797" w:rsidRDefault="006E7797" w:rsidP="006E7797">
            <w:pPr>
              <w:rPr>
                <w:rFonts w:eastAsia="Calibri" w:cs="Calibri"/>
                <w:color w:val="000000"/>
              </w:rPr>
            </w:pPr>
          </w:p>
        </w:tc>
      </w:tr>
      <w:tr w:rsidR="006E7797" w14:paraId="3C068892"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0" w:type="dxa"/>
            <w:tcBorders>
              <w:top w:val="nil"/>
              <w:left w:val="nil"/>
              <w:bottom w:val="nil"/>
              <w:right w:val="nil"/>
              <w:tl2br w:val="nil"/>
              <w:tr2bl w:val="nil"/>
            </w:tcBorders>
            <w:tcMar>
              <w:left w:w="175" w:type="dxa"/>
              <w:right w:w="40" w:type="dxa"/>
            </w:tcMar>
          </w:tcPr>
          <w:p w14:paraId="0DBEEBDA" w14:textId="04E6FF1F"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Refurbishing Canberra’s public pools</w:t>
            </w:r>
          </w:p>
        </w:tc>
        <w:tc>
          <w:tcPr>
            <w:tcW w:w="992" w:type="dxa"/>
            <w:tcBorders>
              <w:top w:val="nil"/>
              <w:left w:val="nil"/>
              <w:bottom w:val="nil"/>
              <w:right w:val="nil"/>
              <w:tl2br w:val="nil"/>
              <w:tr2bl w:val="nil"/>
            </w:tcBorders>
            <w:noWrap/>
            <w:tcMar>
              <w:left w:w="40" w:type="dxa"/>
              <w:right w:w="40" w:type="dxa"/>
            </w:tcMar>
          </w:tcPr>
          <w:p w14:paraId="706AD1C0"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4CFD9E7F"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-768</w:t>
            </w:r>
          </w:p>
        </w:tc>
        <w:tc>
          <w:tcPr>
            <w:tcW w:w="992" w:type="dxa"/>
            <w:tcBorders>
              <w:top w:val="nil"/>
              <w:left w:val="nil"/>
              <w:bottom w:val="nil"/>
              <w:right w:val="nil"/>
              <w:tl2br w:val="nil"/>
              <w:tr2bl w:val="nil"/>
            </w:tcBorders>
            <w:noWrap/>
            <w:tcMar>
              <w:left w:w="40" w:type="dxa"/>
              <w:right w:w="40" w:type="dxa"/>
            </w:tcMar>
          </w:tcPr>
          <w:p w14:paraId="38B64FC5"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-787</w:t>
            </w:r>
          </w:p>
        </w:tc>
        <w:tc>
          <w:tcPr>
            <w:tcW w:w="992" w:type="dxa"/>
            <w:tcBorders>
              <w:top w:val="nil"/>
              <w:left w:val="nil"/>
              <w:bottom w:val="nil"/>
              <w:right w:val="nil"/>
              <w:tl2br w:val="nil"/>
              <w:tr2bl w:val="nil"/>
            </w:tcBorders>
            <w:noWrap/>
            <w:tcMar>
              <w:left w:w="40" w:type="dxa"/>
              <w:right w:w="40" w:type="dxa"/>
            </w:tcMar>
          </w:tcPr>
          <w:p w14:paraId="451F060B"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-807</w:t>
            </w:r>
          </w:p>
        </w:tc>
        <w:tc>
          <w:tcPr>
            <w:tcW w:w="992" w:type="dxa"/>
            <w:tcBorders>
              <w:top w:val="nil"/>
              <w:left w:val="nil"/>
              <w:bottom w:val="nil"/>
              <w:right w:val="nil"/>
              <w:tl2br w:val="nil"/>
              <w:tr2bl w:val="nil"/>
            </w:tcBorders>
            <w:noWrap/>
            <w:tcMar>
              <w:left w:w="40" w:type="dxa"/>
              <w:right w:w="40" w:type="dxa"/>
            </w:tcMar>
          </w:tcPr>
          <w:p w14:paraId="5237A6CB"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-827</w:t>
            </w:r>
          </w:p>
        </w:tc>
      </w:tr>
      <w:tr w:rsidR="006E7797" w14:paraId="0505470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0" w:type="dxa"/>
            <w:tcBorders>
              <w:top w:val="nil"/>
              <w:left w:val="nil"/>
              <w:bottom w:val="nil"/>
              <w:right w:val="nil"/>
              <w:tl2br w:val="nil"/>
              <w:tr2bl w:val="nil"/>
            </w:tcBorders>
            <w:tcMar>
              <w:left w:w="175" w:type="dxa"/>
              <w:right w:w="40" w:type="dxa"/>
            </w:tcMar>
          </w:tcPr>
          <w:p w14:paraId="61B2262C" w14:textId="77777777"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a new community centre for Woden</w:t>
            </w:r>
          </w:p>
        </w:tc>
        <w:tc>
          <w:tcPr>
            <w:tcW w:w="992" w:type="dxa"/>
            <w:tcBorders>
              <w:top w:val="nil"/>
              <w:left w:val="nil"/>
              <w:bottom w:val="nil"/>
              <w:right w:val="nil"/>
              <w:tl2br w:val="nil"/>
              <w:tr2bl w:val="nil"/>
            </w:tcBorders>
            <w:noWrap/>
            <w:tcMar>
              <w:left w:w="40" w:type="dxa"/>
              <w:right w:w="40" w:type="dxa"/>
            </w:tcMar>
          </w:tcPr>
          <w:p w14:paraId="0A6F5DB9"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-1,214</w:t>
            </w:r>
          </w:p>
        </w:tc>
        <w:tc>
          <w:tcPr>
            <w:tcW w:w="992" w:type="dxa"/>
            <w:tcBorders>
              <w:top w:val="nil"/>
              <w:left w:val="nil"/>
              <w:bottom w:val="nil"/>
              <w:right w:val="nil"/>
              <w:tl2br w:val="nil"/>
              <w:tr2bl w:val="nil"/>
            </w:tcBorders>
            <w:noWrap/>
            <w:tcMar>
              <w:left w:w="40" w:type="dxa"/>
              <w:right w:w="40" w:type="dxa"/>
            </w:tcMar>
          </w:tcPr>
          <w:p w14:paraId="6D6B3FB9"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46787AEB"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171053A1"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6864FB30"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6E7797" w14:paraId="3B42B329"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0" w:type="dxa"/>
            <w:tcBorders>
              <w:top w:val="nil"/>
              <w:left w:val="nil"/>
              <w:bottom w:val="nil"/>
              <w:right w:val="nil"/>
              <w:tl2br w:val="nil"/>
              <w:tr2bl w:val="nil"/>
            </w:tcBorders>
            <w:tcMar>
              <w:left w:w="175" w:type="dxa"/>
              <w:right w:w="40" w:type="dxa"/>
            </w:tcMar>
          </w:tcPr>
          <w:p w14:paraId="3682317B" w14:textId="77777777"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iCBR's infrastructure enabling services and management of government places</w:t>
            </w:r>
          </w:p>
        </w:tc>
        <w:tc>
          <w:tcPr>
            <w:tcW w:w="992" w:type="dxa"/>
            <w:tcBorders>
              <w:top w:val="nil"/>
              <w:left w:val="nil"/>
              <w:bottom w:val="nil"/>
              <w:right w:val="nil"/>
              <w:tl2br w:val="nil"/>
              <w:tr2bl w:val="nil"/>
            </w:tcBorders>
            <w:noWrap/>
            <w:tcMar>
              <w:left w:w="40" w:type="dxa"/>
              <w:right w:w="40" w:type="dxa"/>
            </w:tcMar>
          </w:tcPr>
          <w:p w14:paraId="3BB10B09"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12011976" w14:textId="576BDAC0"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w:t>
            </w:r>
            <w:r w:rsidR="005307AD">
              <w:rPr>
                <w:rFonts w:ascii="Calibri" w:eastAsia="Calibri" w:hAnsi="Calibri" w:cs="Calibri"/>
                <w:color w:val="000000"/>
                <w:sz w:val="18"/>
                <w:lang w:eastAsia="en-US"/>
              </w:rPr>
              <w:t>909</w:t>
            </w:r>
          </w:p>
        </w:tc>
        <w:tc>
          <w:tcPr>
            <w:tcW w:w="992" w:type="dxa"/>
            <w:tcBorders>
              <w:top w:val="nil"/>
              <w:left w:val="nil"/>
              <w:bottom w:val="nil"/>
              <w:right w:val="nil"/>
              <w:tl2br w:val="nil"/>
              <w:tr2bl w:val="nil"/>
            </w:tcBorders>
            <w:noWrap/>
            <w:tcMar>
              <w:left w:w="40" w:type="dxa"/>
              <w:right w:w="40" w:type="dxa"/>
            </w:tcMar>
          </w:tcPr>
          <w:p w14:paraId="4F3A7864"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-2,694</w:t>
            </w:r>
          </w:p>
        </w:tc>
        <w:tc>
          <w:tcPr>
            <w:tcW w:w="992" w:type="dxa"/>
            <w:tcBorders>
              <w:top w:val="nil"/>
              <w:left w:val="nil"/>
              <w:bottom w:val="nil"/>
              <w:right w:val="nil"/>
              <w:tl2br w:val="nil"/>
              <w:tr2bl w:val="nil"/>
            </w:tcBorders>
            <w:noWrap/>
            <w:tcMar>
              <w:left w:w="40" w:type="dxa"/>
              <w:right w:w="40" w:type="dxa"/>
            </w:tcMar>
          </w:tcPr>
          <w:p w14:paraId="11297AD5"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-2,787</w:t>
            </w:r>
          </w:p>
        </w:tc>
        <w:tc>
          <w:tcPr>
            <w:tcW w:w="992" w:type="dxa"/>
            <w:tcBorders>
              <w:top w:val="nil"/>
              <w:left w:val="nil"/>
              <w:bottom w:val="nil"/>
              <w:right w:val="nil"/>
              <w:tl2br w:val="nil"/>
              <w:tr2bl w:val="nil"/>
            </w:tcBorders>
            <w:noWrap/>
            <w:tcMar>
              <w:left w:w="40" w:type="dxa"/>
              <w:right w:w="40" w:type="dxa"/>
            </w:tcMar>
          </w:tcPr>
          <w:p w14:paraId="7F5A036F"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-2,880</w:t>
            </w:r>
          </w:p>
        </w:tc>
      </w:tr>
      <w:tr w:rsidR="006E7797" w14:paraId="3A1F2453"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0" w:type="dxa"/>
            <w:tcBorders>
              <w:top w:val="nil"/>
              <w:left w:val="nil"/>
              <w:bottom w:val="nil"/>
              <w:right w:val="nil"/>
              <w:tl2br w:val="nil"/>
              <w:tr2bl w:val="nil"/>
            </w:tcBorders>
            <w:tcMar>
              <w:left w:w="175" w:type="dxa"/>
              <w:right w:w="40" w:type="dxa"/>
            </w:tcMar>
          </w:tcPr>
          <w:p w14:paraId="08DFECDC" w14:textId="77777777"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Smarter government spending - Centralising property custodianship</w:t>
            </w:r>
          </w:p>
        </w:tc>
        <w:tc>
          <w:tcPr>
            <w:tcW w:w="992" w:type="dxa"/>
            <w:tcBorders>
              <w:top w:val="nil"/>
              <w:left w:val="nil"/>
              <w:bottom w:val="nil"/>
              <w:right w:val="nil"/>
              <w:tl2br w:val="nil"/>
              <w:tr2bl w:val="nil"/>
            </w:tcBorders>
            <w:noWrap/>
            <w:tcMar>
              <w:left w:w="40" w:type="dxa"/>
              <w:right w:w="40" w:type="dxa"/>
            </w:tcMar>
          </w:tcPr>
          <w:p w14:paraId="118E79E8"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-1,236</w:t>
            </w:r>
          </w:p>
        </w:tc>
        <w:tc>
          <w:tcPr>
            <w:tcW w:w="992" w:type="dxa"/>
            <w:tcBorders>
              <w:top w:val="nil"/>
              <w:left w:val="nil"/>
              <w:bottom w:val="nil"/>
              <w:right w:val="nil"/>
              <w:tl2br w:val="nil"/>
              <w:tr2bl w:val="nil"/>
            </w:tcBorders>
            <w:noWrap/>
            <w:tcMar>
              <w:left w:w="40" w:type="dxa"/>
              <w:right w:w="40" w:type="dxa"/>
            </w:tcMar>
          </w:tcPr>
          <w:p w14:paraId="21E785C9"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w:t>
            </w:r>
          </w:p>
        </w:tc>
        <w:tc>
          <w:tcPr>
            <w:tcW w:w="992" w:type="dxa"/>
            <w:tcBorders>
              <w:top w:val="nil"/>
              <w:left w:val="nil"/>
              <w:bottom w:val="nil"/>
              <w:right w:val="nil"/>
              <w:tl2br w:val="nil"/>
              <w:tr2bl w:val="nil"/>
            </w:tcBorders>
            <w:noWrap/>
            <w:tcMar>
              <w:left w:w="40" w:type="dxa"/>
              <w:right w:w="40" w:type="dxa"/>
            </w:tcMar>
          </w:tcPr>
          <w:p w14:paraId="4A0434F4"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1E7052AE"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56208F1D"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6E7797" w14:paraId="1E71D340"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175" w:type="dxa"/>
              <w:right w:w="40" w:type="dxa"/>
            </w:tcMar>
          </w:tcPr>
          <w:p w14:paraId="57C1675B" w14:textId="77777777"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Weston Creek and Stromlo Swimming pool and leisure centre</w:t>
            </w:r>
          </w:p>
        </w:tc>
        <w:tc>
          <w:tcPr>
            <w:tcW w:w="992" w:type="dxa"/>
            <w:tcBorders>
              <w:top w:val="nil"/>
              <w:left w:val="nil"/>
              <w:bottom w:val="nil"/>
              <w:right w:val="nil"/>
              <w:tl2br w:val="nil"/>
              <w:tr2bl w:val="nil"/>
            </w:tcBorders>
            <w:noWrap/>
            <w:tcMar>
              <w:left w:w="40" w:type="dxa"/>
              <w:right w:w="40" w:type="dxa"/>
            </w:tcMar>
          </w:tcPr>
          <w:p w14:paraId="31A6FAC8"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6DEF93A2"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-690</w:t>
            </w:r>
          </w:p>
        </w:tc>
        <w:tc>
          <w:tcPr>
            <w:tcW w:w="992" w:type="dxa"/>
            <w:tcBorders>
              <w:top w:val="nil"/>
              <w:left w:val="nil"/>
              <w:bottom w:val="nil"/>
              <w:right w:val="nil"/>
              <w:tl2br w:val="nil"/>
              <w:tr2bl w:val="nil"/>
            </w:tcBorders>
            <w:noWrap/>
            <w:tcMar>
              <w:left w:w="40" w:type="dxa"/>
              <w:right w:w="40" w:type="dxa"/>
            </w:tcMar>
          </w:tcPr>
          <w:p w14:paraId="1AFFAAE9"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-707</w:t>
            </w:r>
          </w:p>
        </w:tc>
        <w:tc>
          <w:tcPr>
            <w:tcW w:w="992" w:type="dxa"/>
            <w:tcBorders>
              <w:top w:val="nil"/>
              <w:left w:val="nil"/>
              <w:bottom w:val="nil"/>
              <w:right w:val="nil"/>
              <w:tl2br w:val="nil"/>
              <w:tr2bl w:val="nil"/>
            </w:tcBorders>
            <w:noWrap/>
            <w:tcMar>
              <w:left w:w="40" w:type="dxa"/>
              <w:right w:w="40" w:type="dxa"/>
            </w:tcMar>
          </w:tcPr>
          <w:p w14:paraId="5D4C6643"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-725</w:t>
            </w:r>
          </w:p>
        </w:tc>
        <w:tc>
          <w:tcPr>
            <w:tcW w:w="992" w:type="dxa"/>
            <w:tcBorders>
              <w:top w:val="nil"/>
              <w:left w:val="nil"/>
              <w:bottom w:val="nil"/>
              <w:right w:val="nil"/>
              <w:tl2br w:val="nil"/>
              <w:tr2bl w:val="nil"/>
            </w:tcBorders>
            <w:noWrap/>
            <w:tcMar>
              <w:left w:w="40" w:type="dxa"/>
              <w:right w:w="40" w:type="dxa"/>
            </w:tcMar>
          </w:tcPr>
          <w:p w14:paraId="56FC0C54"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-743</w:t>
            </w:r>
          </w:p>
        </w:tc>
      </w:tr>
      <w:tr w:rsidR="006E7797" w14:paraId="31782AC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960" w:type="dxa"/>
            <w:tcBorders>
              <w:top w:val="nil"/>
              <w:left w:val="nil"/>
              <w:bottom w:val="nil"/>
              <w:right w:val="nil"/>
              <w:tl2br w:val="nil"/>
              <w:tr2bl w:val="nil"/>
            </w:tcBorders>
            <w:noWrap/>
            <w:tcMar>
              <w:left w:w="40" w:type="dxa"/>
              <w:right w:w="40" w:type="dxa"/>
            </w:tcMar>
            <w:vAlign w:val="center"/>
          </w:tcPr>
          <w:p w14:paraId="0FC204D6" w14:textId="77777777" w:rsidR="006E7797" w:rsidRDefault="006E7797" w:rsidP="006E7797">
            <w:pPr>
              <w:pBdr>
                <w:top w:val="nil"/>
                <w:left w:val="nil"/>
                <w:bottom w:val="nil"/>
                <w:right w:val="nil"/>
                <w:between w:val="nil"/>
                <w:bar w:val="nil"/>
              </w:pBdr>
              <w:ind w:left="170" w:hanging="170"/>
              <w:rPr>
                <w:rFonts w:eastAsia="Calibri" w:cs="Calibri"/>
                <w:i/>
                <w:color w:val="000000"/>
                <w:u w:val="single"/>
              </w:rPr>
            </w:pPr>
            <w:r>
              <w:rPr>
                <w:rFonts w:ascii="Calibri" w:eastAsia="Calibri" w:hAnsi="Calibri" w:cs="Calibri"/>
                <w:i/>
                <w:color w:val="000000"/>
                <w:sz w:val="18"/>
                <w:u w:val="single"/>
                <w:lang w:eastAsia="en-US"/>
              </w:rPr>
              <w:t>Savings</w:t>
            </w:r>
          </w:p>
        </w:tc>
        <w:tc>
          <w:tcPr>
            <w:tcW w:w="992" w:type="dxa"/>
            <w:tcBorders>
              <w:top w:val="nil"/>
              <w:left w:val="nil"/>
              <w:bottom w:val="nil"/>
              <w:right w:val="nil"/>
              <w:tl2br w:val="nil"/>
              <w:tr2bl w:val="nil"/>
            </w:tcBorders>
            <w:noWrap/>
            <w:tcMar>
              <w:left w:w="0" w:type="dxa"/>
              <w:right w:w="0" w:type="dxa"/>
            </w:tcMar>
          </w:tcPr>
          <w:p w14:paraId="21403D44"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387B2408"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672227F0"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246304A5"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05B5FB59" w14:textId="77777777" w:rsidR="006E7797" w:rsidRDefault="006E7797" w:rsidP="006E7797">
            <w:pPr>
              <w:rPr>
                <w:rFonts w:eastAsia="Calibri" w:cs="Calibri"/>
                <w:color w:val="000000"/>
              </w:rPr>
            </w:pPr>
          </w:p>
        </w:tc>
      </w:tr>
      <w:tr w:rsidR="006E7797" w14:paraId="3C6446A3"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175" w:type="dxa"/>
              <w:right w:w="40" w:type="dxa"/>
            </w:tcMar>
          </w:tcPr>
          <w:p w14:paraId="6A0EA70E" w14:textId="6F25707E" w:rsidR="006E7797" w:rsidRDefault="0030582F"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Investing in public services – Strengthening government procurement </w:t>
            </w:r>
          </w:p>
        </w:tc>
        <w:tc>
          <w:tcPr>
            <w:tcW w:w="992" w:type="dxa"/>
            <w:tcBorders>
              <w:top w:val="nil"/>
              <w:left w:val="nil"/>
              <w:bottom w:val="nil"/>
              <w:right w:val="nil"/>
              <w:tl2br w:val="nil"/>
              <w:tr2bl w:val="nil"/>
            </w:tcBorders>
            <w:noWrap/>
            <w:tcMar>
              <w:left w:w="40" w:type="dxa"/>
              <w:right w:w="40" w:type="dxa"/>
            </w:tcMar>
          </w:tcPr>
          <w:p w14:paraId="4F2BA0D9"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57C679BA"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-178</w:t>
            </w:r>
          </w:p>
        </w:tc>
        <w:tc>
          <w:tcPr>
            <w:tcW w:w="992" w:type="dxa"/>
            <w:tcBorders>
              <w:top w:val="nil"/>
              <w:left w:val="nil"/>
              <w:bottom w:val="nil"/>
              <w:right w:val="nil"/>
              <w:tl2br w:val="nil"/>
              <w:tr2bl w:val="nil"/>
            </w:tcBorders>
            <w:noWrap/>
            <w:tcMar>
              <w:left w:w="40" w:type="dxa"/>
              <w:right w:w="40" w:type="dxa"/>
            </w:tcMar>
          </w:tcPr>
          <w:p w14:paraId="7438A6B0"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-181</w:t>
            </w:r>
          </w:p>
        </w:tc>
        <w:tc>
          <w:tcPr>
            <w:tcW w:w="992" w:type="dxa"/>
            <w:tcBorders>
              <w:top w:val="nil"/>
              <w:left w:val="nil"/>
              <w:bottom w:val="nil"/>
              <w:right w:val="nil"/>
              <w:tl2br w:val="nil"/>
              <w:tr2bl w:val="nil"/>
            </w:tcBorders>
            <w:noWrap/>
            <w:tcMar>
              <w:left w:w="40" w:type="dxa"/>
              <w:right w:w="40" w:type="dxa"/>
            </w:tcMar>
          </w:tcPr>
          <w:p w14:paraId="3C5FB123"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-96</w:t>
            </w:r>
          </w:p>
        </w:tc>
        <w:tc>
          <w:tcPr>
            <w:tcW w:w="992" w:type="dxa"/>
            <w:tcBorders>
              <w:top w:val="nil"/>
              <w:left w:val="nil"/>
              <w:bottom w:val="nil"/>
              <w:right w:val="nil"/>
              <w:tl2br w:val="nil"/>
              <w:tr2bl w:val="nil"/>
            </w:tcBorders>
            <w:noWrap/>
            <w:tcMar>
              <w:left w:w="40" w:type="dxa"/>
              <w:right w:w="40" w:type="dxa"/>
            </w:tcMar>
          </w:tcPr>
          <w:p w14:paraId="3E1B67A7"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-97</w:t>
            </w:r>
          </w:p>
        </w:tc>
      </w:tr>
      <w:tr w:rsidR="006E7797" w14:paraId="457F74F0"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175" w:type="dxa"/>
              <w:right w:w="40" w:type="dxa"/>
            </w:tcMar>
          </w:tcPr>
          <w:p w14:paraId="6DF6B44D" w14:textId="77777777"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Worker's compensation</w:t>
            </w:r>
          </w:p>
        </w:tc>
        <w:tc>
          <w:tcPr>
            <w:tcW w:w="992" w:type="dxa"/>
            <w:tcBorders>
              <w:top w:val="nil"/>
              <w:left w:val="nil"/>
              <w:bottom w:val="nil"/>
              <w:right w:val="nil"/>
              <w:tl2br w:val="nil"/>
              <w:tr2bl w:val="nil"/>
            </w:tcBorders>
            <w:noWrap/>
            <w:tcMar>
              <w:left w:w="40" w:type="dxa"/>
              <w:right w:w="40" w:type="dxa"/>
            </w:tcMar>
          </w:tcPr>
          <w:p w14:paraId="2C6FED0D"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5CE5E7F5"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-110</w:t>
            </w:r>
          </w:p>
        </w:tc>
        <w:tc>
          <w:tcPr>
            <w:tcW w:w="992" w:type="dxa"/>
            <w:tcBorders>
              <w:top w:val="nil"/>
              <w:left w:val="nil"/>
              <w:bottom w:val="nil"/>
              <w:right w:val="nil"/>
              <w:tl2br w:val="nil"/>
              <w:tr2bl w:val="nil"/>
            </w:tcBorders>
            <w:noWrap/>
            <w:tcMar>
              <w:left w:w="40" w:type="dxa"/>
              <w:right w:w="40" w:type="dxa"/>
            </w:tcMar>
          </w:tcPr>
          <w:p w14:paraId="7B0092D8"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600E5770"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213D3DFA"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6E7797" w14:paraId="53E1115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960" w:type="dxa"/>
            <w:tcBorders>
              <w:top w:val="nil"/>
              <w:left w:val="nil"/>
              <w:bottom w:val="nil"/>
              <w:right w:val="nil"/>
              <w:tl2br w:val="nil"/>
              <w:tr2bl w:val="nil"/>
            </w:tcBorders>
            <w:tcMar>
              <w:left w:w="40" w:type="dxa"/>
              <w:right w:w="40" w:type="dxa"/>
            </w:tcMar>
            <w:vAlign w:val="bottom"/>
          </w:tcPr>
          <w:p w14:paraId="45B60237" w14:textId="77777777" w:rsidR="006E7797" w:rsidRDefault="006E7797" w:rsidP="006E7797">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2026-27 Budget Technical Adjustments</w:t>
            </w:r>
          </w:p>
        </w:tc>
        <w:tc>
          <w:tcPr>
            <w:tcW w:w="992" w:type="dxa"/>
            <w:tcBorders>
              <w:top w:val="nil"/>
              <w:left w:val="nil"/>
              <w:bottom w:val="nil"/>
              <w:right w:val="nil"/>
              <w:tl2br w:val="nil"/>
              <w:tr2bl w:val="nil"/>
            </w:tcBorders>
            <w:noWrap/>
            <w:tcMar>
              <w:left w:w="0" w:type="dxa"/>
              <w:right w:w="0" w:type="dxa"/>
            </w:tcMar>
            <w:vAlign w:val="bottom"/>
          </w:tcPr>
          <w:p w14:paraId="727FC873" w14:textId="77777777" w:rsidR="006E7797" w:rsidRDefault="006E7797" w:rsidP="006E7797">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2B39E721" w14:textId="77777777" w:rsidR="006E7797" w:rsidRDefault="006E7797" w:rsidP="006E7797">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6764A07F" w14:textId="77777777" w:rsidR="006E7797" w:rsidRDefault="006E7797" w:rsidP="006E7797">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1A6E1B3B" w14:textId="77777777" w:rsidR="006E7797" w:rsidRDefault="006E7797" w:rsidP="006E7797">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0D1759EA" w14:textId="77777777" w:rsidR="006E7797" w:rsidRDefault="006E7797" w:rsidP="006E7797">
            <w:pPr>
              <w:rPr>
                <w:rFonts w:eastAsia="Calibri" w:cs="Calibri"/>
                <w:color w:val="FFFFFF"/>
              </w:rPr>
            </w:pPr>
          </w:p>
        </w:tc>
      </w:tr>
      <w:tr w:rsidR="006E7797" w14:paraId="5697E7F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3960" w:type="dxa"/>
            <w:tcBorders>
              <w:top w:val="nil"/>
              <w:left w:val="nil"/>
              <w:bottom w:val="nil"/>
              <w:right w:val="nil"/>
              <w:tl2br w:val="nil"/>
              <w:tr2bl w:val="nil"/>
            </w:tcBorders>
            <w:tcMar>
              <w:left w:w="40" w:type="dxa"/>
              <w:right w:w="40" w:type="dxa"/>
            </w:tcMar>
            <w:vAlign w:val="center"/>
          </w:tcPr>
          <w:p w14:paraId="7C6229D0" w14:textId="77777777" w:rsidR="006E7797" w:rsidRDefault="006E7797" w:rsidP="006E7797">
            <w:pPr>
              <w:pBdr>
                <w:top w:val="nil"/>
                <w:left w:val="nil"/>
                <w:bottom w:val="nil"/>
                <w:right w:val="nil"/>
                <w:between w:val="nil"/>
                <w:bar w:val="nil"/>
              </w:pBdr>
              <w:ind w:left="170" w:hanging="170"/>
              <w:rPr>
                <w:rFonts w:eastAsia="Calibri" w:cs="Calibri"/>
                <w:i/>
                <w:color w:val="000000"/>
                <w:u w:val="single"/>
              </w:rPr>
            </w:pPr>
            <w:r>
              <w:rPr>
                <w:rFonts w:ascii="Calibri" w:eastAsia="Calibri" w:hAnsi="Calibri" w:cs="Calibri"/>
                <w:i/>
                <w:color w:val="000000"/>
                <w:sz w:val="18"/>
                <w:u w:val="single"/>
                <w:lang w:eastAsia="en-US"/>
              </w:rPr>
              <w:t>Estimated Outcome</w:t>
            </w:r>
          </w:p>
        </w:tc>
        <w:tc>
          <w:tcPr>
            <w:tcW w:w="992" w:type="dxa"/>
            <w:tcBorders>
              <w:top w:val="nil"/>
              <w:left w:val="nil"/>
              <w:bottom w:val="nil"/>
              <w:right w:val="nil"/>
              <w:tl2br w:val="nil"/>
              <w:tr2bl w:val="nil"/>
            </w:tcBorders>
            <w:noWrap/>
            <w:tcMar>
              <w:left w:w="0" w:type="dxa"/>
              <w:right w:w="0" w:type="dxa"/>
            </w:tcMar>
          </w:tcPr>
          <w:p w14:paraId="5CEB0526"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3F3174EC"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675F4DB6"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4E352000"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67197484" w14:textId="77777777" w:rsidR="006E7797" w:rsidRDefault="006E7797" w:rsidP="006E7797">
            <w:pPr>
              <w:rPr>
                <w:rFonts w:eastAsia="Calibri" w:cs="Calibri"/>
                <w:color w:val="000000"/>
              </w:rPr>
            </w:pPr>
          </w:p>
        </w:tc>
      </w:tr>
      <w:tr w:rsidR="006E7797" w14:paraId="66D9111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175" w:type="dxa"/>
              <w:right w:w="40" w:type="dxa"/>
            </w:tcMar>
          </w:tcPr>
          <w:p w14:paraId="1CAA9373" w14:textId="77777777"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Climate action - Big Canberra Battery Stream 1</w:t>
            </w:r>
          </w:p>
        </w:tc>
        <w:tc>
          <w:tcPr>
            <w:tcW w:w="992" w:type="dxa"/>
            <w:tcBorders>
              <w:top w:val="nil"/>
              <w:left w:val="nil"/>
              <w:bottom w:val="nil"/>
              <w:right w:val="nil"/>
              <w:tl2br w:val="nil"/>
              <w:tr2bl w:val="nil"/>
            </w:tcBorders>
            <w:noWrap/>
            <w:tcMar>
              <w:left w:w="40" w:type="dxa"/>
              <w:right w:w="40" w:type="dxa"/>
            </w:tcMar>
          </w:tcPr>
          <w:p w14:paraId="56E75667"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-13,370</w:t>
            </w:r>
          </w:p>
        </w:tc>
        <w:tc>
          <w:tcPr>
            <w:tcW w:w="992" w:type="dxa"/>
            <w:tcBorders>
              <w:top w:val="nil"/>
              <w:left w:val="nil"/>
              <w:bottom w:val="nil"/>
              <w:right w:val="nil"/>
              <w:tl2br w:val="nil"/>
              <w:tr2bl w:val="nil"/>
            </w:tcBorders>
            <w:noWrap/>
            <w:tcMar>
              <w:left w:w="40" w:type="dxa"/>
              <w:right w:w="40" w:type="dxa"/>
            </w:tcMar>
          </w:tcPr>
          <w:p w14:paraId="03EA8D08"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-4,487</w:t>
            </w:r>
          </w:p>
        </w:tc>
        <w:tc>
          <w:tcPr>
            <w:tcW w:w="992" w:type="dxa"/>
            <w:tcBorders>
              <w:top w:val="nil"/>
              <w:left w:val="nil"/>
              <w:bottom w:val="nil"/>
              <w:right w:val="nil"/>
              <w:tl2br w:val="nil"/>
              <w:tr2bl w:val="nil"/>
            </w:tcBorders>
            <w:noWrap/>
            <w:tcMar>
              <w:left w:w="40" w:type="dxa"/>
              <w:right w:w="40" w:type="dxa"/>
            </w:tcMar>
          </w:tcPr>
          <w:p w14:paraId="583116B0"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15</w:t>
            </w:r>
          </w:p>
        </w:tc>
        <w:tc>
          <w:tcPr>
            <w:tcW w:w="992" w:type="dxa"/>
            <w:tcBorders>
              <w:top w:val="nil"/>
              <w:left w:val="nil"/>
              <w:bottom w:val="nil"/>
              <w:right w:val="nil"/>
              <w:tl2br w:val="nil"/>
              <w:tr2bl w:val="nil"/>
            </w:tcBorders>
            <w:noWrap/>
            <w:tcMar>
              <w:left w:w="40" w:type="dxa"/>
              <w:right w:w="40" w:type="dxa"/>
            </w:tcMar>
          </w:tcPr>
          <w:p w14:paraId="6E405346"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-550</w:t>
            </w:r>
          </w:p>
        </w:tc>
        <w:tc>
          <w:tcPr>
            <w:tcW w:w="992" w:type="dxa"/>
            <w:tcBorders>
              <w:top w:val="nil"/>
              <w:left w:val="nil"/>
              <w:bottom w:val="nil"/>
              <w:right w:val="nil"/>
              <w:tl2br w:val="nil"/>
              <w:tr2bl w:val="nil"/>
            </w:tcBorders>
            <w:noWrap/>
            <w:tcMar>
              <w:left w:w="40" w:type="dxa"/>
              <w:right w:w="40" w:type="dxa"/>
            </w:tcMar>
          </w:tcPr>
          <w:p w14:paraId="34C78F81"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-1,035</w:t>
            </w:r>
          </w:p>
        </w:tc>
      </w:tr>
      <w:tr w:rsidR="006E7797" w14:paraId="682728A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0" w:type="dxa"/>
            <w:tcBorders>
              <w:top w:val="nil"/>
              <w:left w:val="nil"/>
              <w:bottom w:val="nil"/>
              <w:right w:val="nil"/>
              <w:tl2br w:val="nil"/>
              <w:tr2bl w:val="nil"/>
            </w:tcBorders>
            <w:tcMar>
              <w:left w:w="175" w:type="dxa"/>
              <w:right w:w="40" w:type="dxa"/>
            </w:tcMar>
          </w:tcPr>
          <w:p w14:paraId="3070A4C6" w14:textId="1527953B"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iCBR's infrastructure enabling services and management of government places</w:t>
            </w:r>
            <w:r w:rsidRPr="00CA3A39">
              <w:rPr>
                <w:rFonts w:ascii="Calibri" w:eastAsia="Calibri" w:hAnsi="Calibri" w:cs="Calibri"/>
                <w:color w:val="000000"/>
                <w:sz w:val="18"/>
                <w:vertAlign w:val="superscript"/>
                <w:lang w:eastAsia="en-US"/>
              </w:rPr>
              <w:t>1</w:t>
            </w:r>
          </w:p>
        </w:tc>
        <w:tc>
          <w:tcPr>
            <w:tcW w:w="992" w:type="dxa"/>
            <w:tcBorders>
              <w:top w:val="nil"/>
              <w:left w:val="nil"/>
              <w:bottom w:val="nil"/>
              <w:right w:val="nil"/>
              <w:tl2br w:val="nil"/>
              <w:tr2bl w:val="nil"/>
            </w:tcBorders>
            <w:noWrap/>
            <w:tcMar>
              <w:left w:w="40" w:type="dxa"/>
              <w:right w:w="40" w:type="dxa"/>
            </w:tcMar>
          </w:tcPr>
          <w:p w14:paraId="6C6E1379"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55EDF71A"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-2,728</w:t>
            </w:r>
          </w:p>
        </w:tc>
        <w:tc>
          <w:tcPr>
            <w:tcW w:w="992" w:type="dxa"/>
            <w:tcBorders>
              <w:top w:val="nil"/>
              <w:left w:val="nil"/>
              <w:bottom w:val="nil"/>
              <w:right w:val="nil"/>
              <w:tl2br w:val="nil"/>
              <w:tr2bl w:val="nil"/>
            </w:tcBorders>
            <w:noWrap/>
            <w:tcMar>
              <w:left w:w="40" w:type="dxa"/>
              <w:right w:w="40" w:type="dxa"/>
            </w:tcMar>
          </w:tcPr>
          <w:p w14:paraId="252D7AE3"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-2,816</w:t>
            </w:r>
          </w:p>
        </w:tc>
        <w:tc>
          <w:tcPr>
            <w:tcW w:w="992" w:type="dxa"/>
            <w:tcBorders>
              <w:top w:val="nil"/>
              <w:left w:val="nil"/>
              <w:bottom w:val="nil"/>
              <w:right w:val="nil"/>
              <w:tl2br w:val="nil"/>
              <w:tr2bl w:val="nil"/>
            </w:tcBorders>
            <w:noWrap/>
            <w:tcMar>
              <w:left w:w="40" w:type="dxa"/>
              <w:right w:w="40" w:type="dxa"/>
            </w:tcMar>
          </w:tcPr>
          <w:p w14:paraId="5CD01328"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-2,909</w:t>
            </w:r>
          </w:p>
        </w:tc>
        <w:tc>
          <w:tcPr>
            <w:tcW w:w="992" w:type="dxa"/>
            <w:tcBorders>
              <w:top w:val="nil"/>
              <w:left w:val="nil"/>
              <w:bottom w:val="nil"/>
              <w:right w:val="nil"/>
              <w:tl2br w:val="nil"/>
              <w:tr2bl w:val="nil"/>
            </w:tcBorders>
            <w:noWrap/>
            <w:tcMar>
              <w:left w:w="40" w:type="dxa"/>
              <w:right w:w="40" w:type="dxa"/>
            </w:tcMar>
          </w:tcPr>
          <w:p w14:paraId="357BC451"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-2,970</w:t>
            </w:r>
          </w:p>
        </w:tc>
      </w:tr>
      <w:tr w:rsidR="006E7797" w14:paraId="4B5085D4"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0" w:type="dxa"/>
            <w:tcBorders>
              <w:top w:val="nil"/>
              <w:left w:val="nil"/>
              <w:bottom w:val="nil"/>
              <w:right w:val="nil"/>
              <w:tl2br w:val="nil"/>
              <w:tr2bl w:val="nil"/>
            </w:tcBorders>
            <w:tcMar>
              <w:left w:w="40" w:type="dxa"/>
              <w:right w:w="40" w:type="dxa"/>
            </w:tcMar>
            <w:vAlign w:val="center"/>
          </w:tcPr>
          <w:p w14:paraId="414F3E3F" w14:textId="77777777" w:rsidR="006E7797" w:rsidRDefault="006E7797" w:rsidP="006E7797">
            <w:pPr>
              <w:pBdr>
                <w:top w:val="nil"/>
                <w:left w:val="nil"/>
                <w:bottom w:val="nil"/>
                <w:right w:val="nil"/>
                <w:between w:val="nil"/>
                <w:bar w:val="nil"/>
              </w:pBdr>
              <w:ind w:left="170" w:hanging="170"/>
              <w:rPr>
                <w:rFonts w:eastAsia="Calibri" w:cs="Calibri"/>
                <w:i/>
                <w:color w:val="000000"/>
                <w:u w:val="single"/>
              </w:rPr>
            </w:pPr>
            <w:r>
              <w:rPr>
                <w:rFonts w:ascii="Calibri" w:eastAsia="Calibri" w:hAnsi="Calibri" w:cs="Calibri"/>
                <w:i/>
                <w:color w:val="000000"/>
                <w:sz w:val="18"/>
                <w:u w:val="single"/>
                <w:lang w:eastAsia="en-US"/>
              </w:rPr>
              <w:t>Revised Funding Profile</w:t>
            </w:r>
          </w:p>
        </w:tc>
        <w:tc>
          <w:tcPr>
            <w:tcW w:w="992" w:type="dxa"/>
            <w:tcBorders>
              <w:top w:val="nil"/>
              <w:left w:val="nil"/>
              <w:bottom w:val="nil"/>
              <w:right w:val="nil"/>
              <w:tl2br w:val="nil"/>
              <w:tr2bl w:val="nil"/>
            </w:tcBorders>
            <w:noWrap/>
            <w:tcMar>
              <w:left w:w="0" w:type="dxa"/>
              <w:right w:w="0" w:type="dxa"/>
            </w:tcMar>
          </w:tcPr>
          <w:p w14:paraId="1813DDD7"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4D324A9C"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1D6523C8"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4C1A72B7"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2DAFC620" w14:textId="77777777" w:rsidR="006E7797" w:rsidRDefault="006E7797" w:rsidP="006E7797">
            <w:pPr>
              <w:rPr>
                <w:rFonts w:eastAsia="Calibri" w:cs="Calibri"/>
                <w:color w:val="000000"/>
              </w:rPr>
            </w:pPr>
          </w:p>
        </w:tc>
      </w:tr>
      <w:tr w:rsidR="006E7797" w14:paraId="5909E688"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960" w:type="dxa"/>
            <w:tcBorders>
              <w:top w:val="nil"/>
              <w:left w:val="nil"/>
              <w:bottom w:val="nil"/>
              <w:right w:val="nil"/>
              <w:tl2br w:val="nil"/>
              <w:tr2bl w:val="nil"/>
            </w:tcBorders>
            <w:noWrap/>
            <w:tcMar>
              <w:left w:w="175" w:type="dxa"/>
              <w:right w:w="40" w:type="dxa"/>
            </w:tcMar>
          </w:tcPr>
          <w:p w14:paraId="6B2AE570" w14:textId="77777777"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30,000 homes by 2030 – Planning for more public housing</w:t>
            </w:r>
          </w:p>
        </w:tc>
        <w:tc>
          <w:tcPr>
            <w:tcW w:w="992" w:type="dxa"/>
            <w:tcBorders>
              <w:top w:val="nil"/>
              <w:left w:val="nil"/>
              <w:bottom w:val="nil"/>
              <w:right w:val="nil"/>
              <w:tl2br w:val="nil"/>
              <w:tr2bl w:val="nil"/>
            </w:tcBorders>
            <w:noWrap/>
            <w:tcMar>
              <w:left w:w="40" w:type="dxa"/>
              <w:right w:w="40" w:type="dxa"/>
            </w:tcMar>
          </w:tcPr>
          <w:p w14:paraId="67B0E834"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-1,991</w:t>
            </w:r>
          </w:p>
        </w:tc>
        <w:tc>
          <w:tcPr>
            <w:tcW w:w="992" w:type="dxa"/>
            <w:tcBorders>
              <w:top w:val="nil"/>
              <w:left w:val="nil"/>
              <w:bottom w:val="nil"/>
              <w:right w:val="nil"/>
              <w:tl2br w:val="nil"/>
              <w:tr2bl w:val="nil"/>
            </w:tcBorders>
            <w:noWrap/>
            <w:tcMar>
              <w:left w:w="40" w:type="dxa"/>
              <w:right w:w="40" w:type="dxa"/>
            </w:tcMar>
          </w:tcPr>
          <w:p w14:paraId="08C91019"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1,991</w:t>
            </w:r>
          </w:p>
        </w:tc>
        <w:tc>
          <w:tcPr>
            <w:tcW w:w="992" w:type="dxa"/>
            <w:tcBorders>
              <w:top w:val="nil"/>
              <w:left w:val="nil"/>
              <w:bottom w:val="nil"/>
              <w:right w:val="nil"/>
              <w:tl2br w:val="nil"/>
              <w:tr2bl w:val="nil"/>
            </w:tcBorders>
            <w:noWrap/>
            <w:tcMar>
              <w:left w:w="40" w:type="dxa"/>
              <w:right w:w="40" w:type="dxa"/>
            </w:tcMar>
          </w:tcPr>
          <w:p w14:paraId="247B5691"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2AB4B718"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71E0D2F5"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6E7797" w14:paraId="7C2B980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960" w:type="dxa"/>
            <w:tcBorders>
              <w:top w:val="nil"/>
              <w:left w:val="nil"/>
              <w:bottom w:val="nil"/>
              <w:right w:val="nil"/>
              <w:tl2br w:val="nil"/>
              <w:tr2bl w:val="nil"/>
            </w:tcBorders>
            <w:noWrap/>
            <w:tcMar>
              <w:left w:w="175" w:type="dxa"/>
              <w:right w:w="40" w:type="dxa"/>
            </w:tcMar>
          </w:tcPr>
          <w:p w14:paraId="6BDDCE0A" w14:textId="77777777"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Continuing the electrification of Government Gas Assets</w:t>
            </w:r>
          </w:p>
        </w:tc>
        <w:tc>
          <w:tcPr>
            <w:tcW w:w="992" w:type="dxa"/>
            <w:tcBorders>
              <w:top w:val="nil"/>
              <w:left w:val="nil"/>
              <w:bottom w:val="nil"/>
              <w:right w:val="nil"/>
              <w:tl2br w:val="nil"/>
              <w:tr2bl w:val="nil"/>
            </w:tcBorders>
            <w:noWrap/>
            <w:tcMar>
              <w:left w:w="40" w:type="dxa"/>
              <w:right w:w="40" w:type="dxa"/>
            </w:tcMar>
          </w:tcPr>
          <w:p w14:paraId="37363F48"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-600</w:t>
            </w:r>
          </w:p>
        </w:tc>
        <w:tc>
          <w:tcPr>
            <w:tcW w:w="992" w:type="dxa"/>
            <w:tcBorders>
              <w:top w:val="nil"/>
              <w:left w:val="nil"/>
              <w:bottom w:val="nil"/>
              <w:right w:val="nil"/>
              <w:tl2br w:val="nil"/>
              <w:tr2bl w:val="nil"/>
            </w:tcBorders>
            <w:noWrap/>
            <w:tcMar>
              <w:left w:w="40" w:type="dxa"/>
              <w:right w:w="40" w:type="dxa"/>
            </w:tcMar>
          </w:tcPr>
          <w:p w14:paraId="37268B7E"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600</w:t>
            </w:r>
          </w:p>
        </w:tc>
        <w:tc>
          <w:tcPr>
            <w:tcW w:w="992" w:type="dxa"/>
            <w:tcBorders>
              <w:top w:val="nil"/>
              <w:left w:val="nil"/>
              <w:bottom w:val="nil"/>
              <w:right w:val="nil"/>
              <w:tl2br w:val="nil"/>
              <w:tr2bl w:val="nil"/>
            </w:tcBorders>
            <w:noWrap/>
            <w:tcMar>
              <w:left w:w="40" w:type="dxa"/>
              <w:right w:w="40" w:type="dxa"/>
            </w:tcMar>
          </w:tcPr>
          <w:p w14:paraId="5CC22E8C"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20809F88"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0174E2C0"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6E7797" w14:paraId="3461A1D6"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960" w:type="dxa"/>
            <w:tcBorders>
              <w:top w:val="nil"/>
              <w:left w:val="nil"/>
              <w:bottom w:val="nil"/>
              <w:right w:val="nil"/>
              <w:tl2br w:val="nil"/>
              <w:tr2bl w:val="nil"/>
            </w:tcBorders>
            <w:noWrap/>
            <w:tcMar>
              <w:left w:w="40" w:type="dxa"/>
              <w:right w:w="40" w:type="dxa"/>
            </w:tcMar>
          </w:tcPr>
          <w:p w14:paraId="2F73E178" w14:textId="77777777"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Revised Indexation Parameters</w:t>
            </w:r>
          </w:p>
        </w:tc>
        <w:tc>
          <w:tcPr>
            <w:tcW w:w="992" w:type="dxa"/>
            <w:tcBorders>
              <w:top w:val="nil"/>
              <w:left w:val="nil"/>
              <w:bottom w:val="nil"/>
              <w:right w:val="nil"/>
              <w:tl2br w:val="nil"/>
              <w:tr2bl w:val="nil"/>
            </w:tcBorders>
            <w:noWrap/>
            <w:tcMar>
              <w:left w:w="40" w:type="dxa"/>
              <w:right w:w="40" w:type="dxa"/>
            </w:tcMar>
          </w:tcPr>
          <w:p w14:paraId="0B9D7BF5"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33A924CB"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w:t>
            </w:r>
          </w:p>
        </w:tc>
        <w:tc>
          <w:tcPr>
            <w:tcW w:w="992" w:type="dxa"/>
            <w:tcBorders>
              <w:top w:val="nil"/>
              <w:left w:val="nil"/>
              <w:bottom w:val="nil"/>
              <w:right w:val="nil"/>
              <w:tl2br w:val="nil"/>
              <w:tr2bl w:val="nil"/>
            </w:tcBorders>
            <w:noWrap/>
            <w:tcMar>
              <w:left w:w="40" w:type="dxa"/>
              <w:right w:w="40" w:type="dxa"/>
            </w:tcMar>
          </w:tcPr>
          <w:p w14:paraId="7AF561D3"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-135</w:t>
            </w:r>
          </w:p>
        </w:tc>
        <w:tc>
          <w:tcPr>
            <w:tcW w:w="992" w:type="dxa"/>
            <w:tcBorders>
              <w:top w:val="nil"/>
              <w:left w:val="nil"/>
              <w:bottom w:val="nil"/>
              <w:right w:val="nil"/>
              <w:tl2br w:val="nil"/>
              <w:tr2bl w:val="nil"/>
            </w:tcBorders>
            <w:noWrap/>
            <w:tcMar>
              <w:left w:w="40" w:type="dxa"/>
              <w:right w:w="40" w:type="dxa"/>
            </w:tcMar>
          </w:tcPr>
          <w:p w14:paraId="32B6D2F0"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-124</w:t>
            </w:r>
          </w:p>
        </w:tc>
        <w:tc>
          <w:tcPr>
            <w:tcW w:w="992" w:type="dxa"/>
            <w:tcBorders>
              <w:top w:val="nil"/>
              <w:left w:val="nil"/>
              <w:bottom w:val="nil"/>
              <w:right w:val="nil"/>
              <w:tl2br w:val="nil"/>
              <w:tr2bl w:val="nil"/>
            </w:tcBorders>
            <w:noWrap/>
            <w:tcMar>
              <w:left w:w="40" w:type="dxa"/>
              <w:right w:w="40" w:type="dxa"/>
            </w:tcMar>
          </w:tcPr>
          <w:p w14:paraId="2AC7219F"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1,116</w:t>
            </w:r>
          </w:p>
        </w:tc>
      </w:tr>
      <w:tr w:rsidR="006E7797" w14:paraId="6401642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960" w:type="dxa"/>
            <w:tcBorders>
              <w:top w:val="nil"/>
              <w:left w:val="nil"/>
              <w:bottom w:val="nil"/>
              <w:right w:val="nil"/>
              <w:tl2br w:val="nil"/>
              <w:tr2bl w:val="nil"/>
            </w:tcBorders>
            <w:noWrap/>
            <w:tcMar>
              <w:left w:w="40" w:type="dxa"/>
              <w:right w:w="40" w:type="dxa"/>
            </w:tcMar>
          </w:tcPr>
          <w:p w14:paraId="208A56C0" w14:textId="77777777"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Revised Superannuation Parameters Round Robin</w:t>
            </w:r>
          </w:p>
        </w:tc>
        <w:tc>
          <w:tcPr>
            <w:tcW w:w="992" w:type="dxa"/>
            <w:tcBorders>
              <w:top w:val="nil"/>
              <w:left w:val="nil"/>
              <w:bottom w:val="nil"/>
              <w:right w:val="nil"/>
              <w:tl2br w:val="nil"/>
              <w:tr2bl w:val="nil"/>
            </w:tcBorders>
            <w:noWrap/>
            <w:tcMar>
              <w:left w:w="40" w:type="dxa"/>
              <w:right w:w="40" w:type="dxa"/>
            </w:tcMar>
          </w:tcPr>
          <w:p w14:paraId="762ECC94"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7C6B38E2"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1,157</w:t>
            </w:r>
          </w:p>
        </w:tc>
        <w:tc>
          <w:tcPr>
            <w:tcW w:w="992" w:type="dxa"/>
            <w:tcBorders>
              <w:top w:val="nil"/>
              <w:left w:val="nil"/>
              <w:bottom w:val="nil"/>
              <w:right w:val="nil"/>
              <w:tl2br w:val="nil"/>
              <w:tr2bl w:val="nil"/>
            </w:tcBorders>
            <w:noWrap/>
            <w:tcMar>
              <w:left w:w="40" w:type="dxa"/>
              <w:right w:w="40" w:type="dxa"/>
            </w:tcMar>
          </w:tcPr>
          <w:p w14:paraId="38721E54"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1,061</w:t>
            </w:r>
          </w:p>
        </w:tc>
        <w:tc>
          <w:tcPr>
            <w:tcW w:w="992" w:type="dxa"/>
            <w:tcBorders>
              <w:top w:val="nil"/>
              <w:left w:val="nil"/>
              <w:bottom w:val="nil"/>
              <w:right w:val="nil"/>
              <w:tl2br w:val="nil"/>
              <w:tr2bl w:val="nil"/>
            </w:tcBorders>
            <w:noWrap/>
            <w:tcMar>
              <w:left w:w="40" w:type="dxa"/>
              <w:right w:w="40" w:type="dxa"/>
            </w:tcMar>
          </w:tcPr>
          <w:p w14:paraId="0D024978"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908</w:t>
            </w:r>
          </w:p>
        </w:tc>
        <w:tc>
          <w:tcPr>
            <w:tcW w:w="992" w:type="dxa"/>
            <w:tcBorders>
              <w:top w:val="nil"/>
              <w:left w:val="nil"/>
              <w:bottom w:val="nil"/>
              <w:right w:val="nil"/>
              <w:tl2br w:val="nil"/>
              <w:tr2bl w:val="nil"/>
            </w:tcBorders>
            <w:noWrap/>
            <w:tcMar>
              <w:left w:w="40" w:type="dxa"/>
              <w:right w:w="40" w:type="dxa"/>
            </w:tcMar>
          </w:tcPr>
          <w:p w14:paraId="2BC948FA"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891</w:t>
            </w:r>
          </w:p>
        </w:tc>
      </w:tr>
      <w:tr w:rsidR="006E7797" w14:paraId="1104256B"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960" w:type="dxa"/>
            <w:tcBorders>
              <w:top w:val="nil"/>
              <w:left w:val="nil"/>
              <w:bottom w:val="nil"/>
              <w:right w:val="nil"/>
              <w:tl2br w:val="nil"/>
              <w:tr2bl w:val="nil"/>
            </w:tcBorders>
            <w:noWrap/>
            <w:tcMar>
              <w:left w:w="40" w:type="dxa"/>
              <w:right w:w="40" w:type="dxa"/>
            </w:tcMar>
          </w:tcPr>
          <w:p w14:paraId="246B2081" w14:textId="77777777"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Revised Wage Parameters</w:t>
            </w:r>
          </w:p>
        </w:tc>
        <w:tc>
          <w:tcPr>
            <w:tcW w:w="992" w:type="dxa"/>
            <w:tcBorders>
              <w:top w:val="nil"/>
              <w:left w:val="nil"/>
              <w:bottom w:val="nil"/>
              <w:right w:val="nil"/>
              <w:tl2br w:val="nil"/>
              <w:tr2bl w:val="nil"/>
            </w:tcBorders>
            <w:noWrap/>
            <w:tcMar>
              <w:left w:w="40" w:type="dxa"/>
              <w:right w:w="40" w:type="dxa"/>
            </w:tcMar>
          </w:tcPr>
          <w:p w14:paraId="3CCAB886"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4815C758"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308</w:t>
            </w:r>
          </w:p>
        </w:tc>
        <w:tc>
          <w:tcPr>
            <w:tcW w:w="992" w:type="dxa"/>
            <w:tcBorders>
              <w:top w:val="nil"/>
              <w:left w:val="nil"/>
              <w:bottom w:val="nil"/>
              <w:right w:val="nil"/>
              <w:tl2br w:val="nil"/>
              <w:tr2bl w:val="nil"/>
            </w:tcBorders>
            <w:noWrap/>
            <w:tcMar>
              <w:left w:w="40" w:type="dxa"/>
              <w:right w:w="40" w:type="dxa"/>
            </w:tcMar>
          </w:tcPr>
          <w:p w14:paraId="068D4C92"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75BF2918"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4198766E"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6E7797" w14:paraId="7B02FEF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960" w:type="dxa"/>
            <w:tcBorders>
              <w:top w:val="nil"/>
              <w:left w:val="nil"/>
              <w:bottom w:val="nil"/>
              <w:right w:val="nil"/>
              <w:tl2br w:val="nil"/>
              <w:tr2bl w:val="nil"/>
            </w:tcBorders>
            <w:noWrap/>
            <w:tcMar>
              <w:left w:w="40" w:type="dxa"/>
              <w:right w:w="40" w:type="dxa"/>
            </w:tcMar>
            <w:vAlign w:val="center"/>
          </w:tcPr>
          <w:p w14:paraId="671C29F9" w14:textId="77777777" w:rsidR="006E7797" w:rsidRDefault="006E7797" w:rsidP="00314B1B">
            <w:pPr>
              <w:keepNext/>
              <w:pBdr>
                <w:top w:val="nil"/>
                <w:left w:val="nil"/>
                <w:bottom w:val="nil"/>
                <w:right w:val="nil"/>
                <w:between w:val="nil"/>
                <w:bar w:val="nil"/>
              </w:pBdr>
              <w:ind w:left="170" w:hanging="170"/>
              <w:rPr>
                <w:rFonts w:eastAsia="Calibri" w:cs="Calibri"/>
                <w:i/>
                <w:color w:val="000000"/>
                <w:u w:val="single"/>
              </w:rPr>
            </w:pPr>
            <w:r>
              <w:rPr>
                <w:rFonts w:ascii="Calibri" w:eastAsia="Calibri" w:hAnsi="Calibri" w:cs="Calibri"/>
                <w:i/>
                <w:color w:val="000000"/>
                <w:sz w:val="18"/>
                <w:u w:val="single"/>
                <w:lang w:eastAsia="en-US"/>
              </w:rPr>
              <w:lastRenderedPageBreak/>
              <w:t>Transfer</w:t>
            </w:r>
          </w:p>
        </w:tc>
        <w:tc>
          <w:tcPr>
            <w:tcW w:w="992" w:type="dxa"/>
            <w:tcBorders>
              <w:top w:val="nil"/>
              <w:left w:val="nil"/>
              <w:bottom w:val="nil"/>
              <w:right w:val="nil"/>
              <w:tl2br w:val="nil"/>
              <w:tr2bl w:val="nil"/>
            </w:tcBorders>
            <w:noWrap/>
            <w:tcMar>
              <w:left w:w="0" w:type="dxa"/>
              <w:right w:w="0" w:type="dxa"/>
            </w:tcMar>
          </w:tcPr>
          <w:p w14:paraId="3E8326D3"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48753FAC"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55188D37"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29EE47C1" w14:textId="77777777" w:rsidR="006E7797" w:rsidRDefault="006E7797" w:rsidP="006E7797">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3543899C" w14:textId="77777777" w:rsidR="006E7797" w:rsidRDefault="006E7797" w:rsidP="006E7797">
            <w:pPr>
              <w:rPr>
                <w:rFonts w:eastAsia="Calibri" w:cs="Calibri"/>
                <w:color w:val="000000"/>
              </w:rPr>
            </w:pPr>
          </w:p>
        </w:tc>
      </w:tr>
      <w:tr w:rsidR="006E7797" w14:paraId="55811898"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960" w:type="dxa"/>
            <w:tcBorders>
              <w:top w:val="nil"/>
              <w:left w:val="nil"/>
              <w:bottom w:val="nil"/>
              <w:right w:val="nil"/>
              <w:tl2br w:val="nil"/>
              <w:tr2bl w:val="nil"/>
            </w:tcBorders>
            <w:noWrap/>
            <w:tcMar>
              <w:left w:w="175" w:type="dxa"/>
              <w:right w:w="40" w:type="dxa"/>
            </w:tcMar>
          </w:tcPr>
          <w:p w14:paraId="3CFCF72B" w14:textId="77777777"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Corporate Support Budget from CMTEDD</w:t>
            </w:r>
          </w:p>
        </w:tc>
        <w:tc>
          <w:tcPr>
            <w:tcW w:w="992" w:type="dxa"/>
            <w:tcBorders>
              <w:top w:val="nil"/>
              <w:left w:val="nil"/>
              <w:bottom w:val="nil"/>
              <w:right w:val="nil"/>
              <w:tl2br w:val="nil"/>
              <w:tr2bl w:val="nil"/>
            </w:tcBorders>
            <w:noWrap/>
            <w:tcMar>
              <w:left w:w="40" w:type="dxa"/>
              <w:right w:w="40" w:type="dxa"/>
            </w:tcMar>
          </w:tcPr>
          <w:p w14:paraId="4FA2FC92"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3AC03F9C"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7C5523F4"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376</w:t>
            </w:r>
          </w:p>
        </w:tc>
        <w:tc>
          <w:tcPr>
            <w:tcW w:w="992" w:type="dxa"/>
            <w:tcBorders>
              <w:top w:val="nil"/>
              <w:left w:val="nil"/>
              <w:bottom w:val="nil"/>
              <w:right w:val="nil"/>
              <w:tl2br w:val="nil"/>
              <w:tr2bl w:val="nil"/>
            </w:tcBorders>
            <w:noWrap/>
            <w:tcMar>
              <w:left w:w="40" w:type="dxa"/>
              <w:right w:w="40" w:type="dxa"/>
            </w:tcMar>
          </w:tcPr>
          <w:p w14:paraId="69513123"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385</w:t>
            </w:r>
          </w:p>
        </w:tc>
        <w:tc>
          <w:tcPr>
            <w:tcW w:w="992" w:type="dxa"/>
            <w:tcBorders>
              <w:top w:val="nil"/>
              <w:left w:val="nil"/>
              <w:bottom w:val="nil"/>
              <w:right w:val="nil"/>
              <w:tl2br w:val="nil"/>
              <w:tr2bl w:val="nil"/>
            </w:tcBorders>
            <w:noWrap/>
            <w:tcMar>
              <w:left w:w="40" w:type="dxa"/>
              <w:right w:w="40" w:type="dxa"/>
            </w:tcMar>
          </w:tcPr>
          <w:p w14:paraId="6AD70253"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395</w:t>
            </w:r>
          </w:p>
        </w:tc>
      </w:tr>
      <w:tr w:rsidR="006E7797" w14:paraId="72C1256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0" w:type="dxa"/>
            <w:tcBorders>
              <w:top w:val="nil"/>
              <w:left w:val="nil"/>
              <w:bottom w:val="nil"/>
              <w:right w:val="nil"/>
              <w:tl2br w:val="nil"/>
              <w:tr2bl w:val="nil"/>
            </w:tcBorders>
            <w:tcMar>
              <w:left w:w="175" w:type="dxa"/>
              <w:right w:w="40" w:type="dxa"/>
            </w:tcMar>
          </w:tcPr>
          <w:p w14:paraId="54997588" w14:textId="77777777"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Intelligent transport systems to better manage traffic congestion from CED</w:t>
            </w:r>
          </w:p>
        </w:tc>
        <w:tc>
          <w:tcPr>
            <w:tcW w:w="992" w:type="dxa"/>
            <w:tcBorders>
              <w:top w:val="nil"/>
              <w:left w:val="nil"/>
              <w:bottom w:val="nil"/>
              <w:right w:val="nil"/>
              <w:tl2br w:val="nil"/>
              <w:tr2bl w:val="nil"/>
            </w:tcBorders>
            <w:noWrap/>
            <w:tcMar>
              <w:left w:w="40" w:type="dxa"/>
              <w:right w:w="40" w:type="dxa"/>
            </w:tcMar>
          </w:tcPr>
          <w:p w14:paraId="1E3EB4FB"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66B1BB1A"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171</w:t>
            </w:r>
          </w:p>
        </w:tc>
        <w:tc>
          <w:tcPr>
            <w:tcW w:w="992" w:type="dxa"/>
            <w:tcBorders>
              <w:top w:val="nil"/>
              <w:left w:val="nil"/>
              <w:bottom w:val="nil"/>
              <w:right w:val="nil"/>
              <w:tl2br w:val="nil"/>
              <w:tr2bl w:val="nil"/>
            </w:tcBorders>
            <w:noWrap/>
            <w:tcMar>
              <w:left w:w="40" w:type="dxa"/>
              <w:right w:w="40" w:type="dxa"/>
            </w:tcMar>
          </w:tcPr>
          <w:p w14:paraId="4B63BDF2"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174</w:t>
            </w:r>
          </w:p>
        </w:tc>
        <w:tc>
          <w:tcPr>
            <w:tcW w:w="992" w:type="dxa"/>
            <w:tcBorders>
              <w:top w:val="nil"/>
              <w:left w:val="nil"/>
              <w:bottom w:val="nil"/>
              <w:right w:val="nil"/>
              <w:tl2br w:val="nil"/>
              <w:tr2bl w:val="nil"/>
            </w:tcBorders>
            <w:noWrap/>
            <w:tcMar>
              <w:left w:w="40" w:type="dxa"/>
              <w:right w:w="40" w:type="dxa"/>
            </w:tcMar>
          </w:tcPr>
          <w:p w14:paraId="4C7ABD29"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176</w:t>
            </w:r>
          </w:p>
        </w:tc>
        <w:tc>
          <w:tcPr>
            <w:tcW w:w="992" w:type="dxa"/>
            <w:tcBorders>
              <w:top w:val="nil"/>
              <w:left w:val="nil"/>
              <w:bottom w:val="nil"/>
              <w:right w:val="nil"/>
              <w:tl2br w:val="nil"/>
              <w:tr2bl w:val="nil"/>
            </w:tcBorders>
            <w:noWrap/>
            <w:tcMar>
              <w:left w:w="40" w:type="dxa"/>
              <w:right w:w="40" w:type="dxa"/>
            </w:tcMar>
          </w:tcPr>
          <w:p w14:paraId="1BB7BC57"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178</w:t>
            </w:r>
          </w:p>
        </w:tc>
      </w:tr>
      <w:tr w:rsidR="006E7797" w14:paraId="1C25E3A3"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960" w:type="dxa"/>
            <w:tcBorders>
              <w:top w:val="nil"/>
              <w:left w:val="nil"/>
              <w:bottom w:val="nil"/>
              <w:right w:val="nil"/>
              <w:tl2br w:val="nil"/>
              <w:tr2bl w:val="nil"/>
            </w:tcBorders>
            <w:noWrap/>
            <w:tcMar>
              <w:left w:w="175" w:type="dxa"/>
              <w:right w:w="40" w:type="dxa"/>
            </w:tcMar>
          </w:tcPr>
          <w:p w14:paraId="76C4CB6A" w14:textId="5ECA623D" w:rsidR="006E7797" w:rsidRDefault="006E7797" w:rsidP="006E7797">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Streamlining the funding of Infrastructure Canberra</w:t>
            </w:r>
            <w:r>
              <w:rPr>
                <w:rFonts w:ascii="Calibri" w:eastAsia="Calibri" w:hAnsi="Calibri" w:cs="Calibri"/>
                <w:color w:val="000000"/>
                <w:sz w:val="18"/>
                <w:vertAlign w:val="superscript"/>
                <w:lang w:eastAsia="en-US"/>
              </w:rPr>
              <w:t>2</w:t>
            </w:r>
          </w:p>
        </w:tc>
        <w:tc>
          <w:tcPr>
            <w:tcW w:w="992" w:type="dxa"/>
            <w:tcBorders>
              <w:top w:val="nil"/>
              <w:left w:val="nil"/>
              <w:bottom w:val="nil"/>
              <w:right w:val="nil"/>
              <w:tl2br w:val="nil"/>
              <w:tr2bl w:val="nil"/>
            </w:tcBorders>
            <w:noWrap/>
            <w:tcMar>
              <w:left w:w="40" w:type="dxa"/>
              <w:right w:w="40" w:type="dxa"/>
            </w:tcMar>
          </w:tcPr>
          <w:p w14:paraId="76BC8A08"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3A083DBB"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-1,060</w:t>
            </w:r>
          </w:p>
        </w:tc>
        <w:tc>
          <w:tcPr>
            <w:tcW w:w="992" w:type="dxa"/>
            <w:tcBorders>
              <w:top w:val="nil"/>
              <w:left w:val="nil"/>
              <w:bottom w:val="nil"/>
              <w:right w:val="nil"/>
              <w:tl2br w:val="nil"/>
              <w:tr2bl w:val="nil"/>
            </w:tcBorders>
            <w:noWrap/>
            <w:tcMar>
              <w:left w:w="40" w:type="dxa"/>
              <w:right w:w="40" w:type="dxa"/>
            </w:tcMar>
          </w:tcPr>
          <w:p w14:paraId="69350D44"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-244</w:t>
            </w:r>
          </w:p>
        </w:tc>
        <w:tc>
          <w:tcPr>
            <w:tcW w:w="992" w:type="dxa"/>
            <w:tcBorders>
              <w:top w:val="nil"/>
              <w:left w:val="nil"/>
              <w:bottom w:val="nil"/>
              <w:right w:val="nil"/>
              <w:tl2br w:val="nil"/>
              <w:tr2bl w:val="nil"/>
            </w:tcBorders>
            <w:noWrap/>
            <w:tcMar>
              <w:left w:w="40" w:type="dxa"/>
              <w:right w:w="40" w:type="dxa"/>
            </w:tcMar>
          </w:tcPr>
          <w:p w14:paraId="334ADDD8"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40" w:type="dxa"/>
              <w:right w:w="40" w:type="dxa"/>
            </w:tcMar>
          </w:tcPr>
          <w:p w14:paraId="5A2D6FC6" w14:textId="77777777" w:rsidR="006E7797" w:rsidRDefault="006E7797" w:rsidP="006E7797">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6E7797" w14:paraId="5792612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396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749A9C7C" w14:textId="77777777" w:rsidR="006E7797" w:rsidRDefault="006E7797" w:rsidP="006E7797">
            <w:pPr>
              <w:pBdr>
                <w:top w:val="nil"/>
                <w:left w:val="nil"/>
                <w:bottom w:val="nil"/>
                <w:right w:val="nil"/>
                <w:between w:val="nil"/>
                <w:bar w:val="nil"/>
              </w:pBdr>
              <w:ind w:left="244" w:hanging="244"/>
              <w:rPr>
                <w:rFonts w:eastAsia="Calibri" w:cs="Calibri"/>
                <w:b/>
                <w:color w:val="000000"/>
              </w:rPr>
            </w:pPr>
            <w:r>
              <w:rPr>
                <w:rFonts w:ascii="Calibri" w:eastAsia="Calibri" w:hAnsi="Calibri" w:cs="Calibri"/>
                <w:b/>
                <w:color w:val="000000"/>
                <w:sz w:val="18"/>
                <w:lang w:eastAsia="en-US"/>
              </w:rPr>
              <w:t>2026-27 Budget</w:t>
            </w:r>
          </w:p>
        </w:tc>
        <w:tc>
          <w:tcPr>
            <w:tcW w:w="992"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6A722AB2" w14:textId="77777777" w:rsidR="006E7797" w:rsidRDefault="006E7797" w:rsidP="006E7797">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138,987</w:t>
            </w:r>
          </w:p>
        </w:tc>
        <w:tc>
          <w:tcPr>
            <w:tcW w:w="992"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38DCCD00" w14:textId="77777777" w:rsidR="006E7797" w:rsidRDefault="006E7797" w:rsidP="006E7797">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148,036</w:t>
            </w:r>
          </w:p>
        </w:tc>
        <w:tc>
          <w:tcPr>
            <w:tcW w:w="992"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09B146C7" w14:textId="77777777" w:rsidR="006E7797" w:rsidRDefault="006E7797" w:rsidP="006E7797">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154,557</w:t>
            </w:r>
          </w:p>
        </w:tc>
        <w:tc>
          <w:tcPr>
            <w:tcW w:w="992"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70F50899" w14:textId="77777777" w:rsidR="006E7797" w:rsidRDefault="006E7797" w:rsidP="006E7797">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144,237</w:t>
            </w:r>
          </w:p>
        </w:tc>
        <w:tc>
          <w:tcPr>
            <w:tcW w:w="992"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0357BA4A" w14:textId="77777777" w:rsidR="006E7797" w:rsidRDefault="006E7797" w:rsidP="006E7797">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143,117</w:t>
            </w:r>
          </w:p>
        </w:tc>
      </w:tr>
    </w:tbl>
    <w:p w14:paraId="25A5FED2" w14:textId="77777777" w:rsidR="00926F3D" w:rsidRPr="00926F3D" w:rsidRDefault="009B5C32" w:rsidP="00926F3D">
      <w:pPr>
        <w:pStyle w:val="BSnote"/>
        <w:pBdr>
          <w:top w:val="nil"/>
          <w:left w:val="nil"/>
          <w:bottom w:val="nil"/>
          <w:right w:val="nil"/>
          <w:between w:val="nil"/>
          <w:bar w:val="nil"/>
        </w:pBdr>
      </w:pPr>
      <w:r w:rsidRPr="00926F3D">
        <w:t>Note(s):</w:t>
      </w:r>
    </w:p>
    <w:p w14:paraId="194209E5" w14:textId="6B45ED58" w:rsidR="0039256E" w:rsidRPr="00365268" w:rsidRDefault="00CA3A39" w:rsidP="00474AD7">
      <w:pPr>
        <w:pStyle w:val="BSnoteslist"/>
        <w:numPr>
          <w:ilvl w:val="0"/>
          <w:numId w:val="16"/>
        </w:numPr>
        <w:pBdr>
          <w:top w:val="nil"/>
          <w:left w:val="nil"/>
          <w:bottom w:val="nil"/>
          <w:right w:val="nil"/>
          <w:between w:val="nil"/>
          <w:bar w:val="nil"/>
        </w:pBdr>
        <w:ind w:left="357" w:hanging="357"/>
        <w:rPr>
          <w:rFonts w:eastAsia="Times New Roman" w:cs="Times New Roman"/>
          <w:lang w:val="en-US"/>
        </w:rPr>
      </w:pPr>
      <w:r w:rsidRPr="00CA3A39">
        <w:rPr>
          <w:rFonts w:eastAsia="Times New Roman" w:cs="Times New Roman"/>
          <w:lang w:val="en-US"/>
        </w:rPr>
        <w:t>Rental charges for government accommodation are centrally managed and periodically adjusted to reflect any changes in rental arrangements.  </w:t>
      </w:r>
    </w:p>
    <w:p w14:paraId="6C2D761C" w14:textId="17959875" w:rsidR="00CC416C" w:rsidRPr="00365268" w:rsidRDefault="00CA3A39" w:rsidP="00474AD7">
      <w:pPr>
        <w:pStyle w:val="BSnoteslist"/>
        <w:numPr>
          <w:ilvl w:val="0"/>
          <w:numId w:val="16"/>
        </w:numPr>
        <w:pBdr>
          <w:top w:val="nil"/>
          <w:left w:val="nil"/>
          <w:bottom w:val="nil"/>
          <w:right w:val="nil"/>
          <w:between w:val="nil"/>
          <w:bar w:val="nil"/>
        </w:pBdr>
        <w:ind w:left="357" w:hanging="357"/>
        <w:rPr>
          <w:rFonts w:eastAsia="Times New Roman" w:cs="Times New Roman"/>
        </w:rPr>
      </w:pPr>
      <w:r w:rsidRPr="00365268">
        <w:rPr>
          <w:rFonts w:eastAsia="Times New Roman" w:cs="Times New Roman"/>
          <w:lang w:val="en-US"/>
        </w:rPr>
        <w:t>The reduction reflects the reclassification of funding to capital, as services previously delivered to other Directorates are now</w:t>
      </w:r>
      <w:r w:rsidRPr="00CA3A39">
        <w:rPr>
          <w:rFonts w:eastAsia="Times New Roman" w:cs="Times New Roman"/>
        </w:rPr>
        <w:t xml:space="preserve"> internalised and capitalised for Tier 1 and 2 capital projects transferred to iCBR following </w:t>
      </w:r>
      <w:r w:rsidRPr="00365268">
        <w:rPr>
          <w:rFonts w:eastAsia="Times New Roman" w:cs="Times New Roman"/>
        </w:rPr>
        <w:t xml:space="preserve">the </w:t>
      </w:r>
      <w:r w:rsidR="009B5C32" w:rsidRPr="00365268">
        <w:rPr>
          <w:rFonts w:eastAsia="Times New Roman" w:cs="Times New Roman"/>
          <w:i/>
          <w:iCs/>
        </w:rPr>
        <w:t>Administrative Arrangement 2024 (No1).</w:t>
      </w:r>
    </w:p>
    <w:p w14:paraId="2718F660" w14:textId="003A0D94" w:rsidR="00D841D7" w:rsidRDefault="009B5C32" w:rsidP="00D227CE">
      <w:pPr>
        <w:pStyle w:val="Caption"/>
        <w:pageBreakBefore/>
        <w:pBdr>
          <w:top w:val="nil"/>
          <w:left w:val="nil"/>
          <w:bottom w:val="nil"/>
          <w:right w:val="nil"/>
          <w:between w:val="nil"/>
          <w:bar w:val="nil"/>
        </w:pBdr>
        <w:rPr>
          <w:rFonts w:eastAsia="Times New Roman"/>
          <w:iCs w:val="0"/>
        </w:rPr>
      </w:pPr>
      <w:bookmarkStart w:id="22" w:name="RG_MARKER_56730"/>
      <w:bookmarkStart w:id="23" w:name="RG_MARKER_56729"/>
      <w:r>
        <w:rPr>
          <w:rFonts w:eastAsia="Times New Roman"/>
          <w:bCs/>
          <w:iCs w:val="0"/>
          <w:color w:val="000000"/>
        </w:rPr>
        <w:lastRenderedPageBreak/>
        <w:t xml:space="preserve">Table </w:t>
      </w:r>
      <w:bookmarkEnd w:id="22"/>
      <w:bookmarkEnd w:id="23"/>
      <w:r w:rsidR="00633F76">
        <w:rPr>
          <w:rFonts w:eastAsia="Times New Roman"/>
          <w:bCs/>
          <w:iCs w:val="0"/>
          <w:color w:val="000000"/>
        </w:rPr>
        <w:t>8</w:t>
      </w:r>
      <w:r>
        <w:rPr>
          <w:rFonts w:eastAsia="Times New Roman"/>
          <w:bCs/>
          <w:iCs w:val="0"/>
          <w:color w:val="000000"/>
        </w:rPr>
        <w:t xml:space="preserve">: </w:t>
      </w:r>
      <w:r w:rsidRPr="00D227CE">
        <w:rPr>
          <w:rFonts w:eastAsia="Times New Roman"/>
          <w:bCs/>
          <w:iCs w:val="0"/>
          <w:color w:val="000000"/>
        </w:rPr>
        <w:t>Changes to appropriation – Capital Injections, Controlled</w:t>
      </w:r>
      <w:r>
        <w:rPr>
          <w:rFonts w:eastAsia="Times New Roman"/>
          <w:bCs/>
          <w:iCs w:val="0"/>
          <w:color w:val="000000"/>
        </w:rPr>
        <w:t xml:space="preserve"> ($’000)</w:t>
      </w:r>
    </w:p>
    <w:tbl>
      <w:tblPr>
        <w:tblStyle w:val="CDMRange1"/>
        <w:tblW w:w="8923" w:type="dxa"/>
        <w:tblLayout w:type="fixed"/>
        <w:tblLook w:val="0620" w:firstRow="1" w:lastRow="0" w:firstColumn="0" w:lastColumn="0" w:noHBand="1" w:noVBand="1"/>
      </w:tblPr>
      <w:tblGrid>
        <w:gridCol w:w="3963"/>
        <w:gridCol w:w="992"/>
        <w:gridCol w:w="992"/>
        <w:gridCol w:w="992"/>
        <w:gridCol w:w="992"/>
        <w:gridCol w:w="992"/>
      </w:tblGrid>
      <w:tr w:rsidR="00143C9C" w14:paraId="1CCCC0F7" w14:textId="77777777" w:rsidTr="00A24F93">
        <w:trPr>
          <w:trHeight w:val="740"/>
          <w:tblHeader/>
        </w:trPr>
        <w:tc>
          <w:tcPr>
            <w:tcW w:w="3963" w:type="dxa"/>
            <w:tcBorders>
              <w:top w:val="single" w:sz="12" w:space="0" w:color="000000"/>
              <w:left w:val="nil"/>
              <w:bottom w:val="single" w:sz="12" w:space="0" w:color="000000"/>
              <w:right w:val="nil"/>
              <w:tl2br w:val="nil"/>
              <w:tr2bl w:val="nil"/>
            </w:tcBorders>
            <w:noWrap/>
            <w:tcMar>
              <w:left w:w="0" w:type="dxa"/>
              <w:right w:w="0" w:type="dxa"/>
            </w:tcMar>
            <w:vAlign w:val="bottom"/>
          </w:tcPr>
          <w:p w14:paraId="03B0916D" w14:textId="77777777" w:rsidR="00143C9C" w:rsidRDefault="00143C9C">
            <w:pPr>
              <w:rPr>
                <w:rFonts w:eastAsia="Calibri" w:cs="Calibri"/>
                <w:color w:val="000000"/>
              </w:rPr>
            </w:pPr>
          </w:p>
        </w:tc>
        <w:tc>
          <w:tcPr>
            <w:tcW w:w="99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27C7C031"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2025-26 Estimated Outcome</w:t>
            </w:r>
          </w:p>
        </w:tc>
        <w:tc>
          <w:tcPr>
            <w:tcW w:w="99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3524D71E"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2026-27 Budget</w:t>
            </w:r>
          </w:p>
        </w:tc>
        <w:tc>
          <w:tcPr>
            <w:tcW w:w="99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615D6008"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2027-28 Estimate</w:t>
            </w:r>
          </w:p>
        </w:tc>
        <w:tc>
          <w:tcPr>
            <w:tcW w:w="99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5639ED58"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2028-29 Estimate</w:t>
            </w:r>
          </w:p>
        </w:tc>
        <w:tc>
          <w:tcPr>
            <w:tcW w:w="99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07532C07"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2029-30 Estimate</w:t>
            </w:r>
          </w:p>
        </w:tc>
      </w:tr>
      <w:tr w:rsidR="00143C9C" w14:paraId="14EC911D"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single" w:sz="12" w:space="0" w:color="000000"/>
              <w:left w:val="nil"/>
              <w:bottom w:val="nil"/>
              <w:right w:val="nil"/>
              <w:tl2br w:val="nil"/>
              <w:tr2bl w:val="nil"/>
            </w:tcBorders>
            <w:tcMar>
              <w:left w:w="101" w:type="dxa"/>
              <w:right w:w="101" w:type="dxa"/>
            </w:tcMar>
            <w:vAlign w:val="bottom"/>
          </w:tcPr>
          <w:p w14:paraId="761394F3"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2025-26 Budget</w:t>
            </w:r>
          </w:p>
        </w:tc>
        <w:tc>
          <w:tcPr>
            <w:tcW w:w="992" w:type="dxa"/>
            <w:tcBorders>
              <w:top w:val="single" w:sz="12" w:space="0" w:color="000000"/>
              <w:left w:val="nil"/>
              <w:bottom w:val="nil"/>
              <w:right w:val="nil"/>
              <w:tl2br w:val="nil"/>
              <w:tr2bl w:val="nil"/>
            </w:tcBorders>
            <w:noWrap/>
            <w:tcMar>
              <w:left w:w="101" w:type="dxa"/>
              <w:right w:w="101" w:type="dxa"/>
            </w:tcMar>
            <w:vAlign w:val="bottom"/>
          </w:tcPr>
          <w:p w14:paraId="68462A9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657,572</w:t>
            </w:r>
          </w:p>
        </w:tc>
        <w:tc>
          <w:tcPr>
            <w:tcW w:w="992" w:type="dxa"/>
            <w:tcBorders>
              <w:top w:val="single" w:sz="12" w:space="0" w:color="000000"/>
              <w:left w:val="nil"/>
              <w:bottom w:val="nil"/>
              <w:right w:val="nil"/>
              <w:tl2br w:val="nil"/>
              <w:tr2bl w:val="nil"/>
            </w:tcBorders>
            <w:noWrap/>
            <w:tcMar>
              <w:left w:w="101" w:type="dxa"/>
              <w:right w:w="101" w:type="dxa"/>
            </w:tcMar>
            <w:vAlign w:val="bottom"/>
          </w:tcPr>
          <w:p w14:paraId="66DC7D2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658,079</w:t>
            </w:r>
          </w:p>
        </w:tc>
        <w:tc>
          <w:tcPr>
            <w:tcW w:w="992" w:type="dxa"/>
            <w:tcBorders>
              <w:top w:val="single" w:sz="12" w:space="0" w:color="000000"/>
              <w:left w:val="nil"/>
              <w:bottom w:val="nil"/>
              <w:right w:val="nil"/>
              <w:tl2br w:val="nil"/>
              <w:tr2bl w:val="nil"/>
            </w:tcBorders>
            <w:noWrap/>
            <w:tcMar>
              <w:left w:w="101" w:type="dxa"/>
              <w:right w:w="101" w:type="dxa"/>
            </w:tcMar>
            <w:vAlign w:val="bottom"/>
          </w:tcPr>
          <w:p w14:paraId="33BA380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776,283</w:t>
            </w:r>
          </w:p>
        </w:tc>
        <w:tc>
          <w:tcPr>
            <w:tcW w:w="992" w:type="dxa"/>
            <w:tcBorders>
              <w:top w:val="single" w:sz="12" w:space="0" w:color="000000"/>
              <w:left w:val="nil"/>
              <w:bottom w:val="nil"/>
              <w:right w:val="nil"/>
              <w:tl2br w:val="nil"/>
              <w:tr2bl w:val="nil"/>
            </w:tcBorders>
            <w:noWrap/>
            <w:tcMar>
              <w:left w:w="101" w:type="dxa"/>
              <w:right w:w="101" w:type="dxa"/>
            </w:tcMar>
            <w:vAlign w:val="bottom"/>
          </w:tcPr>
          <w:p w14:paraId="0A035B5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18,655</w:t>
            </w:r>
          </w:p>
        </w:tc>
        <w:tc>
          <w:tcPr>
            <w:tcW w:w="992" w:type="dxa"/>
            <w:tcBorders>
              <w:top w:val="single" w:sz="12" w:space="0" w:color="000000"/>
              <w:left w:val="nil"/>
              <w:bottom w:val="nil"/>
              <w:right w:val="nil"/>
              <w:tl2br w:val="nil"/>
              <w:tr2bl w:val="nil"/>
            </w:tcBorders>
            <w:noWrap/>
            <w:tcMar>
              <w:left w:w="101" w:type="dxa"/>
              <w:right w:w="101" w:type="dxa"/>
            </w:tcMar>
            <w:vAlign w:val="bottom"/>
          </w:tcPr>
          <w:p w14:paraId="3DD44F2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198,804</w:t>
            </w:r>
          </w:p>
        </w:tc>
      </w:tr>
      <w:tr w:rsidR="00143C9C" w14:paraId="756AD21B"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3963" w:type="dxa"/>
            <w:tcBorders>
              <w:top w:val="nil"/>
              <w:left w:val="nil"/>
              <w:bottom w:val="nil"/>
              <w:right w:val="nil"/>
              <w:tl2br w:val="nil"/>
              <w:tr2bl w:val="nil"/>
            </w:tcBorders>
            <w:tcMar>
              <w:left w:w="101" w:type="dxa"/>
              <w:right w:w="101" w:type="dxa"/>
            </w:tcMar>
            <w:vAlign w:val="bottom"/>
          </w:tcPr>
          <w:p w14:paraId="5287BD22"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2025-26 Budget Review</w:t>
            </w:r>
          </w:p>
        </w:tc>
        <w:tc>
          <w:tcPr>
            <w:tcW w:w="992" w:type="dxa"/>
            <w:tcBorders>
              <w:top w:val="nil"/>
              <w:left w:val="nil"/>
              <w:bottom w:val="nil"/>
              <w:right w:val="nil"/>
              <w:tl2br w:val="nil"/>
              <w:tr2bl w:val="nil"/>
            </w:tcBorders>
            <w:noWrap/>
            <w:tcMar>
              <w:left w:w="0" w:type="dxa"/>
              <w:right w:w="0" w:type="dxa"/>
            </w:tcMar>
            <w:vAlign w:val="bottom"/>
          </w:tcPr>
          <w:p w14:paraId="3C6F92A6"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1F59C738"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523C6BCF"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7300D470"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01E2D0A4" w14:textId="77777777" w:rsidR="00143C9C" w:rsidRDefault="00143C9C">
            <w:pPr>
              <w:rPr>
                <w:rFonts w:eastAsia="Calibri" w:cs="Calibri"/>
                <w:color w:val="FFFFFF"/>
              </w:rPr>
            </w:pPr>
          </w:p>
        </w:tc>
      </w:tr>
      <w:tr w:rsidR="00143C9C" w14:paraId="7A0F0DCF"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1E0B4E4C"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facilities for ACT Policing</w:t>
            </w:r>
          </w:p>
        </w:tc>
        <w:tc>
          <w:tcPr>
            <w:tcW w:w="992" w:type="dxa"/>
            <w:tcBorders>
              <w:top w:val="nil"/>
              <w:left w:val="nil"/>
              <w:bottom w:val="nil"/>
              <w:right w:val="nil"/>
              <w:tl2br w:val="nil"/>
              <w:tr2bl w:val="nil"/>
            </w:tcBorders>
            <w:noWrap/>
            <w:tcMar>
              <w:left w:w="101" w:type="dxa"/>
              <w:right w:w="101" w:type="dxa"/>
            </w:tcMar>
          </w:tcPr>
          <w:p w14:paraId="32C7872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3,383</w:t>
            </w:r>
          </w:p>
        </w:tc>
        <w:tc>
          <w:tcPr>
            <w:tcW w:w="992" w:type="dxa"/>
            <w:tcBorders>
              <w:top w:val="nil"/>
              <w:left w:val="nil"/>
              <w:bottom w:val="nil"/>
              <w:right w:val="nil"/>
              <w:tl2br w:val="nil"/>
              <w:tr2bl w:val="nil"/>
            </w:tcBorders>
            <w:noWrap/>
            <w:tcMar>
              <w:left w:w="101" w:type="dxa"/>
              <w:right w:w="101" w:type="dxa"/>
            </w:tcMar>
          </w:tcPr>
          <w:p w14:paraId="2B9909A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914631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E2A939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26CFC1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2FFCE0DB"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2E91C525"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Canberra Theatre Redevelopment – Delivering a new Lyric Theatre</w:t>
            </w:r>
          </w:p>
        </w:tc>
        <w:tc>
          <w:tcPr>
            <w:tcW w:w="992" w:type="dxa"/>
            <w:tcBorders>
              <w:top w:val="nil"/>
              <w:left w:val="nil"/>
              <w:bottom w:val="nil"/>
              <w:right w:val="nil"/>
              <w:tl2br w:val="nil"/>
              <w:tr2bl w:val="nil"/>
            </w:tcBorders>
            <w:noWrap/>
            <w:tcMar>
              <w:left w:w="101" w:type="dxa"/>
              <w:right w:w="101" w:type="dxa"/>
            </w:tcMar>
          </w:tcPr>
          <w:p w14:paraId="2944FB8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93,538</w:t>
            </w:r>
          </w:p>
        </w:tc>
        <w:tc>
          <w:tcPr>
            <w:tcW w:w="992" w:type="dxa"/>
            <w:tcBorders>
              <w:top w:val="nil"/>
              <w:left w:val="nil"/>
              <w:bottom w:val="nil"/>
              <w:right w:val="nil"/>
              <w:tl2br w:val="nil"/>
              <w:tr2bl w:val="nil"/>
            </w:tcBorders>
            <w:noWrap/>
            <w:tcMar>
              <w:left w:w="101" w:type="dxa"/>
              <w:right w:w="101" w:type="dxa"/>
            </w:tcMar>
          </w:tcPr>
          <w:p w14:paraId="567230C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187,704</w:t>
            </w:r>
          </w:p>
        </w:tc>
        <w:tc>
          <w:tcPr>
            <w:tcW w:w="992" w:type="dxa"/>
            <w:tcBorders>
              <w:top w:val="nil"/>
              <w:left w:val="nil"/>
              <w:bottom w:val="nil"/>
              <w:right w:val="nil"/>
              <w:tl2br w:val="nil"/>
              <w:tr2bl w:val="nil"/>
            </w:tcBorders>
            <w:noWrap/>
            <w:tcMar>
              <w:left w:w="101" w:type="dxa"/>
              <w:right w:w="101" w:type="dxa"/>
            </w:tcMar>
          </w:tcPr>
          <w:p w14:paraId="75C607C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118,086</w:t>
            </w:r>
          </w:p>
        </w:tc>
        <w:tc>
          <w:tcPr>
            <w:tcW w:w="992" w:type="dxa"/>
            <w:tcBorders>
              <w:top w:val="nil"/>
              <w:left w:val="nil"/>
              <w:bottom w:val="nil"/>
              <w:right w:val="nil"/>
              <w:tl2br w:val="nil"/>
              <w:tr2bl w:val="nil"/>
            </w:tcBorders>
            <w:noWrap/>
            <w:tcMar>
              <w:left w:w="101" w:type="dxa"/>
              <w:right w:w="101" w:type="dxa"/>
            </w:tcMar>
          </w:tcPr>
          <w:p w14:paraId="4924393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15,361</w:t>
            </w:r>
          </w:p>
        </w:tc>
        <w:tc>
          <w:tcPr>
            <w:tcW w:w="992" w:type="dxa"/>
            <w:tcBorders>
              <w:top w:val="nil"/>
              <w:left w:val="nil"/>
              <w:bottom w:val="nil"/>
              <w:right w:val="nil"/>
              <w:tl2br w:val="nil"/>
              <w:tr2bl w:val="nil"/>
            </w:tcBorders>
            <w:noWrap/>
            <w:tcMar>
              <w:left w:w="101" w:type="dxa"/>
              <w:right w:w="101" w:type="dxa"/>
            </w:tcMar>
          </w:tcPr>
          <w:p w14:paraId="0DB33B7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3F73494"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134AF3E0"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CIT Woden – completion of the Woden Transport interchange</w:t>
            </w:r>
          </w:p>
        </w:tc>
        <w:tc>
          <w:tcPr>
            <w:tcW w:w="992" w:type="dxa"/>
            <w:tcBorders>
              <w:top w:val="nil"/>
              <w:left w:val="nil"/>
              <w:bottom w:val="nil"/>
              <w:right w:val="nil"/>
              <w:tl2br w:val="nil"/>
              <w:tr2bl w:val="nil"/>
            </w:tcBorders>
            <w:noWrap/>
            <w:tcMar>
              <w:left w:w="101" w:type="dxa"/>
              <w:right w:w="101" w:type="dxa"/>
            </w:tcMar>
          </w:tcPr>
          <w:p w14:paraId="3D7A825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FE6EC4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17,000</w:t>
            </w:r>
          </w:p>
        </w:tc>
        <w:tc>
          <w:tcPr>
            <w:tcW w:w="992" w:type="dxa"/>
            <w:tcBorders>
              <w:top w:val="nil"/>
              <w:left w:val="nil"/>
              <w:bottom w:val="nil"/>
              <w:right w:val="nil"/>
              <w:tl2br w:val="nil"/>
              <w:tr2bl w:val="nil"/>
            </w:tcBorders>
            <w:noWrap/>
            <w:tcMar>
              <w:left w:w="101" w:type="dxa"/>
              <w:right w:w="101" w:type="dxa"/>
            </w:tcMar>
          </w:tcPr>
          <w:p w14:paraId="7903C4E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0A67D1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E1A59E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0E57304"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7DA8E6CE"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Kingston Art Precinct</w:t>
            </w:r>
          </w:p>
        </w:tc>
        <w:tc>
          <w:tcPr>
            <w:tcW w:w="992" w:type="dxa"/>
            <w:tcBorders>
              <w:top w:val="nil"/>
              <w:left w:val="nil"/>
              <w:bottom w:val="nil"/>
              <w:right w:val="nil"/>
              <w:tl2br w:val="nil"/>
              <w:tr2bl w:val="nil"/>
            </w:tcBorders>
            <w:noWrap/>
            <w:tcMar>
              <w:left w:w="101" w:type="dxa"/>
              <w:right w:w="101" w:type="dxa"/>
            </w:tcMar>
          </w:tcPr>
          <w:p w14:paraId="53AB734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3717FB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30,074</w:t>
            </w:r>
          </w:p>
        </w:tc>
        <w:tc>
          <w:tcPr>
            <w:tcW w:w="992" w:type="dxa"/>
            <w:tcBorders>
              <w:top w:val="nil"/>
              <w:left w:val="nil"/>
              <w:bottom w:val="nil"/>
              <w:right w:val="nil"/>
              <w:tl2br w:val="nil"/>
              <w:tr2bl w:val="nil"/>
            </w:tcBorders>
            <w:noWrap/>
            <w:tcMar>
              <w:left w:w="101" w:type="dxa"/>
              <w:right w:w="101" w:type="dxa"/>
            </w:tcMar>
          </w:tcPr>
          <w:p w14:paraId="643DA06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B3F018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B2B8DA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3FA077EF"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3D7A4143"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Modernisation of Majura Primary School</w:t>
            </w:r>
          </w:p>
        </w:tc>
        <w:tc>
          <w:tcPr>
            <w:tcW w:w="992" w:type="dxa"/>
            <w:tcBorders>
              <w:top w:val="nil"/>
              <w:left w:val="nil"/>
              <w:bottom w:val="nil"/>
              <w:right w:val="nil"/>
              <w:tl2br w:val="nil"/>
              <w:tr2bl w:val="nil"/>
            </w:tcBorders>
            <w:noWrap/>
            <w:tcMar>
              <w:left w:w="101" w:type="dxa"/>
              <w:right w:w="101" w:type="dxa"/>
            </w:tcMar>
          </w:tcPr>
          <w:p w14:paraId="162674E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213</w:t>
            </w:r>
          </w:p>
        </w:tc>
        <w:tc>
          <w:tcPr>
            <w:tcW w:w="992" w:type="dxa"/>
            <w:tcBorders>
              <w:top w:val="nil"/>
              <w:left w:val="nil"/>
              <w:bottom w:val="nil"/>
              <w:right w:val="nil"/>
              <w:tl2br w:val="nil"/>
              <w:tr2bl w:val="nil"/>
            </w:tcBorders>
            <w:noWrap/>
            <w:tcMar>
              <w:left w:w="101" w:type="dxa"/>
              <w:right w:w="101" w:type="dxa"/>
            </w:tcMar>
          </w:tcPr>
          <w:p w14:paraId="5C5F289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5,575</w:t>
            </w:r>
          </w:p>
        </w:tc>
        <w:tc>
          <w:tcPr>
            <w:tcW w:w="992" w:type="dxa"/>
            <w:tcBorders>
              <w:top w:val="nil"/>
              <w:left w:val="nil"/>
              <w:bottom w:val="nil"/>
              <w:right w:val="nil"/>
              <w:tl2br w:val="nil"/>
              <w:tr2bl w:val="nil"/>
            </w:tcBorders>
            <w:noWrap/>
            <w:tcMar>
              <w:left w:w="101" w:type="dxa"/>
              <w:right w:w="101" w:type="dxa"/>
            </w:tcMar>
          </w:tcPr>
          <w:p w14:paraId="49A519E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11,872</w:t>
            </w:r>
          </w:p>
        </w:tc>
        <w:tc>
          <w:tcPr>
            <w:tcW w:w="992" w:type="dxa"/>
            <w:tcBorders>
              <w:top w:val="nil"/>
              <w:left w:val="nil"/>
              <w:bottom w:val="nil"/>
              <w:right w:val="nil"/>
              <w:tl2br w:val="nil"/>
              <w:tr2bl w:val="nil"/>
            </w:tcBorders>
            <w:noWrap/>
            <w:tcMar>
              <w:left w:w="101" w:type="dxa"/>
              <w:right w:w="101" w:type="dxa"/>
            </w:tcMar>
          </w:tcPr>
          <w:p w14:paraId="5DE0503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1,258</w:t>
            </w:r>
          </w:p>
        </w:tc>
        <w:tc>
          <w:tcPr>
            <w:tcW w:w="992" w:type="dxa"/>
            <w:tcBorders>
              <w:top w:val="nil"/>
              <w:left w:val="nil"/>
              <w:bottom w:val="nil"/>
              <w:right w:val="nil"/>
              <w:tl2br w:val="nil"/>
              <w:tr2bl w:val="nil"/>
            </w:tcBorders>
            <w:noWrap/>
            <w:tcMar>
              <w:left w:w="101" w:type="dxa"/>
              <w:right w:w="101" w:type="dxa"/>
            </w:tcMar>
          </w:tcPr>
          <w:p w14:paraId="01734EB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7E1E040"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0A25EC69"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Modernisation of Telopea Park School</w:t>
            </w:r>
          </w:p>
        </w:tc>
        <w:tc>
          <w:tcPr>
            <w:tcW w:w="992" w:type="dxa"/>
            <w:tcBorders>
              <w:top w:val="nil"/>
              <w:left w:val="nil"/>
              <w:bottom w:val="nil"/>
              <w:right w:val="nil"/>
              <w:tl2br w:val="nil"/>
              <w:tr2bl w:val="nil"/>
            </w:tcBorders>
            <w:noWrap/>
            <w:tcMar>
              <w:left w:w="101" w:type="dxa"/>
              <w:right w:w="101" w:type="dxa"/>
            </w:tcMar>
          </w:tcPr>
          <w:p w14:paraId="6BEB3C4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A7367B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6,150</w:t>
            </w:r>
          </w:p>
        </w:tc>
        <w:tc>
          <w:tcPr>
            <w:tcW w:w="992" w:type="dxa"/>
            <w:tcBorders>
              <w:top w:val="nil"/>
              <w:left w:val="nil"/>
              <w:bottom w:val="nil"/>
              <w:right w:val="nil"/>
              <w:tl2br w:val="nil"/>
              <w:tr2bl w:val="nil"/>
            </w:tcBorders>
            <w:noWrap/>
            <w:tcMar>
              <w:left w:w="101" w:type="dxa"/>
              <w:right w:w="101" w:type="dxa"/>
            </w:tcMar>
          </w:tcPr>
          <w:p w14:paraId="785F037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013DAB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4BAA89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541962B8"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3F64D0B7"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Whitlam Primary School Early Learning Centre</w:t>
            </w:r>
          </w:p>
        </w:tc>
        <w:tc>
          <w:tcPr>
            <w:tcW w:w="992" w:type="dxa"/>
            <w:tcBorders>
              <w:top w:val="nil"/>
              <w:left w:val="nil"/>
              <w:bottom w:val="nil"/>
              <w:right w:val="nil"/>
              <w:tl2br w:val="nil"/>
              <w:tr2bl w:val="nil"/>
            </w:tcBorders>
            <w:noWrap/>
            <w:tcMar>
              <w:left w:w="101" w:type="dxa"/>
              <w:right w:w="101" w:type="dxa"/>
            </w:tcMar>
          </w:tcPr>
          <w:p w14:paraId="19A7D1AD" w14:textId="1A6C5B2F" w:rsidR="00143C9C" w:rsidRDefault="0013332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5,000</w:t>
            </w:r>
          </w:p>
        </w:tc>
        <w:tc>
          <w:tcPr>
            <w:tcW w:w="992" w:type="dxa"/>
            <w:tcBorders>
              <w:top w:val="nil"/>
              <w:left w:val="nil"/>
              <w:bottom w:val="nil"/>
              <w:right w:val="nil"/>
              <w:tl2br w:val="nil"/>
              <w:tr2bl w:val="nil"/>
            </w:tcBorders>
            <w:noWrap/>
            <w:tcMar>
              <w:left w:w="101" w:type="dxa"/>
              <w:right w:w="101" w:type="dxa"/>
            </w:tcMar>
          </w:tcPr>
          <w:p w14:paraId="5623A17A" w14:textId="65ADE269" w:rsidR="00143C9C" w:rsidRDefault="0013332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5,000</w:t>
            </w:r>
          </w:p>
        </w:tc>
        <w:tc>
          <w:tcPr>
            <w:tcW w:w="992" w:type="dxa"/>
            <w:tcBorders>
              <w:top w:val="nil"/>
              <w:left w:val="nil"/>
              <w:bottom w:val="nil"/>
              <w:right w:val="nil"/>
              <w:tl2br w:val="nil"/>
              <w:tr2bl w:val="nil"/>
            </w:tcBorders>
            <w:noWrap/>
            <w:tcMar>
              <w:left w:w="101" w:type="dxa"/>
              <w:right w:w="101" w:type="dxa"/>
            </w:tcMar>
          </w:tcPr>
          <w:p w14:paraId="2FF6B809" w14:textId="1E3CA414" w:rsidR="00143C9C" w:rsidRDefault="0013332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w:t>
            </w:r>
            <w:r w:rsidR="009B5C32">
              <w:rPr>
                <w:rFonts w:ascii="Calibri" w:eastAsia="Calibri" w:hAnsi="Calibri" w:cs="Calibri"/>
                <w:color w:val="000000"/>
                <w:sz w:val="18"/>
                <w:lang w:eastAsia="en-US"/>
              </w:rPr>
              <w:t>,000</w:t>
            </w:r>
          </w:p>
        </w:tc>
        <w:tc>
          <w:tcPr>
            <w:tcW w:w="992" w:type="dxa"/>
            <w:tcBorders>
              <w:top w:val="nil"/>
              <w:left w:val="nil"/>
              <w:bottom w:val="nil"/>
              <w:right w:val="nil"/>
              <w:tl2br w:val="nil"/>
              <w:tr2bl w:val="nil"/>
            </w:tcBorders>
            <w:noWrap/>
            <w:tcMar>
              <w:left w:w="101" w:type="dxa"/>
              <w:right w:w="101" w:type="dxa"/>
            </w:tcMar>
          </w:tcPr>
          <w:p w14:paraId="26FF0EA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1E11CC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358BE0A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vAlign w:val="center"/>
          </w:tcPr>
          <w:p w14:paraId="52A44A6C" w14:textId="59641BCA" w:rsidR="00143C9C" w:rsidRDefault="009B5C32" w:rsidP="005D4B41">
            <w:pPr>
              <w:pBdr>
                <w:top w:val="nil"/>
                <w:left w:val="nil"/>
                <w:bottom w:val="nil"/>
                <w:right w:val="nil"/>
                <w:between w:val="nil"/>
                <w:bar w:val="nil"/>
              </w:pBdr>
              <w:ind w:left="170" w:hanging="170"/>
              <w:rPr>
                <w:rFonts w:eastAsia="Calibri" w:cs="Calibri"/>
                <w:i/>
                <w:color w:val="000000"/>
                <w:u w:val="single"/>
              </w:rPr>
            </w:pPr>
            <w:r>
              <w:rPr>
                <w:rFonts w:ascii="Calibri" w:eastAsia="Calibri" w:hAnsi="Calibri" w:cs="Calibri"/>
                <w:i/>
                <w:color w:val="000000"/>
                <w:sz w:val="18"/>
                <w:u w:val="single"/>
                <w:lang w:eastAsia="en-US"/>
              </w:rPr>
              <w:t>Offset</w:t>
            </w:r>
            <w:r w:rsidR="008A1C71">
              <w:rPr>
                <w:rFonts w:ascii="Calibri" w:eastAsia="Calibri" w:hAnsi="Calibri" w:cs="Calibri"/>
                <w:i/>
                <w:color w:val="000000"/>
                <w:sz w:val="18"/>
                <w:u w:val="single"/>
                <w:lang w:eastAsia="en-US"/>
              </w:rPr>
              <w:t>s</w:t>
            </w:r>
          </w:p>
        </w:tc>
        <w:tc>
          <w:tcPr>
            <w:tcW w:w="992" w:type="dxa"/>
            <w:tcBorders>
              <w:top w:val="nil"/>
              <w:left w:val="nil"/>
              <w:bottom w:val="nil"/>
              <w:right w:val="nil"/>
              <w:tl2br w:val="nil"/>
              <w:tr2bl w:val="nil"/>
            </w:tcBorders>
            <w:noWrap/>
            <w:tcMar>
              <w:left w:w="0" w:type="dxa"/>
              <w:right w:w="0" w:type="dxa"/>
            </w:tcMar>
          </w:tcPr>
          <w:p w14:paraId="03C7F09F" w14:textId="77777777" w:rsidR="00143C9C" w:rsidRDefault="00143C9C">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2866C001" w14:textId="77777777" w:rsidR="00143C9C" w:rsidRDefault="00143C9C">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08E0C1B4" w14:textId="77777777" w:rsidR="00143C9C" w:rsidRDefault="00143C9C">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3173D9FA" w14:textId="77777777" w:rsidR="00143C9C" w:rsidRDefault="00143C9C">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447E1F84" w14:textId="77777777" w:rsidR="00143C9C" w:rsidRDefault="00143C9C">
            <w:pPr>
              <w:rPr>
                <w:rFonts w:eastAsia="Calibri" w:cs="Calibri"/>
                <w:color w:val="000000"/>
              </w:rPr>
            </w:pPr>
          </w:p>
        </w:tc>
      </w:tr>
      <w:tr w:rsidR="00143C9C" w14:paraId="3226704A"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236" w:type="dxa"/>
              <w:right w:w="101" w:type="dxa"/>
            </w:tcMar>
          </w:tcPr>
          <w:p w14:paraId="5236F888"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Canberra Theatre Redevelopment – Lyric Theatre design </w:t>
            </w:r>
          </w:p>
        </w:tc>
        <w:tc>
          <w:tcPr>
            <w:tcW w:w="992" w:type="dxa"/>
            <w:tcBorders>
              <w:top w:val="nil"/>
              <w:left w:val="nil"/>
              <w:bottom w:val="nil"/>
              <w:right w:val="nil"/>
              <w:tl2br w:val="nil"/>
              <w:tr2bl w:val="nil"/>
            </w:tcBorders>
            <w:noWrap/>
            <w:tcMar>
              <w:left w:w="101" w:type="dxa"/>
              <w:right w:w="101" w:type="dxa"/>
            </w:tcMar>
          </w:tcPr>
          <w:p w14:paraId="21E94F4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-38,385</w:t>
            </w:r>
          </w:p>
        </w:tc>
        <w:tc>
          <w:tcPr>
            <w:tcW w:w="992" w:type="dxa"/>
            <w:tcBorders>
              <w:top w:val="nil"/>
              <w:left w:val="nil"/>
              <w:bottom w:val="nil"/>
              <w:right w:val="nil"/>
              <w:tl2br w:val="nil"/>
              <w:tr2bl w:val="nil"/>
            </w:tcBorders>
            <w:noWrap/>
            <w:tcMar>
              <w:left w:w="101" w:type="dxa"/>
              <w:right w:w="101" w:type="dxa"/>
            </w:tcMar>
          </w:tcPr>
          <w:p w14:paraId="0E93106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AE9802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AE5791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063079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34CCAA5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236" w:type="dxa"/>
              <w:right w:w="101" w:type="dxa"/>
            </w:tcMar>
          </w:tcPr>
          <w:p w14:paraId="07AE9137" w14:textId="68A2CB2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Majura Primary School modernisation</w:t>
            </w:r>
          </w:p>
        </w:tc>
        <w:tc>
          <w:tcPr>
            <w:tcW w:w="992" w:type="dxa"/>
            <w:tcBorders>
              <w:top w:val="nil"/>
              <w:left w:val="nil"/>
              <w:bottom w:val="nil"/>
              <w:right w:val="nil"/>
              <w:tl2br w:val="nil"/>
              <w:tr2bl w:val="nil"/>
            </w:tcBorders>
            <w:noWrap/>
            <w:tcMar>
              <w:left w:w="101" w:type="dxa"/>
              <w:right w:w="101" w:type="dxa"/>
            </w:tcMar>
          </w:tcPr>
          <w:p w14:paraId="4F05A5A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-7,526</w:t>
            </w:r>
          </w:p>
        </w:tc>
        <w:tc>
          <w:tcPr>
            <w:tcW w:w="992" w:type="dxa"/>
            <w:tcBorders>
              <w:top w:val="nil"/>
              <w:left w:val="nil"/>
              <w:bottom w:val="nil"/>
              <w:right w:val="nil"/>
              <w:tl2br w:val="nil"/>
              <w:tr2bl w:val="nil"/>
            </w:tcBorders>
            <w:noWrap/>
            <w:tcMar>
              <w:left w:w="101" w:type="dxa"/>
              <w:right w:w="101" w:type="dxa"/>
            </w:tcMar>
          </w:tcPr>
          <w:p w14:paraId="26B0B3C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3ED0D3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821CF5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41C82A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1E474630"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236" w:type="dxa"/>
              <w:right w:w="101" w:type="dxa"/>
            </w:tcMar>
          </w:tcPr>
          <w:p w14:paraId="2AAFA080"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Additional Construction Funding for Majura Primary School</w:t>
            </w:r>
          </w:p>
        </w:tc>
        <w:tc>
          <w:tcPr>
            <w:tcW w:w="992" w:type="dxa"/>
            <w:tcBorders>
              <w:top w:val="nil"/>
              <w:left w:val="nil"/>
              <w:bottom w:val="nil"/>
              <w:right w:val="nil"/>
              <w:tl2br w:val="nil"/>
              <w:tr2bl w:val="nil"/>
            </w:tcBorders>
            <w:noWrap/>
            <w:tcMar>
              <w:left w:w="101" w:type="dxa"/>
              <w:right w:w="101" w:type="dxa"/>
            </w:tcMar>
          </w:tcPr>
          <w:p w14:paraId="2EAD209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2C9509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-792</w:t>
            </w:r>
          </w:p>
        </w:tc>
        <w:tc>
          <w:tcPr>
            <w:tcW w:w="992" w:type="dxa"/>
            <w:tcBorders>
              <w:top w:val="nil"/>
              <w:left w:val="nil"/>
              <w:bottom w:val="nil"/>
              <w:right w:val="nil"/>
              <w:tl2br w:val="nil"/>
              <w:tr2bl w:val="nil"/>
            </w:tcBorders>
            <w:noWrap/>
            <w:tcMar>
              <w:left w:w="101" w:type="dxa"/>
              <w:right w:w="101" w:type="dxa"/>
            </w:tcMar>
          </w:tcPr>
          <w:p w14:paraId="4025D97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-4,900</w:t>
            </w:r>
          </w:p>
        </w:tc>
        <w:tc>
          <w:tcPr>
            <w:tcW w:w="992" w:type="dxa"/>
            <w:tcBorders>
              <w:top w:val="nil"/>
              <w:left w:val="nil"/>
              <w:bottom w:val="nil"/>
              <w:right w:val="nil"/>
              <w:tl2br w:val="nil"/>
              <w:tr2bl w:val="nil"/>
            </w:tcBorders>
            <w:noWrap/>
            <w:tcMar>
              <w:left w:w="101" w:type="dxa"/>
              <w:right w:w="101" w:type="dxa"/>
            </w:tcMar>
          </w:tcPr>
          <w:p w14:paraId="0713B86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-5,700</w:t>
            </w:r>
          </w:p>
        </w:tc>
        <w:tc>
          <w:tcPr>
            <w:tcW w:w="992" w:type="dxa"/>
            <w:tcBorders>
              <w:top w:val="nil"/>
              <w:left w:val="nil"/>
              <w:bottom w:val="nil"/>
              <w:right w:val="nil"/>
              <w:tl2br w:val="nil"/>
              <w:tr2bl w:val="nil"/>
            </w:tcBorders>
            <w:noWrap/>
            <w:tcMar>
              <w:left w:w="101" w:type="dxa"/>
              <w:right w:w="101" w:type="dxa"/>
            </w:tcMar>
          </w:tcPr>
          <w:p w14:paraId="1A9697B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562E8D4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963" w:type="dxa"/>
            <w:tcBorders>
              <w:top w:val="nil"/>
              <w:left w:val="nil"/>
              <w:bottom w:val="nil"/>
              <w:right w:val="nil"/>
              <w:tl2br w:val="nil"/>
              <w:tr2bl w:val="nil"/>
            </w:tcBorders>
            <w:tcMar>
              <w:left w:w="236" w:type="dxa"/>
              <w:right w:w="101" w:type="dxa"/>
            </w:tcMar>
          </w:tcPr>
          <w:p w14:paraId="2F5C58D5"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Supplementing construction funding for Garran and Strathnairn primary schools and the new high school at North Gungahlin</w:t>
            </w:r>
          </w:p>
        </w:tc>
        <w:tc>
          <w:tcPr>
            <w:tcW w:w="992" w:type="dxa"/>
            <w:tcBorders>
              <w:top w:val="nil"/>
              <w:left w:val="nil"/>
              <w:bottom w:val="nil"/>
              <w:right w:val="nil"/>
              <w:tl2br w:val="nil"/>
              <w:tr2bl w:val="nil"/>
            </w:tcBorders>
            <w:noWrap/>
            <w:tcMar>
              <w:left w:w="101" w:type="dxa"/>
              <w:right w:w="101" w:type="dxa"/>
            </w:tcMar>
          </w:tcPr>
          <w:p w14:paraId="04C8C27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4D915F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-1,000</w:t>
            </w:r>
          </w:p>
        </w:tc>
        <w:tc>
          <w:tcPr>
            <w:tcW w:w="992" w:type="dxa"/>
            <w:tcBorders>
              <w:top w:val="nil"/>
              <w:left w:val="nil"/>
              <w:bottom w:val="nil"/>
              <w:right w:val="nil"/>
              <w:tl2br w:val="nil"/>
              <w:tr2bl w:val="nil"/>
            </w:tcBorders>
            <w:noWrap/>
            <w:tcMar>
              <w:left w:w="101" w:type="dxa"/>
              <w:right w:w="101" w:type="dxa"/>
            </w:tcMar>
          </w:tcPr>
          <w:p w14:paraId="372C6A3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-2,000</w:t>
            </w:r>
          </w:p>
        </w:tc>
        <w:tc>
          <w:tcPr>
            <w:tcW w:w="992" w:type="dxa"/>
            <w:tcBorders>
              <w:top w:val="nil"/>
              <w:left w:val="nil"/>
              <w:bottom w:val="nil"/>
              <w:right w:val="nil"/>
              <w:tl2br w:val="nil"/>
              <w:tr2bl w:val="nil"/>
            </w:tcBorders>
            <w:noWrap/>
            <w:tcMar>
              <w:left w:w="101" w:type="dxa"/>
              <w:right w:w="101" w:type="dxa"/>
            </w:tcMar>
          </w:tcPr>
          <w:p w14:paraId="3DF29BE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F53354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18293934"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236" w:type="dxa"/>
              <w:right w:w="101" w:type="dxa"/>
            </w:tcMar>
          </w:tcPr>
          <w:p w14:paraId="52EF8D87"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Well-prepared emergency services – Molonglo Station and Casey Station</w:t>
            </w:r>
          </w:p>
        </w:tc>
        <w:tc>
          <w:tcPr>
            <w:tcW w:w="992" w:type="dxa"/>
            <w:tcBorders>
              <w:top w:val="nil"/>
              <w:left w:val="nil"/>
              <w:bottom w:val="nil"/>
              <w:right w:val="nil"/>
              <w:tl2br w:val="nil"/>
              <w:tr2bl w:val="nil"/>
            </w:tcBorders>
            <w:noWrap/>
            <w:tcMar>
              <w:left w:w="101" w:type="dxa"/>
              <w:right w:w="101" w:type="dxa"/>
            </w:tcMar>
          </w:tcPr>
          <w:p w14:paraId="4B15439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-3,481</w:t>
            </w:r>
          </w:p>
        </w:tc>
        <w:tc>
          <w:tcPr>
            <w:tcW w:w="992" w:type="dxa"/>
            <w:tcBorders>
              <w:top w:val="nil"/>
              <w:left w:val="nil"/>
              <w:bottom w:val="nil"/>
              <w:right w:val="nil"/>
              <w:tl2br w:val="nil"/>
              <w:tr2bl w:val="nil"/>
            </w:tcBorders>
            <w:noWrap/>
            <w:tcMar>
              <w:left w:w="101" w:type="dxa"/>
              <w:right w:w="101" w:type="dxa"/>
            </w:tcMar>
          </w:tcPr>
          <w:p w14:paraId="09CFDA7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5FDE24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7DF653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03B90A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1A02700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3963" w:type="dxa"/>
            <w:tcBorders>
              <w:top w:val="nil"/>
              <w:left w:val="nil"/>
              <w:bottom w:val="nil"/>
              <w:right w:val="nil"/>
              <w:tl2br w:val="nil"/>
              <w:tr2bl w:val="nil"/>
            </w:tcBorders>
            <w:tcMar>
              <w:left w:w="101" w:type="dxa"/>
              <w:right w:w="101" w:type="dxa"/>
            </w:tcMar>
            <w:vAlign w:val="bottom"/>
          </w:tcPr>
          <w:p w14:paraId="00842DE7"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FMA Section 16B Rollovers from 2024-25</w:t>
            </w:r>
          </w:p>
        </w:tc>
        <w:tc>
          <w:tcPr>
            <w:tcW w:w="992" w:type="dxa"/>
            <w:tcBorders>
              <w:top w:val="nil"/>
              <w:left w:val="nil"/>
              <w:bottom w:val="nil"/>
              <w:right w:val="nil"/>
              <w:tl2br w:val="nil"/>
              <w:tr2bl w:val="nil"/>
            </w:tcBorders>
            <w:noWrap/>
            <w:tcMar>
              <w:left w:w="0" w:type="dxa"/>
              <w:right w:w="0" w:type="dxa"/>
            </w:tcMar>
            <w:vAlign w:val="bottom"/>
          </w:tcPr>
          <w:p w14:paraId="69E19842"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0E9B15AA"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6E9AD918"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458772B7"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7848C034" w14:textId="77777777" w:rsidR="00143C9C" w:rsidRDefault="00143C9C">
            <w:pPr>
              <w:rPr>
                <w:rFonts w:eastAsia="Calibri" w:cs="Calibri"/>
                <w:color w:val="FFFFFF"/>
              </w:rPr>
            </w:pPr>
          </w:p>
        </w:tc>
      </w:tr>
      <w:tr w:rsidR="00143C9C" w14:paraId="4620A57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6A91383A"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2025-26 iCBR Asset renewal Program</w:t>
            </w:r>
          </w:p>
        </w:tc>
        <w:tc>
          <w:tcPr>
            <w:tcW w:w="992" w:type="dxa"/>
            <w:tcBorders>
              <w:top w:val="nil"/>
              <w:left w:val="nil"/>
              <w:bottom w:val="nil"/>
              <w:right w:val="nil"/>
              <w:tl2br w:val="nil"/>
              <w:tr2bl w:val="nil"/>
            </w:tcBorders>
            <w:noWrap/>
            <w:tcMar>
              <w:left w:w="101" w:type="dxa"/>
              <w:right w:w="101" w:type="dxa"/>
            </w:tcMar>
          </w:tcPr>
          <w:p w14:paraId="6026E7E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162</w:t>
            </w:r>
          </w:p>
        </w:tc>
        <w:tc>
          <w:tcPr>
            <w:tcW w:w="992" w:type="dxa"/>
            <w:tcBorders>
              <w:top w:val="nil"/>
              <w:left w:val="nil"/>
              <w:bottom w:val="nil"/>
              <w:right w:val="nil"/>
              <w:tl2br w:val="nil"/>
              <w:tr2bl w:val="nil"/>
            </w:tcBorders>
            <w:noWrap/>
            <w:tcMar>
              <w:left w:w="101" w:type="dxa"/>
              <w:right w:w="101" w:type="dxa"/>
            </w:tcMar>
          </w:tcPr>
          <w:p w14:paraId="4F9C6DA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F27717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739AFB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B17ABA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73852ADE"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6D77CB58"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ACT Government office accommodation consolidation</w:t>
            </w:r>
          </w:p>
        </w:tc>
        <w:tc>
          <w:tcPr>
            <w:tcW w:w="992" w:type="dxa"/>
            <w:tcBorders>
              <w:top w:val="nil"/>
              <w:left w:val="nil"/>
              <w:bottom w:val="nil"/>
              <w:right w:val="nil"/>
              <w:tl2br w:val="nil"/>
              <w:tr2bl w:val="nil"/>
            </w:tcBorders>
            <w:noWrap/>
            <w:tcMar>
              <w:left w:w="101" w:type="dxa"/>
              <w:right w:w="101" w:type="dxa"/>
            </w:tcMar>
          </w:tcPr>
          <w:p w14:paraId="27C0F35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421</w:t>
            </w:r>
          </w:p>
        </w:tc>
        <w:tc>
          <w:tcPr>
            <w:tcW w:w="992" w:type="dxa"/>
            <w:tcBorders>
              <w:top w:val="nil"/>
              <w:left w:val="nil"/>
              <w:bottom w:val="nil"/>
              <w:right w:val="nil"/>
              <w:tl2br w:val="nil"/>
              <w:tr2bl w:val="nil"/>
            </w:tcBorders>
            <w:noWrap/>
            <w:tcMar>
              <w:left w:w="101" w:type="dxa"/>
              <w:right w:w="101" w:type="dxa"/>
            </w:tcMar>
          </w:tcPr>
          <w:p w14:paraId="3045357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A21DC2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0083CB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70DB27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2287E863"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56CA6F19"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Better and safer roads – Athllon Drive duplication </w:t>
            </w:r>
          </w:p>
        </w:tc>
        <w:tc>
          <w:tcPr>
            <w:tcW w:w="992" w:type="dxa"/>
            <w:tcBorders>
              <w:top w:val="nil"/>
              <w:left w:val="nil"/>
              <w:bottom w:val="nil"/>
              <w:right w:val="nil"/>
              <w:tl2br w:val="nil"/>
              <w:tr2bl w:val="nil"/>
            </w:tcBorders>
            <w:noWrap/>
            <w:tcMar>
              <w:left w:w="101" w:type="dxa"/>
              <w:right w:w="101" w:type="dxa"/>
            </w:tcMar>
          </w:tcPr>
          <w:p w14:paraId="2F14F40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2,352</w:t>
            </w:r>
          </w:p>
        </w:tc>
        <w:tc>
          <w:tcPr>
            <w:tcW w:w="992" w:type="dxa"/>
            <w:tcBorders>
              <w:top w:val="nil"/>
              <w:left w:val="nil"/>
              <w:bottom w:val="nil"/>
              <w:right w:val="nil"/>
              <w:tl2br w:val="nil"/>
              <w:tr2bl w:val="nil"/>
            </w:tcBorders>
            <w:noWrap/>
            <w:tcMar>
              <w:left w:w="101" w:type="dxa"/>
              <w:right w:w="101" w:type="dxa"/>
            </w:tcMar>
          </w:tcPr>
          <w:p w14:paraId="51E2007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637B15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19C0D1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AAFBA3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694731F2"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52EAEE70"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Designing the Stromlo Forest Park district playing fields</w:t>
            </w:r>
          </w:p>
        </w:tc>
        <w:tc>
          <w:tcPr>
            <w:tcW w:w="992" w:type="dxa"/>
            <w:tcBorders>
              <w:top w:val="nil"/>
              <w:left w:val="nil"/>
              <w:bottom w:val="nil"/>
              <w:right w:val="nil"/>
              <w:tl2br w:val="nil"/>
              <w:tr2bl w:val="nil"/>
            </w:tcBorders>
            <w:noWrap/>
            <w:tcMar>
              <w:left w:w="101" w:type="dxa"/>
              <w:right w:w="101" w:type="dxa"/>
            </w:tcMar>
          </w:tcPr>
          <w:p w14:paraId="19CA1BA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374</w:t>
            </w:r>
          </w:p>
        </w:tc>
        <w:tc>
          <w:tcPr>
            <w:tcW w:w="992" w:type="dxa"/>
            <w:tcBorders>
              <w:top w:val="nil"/>
              <w:left w:val="nil"/>
              <w:bottom w:val="nil"/>
              <w:right w:val="nil"/>
              <w:tl2br w:val="nil"/>
              <w:tr2bl w:val="nil"/>
            </w:tcBorders>
            <w:noWrap/>
            <w:tcMar>
              <w:left w:w="101" w:type="dxa"/>
              <w:right w:w="101" w:type="dxa"/>
            </w:tcMar>
          </w:tcPr>
          <w:p w14:paraId="79947F4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0E3D94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01356D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0F6DB4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37C96FC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6B53F41E"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Garran Surge Centre deconstruction and Garran Oval remediation</w:t>
            </w:r>
          </w:p>
        </w:tc>
        <w:tc>
          <w:tcPr>
            <w:tcW w:w="992" w:type="dxa"/>
            <w:tcBorders>
              <w:top w:val="nil"/>
              <w:left w:val="nil"/>
              <w:bottom w:val="nil"/>
              <w:right w:val="nil"/>
              <w:tl2br w:val="nil"/>
              <w:tr2bl w:val="nil"/>
            </w:tcBorders>
            <w:noWrap/>
            <w:tcMar>
              <w:left w:w="101" w:type="dxa"/>
              <w:right w:w="101" w:type="dxa"/>
            </w:tcMar>
          </w:tcPr>
          <w:p w14:paraId="0EC90F9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771</w:t>
            </w:r>
          </w:p>
        </w:tc>
        <w:tc>
          <w:tcPr>
            <w:tcW w:w="992" w:type="dxa"/>
            <w:tcBorders>
              <w:top w:val="nil"/>
              <w:left w:val="nil"/>
              <w:bottom w:val="nil"/>
              <w:right w:val="nil"/>
              <w:tl2br w:val="nil"/>
              <w:tr2bl w:val="nil"/>
            </w:tcBorders>
            <w:noWrap/>
            <w:tcMar>
              <w:left w:w="101" w:type="dxa"/>
              <w:right w:w="101" w:type="dxa"/>
            </w:tcMar>
          </w:tcPr>
          <w:p w14:paraId="52690FD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390A29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EBA304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7DB013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6943308A"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45D1B088"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Improving local roads and community infrastructure</w:t>
            </w:r>
          </w:p>
        </w:tc>
        <w:tc>
          <w:tcPr>
            <w:tcW w:w="992" w:type="dxa"/>
            <w:tcBorders>
              <w:top w:val="nil"/>
              <w:left w:val="nil"/>
              <w:bottom w:val="nil"/>
              <w:right w:val="nil"/>
              <w:tl2br w:val="nil"/>
              <w:tr2bl w:val="nil"/>
            </w:tcBorders>
            <w:noWrap/>
            <w:tcMar>
              <w:left w:w="101" w:type="dxa"/>
              <w:right w:w="101" w:type="dxa"/>
            </w:tcMar>
          </w:tcPr>
          <w:p w14:paraId="186E34B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1,236</w:t>
            </w:r>
          </w:p>
        </w:tc>
        <w:tc>
          <w:tcPr>
            <w:tcW w:w="992" w:type="dxa"/>
            <w:tcBorders>
              <w:top w:val="nil"/>
              <w:left w:val="nil"/>
              <w:bottom w:val="nil"/>
              <w:right w:val="nil"/>
              <w:tl2br w:val="nil"/>
              <w:tr2bl w:val="nil"/>
            </w:tcBorders>
            <w:noWrap/>
            <w:tcMar>
              <w:left w:w="101" w:type="dxa"/>
              <w:right w:w="101" w:type="dxa"/>
            </w:tcMar>
          </w:tcPr>
          <w:p w14:paraId="56E8114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FEB229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A99C56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835F6A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6FAB6660"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51AA04DC"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Public Building Upgrades – Building safety upgrades</w:t>
            </w:r>
          </w:p>
        </w:tc>
        <w:tc>
          <w:tcPr>
            <w:tcW w:w="992" w:type="dxa"/>
            <w:tcBorders>
              <w:top w:val="nil"/>
              <w:left w:val="nil"/>
              <w:bottom w:val="nil"/>
              <w:right w:val="nil"/>
              <w:tl2br w:val="nil"/>
              <w:tr2bl w:val="nil"/>
            </w:tcBorders>
            <w:noWrap/>
            <w:tcMar>
              <w:left w:w="101" w:type="dxa"/>
              <w:right w:w="101" w:type="dxa"/>
            </w:tcMar>
          </w:tcPr>
          <w:p w14:paraId="028946E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446</w:t>
            </w:r>
          </w:p>
        </w:tc>
        <w:tc>
          <w:tcPr>
            <w:tcW w:w="992" w:type="dxa"/>
            <w:tcBorders>
              <w:top w:val="nil"/>
              <w:left w:val="nil"/>
              <w:bottom w:val="nil"/>
              <w:right w:val="nil"/>
              <w:tl2br w:val="nil"/>
              <w:tr2bl w:val="nil"/>
            </w:tcBorders>
            <w:noWrap/>
            <w:tcMar>
              <w:left w:w="101" w:type="dxa"/>
              <w:right w:w="101" w:type="dxa"/>
            </w:tcMar>
          </w:tcPr>
          <w:p w14:paraId="6771399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DBA7E5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68DBA7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636CEE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5C80F9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1D836C82"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Public Building Upgrades – Depot compliance upgrades</w:t>
            </w:r>
          </w:p>
        </w:tc>
        <w:tc>
          <w:tcPr>
            <w:tcW w:w="992" w:type="dxa"/>
            <w:tcBorders>
              <w:top w:val="nil"/>
              <w:left w:val="nil"/>
              <w:bottom w:val="nil"/>
              <w:right w:val="nil"/>
              <w:tl2br w:val="nil"/>
              <w:tr2bl w:val="nil"/>
            </w:tcBorders>
            <w:noWrap/>
            <w:tcMar>
              <w:left w:w="101" w:type="dxa"/>
              <w:right w:w="101" w:type="dxa"/>
            </w:tcMar>
          </w:tcPr>
          <w:p w14:paraId="55E685F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129</w:t>
            </w:r>
          </w:p>
        </w:tc>
        <w:tc>
          <w:tcPr>
            <w:tcW w:w="992" w:type="dxa"/>
            <w:tcBorders>
              <w:top w:val="nil"/>
              <w:left w:val="nil"/>
              <w:bottom w:val="nil"/>
              <w:right w:val="nil"/>
              <w:tl2br w:val="nil"/>
              <w:tr2bl w:val="nil"/>
            </w:tcBorders>
            <w:noWrap/>
            <w:tcMar>
              <w:left w:w="101" w:type="dxa"/>
              <w:right w:w="101" w:type="dxa"/>
            </w:tcMar>
          </w:tcPr>
          <w:p w14:paraId="07AE9DF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0EFC86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9E7FAE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39211F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14DFDB8B"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270AEC33"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Public Building Upgrades – Fire system, switchboard and HVAC upgrades</w:t>
            </w:r>
          </w:p>
        </w:tc>
        <w:tc>
          <w:tcPr>
            <w:tcW w:w="992" w:type="dxa"/>
            <w:tcBorders>
              <w:top w:val="nil"/>
              <w:left w:val="nil"/>
              <w:bottom w:val="nil"/>
              <w:right w:val="nil"/>
              <w:tl2br w:val="nil"/>
              <w:tr2bl w:val="nil"/>
            </w:tcBorders>
            <w:noWrap/>
            <w:tcMar>
              <w:left w:w="101" w:type="dxa"/>
              <w:right w:w="101" w:type="dxa"/>
            </w:tcMar>
          </w:tcPr>
          <w:p w14:paraId="691419E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955</w:t>
            </w:r>
          </w:p>
        </w:tc>
        <w:tc>
          <w:tcPr>
            <w:tcW w:w="992" w:type="dxa"/>
            <w:tcBorders>
              <w:top w:val="nil"/>
              <w:left w:val="nil"/>
              <w:bottom w:val="nil"/>
              <w:right w:val="nil"/>
              <w:tl2br w:val="nil"/>
              <w:tr2bl w:val="nil"/>
            </w:tcBorders>
            <w:noWrap/>
            <w:tcMar>
              <w:left w:w="101" w:type="dxa"/>
              <w:right w:w="101" w:type="dxa"/>
            </w:tcMar>
          </w:tcPr>
          <w:p w14:paraId="433351D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2D6AC0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09227A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20780A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0E83816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6AF6188B"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Public Building Upgrades – Roof replacement and rectification works</w:t>
            </w:r>
          </w:p>
        </w:tc>
        <w:tc>
          <w:tcPr>
            <w:tcW w:w="992" w:type="dxa"/>
            <w:tcBorders>
              <w:top w:val="nil"/>
              <w:left w:val="nil"/>
              <w:bottom w:val="nil"/>
              <w:right w:val="nil"/>
              <w:tl2br w:val="nil"/>
              <w:tr2bl w:val="nil"/>
            </w:tcBorders>
            <w:noWrap/>
            <w:tcMar>
              <w:left w:w="101" w:type="dxa"/>
              <w:right w:w="101" w:type="dxa"/>
            </w:tcMar>
          </w:tcPr>
          <w:p w14:paraId="7E187D6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1,164</w:t>
            </w:r>
          </w:p>
        </w:tc>
        <w:tc>
          <w:tcPr>
            <w:tcW w:w="992" w:type="dxa"/>
            <w:tcBorders>
              <w:top w:val="nil"/>
              <w:left w:val="nil"/>
              <w:bottom w:val="nil"/>
              <w:right w:val="nil"/>
              <w:tl2br w:val="nil"/>
              <w:tr2bl w:val="nil"/>
            </w:tcBorders>
            <w:noWrap/>
            <w:tcMar>
              <w:left w:w="101" w:type="dxa"/>
              <w:right w:w="101" w:type="dxa"/>
            </w:tcMar>
          </w:tcPr>
          <w:p w14:paraId="0C901B2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F6EAAA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396337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4424CA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0206A12"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6607307D"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Public Building Upgrades – Roof upgrades at ACT Legislative Assembly and North Buildings</w:t>
            </w:r>
          </w:p>
        </w:tc>
        <w:tc>
          <w:tcPr>
            <w:tcW w:w="992" w:type="dxa"/>
            <w:tcBorders>
              <w:top w:val="nil"/>
              <w:left w:val="nil"/>
              <w:bottom w:val="nil"/>
              <w:right w:val="nil"/>
              <w:tl2br w:val="nil"/>
              <w:tr2bl w:val="nil"/>
            </w:tcBorders>
            <w:noWrap/>
            <w:tcMar>
              <w:left w:w="101" w:type="dxa"/>
              <w:right w:w="101" w:type="dxa"/>
            </w:tcMar>
          </w:tcPr>
          <w:p w14:paraId="3CDC2BD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145</w:t>
            </w:r>
          </w:p>
        </w:tc>
        <w:tc>
          <w:tcPr>
            <w:tcW w:w="992" w:type="dxa"/>
            <w:tcBorders>
              <w:top w:val="nil"/>
              <w:left w:val="nil"/>
              <w:bottom w:val="nil"/>
              <w:right w:val="nil"/>
              <w:tl2br w:val="nil"/>
              <w:tr2bl w:val="nil"/>
            </w:tcBorders>
            <w:noWrap/>
            <w:tcMar>
              <w:left w:w="101" w:type="dxa"/>
              <w:right w:w="101" w:type="dxa"/>
            </w:tcMar>
          </w:tcPr>
          <w:p w14:paraId="658A975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0DBF1D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0D8AE4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3A29AF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2BF1D9FA"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36921B1E"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lastRenderedPageBreak/>
              <w:t>Better Community infrastructure – Raising London Circuit and associated works</w:t>
            </w:r>
          </w:p>
        </w:tc>
        <w:tc>
          <w:tcPr>
            <w:tcW w:w="992" w:type="dxa"/>
            <w:tcBorders>
              <w:top w:val="nil"/>
              <w:left w:val="nil"/>
              <w:bottom w:val="nil"/>
              <w:right w:val="nil"/>
              <w:tl2br w:val="nil"/>
              <w:tr2bl w:val="nil"/>
            </w:tcBorders>
            <w:noWrap/>
            <w:tcMar>
              <w:left w:w="101" w:type="dxa"/>
              <w:right w:w="101" w:type="dxa"/>
            </w:tcMar>
          </w:tcPr>
          <w:p w14:paraId="1E271AE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7,965</w:t>
            </w:r>
          </w:p>
        </w:tc>
        <w:tc>
          <w:tcPr>
            <w:tcW w:w="992" w:type="dxa"/>
            <w:tcBorders>
              <w:top w:val="nil"/>
              <w:left w:val="nil"/>
              <w:bottom w:val="nil"/>
              <w:right w:val="nil"/>
              <w:tl2br w:val="nil"/>
              <w:tr2bl w:val="nil"/>
            </w:tcBorders>
            <w:noWrap/>
            <w:tcMar>
              <w:left w:w="101" w:type="dxa"/>
              <w:right w:w="101" w:type="dxa"/>
            </w:tcMar>
          </w:tcPr>
          <w:p w14:paraId="5D40C57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8E38DF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CCA179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FF8EEE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2E9E0FFE"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78441F4A"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Refurbishing Canberra’s public pools</w:t>
            </w:r>
          </w:p>
        </w:tc>
        <w:tc>
          <w:tcPr>
            <w:tcW w:w="992" w:type="dxa"/>
            <w:tcBorders>
              <w:top w:val="nil"/>
              <w:left w:val="nil"/>
              <w:bottom w:val="nil"/>
              <w:right w:val="nil"/>
              <w:tl2br w:val="nil"/>
              <w:tr2bl w:val="nil"/>
            </w:tcBorders>
            <w:noWrap/>
            <w:tcMar>
              <w:left w:w="101" w:type="dxa"/>
              <w:right w:w="101" w:type="dxa"/>
            </w:tcMar>
          </w:tcPr>
          <w:p w14:paraId="6871410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w:t>
            </w:r>
          </w:p>
        </w:tc>
        <w:tc>
          <w:tcPr>
            <w:tcW w:w="992" w:type="dxa"/>
            <w:tcBorders>
              <w:top w:val="nil"/>
              <w:left w:val="nil"/>
              <w:bottom w:val="nil"/>
              <w:right w:val="nil"/>
              <w:tl2br w:val="nil"/>
              <w:tr2bl w:val="nil"/>
            </w:tcBorders>
            <w:noWrap/>
            <w:tcMar>
              <w:left w:w="101" w:type="dxa"/>
              <w:right w:w="101" w:type="dxa"/>
            </w:tcMar>
          </w:tcPr>
          <w:p w14:paraId="5BD9BAE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AE53E8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79CF43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B51079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00B58EED"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00D843B7"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Refurbishing community and government buildings</w:t>
            </w:r>
          </w:p>
        </w:tc>
        <w:tc>
          <w:tcPr>
            <w:tcW w:w="992" w:type="dxa"/>
            <w:tcBorders>
              <w:top w:val="nil"/>
              <w:left w:val="nil"/>
              <w:bottom w:val="nil"/>
              <w:right w:val="nil"/>
              <w:tl2br w:val="nil"/>
              <w:tr2bl w:val="nil"/>
            </w:tcBorders>
            <w:noWrap/>
            <w:tcMar>
              <w:left w:w="101" w:type="dxa"/>
              <w:right w:w="101" w:type="dxa"/>
            </w:tcMar>
          </w:tcPr>
          <w:p w14:paraId="03AA7F0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114</w:t>
            </w:r>
          </w:p>
        </w:tc>
        <w:tc>
          <w:tcPr>
            <w:tcW w:w="992" w:type="dxa"/>
            <w:tcBorders>
              <w:top w:val="nil"/>
              <w:left w:val="nil"/>
              <w:bottom w:val="nil"/>
              <w:right w:val="nil"/>
              <w:tl2br w:val="nil"/>
              <w:tr2bl w:val="nil"/>
            </w:tcBorders>
            <w:noWrap/>
            <w:tcMar>
              <w:left w:w="101" w:type="dxa"/>
              <w:right w:w="101" w:type="dxa"/>
            </w:tcMar>
          </w:tcPr>
          <w:p w14:paraId="3ED8D8B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FFE8BE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34ADA7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9ABD92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FDB60EB"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5038CC99" w14:textId="3DED5C05"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Stromlo Forest Park District Playing Fields – Stage 1</w:t>
            </w:r>
          </w:p>
        </w:tc>
        <w:tc>
          <w:tcPr>
            <w:tcW w:w="992" w:type="dxa"/>
            <w:tcBorders>
              <w:top w:val="nil"/>
              <w:left w:val="nil"/>
              <w:bottom w:val="nil"/>
              <w:right w:val="nil"/>
              <w:tl2br w:val="nil"/>
              <w:tr2bl w:val="nil"/>
            </w:tcBorders>
            <w:noWrap/>
            <w:tcMar>
              <w:left w:w="101" w:type="dxa"/>
              <w:right w:w="101" w:type="dxa"/>
            </w:tcMar>
          </w:tcPr>
          <w:p w14:paraId="2E0DF3C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200</w:t>
            </w:r>
          </w:p>
        </w:tc>
        <w:tc>
          <w:tcPr>
            <w:tcW w:w="992" w:type="dxa"/>
            <w:tcBorders>
              <w:top w:val="nil"/>
              <w:left w:val="nil"/>
              <w:bottom w:val="nil"/>
              <w:right w:val="nil"/>
              <w:tl2br w:val="nil"/>
              <w:tr2bl w:val="nil"/>
            </w:tcBorders>
            <w:noWrap/>
            <w:tcMar>
              <w:left w:w="101" w:type="dxa"/>
              <w:right w:w="101" w:type="dxa"/>
            </w:tcMar>
          </w:tcPr>
          <w:p w14:paraId="684D272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2E4D10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F34A22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13EC36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2B6217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2E22060B"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Upgrades at public pools</w:t>
            </w:r>
          </w:p>
        </w:tc>
        <w:tc>
          <w:tcPr>
            <w:tcW w:w="992" w:type="dxa"/>
            <w:tcBorders>
              <w:top w:val="nil"/>
              <w:left w:val="nil"/>
              <w:bottom w:val="nil"/>
              <w:right w:val="nil"/>
              <w:tl2br w:val="nil"/>
              <w:tr2bl w:val="nil"/>
            </w:tcBorders>
            <w:noWrap/>
            <w:tcMar>
              <w:left w:w="101" w:type="dxa"/>
              <w:right w:w="101" w:type="dxa"/>
            </w:tcMar>
          </w:tcPr>
          <w:p w14:paraId="6A4E925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w:t>
            </w:r>
          </w:p>
        </w:tc>
        <w:tc>
          <w:tcPr>
            <w:tcW w:w="992" w:type="dxa"/>
            <w:tcBorders>
              <w:top w:val="nil"/>
              <w:left w:val="nil"/>
              <w:bottom w:val="nil"/>
              <w:right w:val="nil"/>
              <w:tl2br w:val="nil"/>
              <w:tr2bl w:val="nil"/>
            </w:tcBorders>
            <w:noWrap/>
            <w:tcMar>
              <w:left w:w="101" w:type="dxa"/>
              <w:right w:w="101" w:type="dxa"/>
            </w:tcMar>
          </w:tcPr>
          <w:p w14:paraId="6350CBE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DAA3A0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680D65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7AC93F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E7B2CB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602E6975"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transport infrastructure – Building light rail to Woden</w:t>
            </w:r>
          </w:p>
        </w:tc>
        <w:tc>
          <w:tcPr>
            <w:tcW w:w="992" w:type="dxa"/>
            <w:tcBorders>
              <w:top w:val="nil"/>
              <w:left w:val="nil"/>
              <w:bottom w:val="nil"/>
              <w:right w:val="nil"/>
              <w:tl2br w:val="nil"/>
              <w:tr2bl w:val="nil"/>
            </w:tcBorders>
            <w:noWrap/>
            <w:tcMar>
              <w:left w:w="101" w:type="dxa"/>
              <w:right w:w="101" w:type="dxa"/>
            </w:tcMar>
          </w:tcPr>
          <w:p w14:paraId="6F90932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686</w:t>
            </w:r>
          </w:p>
        </w:tc>
        <w:tc>
          <w:tcPr>
            <w:tcW w:w="992" w:type="dxa"/>
            <w:tcBorders>
              <w:top w:val="nil"/>
              <w:left w:val="nil"/>
              <w:bottom w:val="nil"/>
              <w:right w:val="nil"/>
              <w:tl2br w:val="nil"/>
              <w:tr2bl w:val="nil"/>
            </w:tcBorders>
            <w:noWrap/>
            <w:tcMar>
              <w:left w:w="101" w:type="dxa"/>
              <w:right w:w="101" w:type="dxa"/>
            </w:tcMar>
          </w:tcPr>
          <w:p w14:paraId="186B383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45823B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45E205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A0C21D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65F43FBA"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666E583E"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transport infrastructure – Light Rail Stage 2A</w:t>
            </w:r>
          </w:p>
        </w:tc>
        <w:tc>
          <w:tcPr>
            <w:tcW w:w="992" w:type="dxa"/>
            <w:tcBorders>
              <w:top w:val="nil"/>
              <w:left w:val="nil"/>
              <w:bottom w:val="nil"/>
              <w:right w:val="nil"/>
              <w:tl2br w:val="nil"/>
              <w:tr2bl w:val="nil"/>
            </w:tcBorders>
            <w:noWrap/>
            <w:tcMar>
              <w:left w:w="101" w:type="dxa"/>
              <w:right w:w="101" w:type="dxa"/>
            </w:tcMar>
          </w:tcPr>
          <w:p w14:paraId="323C297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4,132</w:t>
            </w:r>
          </w:p>
        </w:tc>
        <w:tc>
          <w:tcPr>
            <w:tcW w:w="992" w:type="dxa"/>
            <w:tcBorders>
              <w:top w:val="nil"/>
              <w:left w:val="nil"/>
              <w:bottom w:val="nil"/>
              <w:right w:val="nil"/>
              <w:tl2br w:val="nil"/>
              <w:tr2bl w:val="nil"/>
            </w:tcBorders>
            <w:noWrap/>
            <w:tcMar>
              <w:left w:w="101" w:type="dxa"/>
              <w:right w:w="101" w:type="dxa"/>
            </w:tcMar>
          </w:tcPr>
          <w:p w14:paraId="490FF6D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47CDDC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55444E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CE41B3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7AB5981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101" w:type="dxa"/>
              <w:right w:w="101" w:type="dxa"/>
            </w:tcMar>
          </w:tcPr>
          <w:p w14:paraId="663DB85B"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transport infrastructure – New light rail vehicles and depot expansion</w:t>
            </w:r>
          </w:p>
        </w:tc>
        <w:tc>
          <w:tcPr>
            <w:tcW w:w="992" w:type="dxa"/>
            <w:tcBorders>
              <w:top w:val="nil"/>
              <w:left w:val="nil"/>
              <w:bottom w:val="nil"/>
              <w:right w:val="nil"/>
              <w:tl2br w:val="nil"/>
              <w:tr2bl w:val="nil"/>
            </w:tcBorders>
            <w:noWrap/>
            <w:tcMar>
              <w:left w:w="101" w:type="dxa"/>
              <w:right w:w="101" w:type="dxa"/>
            </w:tcMar>
          </w:tcPr>
          <w:p w14:paraId="68D6699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-16,198</w:t>
            </w:r>
          </w:p>
        </w:tc>
        <w:tc>
          <w:tcPr>
            <w:tcW w:w="992" w:type="dxa"/>
            <w:tcBorders>
              <w:top w:val="nil"/>
              <w:left w:val="nil"/>
              <w:bottom w:val="nil"/>
              <w:right w:val="nil"/>
              <w:tl2br w:val="nil"/>
              <w:tr2bl w:val="nil"/>
            </w:tcBorders>
            <w:noWrap/>
            <w:tcMar>
              <w:left w:w="101" w:type="dxa"/>
              <w:right w:w="101" w:type="dxa"/>
            </w:tcMar>
          </w:tcPr>
          <w:p w14:paraId="049D298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C4F2D4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4890C0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8A05A5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306813A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tcPr>
          <w:p w14:paraId="23995D57"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Canberra Aquatic Centre</w:t>
            </w:r>
          </w:p>
        </w:tc>
        <w:tc>
          <w:tcPr>
            <w:tcW w:w="992" w:type="dxa"/>
            <w:tcBorders>
              <w:top w:val="nil"/>
              <w:left w:val="nil"/>
              <w:bottom w:val="nil"/>
              <w:right w:val="nil"/>
              <w:tl2br w:val="nil"/>
              <w:tr2bl w:val="nil"/>
            </w:tcBorders>
            <w:noWrap/>
            <w:tcMar>
              <w:left w:w="101" w:type="dxa"/>
              <w:right w:w="101" w:type="dxa"/>
            </w:tcMar>
          </w:tcPr>
          <w:p w14:paraId="4D9E8D2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230</w:t>
            </w:r>
          </w:p>
        </w:tc>
        <w:tc>
          <w:tcPr>
            <w:tcW w:w="992" w:type="dxa"/>
            <w:tcBorders>
              <w:top w:val="nil"/>
              <w:left w:val="nil"/>
              <w:bottom w:val="nil"/>
              <w:right w:val="nil"/>
              <w:tl2br w:val="nil"/>
              <w:tr2bl w:val="nil"/>
            </w:tcBorders>
            <w:noWrap/>
            <w:tcMar>
              <w:left w:w="101" w:type="dxa"/>
              <w:right w:w="101" w:type="dxa"/>
            </w:tcMar>
          </w:tcPr>
          <w:p w14:paraId="5698D92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0CF361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85AB51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AE14D8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2579120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tcPr>
          <w:p w14:paraId="23C6BED1"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Canberra Theatre Redevelopment – Lyric Theatre design</w:t>
            </w:r>
          </w:p>
        </w:tc>
        <w:tc>
          <w:tcPr>
            <w:tcW w:w="992" w:type="dxa"/>
            <w:tcBorders>
              <w:top w:val="nil"/>
              <w:left w:val="nil"/>
              <w:bottom w:val="nil"/>
              <w:right w:val="nil"/>
              <w:tl2br w:val="nil"/>
              <w:tr2bl w:val="nil"/>
            </w:tcBorders>
            <w:noWrap/>
            <w:tcMar>
              <w:left w:w="101" w:type="dxa"/>
              <w:right w:w="101" w:type="dxa"/>
            </w:tcMar>
          </w:tcPr>
          <w:p w14:paraId="1A9326E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6,840</w:t>
            </w:r>
          </w:p>
        </w:tc>
        <w:tc>
          <w:tcPr>
            <w:tcW w:w="992" w:type="dxa"/>
            <w:tcBorders>
              <w:top w:val="nil"/>
              <w:left w:val="nil"/>
              <w:bottom w:val="nil"/>
              <w:right w:val="nil"/>
              <w:tl2br w:val="nil"/>
              <w:tr2bl w:val="nil"/>
            </w:tcBorders>
            <w:noWrap/>
            <w:tcMar>
              <w:left w:w="101" w:type="dxa"/>
              <w:right w:w="101" w:type="dxa"/>
            </w:tcMar>
          </w:tcPr>
          <w:p w14:paraId="1A4830A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E7E599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040E70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4EBCF3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25901AFF"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tcPr>
          <w:p w14:paraId="30B54DFE"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CIT Woden Campus – Provision of fitout, furniture and ICT</w:t>
            </w:r>
          </w:p>
        </w:tc>
        <w:tc>
          <w:tcPr>
            <w:tcW w:w="992" w:type="dxa"/>
            <w:tcBorders>
              <w:top w:val="nil"/>
              <w:left w:val="nil"/>
              <w:bottom w:val="nil"/>
              <w:right w:val="nil"/>
              <w:tl2br w:val="nil"/>
              <w:tr2bl w:val="nil"/>
            </w:tcBorders>
            <w:noWrap/>
            <w:tcMar>
              <w:left w:w="101" w:type="dxa"/>
              <w:right w:w="101" w:type="dxa"/>
            </w:tcMar>
          </w:tcPr>
          <w:p w14:paraId="367DCCA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1,666</w:t>
            </w:r>
          </w:p>
        </w:tc>
        <w:tc>
          <w:tcPr>
            <w:tcW w:w="992" w:type="dxa"/>
            <w:tcBorders>
              <w:top w:val="nil"/>
              <w:left w:val="nil"/>
              <w:bottom w:val="nil"/>
              <w:right w:val="nil"/>
              <w:tl2br w:val="nil"/>
              <w:tr2bl w:val="nil"/>
            </w:tcBorders>
            <w:noWrap/>
            <w:tcMar>
              <w:left w:w="101" w:type="dxa"/>
              <w:right w:w="101" w:type="dxa"/>
            </w:tcMar>
          </w:tcPr>
          <w:p w14:paraId="1320480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877307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F8A565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91F01A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6EAC0FC3"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101" w:type="dxa"/>
              <w:right w:w="101" w:type="dxa"/>
            </w:tcMar>
          </w:tcPr>
          <w:p w14:paraId="2468779D"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Climate action – Continuing the Electrification of Government Assets </w:t>
            </w:r>
          </w:p>
        </w:tc>
        <w:tc>
          <w:tcPr>
            <w:tcW w:w="992" w:type="dxa"/>
            <w:tcBorders>
              <w:top w:val="nil"/>
              <w:left w:val="nil"/>
              <w:bottom w:val="nil"/>
              <w:right w:val="nil"/>
              <w:tl2br w:val="nil"/>
              <w:tr2bl w:val="nil"/>
            </w:tcBorders>
            <w:noWrap/>
            <w:tcMar>
              <w:left w:w="101" w:type="dxa"/>
              <w:right w:w="101" w:type="dxa"/>
            </w:tcMar>
          </w:tcPr>
          <w:p w14:paraId="56C186B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1,203</w:t>
            </w:r>
          </w:p>
        </w:tc>
        <w:tc>
          <w:tcPr>
            <w:tcW w:w="992" w:type="dxa"/>
            <w:tcBorders>
              <w:top w:val="nil"/>
              <w:left w:val="nil"/>
              <w:bottom w:val="nil"/>
              <w:right w:val="nil"/>
              <w:tl2br w:val="nil"/>
              <w:tr2bl w:val="nil"/>
            </w:tcBorders>
            <w:noWrap/>
            <w:tcMar>
              <w:left w:w="101" w:type="dxa"/>
              <w:right w:w="101" w:type="dxa"/>
            </w:tcMar>
          </w:tcPr>
          <w:p w14:paraId="595B168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67BAA9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14BEDC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8EE728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0D5D9E4"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tcPr>
          <w:p w14:paraId="59E59590"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Climate action – Moving more government facilities off gas</w:t>
            </w:r>
          </w:p>
        </w:tc>
        <w:tc>
          <w:tcPr>
            <w:tcW w:w="992" w:type="dxa"/>
            <w:tcBorders>
              <w:top w:val="nil"/>
              <w:left w:val="nil"/>
              <w:bottom w:val="nil"/>
              <w:right w:val="nil"/>
              <w:tl2br w:val="nil"/>
              <w:tr2bl w:val="nil"/>
            </w:tcBorders>
            <w:noWrap/>
            <w:tcMar>
              <w:left w:w="101" w:type="dxa"/>
              <w:right w:w="101" w:type="dxa"/>
            </w:tcMar>
          </w:tcPr>
          <w:p w14:paraId="57A79A8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1,271</w:t>
            </w:r>
          </w:p>
        </w:tc>
        <w:tc>
          <w:tcPr>
            <w:tcW w:w="992" w:type="dxa"/>
            <w:tcBorders>
              <w:top w:val="nil"/>
              <w:left w:val="nil"/>
              <w:bottom w:val="nil"/>
              <w:right w:val="nil"/>
              <w:tl2br w:val="nil"/>
              <w:tr2bl w:val="nil"/>
            </w:tcBorders>
            <w:noWrap/>
            <w:tcMar>
              <w:left w:w="101" w:type="dxa"/>
              <w:right w:w="101" w:type="dxa"/>
            </w:tcMar>
          </w:tcPr>
          <w:p w14:paraId="53E0892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7FB9CE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ABE1E2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A98BEA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69317A9D"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tcPr>
          <w:p w14:paraId="6714CA88"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Commencing the Athllon Drive Duplication</w:t>
            </w:r>
          </w:p>
        </w:tc>
        <w:tc>
          <w:tcPr>
            <w:tcW w:w="992" w:type="dxa"/>
            <w:tcBorders>
              <w:top w:val="nil"/>
              <w:left w:val="nil"/>
              <w:bottom w:val="nil"/>
              <w:right w:val="nil"/>
              <w:tl2br w:val="nil"/>
              <w:tr2bl w:val="nil"/>
            </w:tcBorders>
            <w:noWrap/>
            <w:tcMar>
              <w:left w:w="101" w:type="dxa"/>
              <w:right w:w="101" w:type="dxa"/>
            </w:tcMar>
          </w:tcPr>
          <w:p w14:paraId="23AAA0E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30</w:t>
            </w:r>
          </w:p>
        </w:tc>
        <w:tc>
          <w:tcPr>
            <w:tcW w:w="992" w:type="dxa"/>
            <w:tcBorders>
              <w:top w:val="nil"/>
              <w:left w:val="nil"/>
              <w:bottom w:val="nil"/>
              <w:right w:val="nil"/>
              <w:tl2br w:val="nil"/>
              <w:tr2bl w:val="nil"/>
            </w:tcBorders>
            <w:noWrap/>
            <w:tcMar>
              <w:left w:w="101" w:type="dxa"/>
              <w:right w:w="101" w:type="dxa"/>
            </w:tcMar>
          </w:tcPr>
          <w:p w14:paraId="63EC253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55CCAF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3E3DFC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80C414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7E9FA530"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101" w:type="dxa"/>
              <w:right w:w="101" w:type="dxa"/>
            </w:tcMar>
          </w:tcPr>
          <w:p w14:paraId="2A39C4DC"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Concessional loan scheme to remediate cladding on private buildings</w:t>
            </w:r>
          </w:p>
        </w:tc>
        <w:tc>
          <w:tcPr>
            <w:tcW w:w="992" w:type="dxa"/>
            <w:tcBorders>
              <w:top w:val="nil"/>
              <w:left w:val="nil"/>
              <w:bottom w:val="nil"/>
              <w:right w:val="nil"/>
              <w:tl2br w:val="nil"/>
              <w:tr2bl w:val="nil"/>
            </w:tcBorders>
            <w:noWrap/>
            <w:tcMar>
              <w:left w:w="101" w:type="dxa"/>
              <w:right w:w="101" w:type="dxa"/>
            </w:tcMar>
          </w:tcPr>
          <w:p w14:paraId="0541EE0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2,943</w:t>
            </w:r>
          </w:p>
        </w:tc>
        <w:tc>
          <w:tcPr>
            <w:tcW w:w="992" w:type="dxa"/>
            <w:tcBorders>
              <w:top w:val="nil"/>
              <w:left w:val="nil"/>
              <w:bottom w:val="nil"/>
              <w:right w:val="nil"/>
              <w:tl2br w:val="nil"/>
              <w:tr2bl w:val="nil"/>
            </w:tcBorders>
            <w:noWrap/>
            <w:tcMar>
              <w:left w:w="101" w:type="dxa"/>
              <w:right w:w="101" w:type="dxa"/>
            </w:tcMar>
          </w:tcPr>
          <w:p w14:paraId="4D54A48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337EAA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331602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841C7E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11B5303"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tcPr>
          <w:p w14:paraId="4D911753"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Connected and sustainable Canberra – Monaro Highway upgrades</w:t>
            </w:r>
          </w:p>
        </w:tc>
        <w:tc>
          <w:tcPr>
            <w:tcW w:w="992" w:type="dxa"/>
            <w:tcBorders>
              <w:top w:val="nil"/>
              <w:left w:val="nil"/>
              <w:bottom w:val="nil"/>
              <w:right w:val="nil"/>
              <w:tl2br w:val="nil"/>
              <w:tr2bl w:val="nil"/>
            </w:tcBorders>
            <w:noWrap/>
            <w:tcMar>
              <w:left w:w="101" w:type="dxa"/>
              <w:right w:w="101" w:type="dxa"/>
            </w:tcMar>
          </w:tcPr>
          <w:p w14:paraId="5238B2C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4,503</w:t>
            </w:r>
          </w:p>
        </w:tc>
        <w:tc>
          <w:tcPr>
            <w:tcW w:w="992" w:type="dxa"/>
            <w:tcBorders>
              <w:top w:val="nil"/>
              <w:left w:val="nil"/>
              <w:bottom w:val="nil"/>
              <w:right w:val="nil"/>
              <w:tl2br w:val="nil"/>
              <w:tr2bl w:val="nil"/>
            </w:tcBorders>
            <w:noWrap/>
            <w:tcMar>
              <w:left w:w="101" w:type="dxa"/>
              <w:right w:w="101" w:type="dxa"/>
            </w:tcMar>
          </w:tcPr>
          <w:p w14:paraId="642F5E2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83BBA3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66289D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D4FFFF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13A41623"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tcPr>
          <w:p w14:paraId="504C8157"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Delivering Light Rail Stage 2</w:t>
            </w:r>
          </w:p>
        </w:tc>
        <w:tc>
          <w:tcPr>
            <w:tcW w:w="992" w:type="dxa"/>
            <w:tcBorders>
              <w:top w:val="nil"/>
              <w:left w:val="nil"/>
              <w:bottom w:val="nil"/>
              <w:right w:val="nil"/>
              <w:tl2br w:val="nil"/>
              <w:tr2bl w:val="nil"/>
            </w:tcBorders>
            <w:noWrap/>
            <w:tcMar>
              <w:left w:w="101" w:type="dxa"/>
              <w:right w:w="101" w:type="dxa"/>
            </w:tcMar>
          </w:tcPr>
          <w:p w14:paraId="220ACBF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3,657</w:t>
            </w:r>
          </w:p>
        </w:tc>
        <w:tc>
          <w:tcPr>
            <w:tcW w:w="992" w:type="dxa"/>
            <w:tcBorders>
              <w:top w:val="nil"/>
              <w:left w:val="nil"/>
              <w:bottom w:val="nil"/>
              <w:right w:val="nil"/>
              <w:tl2br w:val="nil"/>
              <w:tr2bl w:val="nil"/>
            </w:tcBorders>
            <w:noWrap/>
            <w:tcMar>
              <w:left w:w="101" w:type="dxa"/>
              <w:right w:w="101" w:type="dxa"/>
            </w:tcMar>
          </w:tcPr>
          <w:p w14:paraId="1340532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5C3838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89A4D0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28AD89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193E84A3"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tcPr>
          <w:p w14:paraId="18F20B2B"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Delivering the Home of Football at Throsby</w:t>
            </w:r>
          </w:p>
        </w:tc>
        <w:tc>
          <w:tcPr>
            <w:tcW w:w="992" w:type="dxa"/>
            <w:tcBorders>
              <w:top w:val="nil"/>
              <w:left w:val="nil"/>
              <w:bottom w:val="nil"/>
              <w:right w:val="nil"/>
              <w:tl2br w:val="nil"/>
              <w:tr2bl w:val="nil"/>
            </w:tcBorders>
            <w:noWrap/>
            <w:tcMar>
              <w:left w:w="101" w:type="dxa"/>
              <w:right w:w="101" w:type="dxa"/>
            </w:tcMar>
          </w:tcPr>
          <w:p w14:paraId="18A32AE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1,429</w:t>
            </w:r>
          </w:p>
        </w:tc>
        <w:tc>
          <w:tcPr>
            <w:tcW w:w="992" w:type="dxa"/>
            <w:tcBorders>
              <w:top w:val="nil"/>
              <w:left w:val="nil"/>
              <w:bottom w:val="nil"/>
              <w:right w:val="nil"/>
              <w:tl2br w:val="nil"/>
              <w:tr2bl w:val="nil"/>
            </w:tcBorders>
            <w:noWrap/>
            <w:tcMar>
              <w:left w:w="101" w:type="dxa"/>
              <w:right w:w="101" w:type="dxa"/>
            </w:tcMar>
          </w:tcPr>
          <w:p w14:paraId="46B238F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E40FD8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E4BFA8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3D764B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3D72868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tcPr>
          <w:p w14:paraId="0E732CBF"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Hazardous Material (HAZMAT) Inspection and Remediation</w:t>
            </w:r>
          </w:p>
        </w:tc>
        <w:tc>
          <w:tcPr>
            <w:tcW w:w="992" w:type="dxa"/>
            <w:tcBorders>
              <w:top w:val="nil"/>
              <w:left w:val="nil"/>
              <w:bottom w:val="nil"/>
              <w:right w:val="nil"/>
              <w:tl2br w:val="nil"/>
              <w:tr2bl w:val="nil"/>
            </w:tcBorders>
            <w:noWrap/>
            <w:tcMar>
              <w:left w:w="101" w:type="dxa"/>
              <w:right w:w="101" w:type="dxa"/>
            </w:tcMar>
          </w:tcPr>
          <w:p w14:paraId="7388527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309</w:t>
            </w:r>
          </w:p>
        </w:tc>
        <w:tc>
          <w:tcPr>
            <w:tcW w:w="992" w:type="dxa"/>
            <w:tcBorders>
              <w:top w:val="nil"/>
              <w:left w:val="nil"/>
              <w:bottom w:val="nil"/>
              <w:right w:val="nil"/>
              <w:tl2br w:val="nil"/>
              <w:tr2bl w:val="nil"/>
            </w:tcBorders>
            <w:noWrap/>
            <w:tcMar>
              <w:left w:w="101" w:type="dxa"/>
              <w:right w:w="101" w:type="dxa"/>
            </w:tcMar>
          </w:tcPr>
          <w:p w14:paraId="4FD03FC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32A7C4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FEF376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72CD19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2B443204"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6D9F7A46"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Expanding health centres across the city</w:t>
            </w:r>
          </w:p>
        </w:tc>
        <w:tc>
          <w:tcPr>
            <w:tcW w:w="992" w:type="dxa"/>
            <w:tcBorders>
              <w:top w:val="nil"/>
              <w:left w:val="nil"/>
              <w:bottom w:val="nil"/>
              <w:right w:val="nil"/>
              <w:tl2br w:val="nil"/>
              <w:tr2bl w:val="nil"/>
            </w:tcBorders>
            <w:noWrap/>
            <w:tcMar>
              <w:left w:w="101" w:type="dxa"/>
              <w:right w:w="101" w:type="dxa"/>
            </w:tcMar>
          </w:tcPr>
          <w:p w14:paraId="1A22C71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638</w:t>
            </w:r>
          </w:p>
        </w:tc>
        <w:tc>
          <w:tcPr>
            <w:tcW w:w="992" w:type="dxa"/>
            <w:tcBorders>
              <w:top w:val="nil"/>
              <w:left w:val="nil"/>
              <w:bottom w:val="nil"/>
              <w:right w:val="nil"/>
              <w:tl2br w:val="nil"/>
              <w:tr2bl w:val="nil"/>
            </w:tcBorders>
            <w:noWrap/>
            <w:tcMar>
              <w:left w:w="101" w:type="dxa"/>
              <w:right w:w="101" w:type="dxa"/>
            </w:tcMar>
          </w:tcPr>
          <w:p w14:paraId="433C9A5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6F9E56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BE28C8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D36681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3137BB0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723FA070"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New Health Centres across the ACT</w:t>
            </w:r>
          </w:p>
        </w:tc>
        <w:tc>
          <w:tcPr>
            <w:tcW w:w="992" w:type="dxa"/>
            <w:tcBorders>
              <w:top w:val="nil"/>
              <w:left w:val="nil"/>
              <w:bottom w:val="nil"/>
              <w:right w:val="nil"/>
              <w:tl2br w:val="nil"/>
              <w:tr2bl w:val="nil"/>
            </w:tcBorders>
            <w:noWrap/>
            <w:tcMar>
              <w:left w:w="101" w:type="dxa"/>
              <w:right w:w="101" w:type="dxa"/>
            </w:tcMar>
          </w:tcPr>
          <w:p w14:paraId="0DFAD27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911</w:t>
            </w:r>
          </w:p>
        </w:tc>
        <w:tc>
          <w:tcPr>
            <w:tcW w:w="992" w:type="dxa"/>
            <w:tcBorders>
              <w:top w:val="nil"/>
              <w:left w:val="nil"/>
              <w:bottom w:val="nil"/>
              <w:right w:val="nil"/>
              <w:tl2br w:val="nil"/>
              <w:tr2bl w:val="nil"/>
            </w:tcBorders>
            <w:noWrap/>
            <w:tcMar>
              <w:left w:w="101" w:type="dxa"/>
              <w:right w:w="101" w:type="dxa"/>
            </w:tcMar>
          </w:tcPr>
          <w:p w14:paraId="6A69CB2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7A40E9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BD03B6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E84A19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045E494D"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420DE217"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Redeveloping and expanding services at the Watson Health Precinct</w:t>
            </w:r>
          </w:p>
        </w:tc>
        <w:tc>
          <w:tcPr>
            <w:tcW w:w="992" w:type="dxa"/>
            <w:tcBorders>
              <w:top w:val="nil"/>
              <w:left w:val="nil"/>
              <w:bottom w:val="nil"/>
              <w:right w:val="nil"/>
              <w:tl2br w:val="nil"/>
              <w:tr2bl w:val="nil"/>
            </w:tcBorders>
            <w:noWrap/>
            <w:tcMar>
              <w:left w:w="101" w:type="dxa"/>
              <w:right w:w="101" w:type="dxa"/>
            </w:tcMar>
          </w:tcPr>
          <w:p w14:paraId="29A7663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2,634</w:t>
            </w:r>
          </w:p>
        </w:tc>
        <w:tc>
          <w:tcPr>
            <w:tcW w:w="992" w:type="dxa"/>
            <w:tcBorders>
              <w:top w:val="nil"/>
              <w:left w:val="nil"/>
              <w:bottom w:val="nil"/>
              <w:right w:val="nil"/>
              <w:tl2br w:val="nil"/>
              <w:tr2bl w:val="nil"/>
            </w:tcBorders>
            <w:noWrap/>
            <w:tcMar>
              <w:left w:w="101" w:type="dxa"/>
              <w:right w:w="101" w:type="dxa"/>
            </w:tcMar>
          </w:tcPr>
          <w:p w14:paraId="16085DD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A04B42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17F4A9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B5CDB8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5D315C8E"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302EAEA2"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Improving Canberra's health infrastructure – Canberra Hospital Expansion </w:t>
            </w:r>
          </w:p>
        </w:tc>
        <w:tc>
          <w:tcPr>
            <w:tcW w:w="992" w:type="dxa"/>
            <w:tcBorders>
              <w:top w:val="nil"/>
              <w:left w:val="nil"/>
              <w:bottom w:val="nil"/>
              <w:right w:val="nil"/>
              <w:tl2br w:val="nil"/>
              <w:tr2bl w:val="nil"/>
            </w:tcBorders>
            <w:noWrap/>
            <w:tcMar>
              <w:left w:w="101" w:type="dxa"/>
              <w:right w:w="101" w:type="dxa"/>
            </w:tcMar>
          </w:tcPr>
          <w:p w14:paraId="09EE39A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4,046</w:t>
            </w:r>
          </w:p>
        </w:tc>
        <w:tc>
          <w:tcPr>
            <w:tcW w:w="992" w:type="dxa"/>
            <w:tcBorders>
              <w:top w:val="nil"/>
              <w:left w:val="nil"/>
              <w:bottom w:val="nil"/>
              <w:right w:val="nil"/>
              <w:tl2br w:val="nil"/>
              <w:tr2bl w:val="nil"/>
            </w:tcBorders>
            <w:noWrap/>
            <w:tcMar>
              <w:left w:w="101" w:type="dxa"/>
              <w:right w:w="101" w:type="dxa"/>
            </w:tcMar>
          </w:tcPr>
          <w:p w14:paraId="1326B81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F71023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D6ECE7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EF44CC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1C1549DA"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49B8A8A0"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Improving Canberra's health infrastructure – Detailed design for the New Northside Hospital </w:t>
            </w:r>
          </w:p>
        </w:tc>
        <w:tc>
          <w:tcPr>
            <w:tcW w:w="992" w:type="dxa"/>
            <w:tcBorders>
              <w:top w:val="nil"/>
              <w:left w:val="nil"/>
              <w:bottom w:val="nil"/>
              <w:right w:val="nil"/>
              <w:tl2br w:val="nil"/>
              <w:tr2bl w:val="nil"/>
            </w:tcBorders>
            <w:noWrap/>
            <w:tcMar>
              <w:left w:w="101" w:type="dxa"/>
              <w:right w:w="101" w:type="dxa"/>
            </w:tcMar>
          </w:tcPr>
          <w:p w14:paraId="4C29D15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925</w:t>
            </w:r>
          </w:p>
        </w:tc>
        <w:tc>
          <w:tcPr>
            <w:tcW w:w="992" w:type="dxa"/>
            <w:tcBorders>
              <w:top w:val="nil"/>
              <w:left w:val="nil"/>
              <w:bottom w:val="nil"/>
              <w:right w:val="nil"/>
              <w:tl2br w:val="nil"/>
              <w:tr2bl w:val="nil"/>
            </w:tcBorders>
            <w:noWrap/>
            <w:tcMar>
              <w:left w:w="101" w:type="dxa"/>
              <w:right w:w="101" w:type="dxa"/>
            </w:tcMar>
          </w:tcPr>
          <w:p w14:paraId="7B5036C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F51E05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31802B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B2CADD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A84003B"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77BEEDA2"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More parking at the Canberra Hospital</w:t>
            </w:r>
          </w:p>
        </w:tc>
        <w:tc>
          <w:tcPr>
            <w:tcW w:w="992" w:type="dxa"/>
            <w:tcBorders>
              <w:top w:val="nil"/>
              <w:left w:val="nil"/>
              <w:bottom w:val="nil"/>
              <w:right w:val="nil"/>
              <w:tl2br w:val="nil"/>
              <w:tr2bl w:val="nil"/>
            </w:tcBorders>
            <w:noWrap/>
            <w:tcMar>
              <w:left w:w="101" w:type="dxa"/>
              <w:right w:w="101" w:type="dxa"/>
            </w:tcMar>
          </w:tcPr>
          <w:p w14:paraId="72AF5DF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-45</w:t>
            </w:r>
          </w:p>
        </w:tc>
        <w:tc>
          <w:tcPr>
            <w:tcW w:w="992" w:type="dxa"/>
            <w:tcBorders>
              <w:top w:val="nil"/>
              <w:left w:val="nil"/>
              <w:bottom w:val="nil"/>
              <w:right w:val="nil"/>
              <w:tl2br w:val="nil"/>
              <w:tr2bl w:val="nil"/>
            </w:tcBorders>
            <w:noWrap/>
            <w:tcMar>
              <w:left w:w="101" w:type="dxa"/>
              <w:right w:w="101" w:type="dxa"/>
            </w:tcMar>
          </w:tcPr>
          <w:p w14:paraId="4CB44E7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C3298E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C1F8FF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1E287E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097E154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4509BF6F"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Materials Recovery Facility Expansion</w:t>
            </w:r>
          </w:p>
        </w:tc>
        <w:tc>
          <w:tcPr>
            <w:tcW w:w="992" w:type="dxa"/>
            <w:tcBorders>
              <w:top w:val="nil"/>
              <w:left w:val="nil"/>
              <w:bottom w:val="nil"/>
              <w:right w:val="nil"/>
              <w:tl2br w:val="nil"/>
              <w:tr2bl w:val="nil"/>
            </w:tcBorders>
            <w:noWrap/>
            <w:tcMar>
              <w:left w:w="101" w:type="dxa"/>
              <w:right w:w="101" w:type="dxa"/>
            </w:tcMar>
          </w:tcPr>
          <w:p w14:paraId="2201E3A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-1,086</w:t>
            </w:r>
          </w:p>
        </w:tc>
        <w:tc>
          <w:tcPr>
            <w:tcW w:w="992" w:type="dxa"/>
            <w:tcBorders>
              <w:top w:val="nil"/>
              <w:left w:val="nil"/>
              <w:bottom w:val="nil"/>
              <w:right w:val="nil"/>
              <w:tl2br w:val="nil"/>
              <w:tr2bl w:val="nil"/>
            </w:tcBorders>
            <w:noWrap/>
            <w:tcMar>
              <w:left w:w="101" w:type="dxa"/>
              <w:right w:w="101" w:type="dxa"/>
            </w:tcMar>
          </w:tcPr>
          <w:p w14:paraId="3D87982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5E5984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410339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C97E02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2D61DFF2"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4502FC9D"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Molonglo Enabling Works</w:t>
            </w:r>
          </w:p>
        </w:tc>
        <w:tc>
          <w:tcPr>
            <w:tcW w:w="992" w:type="dxa"/>
            <w:tcBorders>
              <w:top w:val="nil"/>
              <w:left w:val="nil"/>
              <w:bottom w:val="nil"/>
              <w:right w:val="nil"/>
              <w:tl2br w:val="nil"/>
              <w:tr2bl w:val="nil"/>
            </w:tcBorders>
            <w:noWrap/>
            <w:tcMar>
              <w:left w:w="101" w:type="dxa"/>
              <w:right w:w="101" w:type="dxa"/>
            </w:tcMar>
          </w:tcPr>
          <w:p w14:paraId="1EA1F93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-16,292</w:t>
            </w:r>
          </w:p>
        </w:tc>
        <w:tc>
          <w:tcPr>
            <w:tcW w:w="992" w:type="dxa"/>
            <w:tcBorders>
              <w:top w:val="nil"/>
              <w:left w:val="nil"/>
              <w:bottom w:val="nil"/>
              <w:right w:val="nil"/>
              <w:tl2br w:val="nil"/>
              <w:tr2bl w:val="nil"/>
            </w:tcBorders>
            <w:noWrap/>
            <w:tcMar>
              <w:left w:w="101" w:type="dxa"/>
              <w:right w:w="101" w:type="dxa"/>
            </w:tcMar>
          </w:tcPr>
          <w:p w14:paraId="46E369B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D5B28B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D358D6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A7FA17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51A778E6"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1ED9039C"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More services for our suburbs – Upgrading the Old Kingston Bus Depot</w:t>
            </w:r>
          </w:p>
        </w:tc>
        <w:tc>
          <w:tcPr>
            <w:tcW w:w="992" w:type="dxa"/>
            <w:tcBorders>
              <w:top w:val="nil"/>
              <w:left w:val="nil"/>
              <w:bottom w:val="nil"/>
              <w:right w:val="nil"/>
              <w:tl2br w:val="nil"/>
              <w:tr2bl w:val="nil"/>
            </w:tcBorders>
            <w:noWrap/>
            <w:tcMar>
              <w:left w:w="101" w:type="dxa"/>
              <w:right w:w="101" w:type="dxa"/>
            </w:tcMar>
          </w:tcPr>
          <w:p w14:paraId="066C301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260</w:t>
            </w:r>
          </w:p>
        </w:tc>
        <w:tc>
          <w:tcPr>
            <w:tcW w:w="992" w:type="dxa"/>
            <w:tcBorders>
              <w:top w:val="nil"/>
              <w:left w:val="nil"/>
              <w:bottom w:val="nil"/>
              <w:right w:val="nil"/>
              <w:tl2br w:val="nil"/>
              <w:tr2bl w:val="nil"/>
            </w:tcBorders>
            <w:noWrap/>
            <w:tcMar>
              <w:left w:w="101" w:type="dxa"/>
              <w:right w:w="101" w:type="dxa"/>
            </w:tcMar>
          </w:tcPr>
          <w:p w14:paraId="7F7DD9F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A1EC87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9FE70C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13A38F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5415C402"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20D5F95B"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Delivering a second college for Gungahlin</w:t>
            </w:r>
          </w:p>
        </w:tc>
        <w:tc>
          <w:tcPr>
            <w:tcW w:w="992" w:type="dxa"/>
            <w:tcBorders>
              <w:top w:val="nil"/>
              <w:left w:val="nil"/>
              <w:bottom w:val="nil"/>
              <w:right w:val="nil"/>
              <w:tl2br w:val="nil"/>
              <w:tr2bl w:val="nil"/>
            </w:tcBorders>
            <w:noWrap/>
            <w:tcMar>
              <w:left w:w="101" w:type="dxa"/>
              <w:right w:w="101" w:type="dxa"/>
            </w:tcMar>
          </w:tcPr>
          <w:p w14:paraId="4BCBDDD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94</w:t>
            </w:r>
          </w:p>
        </w:tc>
        <w:tc>
          <w:tcPr>
            <w:tcW w:w="992" w:type="dxa"/>
            <w:tcBorders>
              <w:top w:val="nil"/>
              <w:left w:val="nil"/>
              <w:bottom w:val="nil"/>
              <w:right w:val="nil"/>
              <w:tl2br w:val="nil"/>
              <w:tr2bl w:val="nil"/>
            </w:tcBorders>
            <w:noWrap/>
            <w:tcMar>
              <w:left w:w="101" w:type="dxa"/>
              <w:right w:w="101" w:type="dxa"/>
            </w:tcMar>
          </w:tcPr>
          <w:p w14:paraId="670978E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16F6DC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AD2AEC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F86DE9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3C19382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620D5E4F"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Development of the Whitlam Primary School and Early Childhood Education Centre</w:t>
            </w:r>
          </w:p>
        </w:tc>
        <w:tc>
          <w:tcPr>
            <w:tcW w:w="992" w:type="dxa"/>
            <w:tcBorders>
              <w:top w:val="nil"/>
              <w:left w:val="nil"/>
              <w:bottom w:val="nil"/>
              <w:right w:val="nil"/>
              <w:tl2br w:val="nil"/>
              <w:tr2bl w:val="nil"/>
            </w:tcBorders>
            <w:noWrap/>
            <w:tcMar>
              <w:left w:w="101" w:type="dxa"/>
              <w:right w:w="101" w:type="dxa"/>
            </w:tcMar>
          </w:tcPr>
          <w:p w14:paraId="35E7F7E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4,159</w:t>
            </w:r>
          </w:p>
        </w:tc>
        <w:tc>
          <w:tcPr>
            <w:tcW w:w="992" w:type="dxa"/>
            <w:tcBorders>
              <w:top w:val="nil"/>
              <w:left w:val="nil"/>
              <w:bottom w:val="nil"/>
              <w:right w:val="nil"/>
              <w:tl2br w:val="nil"/>
              <w:tr2bl w:val="nil"/>
            </w:tcBorders>
            <w:noWrap/>
            <w:tcMar>
              <w:left w:w="101" w:type="dxa"/>
              <w:right w:w="101" w:type="dxa"/>
            </w:tcMar>
          </w:tcPr>
          <w:p w14:paraId="1F1D644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59BF29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AB5A68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5C25A9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2A18C12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2E8B2088"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lastRenderedPageBreak/>
              <w:t>New and expanded schools – Garran Primary School</w:t>
            </w:r>
          </w:p>
        </w:tc>
        <w:tc>
          <w:tcPr>
            <w:tcW w:w="992" w:type="dxa"/>
            <w:tcBorders>
              <w:top w:val="nil"/>
              <w:left w:val="nil"/>
              <w:bottom w:val="nil"/>
              <w:right w:val="nil"/>
              <w:tl2br w:val="nil"/>
              <w:tr2bl w:val="nil"/>
            </w:tcBorders>
            <w:noWrap/>
            <w:tcMar>
              <w:left w:w="101" w:type="dxa"/>
              <w:right w:w="101" w:type="dxa"/>
            </w:tcMar>
          </w:tcPr>
          <w:p w14:paraId="2A6BD36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-9,770</w:t>
            </w:r>
          </w:p>
        </w:tc>
        <w:tc>
          <w:tcPr>
            <w:tcW w:w="992" w:type="dxa"/>
            <w:tcBorders>
              <w:top w:val="nil"/>
              <w:left w:val="nil"/>
              <w:bottom w:val="nil"/>
              <w:right w:val="nil"/>
              <w:tl2br w:val="nil"/>
              <w:tr2bl w:val="nil"/>
            </w:tcBorders>
            <w:noWrap/>
            <w:tcMar>
              <w:left w:w="101" w:type="dxa"/>
              <w:right w:w="101" w:type="dxa"/>
            </w:tcMar>
          </w:tcPr>
          <w:p w14:paraId="0598FF2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980C5D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C31D68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F00506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0B890DD0"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12B6D12F"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Majura Primary School modernisation</w:t>
            </w:r>
          </w:p>
        </w:tc>
        <w:tc>
          <w:tcPr>
            <w:tcW w:w="992" w:type="dxa"/>
            <w:tcBorders>
              <w:top w:val="nil"/>
              <w:left w:val="nil"/>
              <w:bottom w:val="nil"/>
              <w:right w:val="nil"/>
              <w:tl2br w:val="nil"/>
              <w:tr2bl w:val="nil"/>
            </w:tcBorders>
            <w:noWrap/>
            <w:tcMar>
              <w:left w:w="101" w:type="dxa"/>
              <w:right w:w="101" w:type="dxa"/>
            </w:tcMar>
          </w:tcPr>
          <w:p w14:paraId="0A83ADA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333</w:t>
            </w:r>
          </w:p>
        </w:tc>
        <w:tc>
          <w:tcPr>
            <w:tcW w:w="992" w:type="dxa"/>
            <w:tcBorders>
              <w:top w:val="nil"/>
              <w:left w:val="nil"/>
              <w:bottom w:val="nil"/>
              <w:right w:val="nil"/>
              <w:tl2br w:val="nil"/>
              <w:tr2bl w:val="nil"/>
            </w:tcBorders>
            <w:noWrap/>
            <w:tcMar>
              <w:left w:w="101" w:type="dxa"/>
              <w:right w:w="101" w:type="dxa"/>
            </w:tcMar>
          </w:tcPr>
          <w:p w14:paraId="78A98E4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BC3EC8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655831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993860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0A0A6D8E"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23E3AD8B"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Narrabundah College</w:t>
            </w:r>
          </w:p>
        </w:tc>
        <w:tc>
          <w:tcPr>
            <w:tcW w:w="992" w:type="dxa"/>
            <w:tcBorders>
              <w:top w:val="nil"/>
              <w:left w:val="nil"/>
              <w:bottom w:val="nil"/>
              <w:right w:val="nil"/>
              <w:tl2br w:val="nil"/>
              <w:tr2bl w:val="nil"/>
            </w:tcBorders>
            <w:noWrap/>
            <w:tcMar>
              <w:left w:w="101" w:type="dxa"/>
              <w:right w:w="101" w:type="dxa"/>
            </w:tcMar>
          </w:tcPr>
          <w:p w14:paraId="7085842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4,625</w:t>
            </w:r>
          </w:p>
        </w:tc>
        <w:tc>
          <w:tcPr>
            <w:tcW w:w="992" w:type="dxa"/>
            <w:tcBorders>
              <w:top w:val="nil"/>
              <w:left w:val="nil"/>
              <w:bottom w:val="nil"/>
              <w:right w:val="nil"/>
              <w:tl2br w:val="nil"/>
              <w:tr2bl w:val="nil"/>
            </w:tcBorders>
            <w:noWrap/>
            <w:tcMar>
              <w:left w:w="101" w:type="dxa"/>
              <w:right w:w="101" w:type="dxa"/>
            </w:tcMar>
          </w:tcPr>
          <w:p w14:paraId="4D2D055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332EDF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3E0E7C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628106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5975682E"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4D199928"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Strathnairn Primary School</w:t>
            </w:r>
          </w:p>
        </w:tc>
        <w:tc>
          <w:tcPr>
            <w:tcW w:w="992" w:type="dxa"/>
            <w:tcBorders>
              <w:top w:val="nil"/>
              <w:left w:val="nil"/>
              <w:bottom w:val="nil"/>
              <w:right w:val="nil"/>
              <w:tl2br w:val="nil"/>
              <w:tr2bl w:val="nil"/>
            </w:tcBorders>
            <w:noWrap/>
            <w:tcMar>
              <w:left w:w="101" w:type="dxa"/>
              <w:right w:w="101" w:type="dxa"/>
            </w:tcMar>
          </w:tcPr>
          <w:p w14:paraId="6A1572B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7,411</w:t>
            </w:r>
          </w:p>
        </w:tc>
        <w:tc>
          <w:tcPr>
            <w:tcW w:w="992" w:type="dxa"/>
            <w:tcBorders>
              <w:top w:val="nil"/>
              <w:left w:val="nil"/>
              <w:bottom w:val="nil"/>
              <w:right w:val="nil"/>
              <w:tl2br w:val="nil"/>
              <w:tr2bl w:val="nil"/>
            </w:tcBorders>
            <w:noWrap/>
            <w:tcMar>
              <w:left w:w="101" w:type="dxa"/>
              <w:right w:w="101" w:type="dxa"/>
            </w:tcMar>
          </w:tcPr>
          <w:p w14:paraId="53DDBE0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CCEEDB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981D4D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4CF8D8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673FE769"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082A9B89"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Supplementing construction funding for Garran and Strathnairn primary schools</w:t>
            </w:r>
          </w:p>
        </w:tc>
        <w:tc>
          <w:tcPr>
            <w:tcW w:w="992" w:type="dxa"/>
            <w:tcBorders>
              <w:top w:val="nil"/>
              <w:left w:val="nil"/>
              <w:bottom w:val="nil"/>
              <w:right w:val="nil"/>
              <w:tl2br w:val="nil"/>
              <w:tr2bl w:val="nil"/>
            </w:tcBorders>
            <w:noWrap/>
            <w:tcMar>
              <w:left w:w="101" w:type="dxa"/>
              <w:right w:w="101" w:type="dxa"/>
            </w:tcMar>
          </w:tcPr>
          <w:p w14:paraId="659D7CA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187</w:t>
            </w:r>
          </w:p>
        </w:tc>
        <w:tc>
          <w:tcPr>
            <w:tcW w:w="992" w:type="dxa"/>
            <w:tcBorders>
              <w:top w:val="nil"/>
              <w:left w:val="nil"/>
              <w:bottom w:val="nil"/>
              <w:right w:val="nil"/>
              <w:tl2br w:val="nil"/>
              <w:tr2bl w:val="nil"/>
            </w:tcBorders>
            <w:noWrap/>
            <w:tcMar>
              <w:left w:w="101" w:type="dxa"/>
              <w:right w:w="101" w:type="dxa"/>
            </w:tcMar>
          </w:tcPr>
          <w:p w14:paraId="65C51BF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5CEBD2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73A722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8393F5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7E59D8EB"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199D9C2F"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Telopea Park High School modernisation</w:t>
            </w:r>
          </w:p>
        </w:tc>
        <w:tc>
          <w:tcPr>
            <w:tcW w:w="992" w:type="dxa"/>
            <w:tcBorders>
              <w:top w:val="nil"/>
              <w:left w:val="nil"/>
              <w:bottom w:val="nil"/>
              <w:right w:val="nil"/>
              <w:tl2br w:val="nil"/>
              <w:tr2bl w:val="nil"/>
            </w:tcBorders>
            <w:noWrap/>
            <w:tcMar>
              <w:left w:w="101" w:type="dxa"/>
              <w:right w:w="101" w:type="dxa"/>
            </w:tcMar>
          </w:tcPr>
          <w:p w14:paraId="4E7D864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2,200</w:t>
            </w:r>
          </w:p>
        </w:tc>
        <w:tc>
          <w:tcPr>
            <w:tcW w:w="992" w:type="dxa"/>
            <w:tcBorders>
              <w:top w:val="nil"/>
              <w:left w:val="nil"/>
              <w:bottom w:val="nil"/>
              <w:right w:val="nil"/>
              <w:tl2br w:val="nil"/>
              <w:tr2bl w:val="nil"/>
            </w:tcBorders>
            <w:noWrap/>
            <w:tcMar>
              <w:left w:w="101" w:type="dxa"/>
              <w:right w:w="101" w:type="dxa"/>
            </w:tcMar>
          </w:tcPr>
          <w:p w14:paraId="4095050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FEF5A2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C61636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F2E4D5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5C225E2B"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tcPr>
          <w:p w14:paraId="57E3B92A"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Office Accommodation</w:t>
            </w:r>
          </w:p>
        </w:tc>
        <w:tc>
          <w:tcPr>
            <w:tcW w:w="992" w:type="dxa"/>
            <w:tcBorders>
              <w:top w:val="nil"/>
              <w:left w:val="nil"/>
              <w:bottom w:val="nil"/>
              <w:right w:val="nil"/>
              <w:tl2br w:val="nil"/>
              <w:tr2bl w:val="nil"/>
            </w:tcBorders>
            <w:noWrap/>
            <w:tcMar>
              <w:left w:w="101" w:type="dxa"/>
              <w:right w:w="101" w:type="dxa"/>
            </w:tcMar>
          </w:tcPr>
          <w:p w14:paraId="56435B9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w:t>
            </w:r>
          </w:p>
        </w:tc>
        <w:tc>
          <w:tcPr>
            <w:tcW w:w="992" w:type="dxa"/>
            <w:tcBorders>
              <w:top w:val="nil"/>
              <w:left w:val="nil"/>
              <w:bottom w:val="nil"/>
              <w:right w:val="nil"/>
              <w:tl2br w:val="nil"/>
              <w:tr2bl w:val="nil"/>
            </w:tcBorders>
            <w:noWrap/>
            <w:tcMar>
              <w:left w:w="101" w:type="dxa"/>
              <w:right w:w="101" w:type="dxa"/>
            </w:tcMar>
          </w:tcPr>
          <w:p w14:paraId="711DC02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D62055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472CA3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2C49F5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38344A3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101" w:type="dxa"/>
              <w:right w:w="101" w:type="dxa"/>
            </w:tcMar>
          </w:tcPr>
          <w:p w14:paraId="2D8377FB"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Well-prepared emergency services – Molonglo Station and Casey Station</w:t>
            </w:r>
          </w:p>
        </w:tc>
        <w:tc>
          <w:tcPr>
            <w:tcW w:w="992" w:type="dxa"/>
            <w:tcBorders>
              <w:top w:val="nil"/>
              <w:left w:val="nil"/>
              <w:bottom w:val="nil"/>
              <w:right w:val="nil"/>
              <w:tl2br w:val="nil"/>
              <w:tr2bl w:val="nil"/>
            </w:tcBorders>
            <w:noWrap/>
            <w:tcMar>
              <w:left w:w="101" w:type="dxa"/>
              <w:right w:w="101" w:type="dxa"/>
            </w:tcMar>
          </w:tcPr>
          <w:p w14:paraId="279EA24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-3,793</w:t>
            </w:r>
          </w:p>
        </w:tc>
        <w:tc>
          <w:tcPr>
            <w:tcW w:w="992" w:type="dxa"/>
            <w:tcBorders>
              <w:top w:val="nil"/>
              <w:left w:val="nil"/>
              <w:bottom w:val="nil"/>
              <w:right w:val="nil"/>
              <w:tl2br w:val="nil"/>
              <w:tr2bl w:val="nil"/>
            </w:tcBorders>
            <w:noWrap/>
            <w:tcMar>
              <w:left w:w="101" w:type="dxa"/>
              <w:right w:w="101" w:type="dxa"/>
            </w:tcMar>
          </w:tcPr>
          <w:p w14:paraId="0BC4BD0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593E48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5B39B2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653641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CD7BA3B"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3963" w:type="dxa"/>
            <w:tcBorders>
              <w:top w:val="nil"/>
              <w:left w:val="nil"/>
              <w:bottom w:val="nil"/>
              <w:right w:val="nil"/>
              <w:tl2br w:val="nil"/>
              <w:tr2bl w:val="nil"/>
            </w:tcBorders>
            <w:tcMar>
              <w:left w:w="101" w:type="dxa"/>
              <w:right w:w="101" w:type="dxa"/>
            </w:tcMar>
            <w:vAlign w:val="bottom"/>
          </w:tcPr>
          <w:p w14:paraId="490FAA65" w14:textId="77777777" w:rsidR="00143C9C" w:rsidRDefault="009B5C32" w:rsidP="00944322">
            <w:pPr>
              <w:keepNext/>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2026-27 Budget Policy Decisions</w:t>
            </w:r>
          </w:p>
        </w:tc>
        <w:tc>
          <w:tcPr>
            <w:tcW w:w="992" w:type="dxa"/>
            <w:tcBorders>
              <w:top w:val="nil"/>
              <w:left w:val="nil"/>
              <w:bottom w:val="nil"/>
              <w:right w:val="nil"/>
              <w:tl2br w:val="nil"/>
              <w:tr2bl w:val="nil"/>
            </w:tcBorders>
            <w:noWrap/>
            <w:tcMar>
              <w:left w:w="0" w:type="dxa"/>
              <w:right w:w="0" w:type="dxa"/>
            </w:tcMar>
            <w:vAlign w:val="bottom"/>
          </w:tcPr>
          <w:p w14:paraId="7908C80B"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60EF48A7"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56C315D8"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1529DDE2" w14:textId="77777777" w:rsidR="00143C9C" w:rsidRDefault="00143C9C">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0231D57C" w14:textId="77777777" w:rsidR="00143C9C" w:rsidRDefault="00143C9C">
            <w:pPr>
              <w:rPr>
                <w:rFonts w:eastAsia="Calibri" w:cs="Calibri"/>
                <w:color w:val="FFFFFF"/>
              </w:rPr>
            </w:pPr>
          </w:p>
        </w:tc>
      </w:tr>
      <w:tr w:rsidR="00D96C07" w14:paraId="233B4D88"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vAlign w:val="bottom"/>
          </w:tcPr>
          <w:p w14:paraId="0B104E85" w14:textId="77CCD964" w:rsidR="00D96C07" w:rsidRPr="00D96C07" w:rsidRDefault="00D96C07" w:rsidP="00D96C07">
            <w:pPr>
              <w:pBdr>
                <w:top w:val="nil"/>
                <w:left w:val="nil"/>
                <w:bottom w:val="nil"/>
                <w:right w:val="nil"/>
                <w:between w:val="nil"/>
                <w:bar w:val="nil"/>
              </w:pBdr>
              <w:ind w:left="170" w:hanging="170"/>
              <w:rPr>
                <w:rFonts w:ascii="Calibri" w:eastAsia="Calibri" w:hAnsi="Calibri" w:cs="Calibri"/>
                <w:color w:val="000000"/>
                <w:sz w:val="18"/>
                <w:lang w:eastAsia="en-US"/>
              </w:rPr>
            </w:pPr>
            <w:r w:rsidRPr="00D96C07">
              <w:rPr>
                <w:rFonts w:ascii="Calibri" w:eastAsia="Calibri" w:hAnsi="Calibri" w:cs="Calibri"/>
                <w:color w:val="000000"/>
                <w:sz w:val="18"/>
                <w:lang w:eastAsia="en-US"/>
              </w:rPr>
              <w:t>30,000 homes by 2030 – Public housing pipeline</w:t>
            </w:r>
          </w:p>
        </w:tc>
        <w:tc>
          <w:tcPr>
            <w:tcW w:w="992" w:type="dxa"/>
            <w:tcBorders>
              <w:top w:val="nil"/>
              <w:left w:val="nil"/>
              <w:bottom w:val="nil"/>
              <w:right w:val="nil"/>
              <w:tl2br w:val="nil"/>
              <w:tr2bl w:val="nil"/>
            </w:tcBorders>
            <w:noWrap/>
            <w:tcMar>
              <w:left w:w="101" w:type="dxa"/>
              <w:right w:w="101" w:type="dxa"/>
            </w:tcMar>
            <w:vAlign w:val="bottom"/>
          </w:tcPr>
          <w:p w14:paraId="0BA0E9B6" w14:textId="4F51B9A2"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373290BB" w14:textId="1D686162"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1,995</w:t>
            </w:r>
          </w:p>
        </w:tc>
        <w:tc>
          <w:tcPr>
            <w:tcW w:w="992" w:type="dxa"/>
            <w:tcBorders>
              <w:top w:val="nil"/>
              <w:left w:val="nil"/>
              <w:bottom w:val="nil"/>
              <w:right w:val="nil"/>
              <w:tl2br w:val="nil"/>
              <w:tr2bl w:val="nil"/>
            </w:tcBorders>
            <w:noWrap/>
            <w:tcMar>
              <w:left w:w="101" w:type="dxa"/>
              <w:right w:w="101" w:type="dxa"/>
            </w:tcMar>
            <w:vAlign w:val="bottom"/>
          </w:tcPr>
          <w:p w14:paraId="29E736D1" w14:textId="0A1AD2E2"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2,023</w:t>
            </w:r>
          </w:p>
        </w:tc>
        <w:tc>
          <w:tcPr>
            <w:tcW w:w="992" w:type="dxa"/>
            <w:tcBorders>
              <w:top w:val="nil"/>
              <w:left w:val="nil"/>
              <w:bottom w:val="nil"/>
              <w:right w:val="nil"/>
              <w:tl2br w:val="nil"/>
              <w:tr2bl w:val="nil"/>
            </w:tcBorders>
            <w:noWrap/>
            <w:tcMar>
              <w:left w:w="101" w:type="dxa"/>
              <w:right w:w="101" w:type="dxa"/>
            </w:tcMar>
            <w:vAlign w:val="bottom"/>
          </w:tcPr>
          <w:p w14:paraId="262EC472" w14:textId="4C5F48F3"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2,052</w:t>
            </w:r>
          </w:p>
        </w:tc>
        <w:tc>
          <w:tcPr>
            <w:tcW w:w="992" w:type="dxa"/>
            <w:tcBorders>
              <w:top w:val="nil"/>
              <w:left w:val="nil"/>
              <w:bottom w:val="nil"/>
              <w:right w:val="nil"/>
              <w:tl2br w:val="nil"/>
              <w:tr2bl w:val="nil"/>
            </w:tcBorders>
            <w:noWrap/>
            <w:tcMar>
              <w:left w:w="101" w:type="dxa"/>
              <w:right w:w="101" w:type="dxa"/>
            </w:tcMar>
            <w:vAlign w:val="bottom"/>
          </w:tcPr>
          <w:p w14:paraId="6B331F0E" w14:textId="5314EBEC"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r>
      <w:tr w:rsidR="00D96C07" w14:paraId="4163041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vAlign w:val="bottom"/>
          </w:tcPr>
          <w:p w14:paraId="351A0E2F" w14:textId="1EB57424" w:rsidR="00D96C07" w:rsidRPr="00D96C07" w:rsidRDefault="00D96C07" w:rsidP="00D96C07">
            <w:pPr>
              <w:pBdr>
                <w:top w:val="nil"/>
                <w:left w:val="nil"/>
                <w:bottom w:val="nil"/>
                <w:right w:val="nil"/>
                <w:between w:val="nil"/>
                <w:bar w:val="nil"/>
              </w:pBdr>
              <w:ind w:left="170" w:hanging="170"/>
              <w:rPr>
                <w:rFonts w:ascii="Calibri" w:eastAsia="Calibri" w:hAnsi="Calibri" w:cs="Calibri"/>
                <w:color w:val="000000"/>
                <w:sz w:val="18"/>
                <w:lang w:eastAsia="en-US"/>
              </w:rPr>
            </w:pPr>
            <w:r w:rsidRPr="00D96C07">
              <w:rPr>
                <w:rFonts w:ascii="Calibri" w:eastAsia="Calibri" w:hAnsi="Calibri" w:cs="Calibri"/>
                <w:color w:val="000000"/>
                <w:sz w:val="18"/>
                <w:lang w:eastAsia="en-US"/>
              </w:rPr>
              <w:t xml:space="preserve">Delivering a </w:t>
            </w:r>
            <w:r w:rsidR="003F6279">
              <w:rPr>
                <w:rFonts w:ascii="Calibri" w:eastAsia="Calibri" w:hAnsi="Calibri" w:cs="Calibri"/>
                <w:color w:val="000000"/>
                <w:sz w:val="18"/>
                <w:lang w:eastAsia="en-US"/>
              </w:rPr>
              <w:t>s</w:t>
            </w:r>
            <w:r w:rsidRPr="00D96C07">
              <w:rPr>
                <w:rFonts w:ascii="Calibri" w:eastAsia="Calibri" w:hAnsi="Calibri" w:cs="Calibri"/>
                <w:color w:val="000000"/>
                <w:sz w:val="18"/>
                <w:lang w:eastAsia="en-US"/>
              </w:rPr>
              <w:t xml:space="preserve">econd </w:t>
            </w:r>
            <w:r w:rsidR="003F6279">
              <w:rPr>
                <w:rFonts w:ascii="Calibri" w:eastAsia="Calibri" w:hAnsi="Calibri" w:cs="Calibri"/>
                <w:color w:val="000000"/>
                <w:sz w:val="18"/>
                <w:lang w:eastAsia="en-US"/>
              </w:rPr>
              <w:t>p</w:t>
            </w:r>
            <w:r w:rsidRPr="00D96C07">
              <w:rPr>
                <w:rFonts w:ascii="Calibri" w:eastAsia="Calibri" w:hAnsi="Calibri" w:cs="Calibri"/>
                <w:color w:val="000000"/>
                <w:sz w:val="18"/>
                <w:lang w:eastAsia="en-US"/>
              </w:rPr>
              <w:t xml:space="preserve">ublic </w:t>
            </w:r>
            <w:r w:rsidR="003F6279">
              <w:rPr>
                <w:rFonts w:ascii="Calibri" w:eastAsia="Calibri" w:hAnsi="Calibri" w:cs="Calibri"/>
                <w:color w:val="000000"/>
                <w:sz w:val="18"/>
                <w:lang w:eastAsia="en-US"/>
              </w:rPr>
              <w:t>c</w:t>
            </w:r>
            <w:r w:rsidRPr="00D96C07">
              <w:rPr>
                <w:rFonts w:ascii="Calibri" w:eastAsia="Calibri" w:hAnsi="Calibri" w:cs="Calibri"/>
                <w:color w:val="000000"/>
                <w:sz w:val="18"/>
                <w:lang w:eastAsia="en-US"/>
              </w:rPr>
              <w:t>ollege for Gungahlin</w:t>
            </w:r>
          </w:p>
        </w:tc>
        <w:tc>
          <w:tcPr>
            <w:tcW w:w="992" w:type="dxa"/>
            <w:tcBorders>
              <w:top w:val="nil"/>
              <w:left w:val="nil"/>
              <w:bottom w:val="nil"/>
              <w:right w:val="nil"/>
              <w:tl2br w:val="nil"/>
              <w:tr2bl w:val="nil"/>
            </w:tcBorders>
            <w:noWrap/>
            <w:tcMar>
              <w:left w:w="101" w:type="dxa"/>
              <w:right w:w="101" w:type="dxa"/>
            </w:tcMar>
            <w:vAlign w:val="bottom"/>
          </w:tcPr>
          <w:p w14:paraId="439EE842" w14:textId="577BB383"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4240F4E2" w14:textId="5A60F163"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6,343</w:t>
            </w:r>
          </w:p>
        </w:tc>
        <w:tc>
          <w:tcPr>
            <w:tcW w:w="992" w:type="dxa"/>
            <w:tcBorders>
              <w:top w:val="nil"/>
              <w:left w:val="nil"/>
              <w:bottom w:val="nil"/>
              <w:right w:val="nil"/>
              <w:tl2br w:val="nil"/>
              <w:tr2bl w:val="nil"/>
            </w:tcBorders>
            <w:noWrap/>
            <w:tcMar>
              <w:left w:w="101" w:type="dxa"/>
              <w:right w:w="101" w:type="dxa"/>
            </w:tcMar>
            <w:vAlign w:val="bottom"/>
          </w:tcPr>
          <w:p w14:paraId="50FF51D3" w14:textId="6A2F9A9F"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5,100</w:t>
            </w:r>
          </w:p>
        </w:tc>
        <w:tc>
          <w:tcPr>
            <w:tcW w:w="992" w:type="dxa"/>
            <w:tcBorders>
              <w:top w:val="nil"/>
              <w:left w:val="nil"/>
              <w:bottom w:val="nil"/>
              <w:right w:val="nil"/>
              <w:tl2br w:val="nil"/>
              <w:tr2bl w:val="nil"/>
            </w:tcBorders>
            <w:noWrap/>
            <w:tcMar>
              <w:left w:w="101" w:type="dxa"/>
              <w:right w:w="101" w:type="dxa"/>
            </w:tcMar>
            <w:vAlign w:val="bottom"/>
          </w:tcPr>
          <w:p w14:paraId="6DF2EFAE" w14:textId="581070BF"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1BE1D2DC" w14:textId="7C0D0133"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r>
      <w:tr w:rsidR="00D96C07" w14:paraId="300F9798"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963" w:type="dxa"/>
            <w:tcBorders>
              <w:top w:val="nil"/>
              <w:left w:val="nil"/>
              <w:bottom w:val="nil"/>
              <w:right w:val="nil"/>
              <w:tl2br w:val="nil"/>
              <w:tr2bl w:val="nil"/>
            </w:tcBorders>
            <w:shd w:val="clear" w:color="FFFFFF" w:fill="FFFFFF"/>
            <w:tcMar>
              <w:left w:w="101" w:type="dxa"/>
              <w:right w:w="101" w:type="dxa"/>
            </w:tcMar>
            <w:vAlign w:val="bottom"/>
          </w:tcPr>
          <w:p w14:paraId="0EA08262" w14:textId="40D0B63C" w:rsidR="00D96C07" w:rsidRPr="00D96C07" w:rsidRDefault="00D96C07" w:rsidP="00D96C07">
            <w:pPr>
              <w:pBdr>
                <w:top w:val="nil"/>
                <w:left w:val="nil"/>
                <w:bottom w:val="nil"/>
                <w:right w:val="nil"/>
                <w:between w:val="nil"/>
                <w:bar w:val="nil"/>
              </w:pBdr>
              <w:ind w:left="170" w:hanging="170"/>
              <w:rPr>
                <w:rFonts w:ascii="Calibri" w:eastAsia="Calibri" w:hAnsi="Calibri" w:cs="Calibri"/>
                <w:color w:val="000000"/>
                <w:sz w:val="18"/>
                <w:lang w:eastAsia="en-US"/>
              </w:rPr>
            </w:pPr>
            <w:r w:rsidRPr="00D96C07">
              <w:rPr>
                <w:rFonts w:ascii="Calibri" w:eastAsia="Calibri" w:hAnsi="Calibri" w:cs="Calibri"/>
                <w:color w:val="000000"/>
                <w:sz w:val="18"/>
                <w:lang w:eastAsia="en-US"/>
              </w:rPr>
              <w:t>Delivering Light Rail to Woden</w:t>
            </w:r>
          </w:p>
        </w:tc>
        <w:tc>
          <w:tcPr>
            <w:tcW w:w="992" w:type="dxa"/>
            <w:tcBorders>
              <w:top w:val="nil"/>
              <w:left w:val="nil"/>
              <w:bottom w:val="nil"/>
              <w:right w:val="nil"/>
              <w:tl2br w:val="nil"/>
              <w:tr2bl w:val="nil"/>
            </w:tcBorders>
            <w:noWrap/>
            <w:tcMar>
              <w:left w:w="101" w:type="dxa"/>
              <w:right w:w="101" w:type="dxa"/>
            </w:tcMar>
            <w:vAlign w:val="bottom"/>
          </w:tcPr>
          <w:p w14:paraId="3EB69A88" w14:textId="711F03B5"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7E531E55" w14:textId="5F76979E"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31,857</w:t>
            </w:r>
          </w:p>
        </w:tc>
        <w:tc>
          <w:tcPr>
            <w:tcW w:w="992" w:type="dxa"/>
            <w:tcBorders>
              <w:top w:val="nil"/>
              <w:left w:val="nil"/>
              <w:bottom w:val="nil"/>
              <w:right w:val="nil"/>
              <w:tl2br w:val="nil"/>
              <w:tr2bl w:val="nil"/>
            </w:tcBorders>
            <w:noWrap/>
            <w:tcMar>
              <w:left w:w="101" w:type="dxa"/>
              <w:right w:w="101" w:type="dxa"/>
            </w:tcMar>
            <w:vAlign w:val="bottom"/>
          </w:tcPr>
          <w:p w14:paraId="55BF954B" w14:textId="0E55ABD4"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5,545</w:t>
            </w:r>
          </w:p>
        </w:tc>
        <w:tc>
          <w:tcPr>
            <w:tcW w:w="992" w:type="dxa"/>
            <w:tcBorders>
              <w:top w:val="nil"/>
              <w:left w:val="nil"/>
              <w:bottom w:val="nil"/>
              <w:right w:val="nil"/>
              <w:tl2br w:val="nil"/>
              <w:tr2bl w:val="nil"/>
            </w:tcBorders>
            <w:noWrap/>
            <w:tcMar>
              <w:left w:w="101" w:type="dxa"/>
              <w:right w:w="101" w:type="dxa"/>
            </w:tcMar>
            <w:vAlign w:val="bottom"/>
          </w:tcPr>
          <w:p w14:paraId="31CF462C" w14:textId="27A28514"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77C3DD59" w14:textId="1E9ACD94"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r>
      <w:tr w:rsidR="00D96C07" w14:paraId="161A649B"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vAlign w:val="bottom"/>
          </w:tcPr>
          <w:p w14:paraId="61376A39" w14:textId="6C0E0006" w:rsidR="00D96C07" w:rsidRPr="00D96C07" w:rsidRDefault="00D96C07" w:rsidP="00D96C07">
            <w:pPr>
              <w:pBdr>
                <w:top w:val="nil"/>
                <w:left w:val="nil"/>
                <w:bottom w:val="nil"/>
                <w:right w:val="nil"/>
                <w:between w:val="nil"/>
                <w:bar w:val="nil"/>
              </w:pBdr>
              <w:ind w:left="170" w:hanging="170"/>
              <w:rPr>
                <w:rFonts w:ascii="Calibri" w:eastAsia="Calibri" w:hAnsi="Calibri" w:cs="Calibri"/>
                <w:color w:val="000000"/>
                <w:sz w:val="18"/>
                <w:lang w:eastAsia="en-US"/>
              </w:rPr>
            </w:pPr>
            <w:r w:rsidRPr="00D96C07">
              <w:rPr>
                <w:rFonts w:ascii="Calibri" w:eastAsia="Calibri" w:hAnsi="Calibri" w:cs="Calibri"/>
                <w:color w:val="000000"/>
                <w:sz w:val="18"/>
                <w:lang w:eastAsia="en-US"/>
              </w:rPr>
              <w:t>Delivery of the Whitlam School – Stage 2</w:t>
            </w:r>
          </w:p>
        </w:tc>
        <w:tc>
          <w:tcPr>
            <w:tcW w:w="992" w:type="dxa"/>
            <w:tcBorders>
              <w:top w:val="nil"/>
              <w:left w:val="nil"/>
              <w:bottom w:val="nil"/>
              <w:right w:val="nil"/>
              <w:tl2br w:val="nil"/>
              <w:tr2bl w:val="nil"/>
            </w:tcBorders>
            <w:noWrap/>
            <w:tcMar>
              <w:left w:w="101" w:type="dxa"/>
              <w:right w:w="101" w:type="dxa"/>
            </w:tcMar>
            <w:vAlign w:val="bottom"/>
          </w:tcPr>
          <w:p w14:paraId="25F2FBE7" w14:textId="2A36475A"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75B695AC" w14:textId="2358AB6F"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1</w:t>
            </w:r>
            <w:r w:rsidR="00133320">
              <w:rPr>
                <w:rFonts w:ascii="Calibri" w:eastAsia="Calibri" w:hAnsi="Calibri" w:cs="Calibri"/>
                <w:color w:val="000000"/>
                <w:sz w:val="18"/>
                <w:lang w:eastAsia="en-US"/>
              </w:rPr>
              <w:t>4</w:t>
            </w:r>
            <w:r w:rsidRPr="00D96C07">
              <w:rPr>
                <w:rFonts w:ascii="Calibri" w:eastAsia="Calibri" w:hAnsi="Calibri" w:cs="Calibri"/>
                <w:color w:val="000000"/>
                <w:sz w:val="18"/>
                <w:lang w:eastAsia="en-US"/>
              </w:rPr>
              <w:t>,091</w:t>
            </w:r>
          </w:p>
        </w:tc>
        <w:tc>
          <w:tcPr>
            <w:tcW w:w="992" w:type="dxa"/>
            <w:tcBorders>
              <w:top w:val="nil"/>
              <w:left w:val="nil"/>
              <w:bottom w:val="nil"/>
              <w:right w:val="nil"/>
              <w:tl2br w:val="nil"/>
              <w:tr2bl w:val="nil"/>
            </w:tcBorders>
            <w:noWrap/>
            <w:tcMar>
              <w:left w:w="101" w:type="dxa"/>
              <w:right w:w="101" w:type="dxa"/>
            </w:tcMar>
            <w:vAlign w:val="bottom"/>
          </w:tcPr>
          <w:p w14:paraId="7898CFA2" w14:textId="7A7257EB" w:rsidR="00D96C07" w:rsidRPr="00D96C07" w:rsidRDefault="00133320" w:rsidP="00D96C07">
            <w:pPr>
              <w:pBdr>
                <w:top w:val="nil"/>
                <w:left w:val="nil"/>
                <w:bottom w:val="nil"/>
                <w:right w:val="nil"/>
                <w:between w:val="nil"/>
                <w:bar w:val="nil"/>
              </w:pBdr>
              <w:jc w:val="right"/>
              <w:rPr>
                <w:rFonts w:ascii="Calibri" w:eastAsia="Calibri" w:hAnsi="Calibri" w:cs="Calibri"/>
                <w:color w:val="000000"/>
                <w:sz w:val="18"/>
                <w:lang w:eastAsia="en-US"/>
              </w:rPr>
            </w:pPr>
            <w:r>
              <w:rPr>
                <w:rFonts w:ascii="Calibri" w:eastAsia="Calibri" w:hAnsi="Calibri" w:cs="Calibri"/>
                <w:color w:val="000000"/>
                <w:sz w:val="18"/>
                <w:lang w:eastAsia="en-US"/>
              </w:rPr>
              <w:t>20</w:t>
            </w:r>
            <w:r w:rsidR="00D96C07" w:rsidRPr="00D96C07">
              <w:rPr>
                <w:rFonts w:ascii="Calibri" w:eastAsia="Calibri" w:hAnsi="Calibri" w:cs="Calibri"/>
                <w:color w:val="000000"/>
                <w:sz w:val="18"/>
                <w:lang w:eastAsia="en-US"/>
              </w:rPr>
              <w:t>,939</w:t>
            </w:r>
          </w:p>
        </w:tc>
        <w:tc>
          <w:tcPr>
            <w:tcW w:w="992" w:type="dxa"/>
            <w:tcBorders>
              <w:top w:val="nil"/>
              <w:left w:val="nil"/>
              <w:bottom w:val="nil"/>
              <w:right w:val="nil"/>
              <w:tl2br w:val="nil"/>
              <w:tr2bl w:val="nil"/>
            </w:tcBorders>
            <w:noWrap/>
            <w:tcMar>
              <w:left w:w="101" w:type="dxa"/>
              <w:right w:w="101" w:type="dxa"/>
            </w:tcMar>
            <w:vAlign w:val="bottom"/>
          </w:tcPr>
          <w:p w14:paraId="19626647" w14:textId="0AD47E09"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1,706</w:t>
            </w:r>
          </w:p>
        </w:tc>
        <w:tc>
          <w:tcPr>
            <w:tcW w:w="992" w:type="dxa"/>
            <w:tcBorders>
              <w:top w:val="nil"/>
              <w:left w:val="nil"/>
              <w:bottom w:val="nil"/>
              <w:right w:val="nil"/>
              <w:tl2br w:val="nil"/>
              <w:tr2bl w:val="nil"/>
            </w:tcBorders>
            <w:noWrap/>
            <w:tcMar>
              <w:left w:w="101" w:type="dxa"/>
              <w:right w:w="101" w:type="dxa"/>
            </w:tcMar>
            <w:vAlign w:val="bottom"/>
          </w:tcPr>
          <w:p w14:paraId="6EFA5EF9" w14:textId="6B7DDD50"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r>
      <w:tr w:rsidR="00D96C07" w14:paraId="06A1C61D"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963" w:type="dxa"/>
            <w:tcBorders>
              <w:top w:val="nil"/>
              <w:left w:val="nil"/>
              <w:bottom w:val="nil"/>
              <w:right w:val="nil"/>
              <w:tl2br w:val="nil"/>
              <w:tr2bl w:val="nil"/>
            </w:tcBorders>
            <w:shd w:val="clear" w:color="FFFFFF" w:fill="FFFFFF"/>
            <w:tcMar>
              <w:left w:w="101" w:type="dxa"/>
              <w:right w:w="101" w:type="dxa"/>
            </w:tcMar>
            <w:vAlign w:val="bottom"/>
          </w:tcPr>
          <w:p w14:paraId="0D924263" w14:textId="5992A00A" w:rsidR="00D96C07" w:rsidRPr="00D96C07" w:rsidRDefault="00D96C07" w:rsidP="00D96C07">
            <w:pPr>
              <w:pBdr>
                <w:top w:val="nil"/>
                <w:left w:val="nil"/>
                <w:bottom w:val="nil"/>
                <w:right w:val="nil"/>
                <w:between w:val="nil"/>
                <w:bar w:val="nil"/>
              </w:pBdr>
              <w:ind w:left="170" w:hanging="170"/>
              <w:rPr>
                <w:rFonts w:ascii="Calibri" w:eastAsia="Calibri" w:hAnsi="Calibri" w:cs="Calibri"/>
                <w:color w:val="000000"/>
                <w:sz w:val="18"/>
                <w:lang w:eastAsia="en-US"/>
              </w:rPr>
            </w:pPr>
            <w:r w:rsidRPr="00D96C07">
              <w:rPr>
                <w:rFonts w:ascii="Calibri" w:eastAsia="Calibri" w:hAnsi="Calibri" w:cs="Calibri"/>
                <w:color w:val="000000"/>
                <w:sz w:val="18"/>
                <w:lang w:eastAsia="en-US"/>
              </w:rPr>
              <w:t>iCBR 2025-26 Asset Renewal Program</w:t>
            </w:r>
          </w:p>
        </w:tc>
        <w:tc>
          <w:tcPr>
            <w:tcW w:w="992" w:type="dxa"/>
            <w:tcBorders>
              <w:top w:val="nil"/>
              <w:left w:val="nil"/>
              <w:bottom w:val="nil"/>
              <w:right w:val="nil"/>
              <w:tl2br w:val="nil"/>
              <w:tr2bl w:val="nil"/>
            </w:tcBorders>
            <w:noWrap/>
            <w:tcMar>
              <w:left w:w="101" w:type="dxa"/>
              <w:right w:w="101" w:type="dxa"/>
            </w:tcMar>
            <w:vAlign w:val="bottom"/>
          </w:tcPr>
          <w:p w14:paraId="3F098CA8" w14:textId="08D2DA34"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6C65E7D0" w14:textId="3D2F9BC2"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-3,950</w:t>
            </w:r>
          </w:p>
        </w:tc>
        <w:tc>
          <w:tcPr>
            <w:tcW w:w="992" w:type="dxa"/>
            <w:tcBorders>
              <w:top w:val="nil"/>
              <w:left w:val="nil"/>
              <w:bottom w:val="nil"/>
              <w:right w:val="nil"/>
              <w:tl2br w:val="nil"/>
              <w:tr2bl w:val="nil"/>
            </w:tcBorders>
            <w:noWrap/>
            <w:tcMar>
              <w:left w:w="101" w:type="dxa"/>
              <w:right w:w="101" w:type="dxa"/>
            </w:tcMar>
            <w:vAlign w:val="bottom"/>
          </w:tcPr>
          <w:p w14:paraId="1C7B0E27" w14:textId="05511971"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-5,146</w:t>
            </w:r>
          </w:p>
        </w:tc>
        <w:tc>
          <w:tcPr>
            <w:tcW w:w="992" w:type="dxa"/>
            <w:tcBorders>
              <w:top w:val="nil"/>
              <w:left w:val="nil"/>
              <w:bottom w:val="nil"/>
              <w:right w:val="nil"/>
              <w:tl2br w:val="nil"/>
              <w:tr2bl w:val="nil"/>
            </w:tcBorders>
            <w:noWrap/>
            <w:tcMar>
              <w:left w:w="101" w:type="dxa"/>
              <w:right w:w="101" w:type="dxa"/>
            </w:tcMar>
            <w:vAlign w:val="bottom"/>
          </w:tcPr>
          <w:p w14:paraId="37DA9DC0" w14:textId="0C6BFABB"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-3,293</w:t>
            </w:r>
          </w:p>
        </w:tc>
        <w:tc>
          <w:tcPr>
            <w:tcW w:w="992" w:type="dxa"/>
            <w:tcBorders>
              <w:top w:val="nil"/>
              <w:left w:val="nil"/>
              <w:bottom w:val="nil"/>
              <w:right w:val="nil"/>
              <w:tl2br w:val="nil"/>
              <w:tr2bl w:val="nil"/>
            </w:tcBorders>
            <w:noWrap/>
            <w:tcMar>
              <w:left w:w="101" w:type="dxa"/>
              <w:right w:w="101" w:type="dxa"/>
            </w:tcMar>
            <w:vAlign w:val="bottom"/>
          </w:tcPr>
          <w:p w14:paraId="58E28F56" w14:textId="01723B6F"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-3,675</w:t>
            </w:r>
          </w:p>
        </w:tc>
      </w:tr>
      <w:tr w:rsidR="00D96C07" w14:paraId="660AB18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vAlign w:val="bottom"/>
          </w:tcPr>
          <w:p w14:paraId="073A0148" w14:textId="4D6B95BD" w:rsidR="00D96C07" w:rsidRPr="00D96C07" w:rsidRDefault="00D96C07" w:rsidP="00D96C07">
            <w:pPr>
              <w:pBdr>
                <w:top w:val="nil"/>
                <w:left w:val="nil"/>
                <w:bottom w:val="nil"/>
                <w:right w:val="nil"/>
                <w:between w:val="nil"/>
                <w:bar w:val="nil"/>
              </w:pBdr>
              <w:ind w:left="170" w:hanging="170"/>
              <w:rPr>
                <w:rFonts w:ascii="Calibri" w:eastAsia="Calibri" w:hAnsi="Calibri" w:cs="Calibri"/>
                <w:color w:val="000000"/>
                <w:sz w:val="18"/>
                <w:lang w:eastAsia="en-US"/>
              </w:rPr>
            </w:pPr>
            <w:r w:rsidRPr="00D96C07">
              <w:rPr>
                <w:rFonts w:ascii="Calibri" w:eastAsia="Calibri" w:hAnsi="Calibri" w:cs="Calibri"/>
                <w:color w:val="000000"/>
                <w:sz w:val="18"/>
                <w:lang w:eastAsia="en-US"/>
              </w:rPr>
              <w:t>Improving Canberra's health infrastructure – Delivering the new Northside Hospital</w:t>
            </w:r>
          </w:p>
        </w:tc>
        <w:tc>
          <w:tcPr>
            <w:tcW w:w="992" w:type="dxa"/>
            <w:tcBorders>
              <w:top w:val="nil"/>
              <w:left w:val="nil"/>
              <w:bottom w:val="nil"/>
              <w:right w:val="nil"/>
              <w:tl2br w:val="nil"/>
              <w:tr2bl w:val="nil"/>
            </w:tcBorders>
            <w:noWrap/>
            <w:tcMar>
              <w:left w:w="101" w:type="dxa"/>
              <w:right w:w="101" w:type="dxa"/>
            </w:tcMar>
            <w:vAlign w:val="bottom"/>
          </w:tcPr>
          <w:p w14:paraId="574FEA37" w14:textId="78D7D4E4"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2FD92FA0" w14:textId="610A91F6"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16,260</w:t>
            </w:r>
          </w:p>
        </w:tc>
        <w:tc>
          <w:tcPr>
            <w:tcW w:w="992" w:type="dxa"/>
            <w:tcBorders>
              <w:top w:val="nil"/>
              <w:left w:val="nil"/>
              <w:bottom w:val="nil"/>
              <w:right w:val="nil"/>
              <w:tl2br w:val="nil"/>
              <w:tr2bl w:val="nil"/>
            </w:tcBorders>
            <w:noWrap/>
            <w:tcMar>
              <w:left w:w="101" w:type="dxa"/>
              <w:right w:w="101" w:type="dxa"/>
            </w:tcMar>
            <w:vAlign w:val="bottom"/>
          </w:tcPr>
          <w:p w14:paraId="3A04D954" w14:textId="0D339992"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111,970</w:t>
            </w:r>
          </w:p>
        </w:tc>
        <w:tc>
          <w:tcPr>
            <w:tcW w:w="992" w:type="dxa"/>
            <w:tcBorders>
              <w:top w:val="nil"/>
              <w:left w:val="nil"/>
              <w:bottom w:val="nil"/>
              <w:right w:val="nil"/>
              <w:tl2br w:val="nil"/>
              <w:tr2bl w:val="nil"/>
            </w:tcBorders>
            <w:noWrap/>
            <w:tcMar>
              <w:left w:w="101" w:type="dxa"/>
              <w:right w:w="101" w:type="dxa"/>
            </w:tcMar>
            <w:vAlign w:val="bottom"/>
          </w:tcPr>
          <w:p w14:paraId="67123AF0" w14:textId="389B9689"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184,140</w:t>
            </w:r>
          </w:p>
        </w:tc>
        <w:tc>
          <w:tcPr>
            <w:tcW w:w="992" w:type="dxa"/>
            <w:tcBorders>
              <w:top w:val="nil"/>
              <w:left w:val="nil"/>
              <w:bottom w:val="nil"/>
              <w:right w:val="nil"/>
              <w:tl2br w:val="nil"/>
              <w:tr2bl w:val="nil"/>
            </w:tcBorders>
            <w:noWrap/>
            <w:tcMar>
              <w:left w:w="101" w:type="dxa"/>
              <w:right w:w="101" w:type="dxa"/>
            </w:tcMar>
            <w:vAlign w:val="bottom"/>
          </w:tcPr>
          <w:p w14:paraId="416BF7B5" w14:textId="22C54A0A"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184,140</w:t>
            </w:r>
          </w:p>
        </w:tc>
      </w:tr>
      <w:tr w:rsidR="00D96C07" w14:paraId="25093408"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vAlign w:val="bottom"/>
          </w:tcPr>
          <w:p w14:paraId="43492231" w14:textId="36575935" w:rsidR="00D96C07" w:rsidRPr="00D96C07" w:rsidRDefault="00D96C07" w:rsidP="00D96C07">
            <w:pPr>
              <w:pBdr>
                <w:top w:val="nil"/>
                <w:left w:val="nil"/>
                <w:bottom w:val="nil"/>
                <w:right w:val="nil"/>
                <w:between w:val="nil"/>
                <w:bar w:val="nil"/>
              </w:pBdr>
              <w:ind w:left="170" w:hanging="170"/>
              <w:rPr>
                <w:rFonts w:ascii="Calibri" w:eastAsia="Calibri" w:hAnsi="Calibri" w:cs="Calibri"/>
                <w:color w:val="000000"/>
                <w:sz w:val="18"/>
                <w:lang w:eastAsia="en-US"/>
              </w:rPr>
            </w:pPr>
            <w:r w:rsidRPr="00D96C07">
              <w:rPr>
                <w:rFonts w:ascii="Calibri" w:eastAsia="Calibri" w:hAnsi="Calibri" w:cs="Calibri"/>
                <w:color w:val="000000"/>
                <w:sz w:val="18"/>
                <w:lang w:eastAsia="en-US"/>
              </w:rPr>
              <w:t>Improving Mugga Lane landfill capacity</w:t>
            </w:r>
          </w:p>
        </w:tc>
        <w:tc>
          <w:tcPr>
            <w:tcW w:w="992" w:type="dxa"/>
            <w:tcBorders>
              <w:top w:val="nil"/>
              <w:left w:val="nil"/>
              <w:bottom w:val="nil"/>
              <w:right w:val="nil"/>
              <w:tl2br w:val="nil"/>
              <w:tr2bl w:val="nil"/>
            </w:tcBorders>
            <w:noWrap/>
            <w:tcMar>
              <w:left w:w="101" w:type="dxa"/>
              <w:right w:w="101" w:type="dxa"/>
            </w:tcMar>
            <w:vAlign w:val="bottom"/>
          </w:tcPr>
          <w:p w14:paraId="67B19AB3" w14:textId="1221B766"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2388AA42" w14:textId="47699582"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1,911</w:t>
            </w:r>
          </w:p>
        </w:tc>
        <w:tc>
          <w:tcPr>
            <w:tcW w:w="992" w:type="dxa"/>
            <w:tcBorders>
              <w:top w:val="nil"/>
              <w:left w:val="nil"/>
              <w:bottom w:val="nil"/>
              <w:right w:val="nil"/>
              <w:tl2br w:val="nil"/>
              <w:tr2bl w:val="nil"/>
            </w:tcBorders>
            <w:noWrap/>
            <w:tcMar>
              <w:left w:w="101" w:type="dxa"/>
              <w:right w:w="101" w:type="dxa"/>
            </w:tcMar>
            <w:vAlign w:val="bottom"/>
          </w:tcPr>
          <w:p w14:paraId="4CF868AA" w14:textId="6FE657C8"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70D40E8F" w14:textId="29092636"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123F64C2" w14:textId="5EB194B6"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r>
      <w:tr w:rsidR="00D96C07" w14:paraId="50A18308"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vAlign w:val="bottom"/>
          </w:tcPr>
          <w:p w14:paraId="6D1DCA4E" w14:textId="50295BFB" w:rsidR="00D96C07" w:rsidRPr="00D96C07" w:rsidRDefault="00D96C07" w:rsidP="00D96C07">
            <w:pPr>
              <w:pBdr>
                <w:top w:val="nil"/>
                <w:left w:val="nil"/>
                <w:bottom w:val="nil"/>
                <w:right w:val="nil"/>
                <w:between w:val="nil"/>
                <w:bar w:val="nil"/>
              </w:pBdr>
              <w:ind w:left="170" w:hanging="170"/>
              <w:rPr>
                <w:rFonts w:ascii="Calibri" w:eastAsia="Calibri" w:hAnsi="Calibri" w:cs="Calibri"/>
                <w:color w:val="000000"/>
                <w:sz w:val="18"/>
                <w:lang w:eastAsia="en-US"/>
              </w:rPr>
            </w:pPr>
            <w:r w:rsidRPr="00D96C07">
              <w:rPr>
                <w:rFonts w:ascii="Calibri" w:eastAsia="Calibri" w:hAnsi="Calibri" w:cs="Calibri"/>
                <w:color w:val="000000"/>
                <w:sz w:val="18"/>
                <w:lang w:eastAsia="en-US"/>
              </w:rPr>
              <w:t>Infrastructure Canberra and Digital Canberra Sustainability</w:t>
            </w:r>
          </w:p>
        </w:tc>
        <w:tc>
          <w:tcPr>
            <w:tcW w:w="992" w:type="dxa"/>
            <w:tcBorders>
              <w:top w:val="nil"/>
              <w:left w:val="nil"/>
              <w:bottom w:val="nil"/>
              <w:right w:val="nil"/>
              <w:tl2br w:val="nil"/>
              <w:tr2bl w:val="nil"/>
            </w:tcBorders>
            <w:noWrap/>
            <w:tcMar>
              <w:left w:w="101" w:type="dxa"/>
              <w:right w:w="101" w:type="dxa"/>
            </w:tcMar>
            <w:vAlign w:val="bottom"/>
          </w:tcPr>
          <w:p w14:paraId="2AE70368" w14:textId="59A88F59"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7B7A6400" w14:textId="18C7DE72" w:rsidR="00D96C07" w:rsidRPr="00D96C07" w:rsidRDefault="000B7D5F" w:rsidP="00D96C07">
            <w:pPr>
              <w:pBdr>
                <w:top w:val="nil"/>
                <w:left w:val="nil"/>
                <w:bottom w:val="nil"/>
                <w:right w:val="nil"/>
                <w:between w:val="nil"/>
                <w:bar w:val="nil"/>
              </w:pBdr>
              <w:jc w:val="right"/>
              <w:rPr>
                <w:rFonts w:ascii="Calibri" w:eastAsia="Calibri" w:hAnsi="Calibri" w:cs="Calibri"/>
                <w:color w:val="000000"/>
                <w:sz w:val="18"/>
                <w:lang w:eastAsia="en-US"/>
              </w:rPr>
            </w:pPr>
            <w:r>
              <w:rPr>
                <w:rFonts w:ascii="Calibri" w:eastAsia="Calibri" w:hAnsi="Calibri" w:cs="Calibri"/>
                <w:color w:val="000000"/>
                <w:sz w:val="18"/>
                <w:lang w:eastAsia="en-US"/>
              </w:rPr>
              <w:t>92</w:t>
            </w:r>
            <w:r w:rsidR="00D96C07" w:rsidRPr="00D96C07">
              <w:rPr>
                <w:rFonts w:ascii="Calibri" w:eastAsia="Calibri" w:hAnsi="Calibri" w:cs="Calibri"/>
                <w:color w:val="000000"/>
                <w:sz w:val="18"/>
                <w:lang w:eastAsia="en-US"/>
              </w:rPr>
              <w:t>8</w:t>
            </w:r>
          </w:p>
        </w:tc>
        <w:tc>
          <w:tcPr>
            <w:tcW w:w="992" w:type="dxa"/>
            <w:tcBorders>
              <w:top w:val="nil"/>
              <w:left w:val="nil"/>
              <w:bottom w:val="nil"/>
              <w:right w:val="nil"/>
              <w:tl2br w:val="nil"/>
              <w:tr2bl w:val="nil"/>
            </w:tcBorders>
            <w:noWrap/>
            <w:tcMar>
              <w:left w:w="101" w:type="dxa"/>
              <w:right w:w="101" w:type="dxa"/>
            </w:tcMar>
            <w:vAlign w:val="bottom"/>
          </w:tcPr>
          <w:p w14:paraId="215B4F2F" w14:textId="710BEA47"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46F9893A" w14:textId="17408E99"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6E125706" w14:textId="1C359A17"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r>
      <w:tr w:rsidR="00D96C07" w14:paraId="1F8AA4E9"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vAlign w:val="bottom"/>
          </w:tcPr>
          <w:p w14:paraId="5F2C9B80" w14:textId="77B430FE" w:rsidR="00D96C07" w:rsidRPr="00D96C07" w:rsidRDefault="00D96C07" w:rsidP="00D96C07">
            <w:pPr>
              <w:pBdr>
                <w:top w:val="nil"/>
                <w:left w:val="nil"/>
                <w:bottom w:val="nil"/>
                <w:right w:val="nil"/>
                <w:between w:val="nil"/>
                <w:bar w:val="nil"/>
              </w:pBdr>
              <w:ind w:left="170" w:hanging="170"/>
              <w:rPr>
                <w:rFonts w:ascii="Calibri" w:eastAsia="Calibri" w:hAnsi="Calibri" w:cs="Calibri"/>
                <w:color w:val="000000"/>
                <w:sz w:val="18"/>
                <w:lang w:eastAsia="en-US"/>
              </w:rPr>
            </w:pPr>
            <w:r w:rsidRPr="00D96C07">
              <w:rPr>
                <w:rFonts w:ascii="Calibri" w:eastAsia="Calibri" w:hAnsi="Calibri" w:cs="Calibri"/>
                <w:color w:val="000000"/>
                <w:sz w:val="18"/>
                <w:lang w:eastAsia="en-US"/>
              </w:rPr>
              <w:t>Investing in public services – Relocation of Access Canberra Woden</w:t>
            </w:r>
          </w:p>
        </w:tc>
        <w:tc>
          <w:tcPr>
            <w:tcW w:w="992" w:type="dxa"/>
            <w:tcBorders>
              <w:top w:val="nil"/>
              <w:left w:val="nil"/>
              <w:bottom w:val="nil"/>
              <w:right w:val="nil"/>
              <w:tl2br w:val="nil"/>
              <w:tr2bl w:val="nil"/>
            </w:tcBorders>
            <w:noWrap/>
            <w:tcMar>
              <w:left w:w="101" w:type="dxa"/>
              <w:right w:w="101" w:type="dxa"/>
            </w:tcMar>
            <w:vAlign w:val="bottom"/>
          </w:tcPr>
          <w:p w14:paraId="4D567649" w14:textId="625AB812"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0904A0DF" w14:textId="3A22C8D5"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2,881</w:t>
            </w:r>
          </w:p>
        </w:tc>
        <w:tc>
          <w:tcPr>
            <w:tcW w:w="992" w:type="dxa"/>
            <w:tcBorders>
              <w:top w:val="nil"/>
              <w:left w:val="nil"/>
              <w:bottom w:val="nil"/>
              <w:right w:val="nil"/>
              <w:tl2br w:val="nil"/>
              <w:tr2bl w:val="nil"/>
            </w:tcBorders>
            <w:noWrap/>
            <w:tcMar>
              <w:left w:w="101" w:type="dxa"/>
              <w:right w:w="101" w:type="dxa"/>
            </w:tcMar>
            <w:vAlign w:val="bottom"/>
          </w:tcPr>
          <w:p w14:paraId="119C3008" w14:textId="2A34B307"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311</w:t>
            </w:r>
          </w:p>
        </w:tc>
        <w:tc>
          <w:tcPr>
            <w:tcW w:w="992" w:type="dxa"/>
            <w:tcBorders>
              <w:top w:val="nil"/>
              <w:left w:val="nil"/>
              <w:bottom w:val="nil"/>
              <w:right w:val="nil"/>
              <w:tl2br w:val="nil"/>
              <w:tr2bl w:val="nil"/>
            </w:tcBorders>
            <w:noWrap/>
            <w:tcMar>
              <w:left w:w="101" w:type="dxa"/>
              <w:right w:w="101" w:type="dxa"/>
            </w:tcMar>
            <w:vAlign w:val="bottom"/>
          </w:tcPr>
          <w:p w14:paraId="2FEB4C0B" w14:textId="13E86769"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70D1111E" w14:textId="3E3717C0"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r>
      <w:tr w:rsidR="00D96C07" w14:paraId="47A03913"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963" w:type="dxa"/>
            <w:tcBorders>
              <w:top w:val="nil"/>
              <w:left w:val="nil"/>
              <w:bottom w:val="nil"/>
              <w:right w:val="nil"/>
              <w:tl2br w:val="nil"/>
              <w:tr2bl w:val="nil"/>
            </w:tcBorders>
            <w:shd w:val="clear" w:color="FFFFFF" w:fill="FFFFFF"/>
            <w:tcMar>
              <w:left w:w="101" w:type="dxa"/>
              <w:right w:w="101" w:type="dxa"/>
            </w:tcMar>
            <w:vAlign w:val="bottom"/>
          </w:tcPr>
          <w:p w14:paraId="24E53F9C" w14:textId="53327A62" w:rsidR="00D96C07" w:rsidRPr="00D96C07" w:rsidRDefault="00D96C07" w:rsidP="00D96C07">
            <w:pPr>
              <w:pBdr>
                <w:top w:val="nil"/>
                <w:left w:val="nil"/>
                <w:bottom w:val="nil"/>
                <w:right w:val="nil"/>
                <w:between w:val="nil"/>
                <w:bar w:val="nil"/>
              </w:pBdr>
              <w:ind w:left="170" w:hanging="170"/>
              <w:rPr>
                <w:rFonts w:ascii="Calibri" w:eastAsia="Calibri" w:hAnsi="Calibri" w:cs="Calibri"/>
                <w:color w:val="000000"/>
                <w:sz w:val="18"/>
                <w:lang w:eastAsia="en-US"/>
              </w:rPr>
            </w:pPr>
            <w:r w:rsidRPr="00D96C07">
              <w:rPr>
                <w:rFonts w:ascii="Calibri" w:eastAsia="Calibri" w:hAnsi="Calibri" w:cs="Calibri"/>
                <w:color w:val="000000"/>
                <w:sz w:val="18"/>
                <w:lang w:eastAsia="en-US"/>
              </w:rPr>
              <w:t>Managing government and community facilities</w:t>
            </w:r>
          </w:p>
        </w:tc>
        <w:tc>
          <w:tcPr>
            <w:tcW w:w="992" w:type="dxa"/>
            <w:tcBorders>
              <w:top w:val="nil"/>
              <w:left w:val="nil"/>
              <w:bottom w:val="nil"/>
              <w:right w:val="nil"/>
              <w:tl2br w:val="nil"/>
              <w:tr2bl w:val="nil"/>
            </w:tcBorders>
            <w:noWrap/>
            <w:tcMar>
              <w:left w:w="101" w:type="dxa"/>
              <w:right w:w="101" w:type="dxa"/>
            </w:tcMar>
            <w:vAlign w:val="bottom"/>
          </w:tcPr>
          <w:p w14:paraId="09C609A9" w14:textId="27FA2649"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0D6D3E89" w14:textId="6148AB9B"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2,766</w:t>
            </w:r>
          </w:p>
        </w:tc>
        <w:tc>
          <w:tcPr>
            <w:tcW w:w="992" w:type="dxa"/>
            <w:tcBorders>
              <w:top w:val="nil"/>
              <w:left w:val="nil"/>
              <w:bottom w:val="nil"/>
              <w:right w:val="nil"/>
              <w:tl2br w:val="nil"/>
              <w:tr2bl w:val="nil"/>
            </w:tcBorders>
            <w:noWrap/>
            <w:tcMar>
              <w:left w:w="101" w:type="dxa"/>
              <w:right w:w="101" w:type="dxa"/>
            </w:tcMar>
            <w:vAlign w:val="bottom"/>
          </w:tcPr>
          <w:p w14:paraId="3304D2B4" w14:textId="74CE2CC9"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5B14216D" w14:textId="1F435C37"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2E532ADD" w14:textId="7982B556"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r>
      <w:tr w:rsidR="00D96C07" w14:paraId="41295D1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vAlign w:val="bottom"/>
          </w:tcPr>
          <w:p w14:paraId="68BA711B" w14:textId="43BADFE0" w:rsidR="00D96C07" w:rsidRPr="00D96C07" w:rsidRDefault="00D96C07" w:rsidP="00D96C07">
            <w:pPr>
              <w:pBdr>
                <w:top w:val="nil"/>
                <w:left w:val="nil"/>
                <w:bottom w:val="nil"/>
                <w:right w:val="nil"/>
                <w:between w:val="nil"/>
                <w:bar w:val="nil"/>
              </w:pBdr>
              <w:ind w:left="170" w:hanging="170"/>
              <w:rPr>
                <w:rFonts w:ascii="Calibri" w:eastAsia="Calibri" w:hAnsi="Calibri" w:cs="Calibri"/>
                <w:color w:val="000000"/>
                <w:sz w:val="18"/>
                <w:lang w:eastAsia="en-US"/>
              </w:rPr>
            </w:pPr>
            <w:r w:rsidRPr="00D96C07">
              <w:rPr>
                <w:rFonts w:ascii="Calibri" w:eastAsia="Calibri" w:hAnsi="Calibri" w:cs="Calibri"/>
                <w:color w:val="000000"/>
                <w:sz w:val="18"/>
                <w:lang w:eastAsia="en-US"/>
              </w:rPr>
              <w:t>Market Conditions</w:t>
            </w:r>
            <w:r w:rsidR="007D2EEE">
              <w:rPr>
                <w:rFonts w:ascii="Calibri" w:eastAsia="Calibri" w:hAnsi="Calibri" w:cs="Calibri"/>
                <w:color w:val="000000"/>
                <w:sz w:val="18"/>
                <w:lang w:eastAsia="en-US"/>
              </w:rPr>
              <w:t xml:space="preserve"> Provision</w:t>
            </w:r>
          </w:p>
        </w:tc>
        <w:tc>
          <w:tcPr>
            <w:tcW w:w="992" w:type="dxa"/>
            <w:tcBorders>
              <w:top w:val="nil"/>
              <w:left w:val="nil"/>
              <w:bottom w:val="nil"/>
              <w:right w:val="nil"/>
              <w:tl2br w:val="nil"/>
              <w:tr2bl w:val="nil"/>
            </w:tcBorders>
            <w:noWrap/>
            <w:tcMar>
              <w:left w:w="101" w:type="dxa"/>
              <w:right w:w="101" w:type="dxa"/>
            </w:tcMar>
            <w:vAlign w:val="bottom"/>
          </w:tcPr>
          <w:p w14:paraId="53920587" w14:textId="6C3C1767"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23EAFB63" w14:textId="2A3C5434"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50,000</w:t>
            </w:r>
          </w:p>
        </w:tc>
        <w:tc>
          <w:tcPr>
            <w:tcW w:w="992" w:type="dxa"/>
            <w:tcBorders>
              <w:top w:val="nil"/>
              <w:left w:val="nil"/>
              <w:bottom w:val="nil"/>
              <w:right w:val="nil"/>
              <w:tl2br w:val="nil"/>
              <w:tr2bl w:val="nil"/>
            </w:tcBorders>
            <w:noWrap/>
            <w:tcMar>
              <w:left w:w="101" w:type="dxa"/>
              <w:right w:w="101" w:type="dxa"/>
            </w:tcMar>
            <w:vAlign w:val="bottom"/>
          </w:tcPr>
          <w:p w14:paraId="08BADBA9" w14:textId="5E012688"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03899BF2" w14:textId="68B9D238"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51303335" w14:textId="32763329"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r>
      <w:tr w:rsidR="00D96C07" w14:paraId="70A99D1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vAlign w:val="bottom"/>
          </w:tcPr>
          <w:p w14:paraId="6AE5C161" w14:textId="2EA63819" w:rsidR="00D96C07" w:rsidRPr="00D96C07" w:rsidRDefault="00D96C07" w:rsidP="00D96C07">
            <w:pPr>
              <w:pBdr>
                <w:top w:val="nil"/>
                <w:left w:val="nil"/>
                <w:bottom w:val="nil"/>
                <w:right w:val="nil"/>
                <w:between w:val="nil"/>
                <w:bar w:val="nil"/>
              </w:pBdr>
              <w:ind w:left="170" w:hanging="170"/>
              <w:rPr>
                <w:rFonts w:ascii="Calibri" w:eastAsia="Calibri" w:hAnsi="Calibri" w:cs="Calibri"/>
                <w:color w:val="000000"/>
                <w:sz w:val="18"/>
                <w:lang w:eastAsia="en-US"/>
              </w:rPr>
            </w:pPr>
            <w:r w:rsidRPr="00D96C07">
              <w:rPr>
                <w:rFonts w:ascii="Calibri" w:eastAsia="Calibri" w:hAnsi="Calibri" w:cs="Calibri"/>
                <w:color w:val="000000"/>
                <w:sz w:val="18"/>
                <w:lang w:eastAsia="en-US"/>
              </w:rPr>
              <w:t>Public pools upgrades, operations and maintenance</w:t>
            </w:r>
          </w:p>
        </w:tc>
        <w:tc>
          <w:tcPr>
            <w:tcW w:w="992" w:type="dxa"/>
            <w:tcBorders>
              <w:top w:val="nil"/>
              <w:left w:val="nil"/>
              <w:bottom w:val="nil"/>
              <w:right w:val="nil"/>
              <w:tl2br w:val="nil"/>
              <w:tr2bl w:val="nil"/>
            </w:tcBorders>
            <w:noWrap/>
            <w:tcMar>
              <w:left w:w="101" w:type="dxa"/>
              <w:right w:w="101" w:type="dxa"/>
            </w:tcMar>
            <w:vAlign w:val="bottom"/>
          </w:tcPr>
          <w:p w14:paraId="0B3887A6" w14:textId="01BC17CC"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vAlign w:val="bottom"/>
          </w:tcPr>
          <w:p w14:paraId="12B8A3E1" w14:textId="47BFB7CE"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718</w:t>
            </w:r>
          </w:p>
        </w:tc>
        <w:tc>
          <w:tcPr>
            <w:tcW w:w="992" w:type="dxa"/>
            <w:tcBorders>
              <w:top w:val="nil"/>
              <w:left w:val="nil"/>
              <w:bottom w:val="nil"/>
              <w:right w:val="nil"/>
              <w:tl2br w:val="nil"/>
              <w:tr2bl w:val="nil"/>
            </w:tcBorders>
            <w:noWrap/>
            <w:tcMar>
              <w:left w:w="101" w:type="dxa"/>
              <w:right w:w="101" w:type="dxa"/>
            </w:tcMar>
            <w:vAlign w:val="bottom"/>
          </w:tcPr>
          <w:p w14:paraId="5073A789" w14:textId="6172D493"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98</w:t>
            </w:r>
          </w:p>
        </w:tc>
        <w:tc>
          <w:tcPr>
            <w:tcW w:w="992" w:type="dxa"/>
            <w:tcBorders>
              <w:top w:val="nil"/>
              <w:left w:val="nil"/>
              <w:bottom w:val="nil"/>
              <w:right w:val="nil"/>
              <w:tl2br w:val="nil"/>
              <w:tr2bl w:val="nil"/>
            </w:tcBorders>
            <w:noWrap/>
            <w:tcMar>
              <w:left w:w="101" w:type="dxa"/>
              <w:right w:w="101" w:type="dxa"/>
            </w:tcMar>
            <w:vAlign w:val="bottom"/>
          </w:tcPr>
          <w:p w14:paraId="7FEF0077" w14:textId="1F18708B"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210</w:t>
            </w:r>
          </w:p>
        </w:tc>
        <w:tc>
          <w:tcPr>
            <w:tcW w:w="992" w:type="dxa"/>
            <w:tcBorders>
              <w:top w:val="nil"/>
              <w:left w:val="nil"/>
              <w:bottom w:val="nil"/>
              <w:right w:val="nil"/>
              <w:tl2br w:val="nil"/>
              <w:tr2bl w:val="nil"/>
            </w:tcBorders>
            <w:noWrap/>
            <w:tcMar>
              <w:left w:w="101" w:type="dxa"/>
              <w:right w:w="101" w:type="dxa"/>
            </w:tcMar>
            <w:vAlign w:val="bottom"/>
          </w:tcPr>
          <w:p w14:paraId="0EF1E34C" w14:textId="78C814E8" w:rsidR="00D96C07" w:rsidRPr="00D96C07" w:rsidRDefault="00D96C07" w:rsidP="00D96C07">
            <w:pPr>
              <w:pBdr>
                <w:top w:val="nil"/>
                <w:left w:val="nil"/>
                <w:bottom w:val="nil"/>
                <w:right w:val="nil"/>
                <w:between w:val="nil"/>
                <w:bar w:val="nil"/>
              </w:pBdr>
              <w:jc w:val="right"/>
              <w:rPr>
                <w:rFonts w:ascii="Calibri" w:eastAsia="Calibri" w:hAnsi="Calibri" w:cs="Calibri"/>
                <w:color w:val="000000"/>
                <w:sz w:val="18"/>
                <w:lang w:eastAsia="en-US"/>
              </w:rPr>
            </w:pPr>
            <w:r w:rsidRPr="00D96C07">
              <w:rPr>
                <w:rFonts w:ascii="Calibri" w:eastAsia="Calibri" w:hAnsi="Calibri" w:cs="Calibri"/>
                <w:color w:val="000000"/>
                <w:sz w:val="18"/>
                <w:lang w:eastAsia="en-US"/>
              </w:rPr>
              <w:t>108</w:t>
            </w:r>
          </w:p>
        </w:tc>
      </w:tr>
      <w:tr w:rsidR="00143C9C" w14:paraId="72545B0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vAlign w:val="center"/>
          </w:tcPr>
          <w:p w14:paraId="5C5CEAAB" w14:textId="6DE9DF11" w:rsidR="00143C9C" w:rsidRDefault="009B5C32" w:rsidP="005D4B41">
            <w:pPr>
              <w:pBdr>
                <w:top w:val="nil"/>
                <w:left w:val="nil"/>
                <w:bottom w:val="nil"/>
                <w:right w:val="nil"/>
                <w:between w:val="nil"/>
                <w:bar w:val="nil"/>
              </w:pBdr>
              <w:ind w:left="170" w:hanging="170"/>
              <w:rPr>
                <w:rFonts w:eastAsia="Calibri" w:cs="Calibri"/>
                <w:i/>
                <w:color w:val="000000"/>
                <w:u w:val="single"/>
              </w:rPr>
            </w:pPr>
            <w:r>
              <w:rPr>
                <w:rFonts w:ascii="Calibri" w:eastAsia="Calibri" w:hAnsi="Calibri" w:cs="Calibri"/>
                <w:i/>
                <w:color w:val="000000"/>
                <w:sz w:val="18"/>
                <w:u w:val="single"/>
                <w:lang w:eastAsia="en-US"/>
              </w:rPr>
              <w:t>Offset</w:t>
            </w:r>
            <w:r w:rsidR="003F6820">
              <w:rPr>
                <w:rFonts w:ascii="Calibri" w:eastAsia="Calibri" w:hAnsi="Calibri" w:cs="Calibri"/>
                <w:i/>
                <w:color w:val="000000"/>
                <w:sz w:val="18"/>
                <w:u w:val="single"/>
                <w:lang w:eastAsia="en-US"/>
              </w:rPr>
              <w:t>s</w:t>
            </w:r>
          </w:p>
        </w:tc>
        <w:tc>
          <w:tcPr>
            <w:tcW w:w="992" w:type="dxa"/>
            <w:tcBorders>
              <w:top w:val="nil"/>
              <w:left w:val="nil"/>
              <w:bottom w:val="nil"/>
              <w:right w:val="nil"/>
              <w:tl2br w:val="nil"/>
              <w:tr2bl w:val="nil"/>
            </w:tcBorders>
            <w:noWrap/>
            <w:tcMar>
              <w:left w:w="0" w:type="dxa"/>
              <w:right w:w="0" w:type="dxa"/>
            </w:tcMar>
          </w:tcPr>
          <w:p w14:paraId="73A38BEB" w14:textId="77777777" w:rsidR="00143C9C" w:rsidRDefault="00143C9C">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643BA27E" w14:textId="77777777" w:rsidR="00143C9C" w:rsidRDefault="00143C9C">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5ED599CF" w14:textId="77777777" w:rsidR="00143C9C" w:rsidRDefault="00143C9C">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437A7277" w14:textId="77777777" w:rsidR="00143C9C" w:rsidRDefault="00143C9C">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4B861805" w14:textId="77777777" w:rsidR="00143C9C" w:rsidRDefault="00143C9C">
            <w:pPr>
              <w:rPr>
                <w:rFonts w:eastAsia="Calibri" w:cs="Calibri"/>
                <w:color w:val="000000"/>
              </w:rPr>
            </w:pPr>
          </w:p>
        </w:tc>
      </w:tr>
      <w:tr w:rsidR="00143C9C" w14:paraId="6B1B6A7B"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2934BB8A"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transport infrastructure – Building light rail to Woden</w:t>
            </w:r>
          </w:p>
        </w:tc>
        <w:tc>
          <w:tcPr>
            <w:tcW w:w="992" w:type="dxa"/>
            <w:tcBorders>
              <w:top w:val="nil"/>
              <w:left w:val="nil"/>
              <w:bottom w:val="nil"/>
              <w:right w:val="nil"/>
              <w:tl2br w:val="nil"/>
              <w:tr2bl w:val="nil"/>
            </w:tcBorders>
            <w:noWrap/>
            <w:tcMar>
              <w:left w:w="101" w:type="dxa"/>
              <w:right w:w="101" w:type="dxa"/>
            </w:tcMar>
          </w:tcPr>
          <w:p w14:paraId="670B663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-7,500</w:t>
            </w:r>
          </w:p>
        </w:tc>
        <w:tc>
          <w:tcPr>
            <w:tcW w:w="992" w:type="dxa"/>
            <w:tcBorders>
              <w:top w:val="nil"/>
              <w:left w:val="nil"/>
              <w:bottom w:val="nil"/>
              <w:right w:val="nil"/>
              <w:tl2br w:val="nil"/>
              <w:tr2bl w:val="nil"/>
            </w:tcBorders>
            <w:noWrap/>
            <w:tcMar>
              <w:left w:w="101" w:type="dxa"/>
              <w:right w:w="101" w:type="dxa"/>
            </w:tcMar>
          </w:tcPr>
          <w:p w14:paraId="3B5C1D1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7D523D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6CDE90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4722C5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4DFE85B3"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15D0D3F7"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transport infrastructure – Delivering Light Rail Stage 2A</w:t>
            </w:r>
          </w:p>
        </w:tc>
        <w:tc>
          <w:tcPr>
            <w:tcW w:w="992" w:type="dxa"/>
            <w:tcBorders>
              <w:top w:val="nil"/>
              <w:left w:val="nil"/>
              <w:bottom w:val="nil"/>
              <w:right w:val="nil"/>
              <w:tl2br w:val="nil"/>
              <w:tr2bl w:val="nil"/>
            </w:tcBorders>
            <w:noWrap/>
            <w:tcMar>
              <w:left w:w="101" w:type="dxa"/>
              <w:right w:w="101" w:type="dxa"/>
            </w:tcMar>
          </w:tcPr>
          <w:p w14:paraId="0760782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AED7C2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-3,493</w:t>
            </w:r>
          </w:p>
        </w:tc>
        <w:tc>
          <w:tcPr>
            <w:tcW w:w="992" w:type="dxa"/>
            <w:tcBorders>
              <w:top w:val="nil"/>
              <w:left w:val="nil"/>
              <w:bottom w:val="nil"/>
              <w:right w:val="nil"/>
              <w:tl2br w:val="nil"/>
              <w:tr2bl w:val="nil"/>
            </w:tcBorders>
            <w:noWrap/>
            <w:tcMar>
              <w:left w:w="101" w:type="dxa"/>
              <w:right w:w="101" w:type="dxa"/>
            </w:tcMar>
          </w:tcPr>
          <w:p w14:paraId="23C1C3A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B7BE0C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A6BA0A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72AA18F9"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385C00DD"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Climate action – Continuing the Electrification of Government Assets</w:t>
            </w:r>
          </w:p>
        </w:tc>
        <w:tc>
          <w:tcPr>
            <w:tcW w:w="992" w:type="dxa"/>
            <w:tcBorders>
              <w:top w:val="nil"/>
              <w:left w:val="nil"/>
              <w:bottom w:val="nil"/>
              <w:right w:val="nil"/>
              <w:tl2br w:val="nil"/>
              <w:tr2bl w:val="nil"/>
            </w:tcBorders>
            <w:noWrap/>
            <w:tcMar>
              <w:left w:w="101" w:type="dxa"/>
              <w:right w:w="101" w:type="dxa"/>
            </w:tcMar>
          </w:tcPr>
          <w:p w14:paraId="3C99FA2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A1E51C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-5,811</w:t>
            </w:r>
          </w:p>
        </w:tc>
        <w:tc>
          <w:tcPr>
            <w:tcW w:w="992" w:type="dxa"/>
            <w:tcBorders>
              <w:top w:val="nil"/>
              <w:left w:val="nil"/>
              <w:bottom w:val="nil"/>
              <w:right w:val="nil"/>
              <w:tl2br w:val="nil"/>
              <w:tr2bl w:val="nil"/>
            </w:tcBorders>
            <w:noWrap/>
            <w:tcMar>
              <w:left w:w="101" w:type="dxa"/>
              <w:right w:w="101" w:type="dxa"/>
            </w:tcMar>
          </w:tcPr>
          <w:p w14:paraId="7835290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A7489B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3D377D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143C9C" w14:paraId="36E64CD2"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0A4A81EA"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Well-prepared emergency services – Molonglo Station and Casey Station</w:t>
            </w:r>
          </w:p>
        </w:tc>
        <w:tc>
          <w:tcPr>
            <w:tcW w:w="992" w:type="dxa"/>
            <w:tcBorders>
              <w:top w:val="nil"/>
              <w:left w:val="nil"/>
              <w:bottom w:val="nil"/>
              <w:right w:val="nil"/>
              <w:tl2br w:val="nil"/>
              <w:tr2bl w:val="nil"/>
            </w:tcBorders>
            <w:noWrap/>
            <w:tcMar>
              <w:left w:w="101" w:type="dxa"/>
              <w:right w:w="101" w:type="dxa"/>
            </w:tcMar>
          </w:tcPr>
          <w:p w14:paraId="6766B57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A4D613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-11,001</w:t>
            </w:r>
          </w:p>
        </w:tc>
        <w:tc>
          <w:tcPr>
            <w:tcW w:w="992" w:type="dxa"/>
            <w:tcBorders>
              <w:top w:val="nil"/>
              <w:left w:val="nil"/>
              <w:bottom w:val="nil"/>
              <w:right w:val="nil"/>
              <w:tl2br w:val="nil"/>
              <w:tr2bl w:val="nil"/>
            </w:tcBorders>
            <w:noWrap/>
            <w:tcMar>
              <w:left w:w="101" w:type="dxa"/>
              <w:right w:w="101" w:type="dxa"/>
            </w:tcMar>
          </w:tcPr>
          <w:p w14:paraId="3596540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322E92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D57A87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026E7AC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963" w:type="dxa"/>
            <w:tcBorders>
              <w:top w:val="nil"/>
              <w:left w:val="nil"/>
              <w:bottom w:val="nil"/>
              <w:right w:val="nil"/>
              <w:tl2br w:val="nil"/>
              <w:tr2bl w:val="nil"/>
            </w:tcBorders>
            <w:shd w:val="clear" w:color="FFFFFF" w:fill="FFFFFF"/>
            <w:tcMar>
              <w:left w:w="236" w:type="dxa"/>
              <w:right w:w="101" w:type="dxa"/>
            </w:tcMar>
          </w:tcPr>
          <w:p w14:paraId="16AC0882" w14:textId="17B084B1" w:rsidR="00CA75AA" w:rsidRDefault="00CA75AA" w:rsidP="00CA75AA">
            <w:pPr>
              <w:pBdr>
                <w:top w:val="nil"/>
                <w:left w:val="nil"/>
                <w:bottom w:val="nil"/>
                <w:right w:val="nil"/>
                <w:between w:val="nil"/>
                <w:bar w:val="nil"/>
              </w:pBdr>
              <w:ind w:left="170" w:hanging="170"/>
              <w:rPr>
                <w:rFonts w:ascii="Calibri" w:eastAsia="Calibri" w:hAnsi="Calibri" w:cs="Calibri"/>
                <w:color w:val="000000"/>
                <w:sz w:val="18"/>
              </w:rPr>
            </w:pPr>
            <w:r w:rsidRPr="00CA75AA">
              <w:rPr>
                <w:rFonts w:ascii="Calibri" w:eastAsia="Calibri" w:hAnsi="Calibri" w:cs="Calibri"/>
                <w:color w:val="000000"/>
                <w:sz w:val="18"/>
              </w:rPr>
              <w:t>Whitlam Primary School Early Learning Centre</w:t>
            </w:r>
          </w:p>
        </w:tc>
        <w:tc>
          <w:tcPr>
            <w:tcW w:w="992" w:type="dxa"/>
            <w:tcBorders>
              <w:top w:val="nil"/>
              <w:left w:val="nil"/>
              <w:bottom w:val="nil"/>
              <w:right w:val="nil"/>
              <w:tl2br w:val="nil"/>
              <w:tr2bl w:val="nil"/>
            </w:tcBorders>
            <w:noWrap/>
            <w:tcMar>
              <w:left w:w="101" w:type="dxa"/>
              <w:right w:w="101" w:type="dxa"/>
            </w:tcMar>
          </w:tcPr>
          <w:p w14:paraId="60CF1F64" w14:textId="272B6435" w:rsidR="00CA75AA" w:rsidRDefault="00CA75AA" w:rsidP="00CA75AA">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4F43A11" w14:textId="5DA3733D" w:rsidR="00CA75AA" w:rsidRDefault="00CA75AA" w:rsidP="00CA75AA">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w:t>
            </w:r>
            <w:r w:rsidR="00133320">
              <w:rPr>
                <w:rFonts w:ascii="Calibri" w:eastAsia="Calibri" w:hAnsi="Calibri" w:cs="Calibri"/>
                <w:color w:val="000000"/>
                <w:sz w:val="18"/>
                <w:lang w:eastAsia="en-US"/>
              </w:rPr>
              <w:t>10</w:t>
            </w:r>
            <w:r>
              <w:rPr>
                <w:rFonts w:ascii="Calibri" w:eastAsia="Calibri" w:hAnsi="Calibri" w:cs="Calibri"/>
                <w:color w:val="000000"/>
                <w:sz w:val="18"/>
                <w:lang w:eastAsia="en-US"/>
              </w:rPr>
              <w:t>,000</w:t>
            </w:r>
          </w:p>
        </w:tc>
        <w:tc>
          <w:tcPr>
            <w:tcW w:w="992" w:type="dxa"/>
            <w:tcBorders>
              <w:top w:val="nil"/>
              <w:left w:val="nil"/>
              <w:bottom w:val="nil"/>
              <w:right w:val="nil"/>
              <w:tl2br w:val="nil"/>
              <w:tr2bl w:val="nil"/>
            </w:tcBorders>
            <w:noWrap/>
            <w:tcMar>
              <w:left w:w="101" w:type="dxa"/>
              <w:right w:w="101" w:type="dxa"/>
            </w:tcMar>
          </w:tcPr>
          <w:p w14:paraId="28643F85" w14:textId="3830522D" w:rsidR="00CA75AA" w:rsidRDefault="00CA75AA" w:rsidP="00CA75AA">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w:t>
            </w:r>
            <w:r w:rsidR="00133320">
              <w:rPr>
                <w:rFonts w:ascii="Calibri" w:eastAsia="Calibri" w:hAnsi="Calibri" w:cs="Calibri"/>
                <w:color w:val="000000"/>
                <w:sz w:val="18"/>
                <w:lang w:eastAsia="en-US"/>
              </w:rPr>
              <w:t>3</w:t>
            </w:r>
            <w:r>
              <w:rPr>
                <w:rFonts w:ascii="Calibri" w:eastAsia="Calibri" w:hAnsi="Calibri" w:cs="Calibri"/>
                <w:color w:val="000000"/>
                <w:sz w:val="18"/>
                <w:lang w:eastAsia="en-US"/>
              </w:rPr>
              <w:t>,000</w:t>
            </w:r>
          </w:p>
        </w:tc>
        <w:tc>
          <w:tcPr>
            <w:tcW w:w="992" w:type="dxa"/>
            <w:tcBorders>
              <w:top w:val="nil"/>
              <w:left w:val="nil"/>
              <w:bottom w:val="nil"/>
              <w:right w:val="nil"/>
              <w:tl2br w:val="nil"/>
              <w:tr2bl w:val="nil"/>
            </w:tcBorders>
            <w:noWrap/>
            <w:tcMar>
              <w:left w:w="101" w:type="dxa"/>
              <w:right w:w="101" w:type="dxa"/>
            </w:tcMar>
          </w:tcPr>
          <w:p w14:paraId="28E5A4A3" w14:textId="74F4C613" w:rsidR="00CA75AA" w:rsidRDefault="00CA75AA" w:rsidP="00CA75AA">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CE9DA75" w14:textId="6D5FCE12" w:rsidR="00CA75AA" w:rsidRDefault="00CA75AA" w:rsidP="00CA75AA">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0</w:t>
            </w:r>
          </w:p>
        </w:tc>
      </w:tr>
      <w:tr w:rsidR="00CA75AA" w14:paraId="3387EAE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vAlign w:val="center"/>
          </w:tcPr>
          <w:p w14:paraId="3C1DF698" w14:textId="255CA527" w:rsidR="00CA75AA" w:rsidRDefault="00CA75AA" w:rsidP="00CA75AA">
            <w:pPr>
              <w:pBdr>
                <w:top w:val="nil"/>
                <w:left w:val="nil"/>
                <w:bottom w:val="nil"/>
                <w:right w:val="nil"/>
                <w:between w:val="nil"/>
                <w:bar w:val="nil"/>
              </w:pBdr>
              <w:ind w:left="170" w:hanging="170"/>
              <w:rPr>
                <w:rFonts w:eastAsia="Calibri" w:cs="Calibri"/>
                <w:i/>
                <w:color w:val="000000"/>
                <w:u w:val="single"/>
              </w:rPr>
            </w:pPr>
            <w:r>
              <w:rPr>
                <w:rFonts w:ascii="Calibri" w:eastAsia="Calibri" w:hAnsi="Calibri" w:cs="Calibri"/>
                <w:i/>
                <w:color w:val="000000"/>
                <w:sz w:val="18"/>
                <w:u w:val="single"/>
                <w:lang w:eastAsia="en-US"/>
              </w:rPr>
              <w:t>Savings</w:t>
            </w:r>
          </w:p>
        </w:tc>
        <w:tc>
          <w:tcPr>
            <w:tcW w:w="992" w:type="dxa"/>
            <w:tcBorders>
              <w:top w:val="nil"/>
              <w:left w:val="nil"/>
              <w:bottom w:val="nil"/>
              <w:right w:val="nil"/>
              <w:tl2br w:val="nil"/>
              <w:tr2bl w:val="nil"/>
            </w:tcBorders>
            <w:noWrap/>
            <w:tcMar>
              <w:left w:w="0" w:type="dxa"/>
              <w:right w:w="0" w:type="dxa"/>
            </w:tcMar>
          </w:tcPr>
          <w:p w14:paraId="648A0B0B"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1ED69F6E"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2AAF1129"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19320F57"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30832DFC" w14:textId="77777777" w:rsidR="00CA75AA" w:rsidRDefault="00CA75AA" w:rsidP="00CA75AA">
            <w:pPr>
              <w:rPr>
                <w:rFonts w:eastAsia="Calibri" w:cs="Calibri"/>
                <w:color w:val="000000"/>
              </w:rPr>
            </w:pPr>
          </w:p>
        </w:tc>
      </w:tr>
      <w:tr w:rsidR="00CA75AA" w14:paraId="38B9CC7D"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004C396E"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Improving Canberra’s health infrastructure – New Health Centres across the ACT </w:t>
            </w:r>
          </w:p>
        </w:tc>
        <w:tc>
          <w:tcPr>
            <w:tcW w:w="992" w:type="dxa"/>
            <w:tcBorders>
              <w:top w:val="nil"/>
              <w:left w:val="nil"/>
              <w:bottom w:val="nil"/>
              <w:right w:val="nil"/>
              <w:tl2br w:val="nil"/>
              <w:tr2bl w:val="nil"/>
            </w:tcBorders>
            <w:noWrap/>
            <w:tcMar>
              <w:left w:w="101" w:type="dxa"/>
              <w:right w:w="101" w:type="dxa"/>
            </w:tcMar>
          </w:tcPr>
          <w:p w14:paraId="0743CE5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-457</w:t>
            </w:r>
          </w:p>
        </w:tc>
        <w:tc>
          <w:tcPr>
            <w:tcW w:w="992" w:type="dxa"/>
            <w:tcBorders>
              <w:top w:val="nil"/>
              <w:left w:val="nil"/>
              <w:bottom w:val="nil"/>
              <w:right w:val="nil"/>
              <w:tl2br w:val="nil"/>
              <w:tr2bl w:val="nil"/>
            </w:tcBorders>
            <w:noWrap/>
            <w:tcMar>
              <w:left w:w="101" w:type="dxa"/>
              <w:right w:w="101" w:type="dxa"/>
            </w:tcMar>
          </w:tcPr>
          <w:p w14:paraId="4F4F748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-1,019</w:t>
            </w:r>
          </w:p>
        </w:tc>
        <w:tc>
          <w:tcPr>
            <w:tcW w:w="992" w:type="dxa"/>
            <w:tcBorders>
              <w:top w:val="nil"/>
              <w:left w:val="nil"/>
              <w:bottom w:val="nil"/>
              <w:right w:val="nil"/>
              <w:tl2br w:val="nil"/>
              <w:tr2bl w:val="nil"/>
            </w:tcBorders>
            <w:noWrap/>
            <w:tcMar>
              <w:left w:w="101" w:type="dxa"/>
              <w:right w:w="101" w:type="dxa"/>
            </w:tcMar>
          </w:tcPr>
          <w:p w14:paraId="3635A17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-2,062</w:t>
            </w:r>
          </w:p>
        </w:tc>
        <w:tc>
          <w:tcPr>
            <w:tcW w:w="992" w:type="dxa"/>
            <w:tcBorders>
              <w:top w:val="nil"/>
              <w:left w:val="nil"/>
              <w:bottom w:val="nil"/>
              <w:right w:val="nil"/>
              <w:tl2br w:val="nil"/>
              <w:tr2bl w:val="nil"/>
            </w:tcBorders>
            <w:noWrap/>
            <w:tcMar>
              <w:left w:w="101" w:type="dxa"/>
              <w:right w:w="101" w:type="dxa"/>
            </w:tcMar>
          </w:tcPr>
          <w:p w14:paraId="427F5121"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9583A1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6A58A450"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4AE6B778"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Strengthening emergency services – Early works for the Casey Emergency Services Station</w:t>
            </w:r>
          </w:p>
        </w:tc>
        <w:tc>
          <w:tcPr>
            <w:tcW w:w="992" w:type="dxa"/>
            <w:tcBorders>
              <w:top w:val="nil"/>
              <w:left w:val="nil"/>
              <w:bottom w:val="nil"/>
              <w:right w:val="nil"/>
              <w:tl2br w:val="nil"/>
              <w:tr2bl w:val="nil"/>
            </w:tcBorders>
            <w:noWrap/>
            <w:tcMar>
              <w:left w:w="101" w:type="dxa"/>
              <w:right w:w="101" w:type="dxa"/>
            </w:tcMar>
          </w:tcPr>
          <w:p w14:paraId="10194B31"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-5,736</w:t>
            </w:r>
          </w:p>
        </w:tc>
        <w:tc>
          <w:tcPr>
            <w:tcW w:w="992" w:type="dxa"/>
            <w:tcBorders>
              <w:top w:val="nil"/>
              <w:left w:val="nil"/>
              <w:bottom w:val="nil"/>
              <w:right w:val="nil"/>
              <w:tl2br w:val="nil"/>
              <w:tr2bl w:val="nil"/>
            </w:tcBorders>
            <w:noWrap/>
            <w:tcMar>
              <w:left w:w="101" w:type="dxa"/>
              <w:right w:w="101" w:type="dxa"/>
            </w:tcMar>
          </w:tcPr>
          <w:p w14:paraId="35664D0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-3,490</w:t>
            </w:r>
          </w:p>
        </w:tc>
        <w:tc>
          <w:tcPr>
            <w:tcW w:w="992" w:type="dxa"/>
            <w:tcBorders>
              <w:top w:val="nil"/>
              <w:left w:val="nil"/>
              <w:bottom w:val="nil"/>
              <w:right w:val="nil"/>
              <w:tl2br w:val="nil"/>
              <w:tr2bl w:val="nil"/>
            </w:tcBorders>
            <w:noWrap/>
            <w:tcMar>
              <w:left w:w="101" w:type="dxa"/>
              <w:right w:w="101" w:type="dxa"/>
            </w:tcMar>
          </w:tcPr>
          <w:p w14:paraId="30A6B2A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621979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1C0BE7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48D2B58E"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3963" w:type="dxa"/>
            <w:tcBorders>
              <w:top w:val="nil"/>
              <w:left w:val="nil"/>
              <w:bottom w:val="nil"/>
              <w:right w:val="nil"/>
              <w:tl2br w:val="nil"/>
              <w:tr2bl w:val="nil"/>
            </w:tcBorders>
            <w:tcMar>
              <w:left w:w="101" w:type="dxa"/>
              <w:right w:w="101" w:type="dxa"/>
            </w:tcMar>
            <w:vAlign w:val="bottom"/>
          </w:tcPr>
          <w:p w14:paraId="65A48845" w14:textId="77777777" w:rsidR="00CA75AA" w:rsidRDefault="00CA75AA" w:rsidP="00CA75AA">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2026-27 Budget Technical Adjustments</w:t>
            </w:r>
          </w:p>
        </w:tc>
        <w:tc>
          <w:tcPr>
            <w:tcW w:w="992" w:type="dxa"/>
            <w:tcBorders>
              <w:top w:val="nil"/>
              <w:left w:val="nil"/>
              <w:bottom w:val="nil"/>
              <w:right w:val="nil"/>
              <w:tl2br w:val="nil"/>
              <w:tr2bl w:val="nil"/>
            </w:tcBorders>
            <w:noWrap/>
            <w:tcMar>
              <w:left w:w="0" w:type="dxa"/>
              <w:right w:w="0" w:type="dxa"/>
            </w:tcMar>
            <w:vAlign w:val="bottom"/>
          </w:tcPr>
          <w:p w14:paraId="740CBEE4" w14:textId="77777777" w:rsidR="00CA75AA" w:rsidRDefault="00CA75AA" w:rsidP="00CA75AA">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28042C63" w14:textId="77777777" w:rsidR="00CA75AA" w:rsidRDefault="00CA75AA" w:rsidP="00CA75AA">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432799AC" w14:textId="77777777" w:rsidR="00CA75AA" w:rsidRDefault="00CA75AA" w:rsidP="00CA75AA">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613F2ECE" w14:textId="77777777" w:rsidR="00CA75AA" w:rsidRDefault="00CA75AA" w:rsidP="00CA75AA">
            <w:pPr>
              <w:rPr>
                <w:rFonts w:eastAsia="Calibri" w:cs="Calibri"/>
                <w:color w:val="FFFFFF"/>
              </w:rPr>
            </w:pPr>
          </w:p>
        </w:tc>
        <w:tc>
          <w:tcPr>
            <w:tcW w:w="992" w:type="dxa"/>
            <w:tcBorders>
              <w:top w:val="nil"/>
              <w:left w:val="nil"/>
              <w:bottom w:val="nil"/>
              <w:right w:val="nil"/>
              <w:tl2br w:val="nil"/>
              <w:tr2bl w:val="nil"/>
            </w:tcBorders>
            <w:noWrap/>
            <w:tcMar>
              <w:left w:w="0" w:type="dxa"/>
              <w:right w:w="0" w:type="dxa"/>
            </w:tcMar>
            <w:vAlign w:val="bottom"/>
          </w:tcPr>
          <w:p w14:paraId="4FF36E13" w14:textId="77777777" w:rsidR="00CA75AA" w:rsidRDefault="00CA75AA" w:rsidP="00CA75AA">
            <w:pPr>
              <w:rPr>
                <w:rFonts w:eastAsia="Calibri" w:cs="Calibri"/>
                <w:color w:val="FFFFFF"/>
              </w:rPr>
            </w:pPr>
          </w:p>
        </w:tc>
      </w:tr>
      <w:tr w:rsidR="00CA75AA" w14:paraId="45C328D8"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vAlign w:val="center"/>
          </w:tcPr>
          <w:p w14:paraId="568BDC94" w14:textId="77777777" w:rsidR="00CA75AA" w:rsidRDefault="00CA75AA" w:rsidP="00CA75AA">
            <w:pPr>
              <w:pBdr>
                <w:top w:val="nil"/>
                <w:left w:val="nil"/>
                <w:bottom w:val="nil"/>
                <w:right w:val="nil"/>
                <w:between w:val="nil"/>
                <w:bar w:val="nil"/>
              </w:pBdr>
              <w:ind w:left="170" w:hanging="170"/>
              <w:rPr>
                <w:rFonts w:eastAsia="Calibri" w:cs="Calibri"/>
                <w:i/>
                <w:color w:val="000000"/>
                <w:u w:val="single"/>
              </w:rPr>
            </w:pPr>
            <w:r>
              <w:rPr>
                <w:rFonts w:ascii="Calibri" w:eastAsia="Calibri" w:hAnsi="Calibri" w:cs="Calibri"/>
                <w:i/>
                <w:color w:val="000000"/>
                <w:sz w:val="18"/>
                <w:u w:val="single"/>
                <w:lang w:eastAsia="en-US"/>
              </w:rPr>
              <w:t>Commonwealth Grant</w:t>
            </w:r>
          </w:p>
        </w:tc>
        <w:tc>
          <w:tcPr>
            <w:tcW w:w="992" w:type="dxa"/>
            <w:tcBorders>
              <w:top w:val="nil"/>
              <w:left w:val="nil"/>
              <w:bottom w:val="nil"/>
              <w:right w:val="nil"/>
              <w:tl2br w:val="nil"/>
              <w:tr2bl w:val="nil"/>
            </w:tcBorders>
            <w:noWrap/>
            <w:tcMar>
              <w:left w:w="0" w:type="dxa"/>
              <w:right w:w="0" w:type="dxa"/>
            </w:tcMar>
          </w:tcPr>
          <w:p w14:paraId="4E9A0B5B"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06B289FD"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0A645FEB"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47C065E7"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3B123D37" w14:textId="77777777" w:rsidR="00CA75AA" w:rsidRDefault="00CA75AA" w:rsidP="00CA75AA">
            <w:pPr>
              <w:rPr>
                <w:rFonts w:eastAsia="Calibri" w:cs="Calibri"/>
                <w:color w:val="000000"/>
              </w:rPr>
            </w:pPr>
          </w:p>
        </w:tc>
      </w:tr>
      <w:tr w:rsidR="00CA75AA" w14:paraId="11FDFC9D"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236" w:type="dxa"/>
              <w:right w:w="101" w:type="dxa"/>
            </w:tcMar>
          </w:tcPr>
          <w:p w14:paraId="6B02B358"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Better and safer roads – Athllon Drive duplication </w:t>
            </w:r>
          </w:p>
        </w:tc>
        <w:tc>
          <w:tcPr>
            <w:tcW w:w="992" w:type="dxa"/>
            <w:tcBorders>
              <w:top w:val="nil"/>
              <w:left w:val="nil"/>
              <w:bottom w:val="nil"/>
              <w:right w:val="nil"/>
              <w:tl2br w:val="nil"/>
              <w:tr2bl w:val="nil"/>
            </w:tcBorders>
            <w:noWrap/>
            <w:tcMar>
              <w:left w:w="101" w:type="dxa"/>
              <w:right w:w="101" w:type="dxa"/>
            </w:tcMar>
          </w:tcPr>
          <w:p w14:paraId="61A71EB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-4,835</w:t>
            </w:r>
          </w:p>
        </w:tc>
        <w:tc>
          <w:tcPr>
            <w:tcW w:w="992" w:type="dxa"/>
            <w:tcBorders>
              <w:top w:val="nil"/>
              <w:left w:val="nil"/>
              <w:bottom w:val="nil"/>
              <w:right w:val="nil"/>
              <w:tl2br w:val="nil"/>
              <w:tr2bl w:val="nil"/>
            </w:tcBorders>
            <w:noWrap/>
            <w:tcMar>
              <w:left w:w="101" w:type="dxa"/>
              <w:right w:w="101" w:type="dxa"/>
            </w:tcMar>
          </w:tcPr>
          <w:p w14:paraId="63534EE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-3,841</w:t>
            </w:r>
          </w:p>
        </w:tc>
        <w:tc>
          <w:tcPr>
            <w:tcW w:w="992" w:type="dxa"/>
            <w:tcBorders>
              <w:top w:val="nil"/>
              <w:left w:val="nil"/>
              <w:bottom w:val="nil"/>
              <w:right w:val="nil"/>
              <w:tl2br w:val="nil"/>
              <w:tr2bl w:val="nil"/>
            </w:tcBorders>
            <w:noWrap/>
            <w:tcMar>
              <w:left w:w="101" w:type="dxa"/>
              <w:right w:w="101" w:type="dxa"/>
            </w:tcMar>
          </w:tcPr>
          <w:p w14:paraId="0E0661F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-6,884</w:t>
            </w:r>
          </w:p>
        </w:tc>
        <w:tc>
          <w:tcPr>
            <w:tcW w:w="992" w:type="dxa"/>
            <w:tcBorders>
              <w:top w:val="nil"/>
              <w:left w:val="nil"/>
              <w:bottom w:val="nil"/>
              <w:right w:val="nil"/>
              <w:tl2br w:val="nil"/>
              <w:tr2bl w:val="nil"/>
            </w:tcBorders>
            <w:noWrap/>
            <w:tcMar>
              <w:left w:w="101" w:type="dxa"/>
              <w:right w:w="101" w:type="dxa"/>
            </w:tcMar>
          </w:tcPr>
          <w:p w14:paraId="25E7F74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18,166</w:t>
            </w:r>
          </w:p>
        </w:tc>
        <w:tc>
          <w:tcPr>
            <w:tcW w:w="992" w:type="dxa"/>
            <w:tcBorders>
              <w:top w:val="nil"/>
              <w:left w:val="nil"/>
              <w:bottom w:val="nil"/>
              <w:right w:val="nil"/>
              <w:tl2br w:val="nil"/>
              <w:tr2bl w:val="nil"/>
            </w:tcBorders>
            <w:noWrap/>
            <w:tcMar>
              <w:left w:w="101" w:type="dxa"/>
              <w:right w:w="101" w:type="dxa"/>
            </w:tcMar>
          </w:tcPr>
          <w:p w14:paraId="4F051B87"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-2,606</w:t>
            </w:r>
          </w:p>
        </w:tc>
      </w:tr>
      <w:tr w:rsidR="00CA75AA" w14:paraId="18E425FA"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236" w:type="dxa"/>
              <w:right w:w="101" w:type="dxa"/>
            </w:tcMar>
          </w:tcPr>
          <w:p w14:paraId="57D0BC18"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Connected and sustainable Canberra – Constructing the William Hovell Drive duplication</w:t>
            </w:r>
          </w:p>
        </w:tc>
        <w:tc>
          <w:tcPr>
            <w:tcW w:w="992" w:type="dxa"/>
            <w:tcBorders>
              <w:top w:val="nil"/>
              <w:left w:val="nil"/>
              <w:bottom w:val="nil"/>
              <w:right w:val="nil"/>
              <w:tl2br w:val="nil"/>
              <w:tr2bl w:val="nil"/>
            </w:tcBorders>
            <w:noWrap/>
            <w:tcMar>
              <w:left w:w="101" w:type="dxa"/>
              <w:right w:w="101" w:type="dxa"/>
            </w:tcMar>
          </w:tcPr>
          <w:p w14:paraId="7DCCD33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-12,561</w:t>
            </w:r>
          </w:p>
        </w:tc>
        <w:tc>
          <w:tcPr>
            <w:tcW w:w="992" w:type="dxa"/>
            <w:tcBorders>
              <w:top w:val="nil"/>
              <w:left w:val="nil"/>
              <w:bottom w:val="nil"/>
              <w:right w:val="nil"/>
              <w:tl2br w:val="nil"/>
              <w:tr2bl w:val="nil"/>
            </w:tcBorders>
            <w:noWrap/>
            <w:tcMar>
              <w:left w:w="101" w:type="dxa"/>
              <w:right w:w="101" w:type="dxa"/>
            </w:tcMar>
          </w:tcPr>
          <w:p w14:paraId="35D0A1E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2,375</w:t>
            </w:r>
          </w:p>
        </w:tc>
        <w:tc>
          <w:tcPr>
            <w:tcW w:w="992" w:type="dxa"/>
            <w:tcBorders>
              <w:top w:val="nil"/>
              <w:left w:val="nil"/>
              <w:bottom w:val="nil"/>
              <w:right w:val="nil"/>
              <w:tl2br w:val="nil"/>
              <w:tr2bl w:val="nil"/>
            </w:tcBorders>
            <w:noWrap/>
            <w:tcMar>
              <w:left w:w="101" w:type="dxa"/>
              <w:right w:w="101" w:type="dxa"/>
            </w:tcMar>
          </w:tcPr>
          <w:p w14:paraId="1FE0E82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3,075</w:t>
            </w:r>
          </w:p>
        </w:tc>
        <w:tc>
          <w:tcPr>
            <w:tcW w:w="992" w:type="dxa"/>
            <w:tcBorders>
              <w:top w:val="nil"/>
              <w:left w:val="nil"/>
              <w:bottom w:val="nil"/>
              <w:right w:val="nil"/>
              <w:tl2br w:val="nil"/>
              <w:tr2bl w:val="nil"/>
            </w:tcBorders>
            <w:noWrap/>
            <w:tcMar>
              <w:left w:w="101" w:type="dxa"/>
              <w:right w:w="101" w:type="dxa"/>
            </w:tcMar>
          </w:tcPr>
          <w:p w14:paraId="1235E41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13,561</w:t>
            </w:r>
          </w:p>
        </w:tc>
        <w:tc>
          <w:tcPr>
            <w:tcW w:w="992" w:type="dxa"/>
            <w:tcBorders>
              <w:top w:val="nil"/>
              <w:left w:val="nil"/>
              <w:bottom w:val="nil"/>
              <w:right w:val="nil"/>
              <w:tl2br w:val="nil"/>
              <w:tr2bl w:val="nil"/>
            </w:tcBorders>
            <w:noWrap/>
            <w:tcMar>
              <w:left w:w="101" w:type="dxa"/>
              <w:right w:w="101" w:type="dxa"/>
            </w:tcMar>
          </w:tcPr>
          <w:p w14:paraId="387C701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-6,450</w:t>
            </w:r>
          </w:p>
        </w:tc>
      </w:tr>
      <w:tr w:rsidR="00CA75AA" w14:paraId="617C185A"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tcMar>
              <w:left w:w="236" w:type="dxa"/>
              <w:right w:w="101" w:type="dxa"/>
            </w:tcMar>
          </w:tcPr>
          <w:p w14:paraId="0391AD95"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Connected and sustainable Canberra – Monaro Highway Upgrades</w:t>
            </w:r>
          </w:p>
        </w:tc>
        <w:tc>
          <w:tcPr>
            <w:tcW w:w="992" w:type="dxa"/>
            <w:tcBorders>
              <w:top w:val="nil"/>
              <w:left w:val="nil"/>
              <w:bottom w:val="nil"/>
              <w:right w:val="nil"/>
              <w:tl2br w:val="nil"/>
              <w:tr2bl w:val="nil"/>
            </w:tcBorders>
            <w:noWrap/>
            <w:tcMar>
              <w:left w:w="101" w:type="dxa"/>
              <w:right w:w="101" w:type="dxa"/>
            </w:tcMar>
          </w:tcPr>
          <w:p w14:paraId="06BCE4B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-11,480</w:t>
            </w:r>
          </w:p>
        </w:tc>
        <w:tc>
          <w:tcPr>
            <w:tcW w:w="992" w:type="dxa"/>
            <w:tcBorders>
              <w:top w:val="nil"/>
              <w:left w:val="nil"/>
              <w:bottom w:val="nil"/>
              <w:right w:val="nil"/>
              <w:tl2br w:val="nil"/>
              <w:tr2bl w:val="nil"/>
            </w:tcBorders>
            <w:noWrap/>
            <w:tcMar>
              <w:left w:w="101" w:type="dxa"/>
              <w:right w:w="101" w:type="dxa"/>
            </w:tcMar>
          </w:tcPr>
          <w:p w14:paraId="179F84DF" w14:textId="52C8FAA2"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w:t>
            </w:r>
            <w:r w:rsidR="00AA6F76">
              <w:rPr>
                <w:rFonts w:ascii="Calibri" w:eastAsia="Calibri" w:hAnsi="Calibri" w:cs="Calibri"/>
                <w:color w:val="000000"/>
                <w:sz w:val="18"/>
                <w:lang w:eastAsia="en-US"/>
              </w:rPr>
              <w:t>2</w:t>
            </w:r>
            <w:r>
              <w:rPr>
                <w:rFonts w:ascii="Calibri" w:eastAsia="Calibri" w:hAnsi="Calibri" w:cs="Calibri"/>
                <w:color w:val="000000"/>
                <w:sz w:val="18"/>
                <w:lang w:eastAsia="en-US"/>
              </w:rPr>
              <w:t>0,010</w:t>
            </w:r>
          </w:p>
        </w:tc>
        <w:tc>
          <w:tcPr>
            <w:tcW w:w="992" w:type="dxa"/>
            <w:tcBorders>
              <w:top w:val="nil"/>
              <w:left w:val="nil"/>
              <w:bottom w:val="nil"/>
              <w:right w:val="nil"/>
              <w:tl2br w:val="nil"/>
              <w:tr2bl w:val="nil"/>
            </w:tcBorders>
            <w:noWrap/>
            <w:tcMar>
              <w:left w:w="101" w:type="dxa"/>
              <w:right w:w="101" w:type="dxa"/>
            </w:tcMar>
          </w:tcPr>
          <w:p w14:paraId="5DB9158F" w14:textId="622C71AD"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w:t>
            </w:r>
            <w:r w:rsidR="00AA6F76">
              <w:rPr>
                <w:rFonts w:ascii="Calibri" w:eastAsia="Calibri" w:hAnsi="Calibri" w:cs="Calibri"/>
                <w:color w:val="000000"/>
                <w:sz w:val="18"/>
                <w:lang w:eastAsia="en-US"/>
              </w:rPr>
              <w:t>2</w:t>
            </w:r>
            <w:r>
              <w:rPr>
                <w:rFonts w:ascii="Calibri" w:eastAsia="Calibri" w:hAnsi="Calibri" w:cs="Calibri"/>
                <w:color w:val="000000"/>
                <w:sz w:val="18"/>
                <w:lang w:eastAsia="en-US"/>
              </w:rPr>
              <w:t>7,738</w:t>
            </w:r>
          </w:p>
        </w:tc>
        <w:tc>
          <w:tcPr>
            <w:tcW w:w="992" w:type="dxa"/>
            <w:tcBorders>
              <w:top w:val="nil"/>
              <w:left w:val="nil"/>
              <w:bottom w:val="nil"/>
              <w:right w:val="nil"/>
              <w:tl2br w:val="nil"/>
              <w:tr2bl w:val="nil"/>
            </w:tcBorders>
            <w:noWrap/>
            <w:tcMar>
              <w:left w:w="101" w:type="dxa"/>
              <w:right w:w="101" w:type="dxa"/>
            </w:tcMar>
          </w:tcPr>
          <w:p w14:paraId="207CF1C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22,000</w:t>
            </w:r>
          </w:p>
        </w:tc>
        <w:tc>
          <w:tcPr>
            <w:tcW w:w="992" w:type="dxa"/>
            <w:tcBorders>
              <w:top w:val="nil"/>
              <w:left w:val="nil"/>
              <w:bottom w:val="nil"/>
              <w:right w:val="nil"/>
              <w:tl2br w:val="nil"/>
              <w:tr2bl w:val="nil"/>
            </w:tcBorders>
            <w:noWrap/>
            <w:tcMar>
              <w:left w:w="101" w:type="dxa"/>
              <w:right w:w="101" w:type="dxa"/>
            </w:tcMar>
          </w:tcPr>
          <w:p w14:paraId="74544F8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9,966</w:t>
            </w:r>
          </w:p>
        </w:tc>
      </w:tr>
      <w:tr w:rsidR="00CA75AA" w14:paraId="14F09876"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236" w:type="dxa"/>
              <w:right w:w="101" w:type="dxa"/>
            </w:tcMar>
          </w:tcPr>
          <w:p w14:paraId="70BF2FF3"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lastRenderedPageBreak/>
              <w:t>Designing the Molonglo Parkway – Drive Connector</w:t>
            </w:r>
          </w:p>
        </w:tc>
        <w:tc>
          <w:tcPr>
            <w:tcW w:w="992" w:type="dxa"/>
            <w:tcBorders>
              <w:top w:val="nil"/>
              <w:left w:val="nil"/>
              <w:bottom w:val="nil"/>
              <w:right w:val="nil"/>
              <w:tl2br w:val="nil"/>
              <w:tr2bl w:val="nil"/>
            </w:tcBorders>
            <w:noWrap/>
            <w:tcMar>
              <w:left w:w="101" w:type="dxa"/>
              <w:right w:w="101" w:type="dxa"/>
            </w:tcMar>
          </w:tcPr>
          <w:p w14:paraId="719F75C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D7596A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2,288</w:t>
            </w:r>
          </w:p>
        </w:tc>
        <w:tc>
          <w:tcPr>
            <w:tcW w:w="992" w:type="dxa"/>
            <w:tcBorders>
              <w:top w:val="nil"/>
              <w:left w:val="nil"/>
              <w:bottom w:val="nil"/>
              <w:right w:val="nil"/>
              <w:tl2br w:val="nil"/>
              <w:tr2bl w:val="nil"/>
            </w:tcBorders>
            <w:noWrap/>
            <w:tcMar>
              <w:left w:w="101" w:type="dxa"/>
              <w:right w:w="101" w:type="dxa"/>
            </w:tcMar>
          </w:tcPr>
          <w:p w14:paraId="732246C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2,287</w:t>
            </w:r>
          </w:p>
        </w:tc>
        <w:tc>
          <w:tcPr>
            <w:tcW w:w="992" w:type="dxa"/>
            <w:tcBorders>
              <w:top w:val="nil"/>
              <w:left w:val="nil"/>
              <w:bottom w:val="nil"/>
              <w:right w:val="nil"/>
              <w:tl2br w:val="nil"/>
              <w:tr2bl w:val="nil"/>
            </w:tcBorders>
            <w:noWrap/>
            <w:tcMar>
              <w:left w:w="101" w:type="dxa"/>
              <w:right w:w="101" w:type="dxa"/>
            </w:tcMar>
          </w:tcPr>
          <w:p w14:paraId="050261F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776002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33085EFF"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236" w:type="dxa"/>
              <w:right w:w="101" w:type="dxa"/>
            </w:tcMar>
          </w:tcPr>
          <w:p w14:paraId="6D15947F"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Molonglo Enabling Works</w:t>
            </w:r>
          </w:p>
        </w:tc>
        <w:tc>
          <w:tcPr>
            <w:tcW w:w="992" w:type="dxa"/>
            <w:tcBorders>
              <w:top w:val="nil"/>
              <w:left w:val="nil"/>
              <w:bottom w:val="nil"/>
              <w:right w:val="nil"/>
              <w:tl2br w:val="nil"/>
              <w:tr2bl w:val="nil"/>
            </w:tcBorders>
            <w:noWrap/>
            <w:tcMar>
              <w:left w:w="101" w:type="dxa"/>
              <w:right w:w="101" w:type="dxa"/>
            </w:tcMar>
          </w:tcPr>
          <w:p w14:paraId="6FEEBDB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14,000</w:t>
            </w:r>
          </w:p>
        </w:tc>
        <w:tc>
          <w:tcPr>
            <w:tcW w:w="992" w:type="dxa"/>
            <w:tcBorders>
              <w:top w:val="nil"/>
              <w:left w:val="nil"/>
              <w:bottom w:val="nil"/>
              <w:right w:val="nil"/>
              <w:tl2br w:val="nil"/>
              <w:tr2bl w:val="nil"/>
            </w:tcBorders>
            <w:noWrap/>
            <w:tcMar>
              <w:left w:w="101" w:type="dxa"/>
              <w:right w:w="101" w:type="dxa"/>
            </w:tcMar>
          </w:tcPr>
          <w:p w14:paraId="34F1707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3,000</w:t>
            </w:r>
          </w:p>
        </w:tc>
        <w:tc>
          <w:tcPr>
            <w:tcW w:w="992" w:type="dxa"/>
            <w:tcBorders>
              <w:top w:val="nil"/>
              <w:left w:val="nil"/>
              <w:bottom w:val="nil"/>
              <w:right w:val="nil"/>
              <w:tl2br w:val="nil"/>
              <w:tr2bl w:val="nil"/>
            </w:tcBorders>
            <w:noWrap/>
            <w:tcMar>
              <w:left w:w="101" w:type="dxa"/>
              <w:right w:w="101" w:type="dxa"/>
            </w:tcMar>
          </w:tcPr>
          <w:p w14:paraId="2D758F9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211F9A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6A27FA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-17,300</w:t>
            </w:r>
          </w:p>
        </w:tc>
      </w:tr>
      <w:tr w:rsidR="00CA75AA" w14:paraId="672EAEF6"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vAlign w:val="center"/>
          </w:tcPr>
          <w:p w14:paraId="7C63FFFE" w14:textId="77777777" w:rsidR="00CA75AA" w:rsidRDefault="00CA75AA" w:rsidP="00CA75AA">
            <w:pPr>
              <w:pBdr>
                <w:top w:val="nil"/>
                <w:left w:val="nil"/>
                <w:bottom w:val="nil"/>
                <w:right w:val="nil"/>
                <w:between w:val="nil"/>
                <w:bar w:val="nil"/>
              </w:pBdr>
              <w:ind w:left="170" w:hanging="170"/>
              <w:rPr>
                <w:rFonts w:eastAsia="Calibri" w:cs="Calibri"/>
                <w:i/>
                <w:color w:val="000000"/>
                <w:u w:val="single"/>
              </w:rPr>
            </w:pPr>
            <w:r>
              <w:rPr>
                <w:rFonts w:ascii="Calibri" w:eastAsia="Calibri" w:hAnsi="Calibri" w:cs="Calibri"/>
                <w:i/>
                <w:color w:val="000000"/>
                <w:sz w:val="18"/>
                <w:u w:val="single"/>
                <w:lang w:eastAsia="en-US"/>
              </w:rPr>
              <w:t>Revised Funding Profile</w:t>
            </w:r>
          </w:p>
        </w:tc>
        <w:tc>
          <w:tcPr>
            <w:tcW w:w="992" w:type="dxa"/>
            <w:tcBorders>
              <w:top w:val="nil"/>
              <w:left w:val="nil"/>
              <w:bottom w:val="nil"/>
              <w:right w:val="nil"/>
              <w:tl2br w:val="nil"/>
              <w:tr2bl w:val="nil"/>
            </w:tcBorders>
            <w:noWrap/>
            <w:tcMar>
              <w:left w:w="0" w:type="dxa"/>
              <w:right w:w="0" w:type="dxa"/>
            </w:tcMar>
          </w:tcPr>
          <w:p w14:paraId="2360BAF8"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50F19422"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5ECCC699"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70EBCB26"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20DD5C67" w14:textId="77777777" w:rsidR="00CA75AA" w:rsidRDefault="00CA75AA" w:rsidP="00CA75AA">
            <w:pPr>
              <w:rPr>
                <w:rFonts w:eastAsia="Calibri" w:cs="Calibri"/>
                <w:color w:val="000000"/>
              </w:rPr>
            </w:pPr>
          </w:p>
        </w:tc>
      </w:tr>
      <w:tr w:rsidR="00CA75AA" w14:paraId="4C956C0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04FB0184"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ACT Government office accommodation consolidation</w:t>
            </w:r>
          </w:p>
        </w:tc>
        <w:tc>
          <w:tcPr>
            <w:tcW w:w="992" w:type="dxa"/>
            <w:tcBorders>
              <w:top w:val="nil"/>
              <w:left w:val="nil"/>
              <w:bottom w:val="nil"/>
              <w:right w:val="nil"/>
              <w:tl2br w:val="nil"/>
              <w:tr2bl w:val="nil"/>
            </w:tcBorders>
            <w:noWrap/>
            <w:tcMar>
              <w:left w:w="101" w:type="dxa"/>
              <w:right w:w="101" w:type="dxa"/>
            </w:tcMar>
          </w:tcPr>
          <w:p w14:paraId="2C75D8E1"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-421</w:t>
            </w:r>
          </w:p>
        </w:tc>
        <w:tc>
          <w:tcPr>
            <w:tcW w:w="992" w:type="dxa"/>
            <w:tcBorders>
              <w:top w:val="nil"/>
              <w:left w:val="nil"/>
              <w:bottom w:val="nil"/>
              <w:right w:val="nil"/>
              <w:tl2br w:val="nil"/>
              <w:tr2bl w:val="nil"/>
            </w:tcBorders>
            <w:noWrap/>
            <w:tcMar>
              <w:left w:w="101" w:type="dxa"/>
              <w:right w:w="101" w:type="dxa"/>
            </w:tcMar>
          </w:tcPr>
          <w:p w14:paraId="400E04D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421</w:t>
            </w:r>
          </w:p>
        </w:tc>
        <w:tc>
          <w:tcPr>
            <w:tcW w:w="992" w:type="dxa"/>
            <w:tcBorders>
              <w:top w:val="nil"/>
              <w:left w:val="nil"/>
              <w:bottom w:val="nil"/>
              <w:right w:val="nil"/>
              <w:tl2br w:val="nil"/>
              <w:tr2bl w:val="nil"/>
            </w:tcBorders>
            <w:noWrap/>
            <w:tcMar>
              <w:left w:w="101" w:type="dxa"/>
              <w:right w:w="101" w:type="dxa"/>
            </w:tcMar>
          </w:tcPr>
          <w:p w14:paraId="74DD2C9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40446F7"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3234ED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6978C2D9"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1B5DDFB3"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Addressing Private Buildings Cladding</w:t>
            </w:r>
          </w:p>
        </w:tc>
        <w:tc>
          <w:tcPr>
            <w:tcW w:w="992" w:type="dxa"/>
            <w:tcBorders>
              <w:top w:val="nil"/>
              <w:left w:val="nil"/>
              <w:bottom w:val="nil"/>
              <w:right w:val="nil"/>
              <w:tl2br w:val="nil"/>
              <w:tr2bl w:val="nil"/>
            </w:tcBorders>
            <w:noWrap/>
            <w:tcMar>
              <w:left w:w="101" w:type="dxa"/>
              <w:right w:w="101" w:type="dxa"/>
            </w:tcMar>
          </w:tcPr>
          <w:p w14:paraId="7B5B8E5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-17,343</w:t>
            </w:r>
          </w:p>
        </w:tc>
        <w:tc>
          <w:tcPr>
            <w:tcW w:w="992" w:type="dxa"/>
            <w:tcBorders>
              <w:top w:val="nil"/>
              <w:left w:val="nil"/>
              <w:bottom w:val="nil"/>
              <w:right w:val="nil"/>
              <w:tl2br w:val="nil"/>
              <w:tr2bl w:val="nil"/>
            </w:tcBorders>
            <w:noWrap/>
            <w:tcMar>
              <w:left w:w="101" w:type="dxa"/>
              <w:right w:w="101" w:type="dxa"/>
            </w:tcMar>
          </w:tcPr>
          <w:p w14:paraId="0271C32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2,000</w:t>
            </w:r>
          </w:p>
        </w:tc>
        <w:tc>
          <w:tcPr>
            <w:tcW w:w="992" w:type="dxa"/>
            <w:tcBorders>
              <w:top w:val="nil"/>
              <w:left w:val="nil"/>
              <w:bottom w:val="nil"/>
              <w:right w:val="nil"/>
              <w:tl2br w:val="nil"/>
              <w:tr2bl w:val="nil"/>
            </w:tcBorders>
            <w:noWrap/>
            <w:tcMar>
              <w:left w:w="101" w:type="dxa"/>
              <w:right w:w="101" w:type="dxa"/>
            </w:tcMar>
          </w:tcPr>
          <w:p w14:paraId="6157A32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11,386</w:t>
            </w:r>
          </w:p>
        </w:tc>
        <w:tc>
          <w:tcPr>
            <w:tcW w:w="992" w:type="dxa"/>
            <w:tcBorders>
              <w:top w:val="nil"/>
              <w:left w:val="nil"/>
              <w:bottom w:val="nil"/>
              <w:right w:val="nil"/>
              <w:tl2br w:val="nil"/>
              <w:tr2bl w:val="nil"/>
            </w:tcBorders>
            <w:noWrap/>
            <w:tcMar>
              <w:left w:w="101" w:type="dxa"/>
              <w:right w:w="101" w:type="dxa"/>
            </w:tcMar>
          </w:tcPr>
          <w:p w14:paraId="7A19F02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3,957</w:t>
            </w:r>
          </w:p>
        </w:tc>
        <w:tc>
          <w:tcPr>
            <w:tcW w:w="992" w:type="dxa"/>
            <w:tcBorders>
              <w:top w:val="nil"/>
              <w:left w:val="nil"/>
              <w:bottom w:val="nil"/>
              <w:right w:val="nil"/>
              <w:tl2br w:val="nil"/>
              <w:tr2bl w:val="nil"/>
            </w:tcBorders>
            <w:noWrap/>
            <w:tcMar>
              <w:left w:w="101" w:type="dxa"/>
              <w:right w:w="101" w:type="dxa"/>
            </w:tcMar>
          </w:tcPr>
          <w:p w14:paraId="501FA7E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073947C0"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58D7E3AF"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Better and safer roads – Athllon Drive duplication </w:t>
            </w:r>
          </w:p>
        </w:tc>
        <w:tc>
          <w:tcPr>
            <w:tcW w:w="992" w:type="dxa"/>
            <w:tcBorders>
              <w:top w:val="nil"/>
              <w:left w:val="nil"/>
              <w:bottom w:val="nil"/>
              <w:right w:val="nil"/>
              <w:tl2br w:val="nil"/>
              <w:tr2bl w:val="nil"/>
            </w:tcBorders>
            <w:noWrap/>
            <w:tcMar>
              <w:left w:w="101" w:type="dxa"/>
              <w:right w:w="101" w:type="dxa"/>
            </w:tcMar>
          </w:tcPr>
          <w:p w14:paraId="6D469D2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-1,303</w:t>
            </w:r>
          </w:p>
        </w:tc>
        <w:tc>
          <w:tcPr>
            <w:tcW w:w="992" w:type="dxa"/>
            <w:tcBorders>
              <w:top w:val="nil"/>
              <w:left w:val="nil"/>
              <w:bottom w:val="nil"/>
              <w:right w:val="nil"/>
              <w:tl2br w:val="nil"/>
              <w:tr2bl w:val="nil"/>
            </w:tcBorders>
            <w:noWrap/>
            <w:tcMar>
              <w:left w:w="101" w:type="dxa"/>
              <w:right w:w="101" w:type="dxa"/>
            </w:tcMar>
          </w:tcPr>
          <w:p w14:paraId="490775D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-5,628</w:t>
            </w:r>
          </w:p>
        </w:tc>
        <w:tc>
          <w:tcPr>
            <w:tcW w:w="992" w:type="dxa"/>
            <w:tcBorders>
              <w:top w:val="nil"/>
              <w:left w:val="nil"/>
              <w:bottom w:val="nil"/>
              <w:right w:val="nil"/>
              <w:tl2br w:val="nil"/>
              <w:tr2bl w:val="nil"/>
            </w:tcBorders>
            <w:noWrap/>
            <w:tcMar>
              <w:left w:w="101" w:type="dxa"/>
              <w:right w:w="101" w:type="dxa"/>
            </w:tcMar>
          </w:tcPr>
          <w:p w14:paraId="3E40E4C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-3,354</w:t>
            </w:r>
          </w:p>
        </w:tc>
        <w:tc>
          <w:tcPr>
            <w:tcW w:w="992" w:type="dxa"/>
            <w:tcBorders>
              <w:top w:val="nil"/>
              <w:left w:val="nil"/>
              <w:bottom w:val="nil"/>
              <w:right w:val="nil"/>
              <w:tl2br w:val="nil"/>
              <w:tr2bl w:val="nil"/>
            </w:tcBorders>
            <w:noWrap/>
            <w:tcMar>
              <w:left w:w="101" w:type="dxa"/>
              <w:right w:w="101" w:type="dxa"/>
            </w:tcMar>
          </w:tcPr>
          <w:p w14:paraId="5A95125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6,476</w:t>
            </w:r>
          </w:p>
        </w:tc>
        <w:tc>
          <w:tcPr>
            <w:tcW w:w="992" w:type="dxa"/>
            <w:tcBorders>
              <w:top w:val="nil"/>
              <w:left w:val="nil"/>
              <w:bottom w:val="nil"/>
              <w:right w:val="nil"/>
              <w:tl2br w:val="nil"/>
              <w:tr2bl w:val="nil"/>
            </w:tcBorders>
            <w:noWrap/>
            <w:tcMar>
              <w:left w:w="101" w:type="dxa"/>
              <w:right w:w="101" w:type="dxa"/>
            </w:tcMar>
          </w:tcPr>
          <w:p w14:paraId="23EE477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3,809</w:t>
            </w:r>
          </w:p>
        </w:tc>
      </w:tr>
      <w:tr w:rsidR="00CA75AA" w14:paraId="2552F0CE"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3B825336"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Gungahlin Community Centre – design and construction</w:t>
            </w:r>
          </w:p>
        </w:tc>
        <w:tc>
          <w:tcPr>
            <w:tcW w:w="992" w:type="dxa"/>
            <w:tcBorders>
              <w:top w:val="nil"/>
              <w:left w:val="nil"/>
              <w:bottom w:val="nil"/>
              <w:right w:val="nil"/>
              <w:tl2br w:val="nil"/>
              <w:tr2bl w:val="nil"/>
            </w:tcBorders>
            <w:noWrap/>
            <w:tcMar>
              <w:left w:w="101" w:type="dxa"/>
              <w:right w:w="101" w:type="dxa"/>
            </w:tcMar>
          </w:tcPr>
          <w:p w14:paraId="11BF1CE1"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15,800</w:t>
            </w:r>
          </w:p>
        </w:tc>
        <w:tc>
          <w:tcPr>
            <w:tcW w:w="992" w:type="dxa"/>
            <w:tcBorders>
              <w:top w:val="nil"/>
              <w:left w:val="nil"/>
              <w:bottom w:val="nil"/>
              <w:right w:val="nil"/>
              <w:tl2br w:val="nil"/>
              <w:tr2bl w:val="nil"/>
            </w:tcBorders>
            <w:noWrap/>
            <w:tcMar>
              <w:left w:w="101" w:type="dxa"/>
              <w:right w:w="101" w:type="dxa"/>
            </w:tcMar>
          </w:tcPr>
          <w:p w14:paraId="6BC3AA8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-3,998</w:t>
            </w:r>
          </w:p>
        </w:tc>
        <w:tc>
          <w:tcPr>
            <w:tcW w:w="992" w:type="dxa"/>
            <w:tcBorders>
              <w:top w:val="nil"/>
              <w:left w:val="nil"/>
              <w:bottom w:val="nil"/>
              <w:right w:val="nil"/>
              <w:tl2br w:val="nil"/>
              <w:tr2bl w:val="nil"/>
            </w:tcBorders>
            <w:noWrap/>
            <w:tcMar>
              <w:left w:w="101" w:type="dxa"/>
              <w:right w:w="101" w:type="dxa"/>
            </w:tcMar>
          </w:tcPr>
          <w:p w14:paraId="4C72894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-11,802</w:t>
            </w:r>
          </w:p>
        </w:tc>
        <w:tc>
          <w:tcPr>
            <w:tcW w:w="992" w:type="dxa"/>
            <w:tcBorders>
              <w:top w:val="nil"/>
              <w:left w:val="nil"/>
              <w:bottom w:val="nil"/>
              <w:right w:val="nil"/>
              <w:tl2br w:val="nil"/>
              <w:tr2bl w:val="nil"/>
            </w:tcBorders>
            <w:noWrap/>
            <w:tcMar>
              <w:left w:w="101" w:type="dxa"/>
              <w:right w:w="101" w:type="dxa"/>
            </w:tcMar>
          </w:tcPr>
          <w:p w14:paraId="610999D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85FFBF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09B09E8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79ECC4C8"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Public Building Upgrades – Building safety upgrades</w:t>
            </w:r>
          </w:p>
        </w:tc>
        <w:tc>
          <w:tcPr>
            <w:tcW w:w="992" w:type="dxa"/>
            <w:tcBorders>
              <w:top w:val="nil"/>
              <w:left w:val="nil"/>
              <w:bottom w:val="nil"/>
              <w:right w:val="nil"/>
              <w:tl2br w:val="nil"/>
              <w:tr2bl w:val="nil"/>
            </w:tcBorders>
            <w:noWrap/>
            <w:tcMar>
              <w:left w:w="101" w:type="dxa"/>
              <w:right w:w="101" w:type="dxa"/>
            </w:tcMar>
          </w:tcPr>
          <w:p w14:paraId="0B46247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-172</w:t>
            </w:r>
          </w:p>
        </w:tc>
        <w:tc>
          <w:tcPr>
            <w:tcW w:w="992" w:type="dxa"/>
            <w:tcBorders>
              <w:top w:val="nil"/>
              <w:left w:val="nil"/>
              <w:bottom w:val="nil"/>
              <w:right w:val="nil"/>
              <w:tl2br w:val="nil"/>
              <w:tr2bl w:val="nil"/>
            </w:tcBorders>
            <w:noWrap/>
            <w:tcMar>
              <w:left w:w="101" w:type="dxa"/>
              <w:right w:w="101" w:type="dxa"/>
            </w:tcMar>
          </w:tcPr>
          <w:p w14:paraId="1CF1D42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172</w:t>
            </w:r>
          </w:p>
        </w:tc>
        <w:tc>
          <w:tcPr>
            <w:tcW w:w="992" w:type="dxa"/>
            <w:tcBorders>
              <w:top w:val="nil"/>
              <w:left w:val="nil"/>
              <w:bottom w:val="nil"/>
              <w:right w:val="nil"/>
              <w:tl2br w:val="nil"/>
              <w:tr2bl w:val="nil"/>
            </w:tcBorders>
            <w:noWrap/>
            <w:tcMar>
              <w:left w:w="101" w:type="dxa"/>
              <w:right w:w="101" w:type="dxa"/>
            </w:tcMar>
          </w:tcPr>
          <w:p w14:paraId="0464BDB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7CF4F1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719892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078EA75E"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57BE5B56"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Public Building Upgrades – Depot compliance upgrades</w:t>
            </w:r>
          </w:p>
        </w:tc>
        <w:tc>
          <w:tcPr>
            <w:tcW w:w="992" w:type="dxa"/>
            <w:tcBorders>
              <w:top w:val="nil"/>
              <w:left w:val="nil"/>
              <w:bottom w:val="nil"/>
              <w:right w:val="nil"/>
              <w:tl2br w:val="nil"/>
              <w:tr2bl w:val="nil"/>
            </w:tcBorders>
            <w:noWrap/>
            <w:tcMar>
              <w:left w:w="101" w:type="dxa"/>
              <w:right w:w="101" w:type="dxa"/>
            </w:tcMar>
          </w:tcPr>
          <w:p w14:paraId="3CC2D83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-568</w:t>
            </w:r>
          </w:p>
        </w:tc>
        <w:tc>
          <w:tcPr>
            <w:tcW w:w="992" w:type="dxa"/>
            <w:tcBorders>
              <w:top w:val="nil"/>
              <w:left w:val="nil"/>
              <w:bottom w:val="nil"/>
              <w:right w:val="nil"/>
              <w:tl2br w:val="nil"/>
              <w:tr2bl w:val="nil"/>
            </w:tcBorders>
            <w:noWrap/>
            <w:tcMar>
              <w:left w:w="101" w:type="dxa"/>
              <w:right w:w="101" w:type="dxa"/>
            </w:tcMar>
          </w:tcPr>
          <w:p w14:paraId="19EDBE5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568</w:t>
            </w:r>
          </w:p>
        </w:tc>
        <w:tc>
          <w:tcPr>
            <w:tcW w:w="992" w:type="dxa"/>
            <w:tcBorders>
              <w:top w:val="nil"/>
              <w:left w:val="nil"/>
              <w:bottom w:val="nil"/>
              <w:right w:val="nil"/>
              <w:tl2br w:val="nil"/>
              <w:tr2bl w:val="nil"/>
            </w:tcBorders>
            <w:noWrap/>
            <w:tcMar>
              <w:left w:w="101" w:type="dxa"/>
              <w:right w:w="101" w:type="dxa"/>
            </w:tcMar>
          </w:tcPr>
          <w:p w14:paraId="50AC4CA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D0560D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261A89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3253AB8A"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06B77F31"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Public Building Upgrades – Fire system switchboard and HVAC upgrades</w:t>
            </w:r>
          </w:p>
        </w:tc>
        <w:tc>
          <w:tcPr>
            <w:tcW w:w="992" w:type="dxa"/>
            <w:tcBorders>
              <w:top w:val="nil"/>
              <w:left w:val="nil"/>
              <w:bottom w:val="nil"/>
              <w:right w:val="nil"/>
              <w:tl2br w:val="nil"/>
              <w:tr2bl w:val="nil"/>
            </w:tcBorders>
            <w:noWrap/>
            <w:tcMar>
              <w:left w:w="101" w:type="dxa"/>
              <w:right w:w="101" w:type="dxa"/>
            </w:tcMar>
          </w:tcPr>
          <w:p w14:paraId="48973D9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-589</w:t>
            </w:r>
          </w:p>
        </w:tc>
        <w:tc>
          <w:tcPr>
            <w:tcW w:w="992" w:type="dxa"/>
            <w:tcBorders>
              <w:top w:val="nil"/>
              <w:left w:val="nil"/>
              <w:bottom w:val="nil"/>
              <w:right w:val="nil"/>
              <w:tl2br w:val="nil"/>
              <w:tr2bl w:val="nil"/>
            </w:tcBorders>
            <w:noWrap/>
            <w:tcMar>
              <w:left w:w="101" w:type="dxa"/>
              <w:right w:w="101" w:type="dxa"/>
            </w:tcMar>
          </w:tcPr>
          <w:p w14:paraId="6D21911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589</w:t>
            </w:r>
          </w:p>
        </w:tc>
        <w:tc>
          <w:tcPr>
            <w:tcW w:w="992" w:type="dxa"/>
            <w:tcBorders>
              <w:top w:val="nil"/>
              <w:left w:val="nil"/>
              <w:bottom w:val="nil"/>
              <w:right w:val="nil"/>
              <w:tl2br w:val="nil"/>
              <w:tr2bl w:val="nil"/>
            </w:tcBorders>
            <w:noWrap/>
            <w:tcMar>
              <w:left w:w="101" w:type="dxa"/>
              <w:right w:w="101" w:type="dxa"/>
            </w:tcMar>
          </w:tcPr>
          <w:p w14:paraId="3BC7AF51"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69D846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3EE26D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0EFFB282"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4EE8ACE4" w14:textId="2361C579"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Public Building Upgrades – Roof replacement and rectification work</w:t>
            </w:r>
          </w:p>
        </w:tc>
        <w:tc>
          <w:tcPr>
            <w:tcW w:w="992" w:type="dxa"/>
            <w:tcBorders>
              <w:top w:val="nil"/>
              <w:left w:val="nil"/>
              <w:bottom w:val="nil"/>
              <w:right w:val="nil"/>
              <w:tl2br w:val="nil"/>
              <w:tr2bl w:val="nil"/>
            </w:tcBorders>
            <w:noWrap/>
            <w:tcMar>
              <w:left w:w="101" w:type="dxa"/>
              <w:right w:w="101" w:type="dxa"/>
            </w:tcMar>
          </w:tcPr>
          <w:p w14:paraId="4F3D85E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-2,118</w:t>
            </w:r>
          </w:p>
        </w:tc>
        <w:tc>
          <w:tcPr>
            <w:tcW w:w="992" w:type="dxa"/>
            <w:tcBorders>
              <w:top w:val="nil"/>
              <w:left w:val="nil"/>
              <w:bottom w:val="nil"/>
              <w:right w:val="nil"/>
              <w:tl2br w:val="nil"/>
              <w:tr2bl w:val="nil"/>
            </w:tcBorders>
            <w:noWrap/>
            <w:tcMar>
              <w:left w:w="101" w:type="dxa"/>
              <w:right w:w="101" w:type="dxa"/>
            </w:tcMar>
          </w:tcPr>
          <w:p w14:paraId="064728B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2,118</w:t>
            </w:r>
          </w:p>
        </w:tc>
        <w:tc>
          <w:tcPr>
            <w:tcW w:w="992" w:type="dxa"/>
            <w:tcBorders>
              <w:top w:val="nil"/>
              <w:left w:val="nil"/>
              <w:bottom w:val="nil"/>
              <w:right w:val="nil"/>
              <w:tl2br w:val="nil"/>
              <w:tr2bl w:val="nil"/>
            </w:tcBorders>
            <w:noWrap/>
            <w:tcMar>
              <w:left w:w="101" w:type="dxa"/>
              <w:right w:w="101" w:type="dxa"/>
            </w:tcMar>
          </w:tcPr>
          <w:p w14:paraId="72F2C67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6B5452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32A0B4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74E63EA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026FE78B"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Better community infrastructure – Public Building Upgrades – Roof upgrades at ACT Legislative Assembly and North Buildings </w:t>
            </w:r>
          </w:p>
        </w:tc>
        <w:tc>
          <w:tcPr>
            <w:tcW w:w="992" w:type="dxa"/>
            <w:tcBorders>
              <w:top w:val="nil"/>
              <w:left w:val="nil"/>
              <w:bottom w:val="nil"/>
              <w:right w:val="nil"/>
              <w:tl2br w:val="nil"/>
              <w:tr2bl w:val="nil"/>
            </w:tcBorders>
            <w:noWrap/>
            <w:tcMar>
              <w:left w:w="101" w:type="dxa"/>
              <w:right w:w="101" w:type="dxa"/>
            </w:tcMar>
          </w:tcPr>
          <w:p w14:paraId="1A12697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-424</w:t>
            </w:r>
          </w:p>
        </w:tc>
        <w:tc>
          <w:tcPr>
            <w:tcW w:w="992" w:type="dxa"/>
            <w:tcBorders>
              <w:top w:val="nil"/>
              <w:left w:val="nil"/>
              <w:bottom w:val="nil"/>
              <w:right w:val="nil"/>
              <w:tl2br w:val="nil"/>
              <w:tr2bl w:val="nil"/>
            </w:tcBorders>
            <w:noWrap/>
            <w:tcMar>
              <w:left w:w="101" w:type="dxa"/>
              <w:right w:w="101" w:type="dxa"/>
            </w:tcMar>
          </w:tcPr>
          <w:p w14:paraId="4F647C8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424</w:t>
            </w:r>
          </w:p>
        </w:tc>
        <w:tc>
          <w:tcPr>
            <w:tcW w:w="992" w:type="dxa"/>
            <w:tcBorders>
              <w:top w:val="nil"/>
              <w:left w:val="nil"/>
              <w:bottom w:val="nil"/>
              <w:right w:val="nil"/>
              <w:tl2br w:val="nil"/>
              <w:tr2bl w:val="nil"/>
            </w:tcBorders>
            <w:noWrap/>
            <w:tcMar>
              <w:left w:w="101" w:type="dxa"/>
              <w:right w:w="101" w:type="dxa"/>
            </w:tcMar>
          </w:tcPr>
          <w:p w14:paraId="5D0B364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22DB10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DEC7F8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564A2D7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3FFE8561"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Refurbishing community and government buildings</w:t>
            </w:r>
          </w:p>
        </w:tc>
        <w:tc>
          <w:tcPr>
            <w:tcW w:w="992" w:type="dxa"/>
            <w:tcBorders>
              <w:top w:val="nil"/>
              <w:left w:val="nil"/>
              <w:bottom w:val="nil"/>
              <w:right w:val="nil"/>
              <w:tl2br w:val="nil"/>
              <w:tr2bl w:val="nil"/>
            </w:tcBorders>
            <w:noWrap/>
            <w:tcMar>
              <w:left w:w="101" w:type="dxa"/>
              <w:right w:w="101" w:type="dxa"/>
            </w:tcMar>
          </w:tcPr>
          <w:p w14:paraId="224FA5B1"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-490</w:t>
            </w:r>
          </w:p>
        </w:tc>
        <w:tc>
          <w:tcPr>
            <w:tcW w:w="992" w:type="dxa"/>
            <w:tcBorders>
              <w:top w:val="nil"/>
              <w:left w:val="nil"/>
              <w:bottom w:val="nil"/>
              <w:right w:val="nil"/>
              <w:tl2br w:val="nil"/>
              <w:tr2bl w:val="nil"/>
            </w:tcBorders>
            <w:noWrap/>
            <w:tcMar>
              <w:left w:w="101" w:type="dxa"/>
              <w:right w:w="101" w:type="dxa"/>
            </w:tcMar>
          </w:tcPr>
          <w:p w14:paraId="64944DC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490</w:t>
            </w:r>
          </w:p>
        </w:tc>
        <w:tc>
          <w:tcPr>
            <w:tcW w:w="992" w:type="dxa"/>
            <w:tcBorders>
              <w:top w:val="nil"/>
              <w:left w:val="nil"/>
              <w:bottom w:val="nil"/>
              <w:right w:val="nil"/>
              <w:tl2br w:val="nil"/>
              <w:tr2bl w:val="nil"/>
            </w:tcBorders>
            <w:noWrap/>
            <w:tcMar>
              <w:left w:w="101" w:type="dxa"/>
              <w:right w:w="101" w:type="dxa"/>
            </w:tcMar>
          </w:tcPr>
          <w:p w14:paraId="2878499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9AB391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8B8D82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35F36E4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76BFC08A"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Better transport infrastructure – Building light rail to Woden </w:t>
            </w:r>
          </w:p>
        </w:tc>
        <w:tc>
          <w:tcPr>
            <w:tcW w:w="992" w:type="dxa"/>
            <w:tcBorders>
              <w:top w:val="nil"/>
              <w:left w:val="nil"/>
              <w:bottom w:val="nil"/>
              <w:right w:val="nil"/>
              <w:tl2br w:val="nil"/>
              <w:tr2bl w:val="nil"/>
            </w:tcBorders>
            <w:noWrap/>
            <w:tcMar>
              <w:left w:w="101" w:type="dxa"/>
              <w:right w:w="101" w:type="dxa"/>
            </w:tcMar>
          </w:tcPr>
          <w:p w14:paraId="354A6DD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-5,000</w:t>
            </w:r>
          </w:p>
        </w:tc>
        <w:tc>
          <w:tcPr>
            <w:tcW w:w="992" w:type="dxa"/>
            <w:tcBorders>
              <w:top w:val="nil"/>
              <w:left w:val="nil"/>
              <w:bottom w:val="nil"/>
              <w:right w:val="nil"/>
              <w:tl2br w:val="nil"/>
              <w:tr2bl w:val="nil"/>
            </w:tcBorders>
            <w:noWrap/>
            <w:tcMar>
              <w:left w:w="101" w:type="dxa"/>
              <w:right w:w="101" w:type="dxa"/>
            </w:tcMar>
          </w:tcPr>
          <w:p w14:paraId="03638BD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17,515</w:t>
            </w:r>
          </w:p>
        </w:tc>
        <w:tc>
          <w:tcPr>
            <w:tcW w:w="992" w:type="dxa"/>
            <w:tcBorders>
              <w:top w:val="nil"/>
              <w:left w:val="nil"/>
              <w:bottom w:val="nil"/>
              <w:right w:val="nil"/>
              <w:tl2br w:val="nil"/>
              <w:tr2bl w:val="nil"/>
            </w:tcBorders>
            <w:noWrap/>
            <w:tcMar>
              <w:left w:w="101" w:type="dxa"/>
              <w:right w:w="101" w:type="dxa"/>
            </w:tcMar>
          </w:tcPr>
          <w:p w14:paraId="1CF7C72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8A061D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BD7195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-12,515</w:t>
            </w:r>
          </w:p>
        </w:tc>
      </w:tr>
      <w:tr w:rsidR="00CA75AA" w14:paraId="59C9E6B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56DA6DA3"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Canberra Aquatic Centre</w:t>
            </w:r>
          </w:p>
        </w:tc>
        <w:tc>
          <w:tcPr>
            <w:tcW w:w="992" w:type="dxa"/>
            <w:tcBorders>
              <w:top w:val="nil"/>
              <w:left w:val="nil"/>
              <w:bottom w:val="nil"/>
              <w:right w:val="nil"/>
              <w:tl2br w:val="nil"/>
              <w:tr2bl w:val="nil"/>
            </w:tcBorders>
            <w:noWrap/>
            <w:tcMar>
              <w:left w:w="101" w:type="dxa"/>
              <w:right w:w="101" w:type="dxa"/>
            </w:tcMar>
          </w:tcPr>
          <w:p w14:paraId="14ACE9D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-5,474</w:t>
            </w:r>
          </w:p>
        </w:tc>
        <w:tc>
          <w:tcPr>
            <w:tcW w:w="992" w:type="dxa"/>
            <w:tcBorders>
              <w:top w:val="nil"/>
              <w:left w:val="nil"/>
              <w:bottom w:val="nil"/>
              <w:right w:val="nil"/>
              <w:tl2br w:val="nil"/>
              <w:tr2bl w:val="nil"/>
            </w:tcBorders>
            <w:noWrap/>
            <w:tcMar>
              <w:left w:w="101" w:type="dxa"/>
              <w:right w:w="101" w:type="dxa"/>
            </w:tcMar>
          </w:tcPr>
          <w:p w14:paraId="4894D9D1"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5,474</w:t>
            </w:r>
          </w:p>
        </w:tc>
        <w:tc>
          <w:tcPr>
            <w:tcW w:w="992" w:type="dxa"/>
            <w:tcBorders>
              <w:top w:val="nil"/>
              <w:left w:val="nil"/>
              <w:bottom w:val="nil"/>
              <w:right w:val="nil"/>
              <w:tl2br w:val="nil"/>
              <w:tr2bl w:val="nil"/>
            </w:tcBorders>
            <w:noWrap/>
            <w:tcMar>
              <w:left w:w="101" w:type="dxa"/>
              <w:right w:w="101" w:type="dxa"/>
            </w:tcMar>
          </w:tcPr>
          <w:p w14:paraId="1174FD8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02F966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CAB1177"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101AB3F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31A49DD9"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Canberra Theatre Redevelopment – Lyric Theatre design</w:t>
            </w:r>
          </w:p>
        </w:tc>
        <w:tc>
          <w:tcPr>
            <w:tcW w:w="992" w:type="dxa"/>
            <w:tcBorders>
              <w:top w:val="nil"/>
              <w:left w:val="nil"/>
              <w:bottom w:val="nil"/>
              <w:right w:val="nil"/>
              <w:tl2br w:val="nil"/>
              <w:tr2bl w:val="nil"/>
            </w:tcBorders>
            <w:noWrap/>
            <w:tcMar>
              <w:left w:w="101" w:type="dxa"/>
              <w:right w:w="101" w:type="dxa"/>
            </w:tcMar>
          </w:tcPr>
          <w:p w14:paraId="13485D7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A3714B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-25,000</w:t>
            </w:r>
          </w:p>
        </w:tc>
        <w:tc>
          <w:tcPr>
            <w:tcW w:w="992" w:type="dxa"/>
            <w:tcBorders>
              <w:top w:val="nil"/>
              <w:left w:val="nil"/>
              <w:bottom w:val="nil"/>
              <w:right w:val="nil"/>
              <w:tl2br w:val="nil"/>
              <w:tr2bl w:val="nil"/>
            </w:tcBorders>
            <w:noWrap/>
            <w:tcMar>
              <w:left w:w="101" w:type="dxa"/>
              <w:right w:w="101" w:type="dxa"/>
            </w:tcMar>
          </w:tcPr>
          <w:p w14:paraId="0E23ADC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9CF066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25,000</w:t>
            </w:r>
          </w:p>
        </w:tc>
        <w:tc>
          <w:tcPr>
            <w:tcW w:w="992" w:type="dxa"/>
            <w:tcBorders>
              <w:top w:val="nil"/>
              <w:left w:val="nil"/>
              <w:bottom w:val="nil"/>
              <w:right w:val="nil"/>
              <w:tl2br w:val="nil"/>
              <w:tr2bl w:val="nil"/>
            </w:tcBorders>
            <w:noWrap/>
            <w:tcMar>
              <w:left w:w="101" w:type="dxa"/>
              <w:right w:w="101" w:type="dxa"/>
            </w:tcMar>
          </w:tcPr>
          <w:p w14:paraId="6634BBE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5B08565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6B76D309"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Climate action – Continuing the Electrification of Government Assets</w:t>
            </w:r>
          </w:p>
        </w:tc>
        <w:tc>
          <w:tcPr>
            <w:tcW w:w="992" w:type="dxa"/>
            <w:tcBorders>
              <w:top w:val="nil"/>
              <w:left w:val="nil"/>
              <w:bottom w:val="nil"/>
              <w:right w:val="nil"/>
              <w:tl2br w:val="nil"/>
              <w:tr2bl w:val="nil"/>
            </w:tcBorders>
            <w:noWrap/>
            <w:tcMar>
              <w:left w:w="101" w:type="dxa"/>
              <w:right w:w="101" w:type="dxa"/>
            </w:tcMar>
          </w:tcPr>
          <w:p w14:paraId="488AE4F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37F031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-10,000</w:t>
            </w:r>
          </w:p>
        </w:tc>
        <w:tc>
          <w:tcPr>
            <w:tcW w:w="992" w:type="dxa"/>
            <w:tcBorders>
              <w:top w:val="nil"/>
              <w:left w:val="nil"/>
              <w:bottom w:val="nil"/>
              <w:right w:val="nil"/>
              <w:tl2br w:val="nil"/>
              <w:tr2bl w:val="nil"/>
            </w:tcBorders>
            <w:noWrap/>
            <w:tcMar>
              <w:left w:w="101" w:type="dxa"/>
              <w:right w:w="101" w:type="dxa"/>
            </w:tcMar>
          </w:tcPr>
          <w:p w14:paraId="0AA6730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10,000</w:t>
            </w:r>
          </w:p>
        </w:tc>
        <w:tc>
          <w:tcPr>
            <w:tcW w:w="992" w:type="dxa"/>
            <w:tcBorders>
              <w:top w:val="nil"/>
              <w:left w:val="nil"/>
              <w:bottom w:val="nil"/>
              <w:right w:val="nil"/>
              <w:tl2br w:val="nil"/>
              <w:tr2bl w:val="nil"/>
            </w:tcBorders>
            <w:noWrap/>
            <w:tcMar>
              <w:left w:w="101" w:type="dxa"/>
              <w:right w:w="101" w:type="dxa"/>
            </w:tcMar>
          </w:tcPr>
          <w:p w14:paraId="2E96CB8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A0BA00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1E0CCCA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69E5EB60"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Climate action – Moving more government facilities off gas</w:t>
            </w:r>
          </w:p>
        </w:tc>
        <w:tc>
          <w:tcPr>
            <w:tcW w:w="992" w:type="dxa"/>
            <w:tcBorders>
              <w:top w:val="nil"/>
              <w:left w:val="nil"/>
              <w:bottom w:val="nil"/>
              <w:right w:val="nil"/>
              <w:tl2br w:val="nil"/>
              <w:tr2bl w:val="nil"/>
            </w:tcBorders>
            <w:noWrap/>
            <w:tcMar>
              <w:left w:w="101" w:type="dxa"/>
              <w:right w:w="101" w:type="dxa"/>
            </w:tcMar>
          </w:tcPr>
          <w:p w14:paraId="3483A78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-925</w:t>
            </w:r>
          </w:p>
        </w:tc>
        <w:tc>
          <w:tcPr>
            <w:tcW w:w="992" w:type="dxa"/>
            <w:tcBorders>
              <w:top w:val="nil"/>
              <w:left w:val="nil"/>
              <w:bottom w:val="nil"/>
              <w:right w:val="nil"/>
              <w:tl2br w:val="nil"/>
              <w:tr2bl w:val="nil"/>
            </w:tcBorders>
            <w:noWrap/>
            <w:tcMar>
              <w:left w:w="101" w:type="dxa"/>
              <w:right w:w="101" w:type="dxa"/>
            </w:tcMar>
          </w:tcPr>
          <w:p w14:paraId="39BFB8B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925</w:t>
            </w:r>
          </w:p>
        </w:tc>
        <w:tc>
          <w:tcPr>
            <w:tcW w:w="992" w:type="dxa"/>
            <w:tcBorders>
              <w:top w:val="nil"/>
              <w:left w:val="nil"/>
              <w:bottom w:val="nil"/>
              <w:right w:val="nil"/>
              <w:tl2br w:val="nil"/>
              <w:tr2bl w:val="nil"/>
            </w:tcBorders>
            <w:noWrap/>
            <w:tcMar>
              <w:left w:w="101" w:type="dxa"/>
              <w:right w:w="101" w:type="dxa"/>
            </w:tcMar>
          </w:tcPr>
          <w:p w14:paraId="0B1E454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354BE37"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511FC6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4F040A6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6C138585"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Commencing the Athllon Drive Duplication</w:t>
            </w:r>
          </w:p>
        </w:tc>
        <w:tc>
          <w:tcPr>
            <w:tcW w:w="992" w:type="dxa"/>
            <w:tcBorders>
              <w:top w:val="nil"/>
              <w:left w:val="nil"/>
              <w:bottom w:val="nil"/>
              <w:right w:val="nil"/>
              <w:tl2br w:val="nil"/>
              <w:tr2bl w:val="nil"/>
            </w:tcBorders>
            <w:noWrap/>
            <w:tcMar>
              <w:left w:w="101" w:type="dxa"/>
              <w:right w:w="101" w:type="dxa"/>
            </w:tcMar>
          </w:tcPr>
          <w:p w14:paraId="43F6264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2,454</w:t>
            </w:r>
          </w:p>
        </w:tc>
        <w:tc>
          <w:tcPr>
            <w:tcW w:w="992" w:type="dxa"/>
            <w:tcBorders>
              <w:top w:val="nil"/>
              <w:left w:val="nil"/>
              <w:bottom w:val="nil"/>
              <w:right w:val="nil"/>
              <w:tl2br w:val="nil"/>
              <w:tr2bl w:val="nil"/>
            </w:tcBorders>
            <w:noWrap/>
            <w:tcMar>
              <w:left w:w="101" w:type="dxa"/>
              <w:right w:w="101" w:type="dxa"/>
            </w:tcMar>
          </w:tcPr>
          <w:p w14:paraId="5526EEB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-2,454</w:t>
            </w:r>
          </w:p>
        </w:tc>
        <w:tc>
          <w:tcPr>
            <w:tcW w:w="992" w:type="dxa"/>
            <w:tcBorders>
              <w:top w:val="nil"/>
              <w:left w:val="nil"/>
              <w:bottom w:val="nil"/>
              <w:right w:val="nil"/>
              <w:tl2br w:val="nil"/>
              <w:tr2bl w:val="nil"/>
            </w:tcBorders>
            <w:noWrap/>
            <w:tcMar>
              <w:left w:w="101" w:type="dxa"/>
              <w:right w:w="101" w:type="dxa"/>
            </w:tcMar>
          </w:tcPr>
          <w:p w14:paraId="51A0F7E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752A0A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7E9CA5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1577C66E"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690FDDFE"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Connected and sustainable Canberra – Constructing the William Hovell Drive duplication</w:t>
            </w:r>
          </w:p>
        </w:tc>
        <w:tc>
          <w:tcPr>
            <w:tcW w:w="992" w:type="dxa"/>
            <w:tcBorders>
              <w:top w:val="nil"/>
              <w:left w:val="nil"/>
              <w:bottom w:val="nil"/>
              <w:right w:val="nil"/>
              <w:tl2br w:val="nil"/>
              <w:tr2bl w:val="nil"/>
            </w:tcBorders>
            <w:noWrap/>
            <w:tcMar>
              <w:left w:w="101" w:type="dxa"/>
              <w:right w:w="101" w:type="dxa"/>
            </w:tcMar>
          </w:tcPr>
          <w:p w14:paraId="20C44B8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8,100</w:t>
            </w:r>
          </w:p>
        </w:tc>
        <w:tc>
          <w:tcPr>
            <w:tcW w:w="992" w:type="dxa"/>
            <w:tcBorders>
              <w:top w:val="nil"/>
              <w:left w:val="nil"/>
              <w:bottom w:val="nil"/>
              <w:right w:val="nil"/>
              <w:tl2br w:val="nil"/>
              <w:tr2bl w:val="nil"/>
            </w:tcBorders>
            <w:noWrap/>
            <w:tcMar>
              <w:left w:w="101" w:type="dxa"/>
              <w:right w:w="101" w:type="dxa"/>
            </w:tcMar>
          </w:tcPr>
          <w:p w14:paraId="2592C70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AEAF001"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-1,650</w:t>
            </w:r>
          </w:p>
        </w:tc>
        <w:tc>
          <w:tcPr>
            <w:tcW w:w="992" w:type="dxa"/>
            <w:tcBorders>
              <w:top w:val="nil"/>
              <w:left w:val="nil"/>
              <w:bottom w:val="nil"/>
              <w:right w:val="nil"/>
              <w:tl2br w:val="nil"/>
              <w:tr2bl w:val="nil"/>
            </w:tcBorders>
            <w:noWrap/>
            <w:tcMar>
              <w:left w:w="101" w:type="dxa"/>
              <w:right w:w="101" w:type="dxa"/>
            </w:tcMar>
          </w:tcPr>
          <w:p w14:paraId="7206054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C04F6A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-6,450</w:t>
            </w:r>
          </w:p>
        </w:tc>
      </w:tr>
      <w:tr w:rsidR="00CA75AA" w14:paraId="582A7EB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2F042861"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Connected and sustainable Canberra – Monaro Highway upgrades</w:t>
            </w:r>
          </w:p>
        </w:tc>
        <w:tc>
          <w:tcPr>
            <w:tcW w:w="992" w:type="dxa"/>
            <w:tcBorders>
              <w:top w:val="nil"/>
              <w:left w:val="nil"/>
              <w:bottom w:val="nil"/>
              <w:right w:val="nil"/>
              <w:tl2br w:val="nil"/>
              <w:tr2bl w:val="nil"/>
            </w:tcBorders>
            <w:noWrap/>
            <w:tcMar>
              <w:left w:w="101" w:type="dxa"/>
              <w:right w:w="101" w:type="dxa"/>
            </w:tcMar>
          </w:tcPr>
          <w:p w14:paraId="4D8DD07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483BDD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2,747</w:t>
            </w:r>
          </w:p>
        </w:tc>
        <w:tc>
          <w:tcPr>
            <w:tcW w:w="992" w:type="dxa"/>
            <w:tcBorders>
              <w:top w:val="nil"/>
              <w:left w:val="nil"/>
              <w:bottom w:val="nil"/>
              <w:right w:val="nil"/>
              <w:tl2br w:val="nil"/>
              <w:tr2bl w:val="nil"/>
            </w:tcBorders>
            <w:noWrap/>
            <w:tcMar>
              <w:left w:w="101" w:type="dxa"/>
              <w:right w:w="101" w:type="dxa"/>
            </w:tcMar>
          </w:tcPr>
          <w:p w14:paraId="5D170C6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2,470</w:t>
            </w:r>
          </w:p>
        </w:tc>
        <w:tc>
          <w:tcPr>
            <w:tcW w:w="992" w:type="dxa"/>
            <w:tcBorders>
              <w:top w:val="nil"/>
              <w:left w:val="nil"/>
              <w:bottom w:val="nil"/>
              <w:right w:val="nil"/>
              <w:tl2br w:val="nil"/>
              <w:tr2bl w:val="nil"/>
            </w:tcBorders>
            <w:noWrap/>
            <w:tcMar>
              <w:left w:w="101" w:type="dxa"/>
              <w:right w:w="101" w:type="dxa"/>
            </w:tcMar>
          </w:tcPr>
          <w:p w14:paraId="58433B0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-21,627</w:t>
            </w:r>
          </w:p>
        </w:tc>
        <w:tc>
          <w:tcPr>
            <w:tcW w:w="992" w:type="dxa"/>
            <w:tcBorders>
              <w:top w:val="nil"/>
              <w:left w:val="nil"/>
              <w:bottom w:val="nil"/>
              <w:right w:val="nil"/>
              <w:tl2br w:val="nil"/>
              <w:tr2bl w:val="nil"/>
            </w:tcBorders>
            <w:noWrap/>
            <w:tcMar>
              <w:left w:w="101" w:type="dxa"/>
              <w:right w:w="101" w:type="dxa"/>
            </w:tcMar>
          </w:tcPr>
          <w:p w14:paraId="263B9E0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-2,175</w:t>
            </w:r>
          </w:p>
        </w:tc>
      </w:tr>
      <w:tr w:rsidR="00CA75AA" w14:paraId="15C45303"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714CC65D"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Delivering a New Recycling Facility and Food Organics Facility</w:t>
            </w:r>
          </w:p>
        </w:tc>
        <w:tc>
          <w:tcPr>
            <w:tcW w:w="992" w:type="dxa"/>
            <w:tcBorders>
              <w:top w:val="nil"/>
              <w:left w:val="nil"/>
              <w:bottom w:val="nil"/>
              <w:right w:val="nil"/>
              <w:tl2br w:val="nil"/>
              <w:tr2bl w:val="nil"/>
            </w:tcBorders>
            <w:noWrap/>
            <w:tcMar>
              <w:left w:w="101" w:type="dxa"/>
              <w:right w:w="101" w:type="dxa"/>
            </w:tcMar>
          </w:tcPr>
          <w:p w14:paraId="2962D65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-6,304</w:t>
            </w:r>
          </w:p>
        </w:tc>
        <w:tc>
          <w:tcPr>
            <w:tcW w:w="992" w:type="dxa"/>
            <w:tcBorders>
              <w:top w:val="nil"/>
              <w:left w:val="nil"/>
              <w:bottom w:val="nil"/>
              <w:right w:val="nil"/>
              <w:tl2br w:val="nil"/>
              <w:tr2bl w:val="nil"/>
            </w:tcBorders>
            <w:noWrap/>
            <w:tcMar>
              <w:left w:w="101" w:type="dxa"/>
              <w:right w:w="101" w:type="dxa"/>
            </w:tcMar>
          </w:tcPr>
          <w:p w14:paraId="4FC5D1D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310508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6,304</w:t>
            </w:r>
          </w:p>
        </w:tc>
        <w:tc>
          <w:tcPr>
            <w:tcW w:w="992" w:type="dxa"/>
            <w:tcBorders>
              <w:top w:val="nil"/>
              <w:left w:val="nil"/>
              <w:bottom w:val="nil"/>
              <w:right w:val="nil"/>
              <w:tl2br w:val="nil"/>
              <w:tr2bl w:val="nil"/>
            </w:tcBorders>
            <w:noWrap/>
            <w:tcMar>
              <w:left w:w="101" w:type="dxa"/>
              <w:right w:w="101" w:type="dxa"/>
            </w:tcMar>
          </w:tcPr>
          <w:p w14:paraId="53EEAEC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6B2D5E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74AD1794"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27B162FF"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Delivering the Home of Football at Throsby</w:t>
            </w:r>
          </w:p>
        </w:tc>
        <w:tc>
          <w:tcPr>
            <w:tcW w:w="992" w:type="dxa"/>
            <w:tcBorders>
              <w:top w:val="nil"/>
              <w:left w:val="nil"/>
              <w:bottom w:val="nil"/>
              <w:right w:val="nil"/>
              <w:tl2br w:val="nil"/>
              <w:tr2bl w:val="nil"/>
            </w:tcBorders>
            <w:noWrap/>
            <w:tcMar>
              <w:left w:w="101" w:type="dxa"/>
              <w:right w:w="101" w:type="dxa"/>
            </w:tcMar>
          </w:tcPr>
          <w:p w14:paraId="5B2FA05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D27CD7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-11,000</w:t>
            </w:r>
          </w:p>
        </w:tc>
        <w:tc>
          <w:tcPr>
            <w:tcW w:w="992" w:type="dxa"/>
            <w:tcBorders>
              <w:top w:val="nil"/>
              <w:left w:val="nil"/>
              <w:bottom w:val="nil"/>
              <w:right w:val="nil"/>
              <w:tl2br w:val="nil"/>
              <w:tr2bl w:val="nil"/>
            </w:tcBorders>
            <w:noWrap/>
            <w:tcMar>
              <w:left w:w="101" w:type="dxa"/>
              <w:right w:w="101" w:type="dxa"/>
            </w:tcMar>
          </w:tcPr>
          <w:p w14:paraId="0B01A16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-2,680</w:t>
            </w:r>
          </w:p>
        </w:tc>
        <w:tc>
          <w:tcPr>
            <w:tcW w:w="992" w:type="dxa"/>
            <w:tcBorders>
              <w:top w:val="nil"/>
              <w:left w:val="nil"/>
              <w:bottom w:val="nil"/>
              <w:right w:val="nil"/>
              <w:tl2br w:val="nil"/>
              <w:tr2bl w:val="nil"/>
            </w:tcBorders>
            <w:noWrap/>
            <w:tcMar>
              <w:left w:w="101" w:type="dxa"/>
              <w:right w:w="101" w:type="dxa"/>
            </w:tcMar>
          </w:tcPr>
          <w:p w14:paraId="589A949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D43FF7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13,680</w:t>
            </w:r>
          </w:p>
        </w:tc>
      </w:tr>
      <w:tr w:rsidR="00CA75AA" w14:paraId="7A9B8DFE"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2F6E794F"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iCBR 2025-26 Asset Renewal Program</w:t>
            </w:r>
          </w:p>
        </w:tc>
        <w:tc>
          <w:tcPr>
            <w:tcW w:w="992" w:type="dxa"/>
            <w:tcBorders>
              <w:top w:val="nil"/>
              <w:left w:val="nil"/>
              <w:bottom w:val="nil"/>
              <w:right w:val="nil"/>
              <w:tl2br w:val="nil"/>
              <w:tr2bl w:val="nil"/>
            </w:tcBorders>
            <w:noWrap/>
            <w:tcMar>
              <w:left w:w="101" w:type="dxa"/>
              <w:right w:w="101" w:type="dxa"/>
            </w:tcMar>
          </w:tcPr>
          <w:p w14:paraId="3C309EF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-5,256</w:t>
            </w:r>
          </w:p>
        </w:tc>
        <w:tc>
          <w:tcPr>
            <w:tcW w:w="992" w:type="dxa"/>
            <w:tcBorders>
              <w:top w:val="nil"/>
              <w:left w:val="nil"/>
              <w:bottom w:val="nil"/>
              <w:right w:val="nil"/>
              <w:tl2br w:val="nil"/>
              <w:tr2bl w:val="nil"/>
            </w:tcBorders>
            <w:noWrap/>
            <w:tcMar>
              <w:left w:w="101" w:type="dxa"/>
              <w:right w:w="101" w:type="dxa"/>
            </w:tcMar>
          </w:tcPr>
          <w:p w14:paraId="304E7C3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5,256</w:t>
            </w:r>
          </w:p>
        </w:tc>
        <w:tc>
          <w:tcPr>
            <w:tcW w:w="992" w:type="dxa"/>
            <w:tcBorders>
              <w:top w:val="nil"/>
              <w:left w:val="nil"/>
              <w:bottom w:val="nil"/>
              <w:right w:val="nil"/>
              <w:tl2br w:val="nil"/>
              <w:tr2bl w:val="nil"/>
            </w:tcBorders>
            <w:noWrap/>
            <w:tcMar>
              <w:left w:w="101" w:type="dxa"/>
              <w:right w:w="101" w:type="dxa"/>
            </w:tcMar>
          </w:tcPr>
          <w:p w14:paraId="4DFF01D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AF6B57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59BF1E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03B68F6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3CA34548"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Early works for a Northside hospital</w:t>
            </w:r>
          </w:p>
        </w:tc>
        <w:tc>
          <w:tcPr>
            <w:tcW w:w="992" w:type="dxa"/>
            <w:tcBorders>
              <w:top w:val="nil"/>
              <w:left w:val="nil"/>
              <w:bottom w:val="nil"/>
              <w:right w:val="nil"/>
              <w:tl2br w:val="nil"/>
              <w:tr2bl w:val="nil"/>
            </w:tcBorders>
            <w:noWrap/>
            <w:tcMar>
              <w:left w:w="101" w:type="dxa"/>
              <w:right w:w="101" w:type="dxa"/>
            </w:tcMar>
          </w:tcPr>
          <w:p w14:paraId="5EA5A64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-16,000</w:t>
            </w:r>
          </w:p>
        </w:tc>
        <w:tc>
          <w:tcPr>
            <w:tcW w:w="992" w:type="dxa"/>
            <w:tcBorders>
              <w:top w:val="nil"/>
              <w:left w:val="nil"/>
              <w:bottom w:val="nil"/>
              <w:right w:val="nil"/>
              <w:tl2br w:val="nil"/>
              <w:tr2bl w:val="nil"/>
            </w:tcBorders>
            <w:noWrap/>
            <w:tcMar>
              <w:left w:w="101" w:type="dxa"/>
              <w:right w:w="101" w:type="dxa"/>
            </w:tcMar>
          </w:tcPr>
          <w:p w14:paraId="13EA05A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16,000</w:t>
            </w:r>
          </w:p>
        </w:tc>
        <w:tc>
          <w:tcPr>
            <w:tcW w:w="992" w:type="dxa"/>
            <w:tcBorders>
              <w:top w:val="nil"/>
              <w:left w:val="nil"/>
              <w:bottom w:val="nil"/>
              <w:right w:val="nil"/>
              <w:tl2br w:val="nil"/>
              <w:tr2bl w:val="nil"/>
            </w:tcBorders>
            <w:noWrap/>
            <w:tcMar>
              <w:left w:w="101" w:type="dxa"/>
              <w:right w:w="101" w:type="dxa"/>
            </w:tcMar>
          </w:tcPr>
          <w:p w14:paraId="13E7D98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09094D7"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5AAC79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6901FC37"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0DA8C6E1"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Expanding health centres across the city</w:t>
            </w:r>
          </w:p>
        </w:tc>
        <w:tc>
          <w:tcPr>
            <w:tcW w:w="992" w:type="dxa"/>
            <w:tcBorders>
              <w:top w:val="nil"/>
              <w:left w:val="nil"/>
              <w:bottom w:val="nil"/>
              <w:right w:val="nil"/>
              <w:tl2br w:val="nil"/>
              <w:tr2bl w:val="nil"/>
            </w:tcBorders>
            <w:noWrap/>
            <w:tcMar>
              <w:left w:w="101" w:type="dxa"/>
              <w:right w:w="101" w:type="dxa"/>
            </w:tcMar>
          </w:tcPr>
          <w:p w14:paraId="1EE2526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3,894</w:t>
            </w:r>
          </w:p>
        </w:tc>
        <w:tc>
          <w:tcPr>
            <w:tcW w:w="992" w:type="dxa"/>
            <w:tcBorders>
              <w:top w:val="nil"/>
              <w:left w:val="nil"/>
              <w:bottom w:val="nil"/>
              <w:right w:val="nil"/>
              <w:tl2br w:val="nil"/>
              <w:tr2bl w:val="nil"/>
            </w:tcBorders>
            <w:noWrap/>
            <w:tcMar>
              <w:left w:w="101" w:type="dxa"/>
              <w:right w:w="101" w:type="dxa"/>
            </w:tcMar>
          </w:tcPr>
          <w:p w14:paraId="6B7FD06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-3,894</w:t>
            </w:r>
          </w:p>
        </w:tc>
        <w:tc>
          <w:tcPr>
            <w:tcW w:w="992" w:type="dxa"/>
            <w:tcBorders>
              <w:top w:val="nil"/>
              <w:left w:val="nil"/>
              <w:bottom w:val="nil"/>
              <w:right w:val="nil"/>
              <w:tl2br w:val="nil"/>
              <w:tr2bl w:val="nil"/>
            </w:tcBorders>
            <w:noWrap/>
            <w:tcMar>
              <w:left w:w="101" w:type="dxa"/>
              <w:right w:w="101" w:type="dxa"/>
            </w:tcMar>
          </w:tcPr>
          <w:p w14:paraId="216B900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6806F6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83D76C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67E163FD"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0C35C10C"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Improving Canberra’s health infrastructure – Inner South Health Centre Construction </w:t>
            </w:r>
          </w:p>
        </w:tc>
        <w:tc>
          <w:tcPr>
            <w:tcW w:w="992" w:type="dxa"/>
            <w:tcBorders>
              <w:top w:val="nil"/>
              <w:left w:val="nil"/>
              <w:bottom w:val="nil"/>
              <w:right w:val="nil"/>
              <w:tl2br w:val="nil"/>
              <w:tr2bl w:val="nil"/>
            </w:tcBorders>
            <w:noWrap/>
            <w:tcMar>
              <w:left w:w="101" w:type="dxa"/>
              <w:right w:w="101" w:type="dxa"/>
            </w:tcMar>
          </w:tcPr>
          <w:p w14:paraId="053B8E87"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8D7881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F8DADC7"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-7,293</w:t>
            </w:r>
          </w:p>
        </w:tc>
        <w:tc>
          <w:tcPr>
            <w:tcW w:w="992" w:type="dxa"/>
            <w:tcBorders>
              <w:top w:val="nil"/>
              <w:left w:val="nil"/>
              <w:bottom w:val="nil"/>
              <w:right w:val="nil"/>
              <w:tl2br w:val="nil"/>
              <w:tr2bl w:val="nil"/>
            </w:tcBorders>
            <w:noWrap/>
            <w:tcMar>
              <w:left w:w="101" w:type="dxa"/>
              <w:right w:w="101" w:type="dxa"/>
            </w:tcMar>
          </w:tcPr>
          <w:p w14:paraId="5950A50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7,293</w:t>
            </w:r>
          </w:p>
        </w:tc>
        <w:tc>
          <w:tcPr>
            <w:tcW w:w="992" w:type="dxa"/>
            <w:tcBorders>
              <w:top w:val="nil"/>
              <w:left w:val="nil"/>
              <w:bottom w:val="nil"/>
              <w:right w:val="nil"/>
              <w:tl2br w:val="nil"/>
              <w:tr2bl w:val="nil"/>
            </w:tcBorders>
            <w:noWrap/>
            <w:tcMar>
              <w:left w:w="101" w:type="dxa"/>
              <w:right w:w="101" w:type="dxa"/>
            </w:tcMar>
          </w:tcPr>
          <w:p w14:paraId="05D8C3E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6933C8E0"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4CC5DBA4"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More parking at the Canberra Hospital</w:t>
            </w:r>
          </w:p>
        </w:tc>
        <w:tc>
          <w:tcPr>
            <w:tcW w:w="992" w:type="dxa"/>
            <w:tcBorders>
              <w:top w:val="nil"/>
              <w:left w:val="nil"/>
              <w:bottom w:val="nil"/>
              <w:right w:val="nil"/>
              <w:tl2br w:val="nil"/>
              <w:tr2bl w:val="nil"/>
            </w:tcBorders>
            <w:noWrap/>
            <w:tcMar>
              <w:left w:w="101" w:type="dxa"/>
              <w:right w:w="101" w:type="dxa"/>
            </w:tcMar>
          </w:tcPr>
          <w:p w14:paraId="5D8810A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-1,678</w:t>
            </w:r>
          </w:p>
        </w:tc>
        <w:tc>
          <w:tcPr>
            <w:tcW w:w="992" w:type="dxa"/>
            <w:tcBorders>
              <w:top w:val="nil"/>
              <w:left w:val="nil"/>
              <w:bottom w:val="nil"/>
              <w:right w:val="nil"/>
              <w:tl2br w:val="nil"/>
              <w:tr2bl w:val="nil"/>
            </w:tcBorders>
            <w:noWrap/>
            <w:tcMar>
              <w:left w:w="101" w:type="dxa"/>
              <w:right w:w="101" w:type="dxa"/>
            </w:tcMar>
          </w:tcPr>
          <w:p w14:paraId="47F383A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1,678</w:t>
            </w:r>
          </w:p>
        </w:tc>
        <w:tc>
          <w:tcPr>
            <w:tcW w:w="992" w:type="dxa"/>
            <w:tcBorders>
              <w:top w:val="nil"/>
              <w:left w:val="nil"/>
              <w:bottom w:val="nil"/>
              <w:right w:val="nil"/>
              <w:tl2br w:val="nil"/>
              <w:tr2bl w:val="nil"/>
            </w:tcBorders>
            <w:noWrap/>
            <w:tcMar>
              <w:left w:w="101" w:type="dxa"/>
              <w:right w:w="101" w:type="dxa"/>
            </w:tcMar>
          </w:tcPr>
          <w:p w14:paraId="640D6A5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1B6586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B6B94A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3762726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02AE2859"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Next steps for the Canberra Hospital Masterplan</w:t>
            </w:r>
          </w:p>
        </w:tc>
        <w:tc>
          <w:tcPr>
            <w:tcW w:w="992" w:type="dxa"/>
            <w:tcBorders>
              <w:top w:val="nil"/>
              <w:left w:val="nil"/>
              <w:bottom w:val="nil"/>
              <w:right w:val="nil"/>
              <w:tl2br w:val="nil"/>
              <w:tr2bl w:val="nil"/>
            </w:tcBorders>
            <w:noWrap/>
            <w:tcMar>
              <w:left w:w="101" w:type="dxa"/>
              <w:right w:w="101" w:type="dxa"/>
            </w:tcMar>
          </w:tcPr>
          <w:p w14:paraId="6E4E922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-3,602</w:t>
            </w:r>
          </w:p>
        </w:tc>
        <w:tc>
          <w:tcPr>
            <w:tcW w:w="992" w:type="dxa"/>
            <w:tcBorders>
              <w:top w:val="nil"/>
              <w:left w:val="nil"/>
              <w:bottom w:val="nil"/>
              <w:right w:val="nil"/>
              <w:tl2br w:val="nil"/>
              <w:tr2bl w:val="nil"/>
            </w:tcBorders>
            <w:noWrap/>
            <w:tcMar>
              <w:left w:w="101" w:type="dxa"/>
              <w:right w:w="101" w:type="dxa"/>
            </w:tcMar>
          </w:tcPr>
          <w:p w14:paraId="574AE33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75</w:t>
            </w:r>
          </w:p>
        </w:tc>
        <w:tc>
          <w:tcPr>
            <w:tcW w:w="992" w:type="dxa"/>
            <w:tcBorders>
              <w:top w:val="nil"/>
              <w:left w:val="nil"/>
              <w:bottom w:val="nil"/>
              <w:right w:val="nil"/>
              <w:tl2br w:val="nil"/>
              <w:tr2bl w:val="nil"/>
            </w:tcBorders>
            <w:noWrap/>
            <w:tcMar>
              <w:left w:w="101" w:type="dxa"/>
              <w:right w:w="101" w:type="dxa"/>
            </w:tcMar>
          </w:tcPr>
          <w:p w14:paraId="6EFC03D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3,527</w:t>
            </w:r>
          </w:p>
        </w:tc>
        <w:tc>
          <w:tcPr>
            <w:tcW w:w="992" w:type="dxa"/>
            <w:tcBorders>
              <w:top w:val="nil"/>
              <w:left w:val="nil"/>
              <w:bottom w:val="nil"/>
              <w:right w:val="nil"/>
              <w:tl2br w:val="nil"/>
              <w:tr2bl w:val="nil"/>
            </w:tcBorders>
            <w:noWrap/>
            <w:tcMar>
              <w:left w:w="101" w:type="dxa"/>
              <w:right w:w="101" w:type="dxa"/>
            </w:tcMar>
          </w:tcPr>
          <w:p w14:paraId="552CD5F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418D2F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35F202A8"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56CC7C83"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lastRenderedPageBreak/>
              <w:t>Improving Canberra’s health infrastructure – Redeveloping and expanding services at the Watson Health Precinct</w:t>
            </w:r>
          </w:p>
        </w:tc>
        <w:tc>
          <w:tcPr>
            <w:tcW w:w="992" w:type="dxa"/>
            <w:tcBorders>
              <w:top w:val="nil"/>
              <w:left w:val="nil"/>
              <w:bottom w:val="nil"/>
              <w:right w:val="nil"/>
              <w:tl2br w:val="nil"/>
              <w:tr2bl w:val="nil"/>
            </w:tcBorders>
            <w:noWrap/>
            <w:tcMar>
              <w:left w:w="101" w:type="dxa"/>
              <w:right w:w="101" w:type="dxa"/>
            </w:tcMar>
          </w:tcPr>
          <w:p w14:paraId="7DD1A147"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6,283</w:t>
            </w:r>
          </w:p>
        </w:tc>
        <w:tc>
          <w:tcPr>
            <w:tcW w:w="992" w:type="dxa"/>
            <w:tcBorders>
              <w:top w:val="nil"/>
              <w:left w:val="nil"/>
              <w:bottom w:val="nil"/>
              <w:right w:val="nil"/>
              <w:tl2br w:val="nil"/>
              <w:tr2bl w:val="nil"/>
            </w:tcBorders>
            <w:noWrap/>
            <w:tcMar>
              <w:left w:w="101" w:type="dxa"/>
              <w:right w:w="101" w:type="dxa"/>
            </w:tcMar>
          </w:tcPr>
          <w:p w14:paraId="6E250C0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-6,283</w:t>
            </w:r>
          </w:p>
        </w:tc>
        <w:tc>
          <w:tcPr>
            <w:tcW w:w="992" w:type="dxa"/>
            <w:tcBorders>
              <w:top w:val="nil"/>
              <w:left w:val="nil"/>
              <w:bottom w:val="nil"/>
              <w:right w:val="nil"/>
              <w:tl2br w:val="nil"/>
              <w:tr2bl w:val="nil"/>
            </w:tcBorders>
            <w:noWrap/>
            <w:tcMar>
              <w:left w:w="101" w:type="dxa"/>
              <w:right w:w="101" w:type="dxa"/>
            </w:tcMar>
          </w:tcPr>
          <w:p w14:paraId="1E4ACC9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697C6A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7ACA99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19568A02"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205CBEED"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Improving Canberra's health infrastructure – Canberra Hospital Expansion </w:t>
            </w:r>
          </w:p>
        </w:tc>
        <w:tc>
          <w:tcPr>
            <w:tcW w:w="992" w:type="dxa"/>
            <w:tcBorders>
              <w:top w:val="nil"/>
              <w:left w:val="nil"/>
              <w:bottom w:val="nil"/>
              <w:right w:val="nil"/>
              <w:tl2br w:val="nil"/>
              <w:tr2bl w:val="nil"/>
            </w:tcBorders>
            <w:noWrap/>
            <w:tcMar>
              <w:left w:w="101" w:type="dxa"/>
              <w:right w:w="101" w:type="dxa"/>
            </w:tcMar>
          </w:tcPr>
          <w:p w14:paraId="2115400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-3,000</w:t>
            </w:r>
          </w:p>
        </w:tc>
        <w:tc>
          <w:tcPr>
            <w:tcW w:w="992" w:type="dxa"/>
            <w:tcBorders>
              <w:top w:val="nil"/>
              <w:left w:val="nil"/>
              <w:bottom w:val="nil"/>
              <w:right w:val="nil"/>
              <w:tl2br w:val="nil"/>
              <w:tr2bl w:val="nil"/>
            </w:tcBorders>
            <w:noWrap/>
            <w:tcMar>
              <w:left w:w="101" w:type="dxa"/>
              <w:right w:w="101" w:type="dxa"/>
            </w:tcMar>
          </w:tcPr>
          <w:p w14:paraId="4746DDC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3,000</w:t>
            </w:r>
          </w:p>
        </w:tc>
        <w:tc>
          <w:tcPr>
            <w:tcW w:w="992" w:type="dxa"/>
            <w:tcBorders>
              <w:top w:val="nil"/>
              <w:left w:val="nil"/>
              <w:bottom w:val="nil"/>
              <w:right w:val="nil"/>
              <w:tl2br w:val="nil"/>
              <w:tr2bl w:val="nil"/>
            </w:tcBorders>
            <w:noWrap/>
            <w:tcMar>
              <w:left w:w="101" w:type="dxa"/>
              <w:right w:w="101" w:type="dxa"/>
            </w:tcMar>
          </w:tcPr>
          <w:p w14:paraId="04B812B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4B19E2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D0D7BE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63AC5A5F"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27F940B3"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Investing in Canberra’s Arts Sector</w:t>
            </w:r>
          </w:p>
        </w:tc>
        <w:tc>
          <w:tcPr>
            <w:tcW w:w="992" w:type="dxa"/>
            <w:tcBorders>
              <w:top w:val="nil"/>
              <w:left w:val="nil"/>
              <w:bottom w:val="nil"/>
              <w:right w:val="nil"/>
              <w:tl2br w:val="nil"/>
              <w:tr2bl w:val="nil"/>
            </w:tcBorders>
            <w:noWrap/>
            <w:tcMar>
              <w:left w:w="101" w:type="dxa"/>
              <w:right w:w="101" w:type="dxa"/>
            </w:tcMar>
          </w:tcPr>
          <w:p w14:paraId="2033E1E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-5,425</w:t>
            </w:r>
          </w:p>
        </w:tc>
        <w:tc>
          <w:tcPr>
            <w:tcW w:w="992" w:type="dxa"/>
            <w:tcBorders>
              <w:top w:val="nil"/>
              <w:left w:val="nil"/>
              <w:bottom w:val="nil"/>
              <w:right w:val="nil"/>
              <w:tl2br w:val="nil"/>
              <w:tr2bl w:val="nil"/>
            </w:tcBorders>
            <w:noWrap/>
            <w:tcMar>
              <w:left w:w="101" w:type="dxa"/>
              <w:right w:w="101" w:type="dxa"/>
            </w:tcMar>
          </w:tcPr>
          <w:p w14:paraId="016F253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2,715</w:t>
            </w:r>
          </w:p>
        </w:tc>
        <w:tc>
          <w:tcPr>
            <w:tcW w:w="992" w:type="dxa"/>
            <w:tcBorders>
              <w:top w:val="nil"/>
              <w:left w:val="nil"/>
              <w:bottom w:val="nil"/>
              <w:right w:val="nil"/>
              <w:tl2br w:val="nil"/>
              <w:tr2bl w:val="nil"/>
            </w:tcBorders>
            <w:noWrap/>
            <w:tcMar>
              <w:left w:w="101" w:type="dxa"/>
              <w:right w:w="101" w:type="dxa"/>
            </w:tcMar>
          </w:tcPr>
          <w:p w14:paraId="1FF3092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2,710</w:t>
            </w:r>
          </w:p>
        </w:tc>
        <w:tc>
          <w:tcPr>
            <w:tcW w:w="992" w:type="dxa"/>
            <w:tcBorders>
              <w:top w:val="nil"/>
              <w:left w:val="nil"/>
              <w:bottom w:val="nil"/>
              <w:right w:val="nil"/>
              <w:tl2br w:val="nil"/>
              <w:tr2bl w:val="nil"/>
            </w:tcBorders>
            <w:noWrap/>
            <w:tcMar>
              <w:left w:w="101" w:type="dxa"/>
              <w:right w:w="101" w:type="dxa"/>
            </w:tcMar>
          </w:tcPr>
          <w:p w14:paraId="49B28E5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20B3991"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108BCCCE"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6613E186"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Kingston Arts Precinct</w:t>
            </w:r>
          </w:p>
        </w:tc>
        <w:tc>
          <w:tcPr>
            <w:tcW w:w="992" w:type="dxa"/>
            <w:tcBorders>
              <w:top w:val="nil"/>
              <w:left w:val="nil"/>
              <w:bottom w:val="nil"/>
              <w:right w:val="nil"/>
              <w:tl2br w:val="nil"/>
              <w:tr2bl w:val="nil"/>
            </w:tcBorders>
            <w:noWrap/>
            <w:tcMar>
              <w:left w:w="101" w:type="dxa"/>
              <w:right w:w="101" w:type="dxa"/>
            </w:tcMar>
          </w:tcPr>
          <w:p w14:paraId="23BFCAE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1,618</w:t>
            </w:r>
          </w:p>
        </w:tc>
        <w:tc>
          <w:tcPr>
            <w:tcW w:w="992" w:type="dxa"/>
            <w:tcBorders>
              <w:top w:val="nil"/>
              <w:left w:val="nil"/>
              <w:bottom w:val="nil"/>
              <w:right w:val="nil"/>
              <w:tl2br w:val="nil"/>
              <w:tr2bl w:val="nil"/>
            </w:tcBorders>
            <w:noWrap/>
            <w:tcMar>
              <w:left w:w="101" w:type="dxa"/>
              <w:right w:w="101" w:type="dxa"/>
            </w:tcMar>
          </w:tcPr>
          <w:p w14:paraId="0FD848C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-1,618</w:t>
            </w:r>
          </w:p>
        </w:tc>
        <w:tc>
          <w:tcPr>
            <w:tcW w:w="992" w:type="dxa"/>
            <w:tcBorders>
              <w:top w:val="nil"/>
              <w:left w:val="nil"/>
              <w:bottom w:val="nil"/>
              <w:right w:val="nil"/>
              <w:tl2br w:val="nil"/>
              <w:tr2bl w:val="nil"/>
            </w:tcBorders>
            <w:noWrap/>
            <w:tcMar>
              <w:left w:w="101" w:type="dxa"/>
              <w:right w:w="101" w:type="dxa"/>
            </w:tcMar>
          </w:tcPr>
          <w:p w14:paraId="776DB97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771C22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23258F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2F5038B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5E3CC2FE"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Molonglo Enabling Works</w:t>
            </w:r>
          </w:p>
        </w:tc>
        <w:tc>
          <w:tcPr>
            <w:tcW w:w="992" w:type="dxa"/>
            <w:tcBorders>
              <w:top w:val="nil"/>
              <w:left w:val="nil"/>
              <w:bottom w:val="nil"/>
              <w:right w:val="nil"/>
              <w:tl2br w:val="nil"/>
              <w:tr2bl w:val="nil"/>
            </w:tcBorders>
            <w:noWrap/>
            <w:tcMar>
              <w:left w:w="101" w:type="dxa"/>
              <w:right w:w="101" w:type="dxa"/>
            </w:tcMar>
          </w:tcPr>
          <w:p w14:paraId="5C11610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45,665</w:t>
            </w:r>
          </w:p>
        </w:tc>
        <w:tc>
          <w:tcPr>
            <w:tcW w:w="992" w:type="dxa"/>
            <w:tcBorders>
              <w:top w:val="nil"/>
              <w:left w:val="nil"/>
              <w:bottom w:val="nil"/>
              <w:right w:val="nil"/>
              <w:tl2br w:val="nil"/>
              <w:tr2bl w:val="nil"/>
            </w:tcBorders>
            <w:noWrap/>
            <w:tcMar>
              <w:left w:w="101" w:type="dxa"/>
              <w:right w:w="101" w:type="dxa"/>
            </w:tcMar>
          </w:tcPr>
          <w:p w14:paraId="21C4A38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-6,772</w:t>
            </w:r>
          </w:p>
        </w:tc>
        <w:tc>
          <w:tcPr>
            <w:tcW w:w="992" w:type="dxa"/>
            <w:tcBorders>
              <w:top w:val="nil"/>
              <w:left w:val="nil"/>
              <w:bottom w:val="nil"/>
              <w:right w:val="nil"/>
              <w:tl2br w:val="nil"/>
              <w:tr2bl w:val="nil"/>
            </w:tcBorders>
            <w:noWrap/>
            <w:tcMar>
              <w:left w:w="101" w:type="dxa"/>
              <w:right w:w="101" w:type="dxa"/>
            </w:tcMar>
          </w:tcPr>
          <w:p w14:paraId="0FC19B21"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4,500</w:t>
            </w:r>
          </w:p>
        </w:tc>
        <w:tc>
          <w:tcPr>
            <w:tcW w:w="992" w:type="dxa"/>
            <w:tcBorders>
              <w:top w:val="nil"/>
              <w:left w:val="nil"/>
              <w:bottom w:val="nil"/>
              <w:right w:val="nil"/>
              <w:tl2br w:val="nil"/>
              <w:tr2bl w:val="nil"/>
            </w:tcBorders>
            <w:noWrap/>
            <w:tcMar>
              <w:left w:w="101" w:type="dxa"/>
              <w:right w:w="101" w:type="dxa"/>
            </w:tcMar>
          </w:tcPr>
          <w:p w14:paraId="1168FFD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42C374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-43,393</w:t>
            </w:r>
          </w:p>
        </w:tc>
      </w:tr>
      <w:tr w:rsidR="00CA75AA" w14:paraId="1841CD58"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339B98BF"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More energy efficient Government accommodation</w:t>
            </w:r>
          </w:p>
        </w:tc>
        <w:tc>
          <w:tcPr>
            <w:tcW w:w="992" w:type="dxa"/>
            <w:tcBorders>
              <w:top w:val="nil"/>
              <w:left w:val="nil"/>
              <w:bottom w:val="nil"/>
              <w:right w:val="nil"/>
              <w:tl2br w:val="nil"/>
              <w:tr2bl w:val="nil"/>
            </w:tcBorders>
            <w:noWrap/>
            <w:tcMar>
              <w:left w:w="101" w:type="dxa"/>
              <w:right w:w="101" w:type="dxa"/>
            </w:tcMar>
          </w:tcPr>
          <w:p w14:paraId="733FA4E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-1,495</w:t>
            </w:r>
          </w:p>
        </w:tc>
        <w:tc>
          <w:tcPr>
            <w:tcW w:w="992" w:type="dxa"/>
            <w:tcBorders>
              <w:top w:val="nil"/>
              <w:left w:val="nil"/>
              <w:bottom w:val="nil"/>
              <w:right w:val="nil"/>
              <w:tl2br w:val="nil"/>
              <w:tr2bl w:val="nil"/>
            </w:tcBorders>
            <w:noWrap/>
            <w:tcMar>
              <w:left w:w="101" w:type="dxa"/>
              <w:right w:w="101" w:type="dxa"/>
            </w:tcMar>
          </w:tcPr>
          <w:p w14:paraId="6BA764F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1,495</w:t>
            </w:r>
          </w:p>
        </w:tc>
        <w:tc>
          <w:tcPr>
            <w:tcW w:w="992" w:type="dxa"/>
            <w:tcBorders>
              <w:top w:val="nil"/>
              <w:left w:val="nil"/>
              <w:bottom w:val="nil"/>
              <w:right w:val="nil"/>
              <w:tl2br w:val="nil"/>
              <w:tr2bl w:val="nil"/>
            </w:tcBorders>
            <w:noWrap/>
            <w:tcMar>
              <w:left w:w="101" w:type="dxa"/>
              <w:right w:w="101" w:type="dxa"/>
            </w:tcMar>
          </w:tcPr>
          <w:p w14:paraId="0FD8AF7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6D1604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968103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1164D96D"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2F6F5C85"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More services for our suburbs – Upgrading the Old Kingston Bus Depot</w:t>
            </w:r>
          </w:p>
        </w:tc>
        <w:tc>
          <w:tcPr>
            <w:tcW w:w="992" w:type="dxa"/>
            <w:tcBorders>
              <w:top w:val="nil"/>
              <w:left w:val="nil"/>
              <w:bottom w:val="nil"/>
              <w:right w:val="nil"/>
              <w:tl2br w:val="nil"/>
              <w:tr2bl w:val="nil"/>
            </w:tcBorders>
            <w:noWrap/>
            <w:tcMar>
              <w:left w:w="101" w:type="dxa"/>
              <w:right w:w="101" w:type="dxa"/>
            </w:tcMar>
          </w:tcPr>
          <w:p w14:paraId="5E3D32F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-260</w:t>
            </w:r>
          </w:p>
        </w:tc>
        <w:tc>
          <w:tcPr>
            <w:tcW w:w="992" w:type="dxa"/>
            <w:tcBorders>
              <w:top w:val="nil"/>
              <w:left w:val="nil"/>
              <w:bottom w:val="nil"/>
              <w:right w:val="nil"/>
              <w:tl2br w:val="nil"/>
              <w:tr2bl w:val="nil"/>
            </w:tcBorders>
            <w:noWrap/>
            <w:tcMar>
              <w:left w:w="101" w:type="dxa"/>
              <w:right w:w="101" w:type="dxa"/>
            </w:tcMar>
          </w:tcPr>
          <w:p w14:paraId="6CD8B64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260</w:t>
            </w:r>
          </w:p>
        </w:tc>
        <w:tc>
          <w:tcPr>
            <w:tcW w:w="992" w:type="dxa"/>
            <w:tcBorders>
              <w:top w:val="nil"/>
              <w:left w:val="nil"/>
              <w:bottom w:val="nil"/>
              <w:right w:val="nil"/>
              <w:tl2br w:val="nil"/>
              <w:tr2bl w:val="nil"/>
            </w:tcBorders>
            <w:noWrap/>
            <w:tcMar>
              <w:left w:w="101" w:type="dxa"/>
              <w:right w:w="101" w:type="dxa"/>
            </w:tcMar>
          </w:tcPr>
          <w:p w14:paraId="50D56A07"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6517D37"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F3D655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423E88B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64F5EDE2"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Delivering a second college for Gungahlin</w:t>
            </w:r>
          </w:p>
        </w:tc>
        <w:tc>
          <w:tcPr>
            <w:tcW w:w="992" w:type="dxa"/>
            <w:tcBorders>
              <w:top w:val="nil"/>
              <w:left w:val="nil"/>
              <w:bottom w:val="nil"/>
              <w:right w:val="nil"/>
              <w:tl2br w:val="nil"/>
              <w:tr2bl w:val="nil"/>
            </w:tcBorders>
            <w:noWrap/>
            <w:tcMar>
              <w:left w:w="101" w:type="dxa"/>
              <w:right w:w="101" w:type="dxa"/>
            </w:tcMar>
          </w:tcPr>
          <w:p w14:paraId="49B3D54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30A37B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-8,700</w:t>
            </w:r>
          </w:p>
        </w:tc>
        <w:tc>
          <w:tcPr>
            <w:tcW w:w="992" w:type="dxa"/>
            <w:tcBorders>
              <w:top w:val="nil"/>
              <w:left w:val="nil"/>
              <w:bottom w:val="nil"/>
              <w:right w:val="nil"/>
              <w:tl2br w:val="nil"/>
              <w:tr2bl w:val="nil"/>
            </w:tcBorders>
            <w:noWrap/>
            <w:tcMar>
              <w:left w:w="101" w:type="dxa"/>
              <w:right w:w="101" w:type="dxa"/>
            </w:tcMar>
          </w:tcPr>
          <w:p w14:paraId="0A0884C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5,200</w:t>
            </w:r>
          </w:p>
        </w:tc>
        <w:tc>
          <w:tcPr>
            <w:tcW w:w="992" w:type="dxa"/>
            <w:tcBorders>
              <w:top w:val="nil"/>
              <w:left w:val="nil"/>
              <w:bottom w:val="nil"/>
              <w:right w:val="nil"/>
              <w:tl2br w:val="nil"/>
              <w:tr2bl w:val="nil"/>
            </w:tcBorders>
            <w:noWrap/>
            <w:tcMar>
              <w:left w:w="101" w:type="dxa"/>
              <w:right w:w="101" w:type="dxa"/>
            </w:tcMar>
          </w:tcPr>
          <w:p w14:paraId="03D9C41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3,500</w:t>
            </w:r>
          </w:p>
        </w:tc>
        <w:tc>
          <w:tcPr>
            <w:tcW w:w="992" w:type="dxa"/>
            <w:tcBorders>
              <w:top w:val="nil"/>
              <w:left w:val="nil"/>
              <w:bottom w:val="nil"/>
              <w:right w:val="nil"/>
              <w:tl2br w:val="nil"/>
              <w:tr2bl w:val="nil"/>
            </w:tcBorders>
            <w:noWrap/>
            <w:tcMar>
              <w:left w:w="101" w:type="dxa"/>
              <w:right w:w="101" w:type="dxa"/>
            </w:tcMar>
          </w:tcPr>
          <w:p w14:paraId="5443A5D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17C9D3F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740EC8BD"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Narrabundah College</w:t>
            </w:r>
          </w:p>
        </w:tc>
        <w:tc>
          <w:tcPr>
            <w:tcW w:w="992" w:type="dxa"/>
            <w:tcBorders>
              <w:top w:val="nil"/>
              <w:left w:val="nil"/>
              <w:bottom w:val="nil"/>
              <w:right w:val="nil"/>
              <w:tl2br w:val="nil"/>
              <w:tr2bl w:val="nil"/>
            </w:tcBorders>
            <w:noWrap/>
            <w:tcMar>
              <w:left w:w="101" w:type="dxa"/>
              <w:right w:w="101" w:type="dxa"/>
            </w:tcMar>
          </w:tcPr>
          <w:p w14:paraId="7637DDB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841946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5,870</w:t>
            </w:r>
          </w:p>
        </w:tc>
        <w:tc>
          <w:tcPr>
            <w:tcW w:w="992" w:type="dxa"/>
            <w:tcBorders>
              <w:top w:val="nil"/>
              <w:left w:val="nil"/>
              <w:bottom w:val="nil"/>
              <w:right w:val="nil"/>
              <w:tl2br w:val="nil"/>
              <w:tr2bl w:val="nil"/>
            </w:tcBorders>
            <w:noWrap/>
            <w:tcMar>
              <w:left w:w="101" w:type="dxa"/>
              <w:right w:w="101" w:type="dxa"/>
            </w:tcMar>
          </w:tcPr>
          <w:p w14:paraId="66E785B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-5,870</w:t>
            </w:r>
          </w:p>
        </w:tc>
        <w:tc>
          <w:tcPr>
            <w:tcW w:w="992" w:type="dxa"/>
            <w:tcBorders>
              <w:top w:val="nil"/>
              <w:left w:val="nil"/>
              <w:bottom w:val="nil"/>
              <w:right w:val="nil"/>
              <w:tl2br w:val="nil"/>
              <w:tr2bl w:val="nil"/>
            </w:tcBorders>
            <w:noWrap/>
            <w:tcMar>
              <w:left w:w="101" w:type="dxa"/>
              <w:right w:w="101" w:type="dxa"/>
            </w:tcMar>
          </w:tcPr>
          <w:p w14:paraId="5B029EB1"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E8ECFE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2AB472C9"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34D478ED"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Strathnairn Primary School</w:t>
            </w:r>
          </w:p>
        </w:tc>
        <w:tc>
          <w:tcPr>
            <w:tcW w:w="992" w:type="dxa"/>
            <w:tcBorders>
              <w:top w:val="nil"/>
              <w:left w:val="nil"/>
              <w:bottom w:val="nil"/>
              <w:right w:val="nil"/>
              <w:tl2br w:val="nil"/>
              <w:tr2bl w:val="nil"/>
            </w:tcBorders>
            <w:noWrap/>
            <w:tcMar>
              <w:left w:w="101" w:type="dxa"/>
              <w:right w:w="101" w:type="dxa"/>
            </w:tcMar>
          </w:tcPr>
          <w:p w14:paraId="562FF4A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2,500</w:t>
            </w:r>
          </w:p>
        </w:tc>
        <w:tc>
          <w:tcPr>
            <w:tcW w:w="992" w:type="dxa"/>
            <w:tcBorders>
              <w:top w:val="nil"/>
              <w:left w:val="nil"/>
              <w:bottom w:val="nil"/>
              <w:right w:val="nil"/>
              <w:tl2br w:val="nil"/>
              <w:tr2bl w:val="nil"/>
            </w:tcBorders>
            <w:noWrap/>
            <w:tcMar>
              <w:left w:w="101" w:type="dxa"/>
              <w:right w:w="101" w:type="dxa"/>
            </w:tcMar>
          </w:tcPr>
          <w:p w14:paraId="08C9EC1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-2,500</w:t>
            </w:r>
          </w:p>
        </w:tc>
        <w:tc>
          <w:tcPr>
            <w:tcW w:w="992" w:type="dxa"/>
            <w:tcBorders>
              <w:top w:val="nil"/>
              <w:left w:val="nil"/>
              <w:bottom w:val="nil"/>
              <w:right w:val="nil"/>
              <w:tl2br w:val="nil"/>
              <w:tr2bl w:val="nil"/>
            </w:tcBorders>
            <w:noWrap/>
            <w:tcMar>
              <w:left w:w="101" w:type="dxa"/>
              <w:right w:w="101" w:type="dxa"/>
            </w:tcMar>
          </w:tcPr>
          <w:p w14:paraId="4571CE2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9FF35D7"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EC15A5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63AAFC9A"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67A44A0E"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Telopea Park High School modernisation</w:t>
            </w:r>
          </w:p>
        </w:tc>
        <w:tc>
          <w:tcPr>
            <w:tcW w:w="992" w:type="dxa"/>
            <w:tcBorders>
              <w:top w:val="nil"/>
              <w:left w:val="nil"/>
              <w:bottom w:val="nil"/>
              <w:right w:val="nil"/>
              <w:tl2br w:val="nil"/>
              <w:tr2bl w:val="nil"/>
            </w:tcBorders>
            <w:noWrap/>
            <w:tcMar>
              <w:left w:w="101" w:type="dxa"/>
              <w:right w:w="101" w:type="dxa"/>
            </w:tcMar>
          </w:tcPr>
          <w:p w14:paraId="24B9EE67"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BFBADC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-24,050</w:t>
            </w:r>
          </w:p>
        </w:tc>
        <w:tc>
          <w:tcPr>
            <w:tcW w:w="992" w:type="dxa"/>
            <w:tcBorders>
              <w:top w:val="nil"/>
              <w:left w:val="nil"/>
              <w:bottom w:val="nil"/>
              <w:right w:val="nil"/>
              <w:tl2br w:val="nil"/>
              <w:tr2bl w:val="nil"/>
            </w:tcBorders>
            <w:noWrap/>
            <w:tcMar>
              <w:left w:w="101" w:type="dxa"/>
              <w:right w:w="101" w:type="dxa"/>
            </w:tcMar>
          </w:tcPr>
          <w:p w14:paraId="514756C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-4,000</w:t>
            </w:r>
          </w:p>
        </w:tc>
        <w:tc>
          <w:tcPr>
            <w:tcW w:w="992" w:type="dxa"/>
            <w:tcBorders>
              <w:top w:val="nil"/>
              <w:left w:val="nil"/>
              <w:bottom w:val="nil"/>
              <w:right w:val="nil"/>
              <w:tl2br w:val="nil"/>
              <w:tr2bl w:val="nil"/>
            </w:tcBorders>
            <w:noWrap/>
            <w:tcMar>
              <w:left w:w="101" w:type="dxa"/>
              <w:right w:w="101" w:type="dxa"/>
            </w:tcMar>
          </w:tcPr>
          <w:p w14:paraId="38D9112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20,000</w:t>
            </w:r>
          </w:p>
        </w:tc>
        <w:tc>
          <w:tcPr>
            <w:tcW w:w="992" w:type="dxa"/>
            <w:tcBorders>
              <w:top w:val="nil"/>
              <w:left w:val="nil"/>
              <w:bottom w:val="nil"/>
              <w:right w:val="nil"/>
              <w:tl2br w:val="nil"/>
              <w:tr2bl w:val="nil"/>
            </w:tcBorders>
            <w:noWrap/>
            <w:tcMar>
              <w:left w:w="101" w:type="dxa"/>
              <w:right w:w="101" w:type="dxa"/>
            </w:tcMar>
          </w:tcPr>
          <w:p w14:paraId="7A7488A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8,050</w:t>
            </w:r>
          </w:p>
        </w:tc>
      </w:tr>
      <w:tr w:rsidR="00CA75AA" w14:paraId="667F7B46"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31A9980E"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Materials Recovery Facility</w:t>
            </w:r>
          </w:p>
        </w:tc>
        <w:tc>
          <w:tcPr>
            <w:tcW w:w="992" w:type="dxa"/>
            <w:tcBorders>
              <w:top w:val="nil"/>
              <w:left w:val="nil"/>
              <w:bottom w:val="nil"/>
              <w:right w:val="nil"/>
              <w:tl2br w:val="nil"/>
              <w:tr2bl w:val="nil"/>
            </w:tcBorders>
            <w:noWrap/>
            <w:tcMar>
              <w:left w:w="101" w:type="dxa"/>
              <w:right w:w="101" w:type="dxa"/>
            </w:tcMar>
          </w:tcPr>
          <w:p w14:paraId="523B3171"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3E4AC8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-6,250</w:t>
            </w:r>
          </w:p>
        </w:tc>
        <w:tc>
          <w:tcPr>
            <w:tcW w:w="992" w:type="dxa"/>
            <w:tcBorders>
              <w:top w:val="nil"/>
              <w:left w:val="nil"/>
              <w:bottom w:val="nil"/>
              <w:right w:val="nil"/>
              <w:tl2br w:val="nil"/>
              <w:tr2bl w:val="nil"/>
            </w:tcBorders>
            <w:noWrap/>
            <w:tcMar>
              <w:left w:w="101" w:type="dxa"/>
              <w:right w:w="101" w:type="dxa"/>
            </w:tcMar>
          </w:tcPr>
          <w:p w14:paraId="36BB367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6,250</w:t>
            </w:r>
          </w:p>
        </w:tc>
        <w:tc>
          <w:tcPr>
            <w:tcW w:w="992" w:type="dxa"/>
            <w:tcBorders>
              <w:top w:val="nil"/>
              <w:left w:val="nil"/>
              <w:bottom w:val="nil"/>
              <w:right w:val="nil"/>
              <w:tl2br w:val="nil"/>
              <w:tr2bl w:val="nil"/>
            </w:tcBorders>
            <w:noWrap/>
            <w:tcMar>
              <w:left w:w="101" w:type="dxa"/>
              <w:right w:w="101" w:type="dxa"/>
            </w:tcMar>
          </w:tcPr>
          <w:p w14:paraId="47247BD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DB0E64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0978E0F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43A916D4"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 xml:space="preserve">Strengthening emergency services – Planning for the Molonglo Valley Police Station </w:t>
            </w:r>
          </w:p>
        </w:tc>
        <w:tc>
          <w:tcPr>
            <w:tcW w:w="992" w:type="dxa"/>
            <w:tcBorders>
              <w:top w:val="nil"/>
              <w:left w:val="nil"/>
              <w:bottom w:val="nil"/>
              <w:right w:val="nil"/>
              <w:tl2br w:val="nil"/>
              <w:tr2bl w:val="nil"/>
            </w:tcBorders>
            <w:noWrap/>
            <w:tcMar>
              <w:left w:w="101" w:type="dxa"/>
              <w:right w:w="101" w:type="dxa"/>
            </w:tcMar>
          </w:tcPr>
          <w:p w14:paraId="48DD9A2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-850</w:t>
            </w:r>
          </w:p>
        </w:tc>
        <w:tc>
          <w:tcPr>
            <w:tcW w:w="992" w:type="dxa"/>
            <w:tcBorders>
              <w:top w:val="nil"/>
              <w:left w:val="nil"/>
              <w:bottom w:val="nil"/>
              <w:right w:val="nil"/>
              <w:tl2br w:val="nil"/>
              <w:tr2bl w:val="nil"/>
            </w:tcBorders>
            <w:noWrap/>
            <w:tcMar>
              <w:left w:w="101" w:type="dxa"/>
              <w:right w:w="101" w:type="dxa"/>
            </w:tcMar>
          </w:tcPr>
          <w:p w14:paraId="786FD3E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850</w:t>
            </w:r>
          </w:p>
        </w:tc>
        <w:tc>
          <w:tcPr>
            <w:tcW w:w="992" w:type="dxa"/>
            <w:tcBorders>
              <w:top w:val="nil"/>
              <w:left w:val="nil"/>
              <w:bottom w:val="nil"/>
              <w:right w:val="nil"/>
              <w:tl2br w:val="nil"/>
              <w:tr2bl w:val="nil"/>
            </w:tcBorders>
            <w:noWrap/>
            <w:tcMar>
              <w:left w:w="101" w:type="dxa"/>
              <w:right w:w="101" w:type="dxa"/>
            </w:tcMar>
          </w:tcPr>
          <w:p w14:paraId="75207FC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AD21CA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9A2112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66E47DF0"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7D5ADE08"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Supporting local sport – Stromlo District Playing Fields – Stage 1 Construction</w:t>
            </w:r>
          </w:p>
        </w:tc>
        <w:tc>
          <w:tcPr>
            <w:tcW w:w="992" w:type="dxa"/>
            <w:tcBorders>
              <w:top w:val="nil"/>
              <w:left w:val="nil"/>
              <w:bottom w:val="nil"/>
              <w:right w:val="nil"/>
              <w:tl2br w:val="nil"/>
              <w:tr2bl w:val="nil"/>
            </w:tcBorders>
            <w:noWrap/>
            <w:tcMar>
              <w:left w:w="101" w:type="dxa"/>
              <w:right w:w="101" w:type="dxa"/>
            </w:tcMar>
          </w:tcPr>
          <w:p w14:paraId="2204E09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0294BF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-22,467</w:t>
            </w:r>
          </w:p>
        </w:tc>
        <w:tc>
          <w:tcPr>
            <w:tcW w:w="992" w:type="dxa"/>
            <w:tcBorders>
              <w:top w:val="nil"/>
              <w:left w:val="nil"/>
              <w:bottom w:val="nil"/>
              <w:right w:val="nil"/>
              <w:tl2br w:val="nil"/>
              <w:tr2bl w:val="nil"/>
            </w:tcBorders>
            <w:noWrap/>
            <w:tcMar>
              <w:left w:w="101" w:type="dxa"/>
              <w:right w:w="101" w:type="dxa"/>
            </w:tcMar>
          </w:tcPr>
          <w:p w14:paraId="3B54ECC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16,125</w:t>
            </w:r>
          </w:p>
        </w:tc>
        <w:tc>
          <w:tcPr>
            <w:tcW w:w="992" w:type="dxa"/>
            <w:tcBorders>
              <w:top w:val="nil"/>
              <w:left w:val="nil"/>
              <w:bottom w:val="nil"/>
              <w:right w:val="nil"/>
              <w:tl2br w:val="nil"/>
              <w:tr2bl w:val="nil"/>
            </w:tcBorders>
            <w:noWrap/>
            <w:tcMar>
              <w:left w:w="101" w:type="dxa"/>
              <w:right w:w="101" w:type="dxa"/>
            </w:tcMar>
          </w:tcPr>
          <w:p w14:paraId="440D175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6,342</w:t>
            </w:r>
          </w:p>
        </w:tc>
        <w:tc>
          <w:tcPr>
            <w:tcW w:w="992" w:type="dxa"/>
            <w:tcBorders>
              <w:top w:val="nil"/>
              <w:left w:val="nil"/>
              <w:bottom w:val="nil"/>
              <w:right w:val="nil"/>
              <w:tl2br w:val="nil"/>
              <w:tr2bl w:val="nil"/>
            </w:tcBorders>
            <w:noWrap/>
            <w:tcMar>
              <w:left w:w="101" w:type="dxa"/>
              <w:right w:w="101" w:type="dxa"/>
            </w:tcMar>
          </w:tcPr>
          <w:p w14:paraId="454443A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6858CCC9"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66C04E54"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Throsby Home of Football – Stage 2</w:t>
            </w:r>
          </w:p>
        </w:tc>
        <w:tc>
          <w:tcPr>
            <w:tcW w:w="992" w:type="dxa"/>
            <w:tcBorders>
              <w:top w:val="nil"/>
              <w:left w:val="nil"/>
              <w:bottom w:val="nil"/>
              <w:right w:val="nil"/>
              <w:tl2br w:val="nil"/>
              <w:tr2bl w:val="nil"/>
            </w:tcBorders>
            <w:noWrap/>
            <w:tcMar>
              <w:left w:w="101" w:type="dxa"/>
              <w:right w:w="101" w:type="dxa"/>
            </w:tcMar>
          </w:tcPr>
          <w:p w14:paraId="7A89ED2A"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85C5FB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AD1BCB0"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-9,000</w:t>
            </w:r>
          </w:p>
        </w:tc>
        <w:tc>
          <w:tcPr>
            <w:tcW w:w="992" w:type="dxa"/>
            <w:tcBorders>
              <w:top w:val="nil"/>
              <w:left w:val="nil"/>
              <w:bottom w:val="nil"/>
              <w:right w:val="nil"/>
              <w:tl2br w:val="nil"/>
              <w:tr2bl w:val="nil"/>
            </w:tcBorders>
            <w:noWrap/>
            <w:tcMar>
              <w:left w:w="101" w:type="dxa"/>
              <w:right w:w="101" w:type="dxa"/>
            </w:tcMar>
          </w:tcPr>
          <w:p w14:paraId="4B407C6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7,000</w:t>
            </w:r>
          </w:p>
        </w:tc>
        <w:tc>
          <w:tcPr>
            <w:tcW w:w="992" w:type="dxa"/>
            <w:tcBorders>
              <w:top w:val="nil"/>
              <w:left w:val="nil"/>
              <w:bottom w:val="nil"/>
              <w:right w:val="nil"/>
              <w:tl2br w:val="nil"/>
              <w:tr2bl w:val="nil"/>
            </w:tcBorders>
            <w:noWrap/>
            <w:tcMar>
              <w:left w:w="101" w:type="dxa"/>
              <w:right w:w="101" w:type="dxa"/>
            </w:tcMar>
          </w:tcPr>
          <w:p w14:paraId="03F1A52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2,000</w:t>
            </w:r>
          </w:p>
        </w:tc>
      </w:tr>
      <w:tr w:rsidR="00CA75AA" w14:paraId="1D8AD74A"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31B52724"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Well-prepared emergency services – Molonglo Station and Casey Station</w:t>
            </w:r>
          </w:p>
        </w:tc>
        <w:tc>
          <w:tcPr>
            <w:tcW w:w="992" w:type="dxa"/>
            <w:tcBorders>
              <w:top w:val="nil"/>
              <w:left w:val="nil"/>
              <w:bottom w:val="nil"/>
              <w:right w:val="nil"/>
              <w:tl2br w:val="nil"/>
              <w:tr2bl w:val="nil"/>
            </w:tcBorders>
            <w:noWrap/>
            <w:tcMar>
              <w:left w:w="101" w:type="dxa"/>
              <w:right w:w="101" w:type="dxa"/>
            </w:tcMar>
          </w:tcPr>
          <w:p w14:paraId="0DAB6E0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8,000</w:t>
            </w:r>
          </w:p>
        </w:tc>
        <w:tc>
          <w:tcPr>
            <w:tcW w:w="992" w:type="dxa"/>
            <w:tcBorders>
              <w:top w:val="nil"/>
              <w:left w:val="nil"/>
              <w:bottom w:val="nil"/>
              <w:right w:val="nil"/>
              <w:tl2br w:val="nil"/>
              <w:tr2bl w:val="nil"/>
            </w:tcBorders>
            <w:noWrap/>
            <w:tcMar>
              <w:left w:w="101" w:type="dxa"/>
              <w:right w:w="101" w:type="dxa"/>
            </w:tcMar>
          </w:tcPr>
          <w:p w14:paraId="04A946E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-8,000</w:t>
            </w:r>
          </w:p>
        </w:tc>
        <w:tc>
          <w:tcPr>
            <w:tcW w:w="992" w:type="dxa"/>
            <w:tcBorders>
              <w:top w:val="nil"/>
              <w:left w:val="nil"/>
              <w:bottom w:val="nil"/>
              <w:right w:val="nil"/>
              <w:tl2br w:val="nil"/>
              <w:tr2bl w:val="nil"/>
            </w:tcBorders>
            <w:noWrap/>
            <w:tcMar>
              <w:left w:w="101" w:type="dxa"/>
              <w:right w:w="101" w:type="dxa"/>
            </w:tcMar>
          </w:tcPr>
          <w:p w14:paraId="6D12F55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B5C205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85199E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5DB8CA6A"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72720294"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Whitlam Primary School Early Learning Centre</w:t>
            </w:r>
          </w:p>
        </w:tc>
        <w:tc>
          <w:tcPr>
            <w:tcW w:w="992" w:type="dxa"/>
            <w:tcBorders>
              <w:top w:val="nil"/>
              <w:left w:val="nil"/>
              <w:bottom w:val="nil"/>
              <w:right w:val="nil"/>
              <w:tl2br w:val="nil"/>
              <w:tr2bl w:val="nil"/>
            </w:tcBorders>
            <w:noWrap/>
            <w:tcMar>
              <w:left w:w="101" w:type="dxa"/>
              <w:right w:w="101" w:type="dxa"/>
            </w:tcMar>
          </w:tcPr>
          <w:p w14:paraId="1AD9D9A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-5,000</w:t>
            </w:r>
          </w:p>
        </w:tc>
        <w:tc>
          <w:tcPr>
            <w:tcW w:w="992" w:type="dxa"/>
            <w:tcBorders>
              <w:top w:val="nil"/>
              <w:left w:val="nil"/>
              <w:bottom w:val="nil"/>
              <w:right w:val="nil"/>
              <w:tl2br w:val="nil"/>
              <w:tr2bl w:val="nil"/>
            </w:tcBorders>
            <w:noWrap/>
            <w:tcMar>
              <w:left w:w="101" w:type="dxa"/>
              <w:right w:w="101" w:type="dxa"/>
            </w:tcMar>
          </w:tcPr>
          <w:p w14:paraId="327FDF7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5,000</w:t>
            </w:r>
          </w:p>
        </w:tc>
        <w:tc>
          <w:tcPr>
            <w:tcW w:w="992" w:type="dxa"/>
            <w:tcBorders>
              <w:top w:val="nil"/>
              <w:left w:val="nil"/>
              <w:bottom w:val="nil"/>
              <w:right w:val="nil"/>
              <w:tl2br w:val="nil"/>
              <w:tr2bl w:val="nil"/>
            </w:tcBorders>
            <w:noWrap/>
            <w:tcMar>
              <w:left w:w="101" w:type="dxa"/>
              <w:right w:w="101" w:type="dxa"/>
            </w:tcMar>
          </w:tcPr>
          <w:p w14:paraId="6EACC57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520ACB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018EC8C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1BF9566C"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101" w:type="dxa"/>
              <w:right w:w="101" w:type="dxa"/>
            </w:tcMar>
          </w:tcPr>
          <w:p w14:paraId="153A1BBA"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Revised Indexation Parameters</w:t>
            </w:r>
          </w:p>
        </w:tc>
        <w:tc>
          <w:tcPr>
            <w:tcW w:w="992" w:type="dxa"/>
            <w:tcBorders>
              <w:top w:val="nil"/>
              <w:left w:val="nil"/>
              <w:bottom w:val="nil"/>
              <w:right w:val="nil"/>
              <w:tl2br w:val="nil"/>
              <w:tr2bl w:val="nil"/>
            </w:tcBorders>
            <w:noWrap/>
            <w:tcMar>
              <w:left w:w="101" w:type="dxa"/>
              <w:right w:w="101" w:type="dxa"/>
            </w:tcMar>
          </w:tcPr>
          <w:p w14:paraId="71467DF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85C67CB"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C06AD96"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373E4157"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A5D650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41</w:t>
            </w:r>
          </w:p>
        </w:tc>
      </w:tr>
      <w:tr w:rsidR="00CA75AA" w14:paraId="5B568251"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tcMar>
              <w:left w:w="101" w:type="dxa"/>
              <w:right w:w="101" w:type="dxa"/>
            </w:tcMar>
            <w:vAlign w:val="center"/>
          </w:tcPr>
          <w:p w14:paraId="47752C66" w14:textId="77777777" w:rsidR="00CA75AA" w:rsidRDefault="00CA75AA" w:rsidP="00CA75AA">
            <w:pPr>
              <w:pBdr>
                <w:top w:val="nil"/>
                <w:left w:val="nil"/>
                <w:bottom w:val="nil"/>
                <w:right w:val="nil"/>
                <w:between w:val="nil"/>
                <w:bar w:val="nil"/>
              </w:pBdr>
              <w:ind w:left="170" w:hanging="170"/>
              <w:rPr>
                <w:rFonts w:eastAsia="Calibri" w:cs="Calibri"/>
                <w:i/>
                <w:color w:val="000000"/>
                <w:u w:val="single"/>
              </w:rPr>
            </w:pPr>
            <w:r>
              <w:rPr>
                <w:rFonts w:ascii="Calibri" w:eastAsia="Calibri" w:hAnsi="Calibri" w:cs="Calibri"/>
                <w:i/>
                <w:color w:val="000000"/>
                <w:sz w:val="18"/>
                <w:u w:val="single"/>
                <w:lang w:eastAsia="en-US"/>
              </w:rPr>
              <w:t>Transfer</w:t>
            </w:r>
          </w:p>
        </w:tc>
        <w:tc>
          <w:tcPr>
            <w:tcW w:w="992" w:type="dxa"/>
            <w:tcBorders>
              <w:top w:val="nil"/>
              <w:left w:val="nil"/>
              <w:bottom w:val="nil"/>
              <w:right w:val="nil"/>
              <w:tl2br w:val="nil"/>
              <w:tr2bl w:val="nil"/>
            </w:tcBorders>
            <w:noWrap/>
            <w:tcMar>
              <w:left w:w="0" w:type="dxa"/>
              <w:right w:w="0" w:type="dxa"/>
            </w:tcMar>
          </w:tcPr>
          <w:p w14:paraId="7535239C"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12A420B8"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3D87EEDD"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22E35AB8" w14:textId="77777777" w:rsidR="00CA75AA" w:rsidRDefault="00CA75AA" w:rsidP="00CA75AA">
            <w:pPr>
              <w:rPr>
                <w:rFonts w:eastAsia="Calibri" w:cs="Calibri"/>
                <w:color w:val="000000"/>
              </w:rPr>
            </w:pPr>
          </w:p>
        </w:tc>
        <w:tc>
          <w:tcPr>
            <w:tcW w:w="992" w:type="dxa"/>
            <w:tcBorders>
              <w:top w:val="nil"/>
              <w:left w:val="nil"/>
              <w:bottom w:val="nil"/>
              <w:right w:val="nil"/>
              <w:tl2br w:val="nil"/>
              <w:tr2bl w:val="nil"/>
            </w:tcBorders>
            <w:noWrap/>
            <w:tcMar>
              <w:left w:w="0" w:type="dxa"/>
              <w:right w:w="0" w:type="dxa"/>
            </w:tcMar>
          </w:tcPr>
          <w:p w14:paraId="071C14CC" w14:textId="77777777" w:rsidR="00CA75AA" w:rsidRDefault="00CA75AA" w:rsidP="00CA75AA">
            <w:pPr>
              <w:rPr>
                <w:rFonts w:eastAsia="Calibri" w:cs="Calibri"/>
                <w:color w:val="000000"/>
              </w:rPr>
            </w:pPr>
          </w:p>
        </w:tc>
      </w:tr>
      <w:tr w:rsidR="00CA75AA" w14:paraId="6C8E3B2B"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963" w:type="dxa"/>
            <w:tcBorders>
              <w:top w:val="nil"/>
              <w:left w:val="nil"/>
              <w:bottom w:val="nil"/>
              <w:right w:val="nil"/>
              <w:tl2br w:val="nil"/>
              <w:tr2bl w:val="nil"/>
            </w:tcBorders>
            <w:shd w:val="clear" w:color="FFFFFF" w:fill="FFFFFF"/>
            <w:tcMar>
              <w:left w:w="236" w:type="dxa"/>
              <w:right w:w="101" w:type="dxa"/>
            </w:tcMar>
          </w:tcPr>
          <w:p w14:paraId="20D23DB6"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Designing the Molonglo Parkway – Drive Connector from CED</w:t>
            </w:r>
          </w:p>
        </w:tc>
        <w:tc>
          <w:tcPr>
            <w:tcW w:w="992" w:type="dxa"/>
            <w:tcBorders>
              <w:top w:val="nil"/>
              <w:left w:val="nil"/>
              <w:bottom w:val="nil"/>
              <w:right w:val="nil"/>
              <w:tl2br w:val="nil"/>
              <w:tr2bl w:val="nil"/>
            </w:tcBorders>
            <w:noWrap/>
            <w:tcMar>
              <w:left w:w="101" w:type="dxa"/>
              <w:right w:w="101" w:type="dxa"/>
            </w:tcMar>
          </w:tcPr>
          <w:p w14:paraId="3C963241"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6912B7DC"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600</w:t>
            </w:r>
          </w:p>
        </w:tc>
        <w:tc>
          <w:tcPr>
            <w:tcW w:w="992" w:type="dxa"/>
            <w:tcBorders>
              <w:top w:val="nil"/>
              <w:left w:val="nil"/>
              <w:bottom w:val="nil"/>
              <w:right w:val="nil"/>
              <w:tl2br w:val="nil"/>
              <w:tr2bl w:val="nil"/>
            </w:tcBorders>
            <w:noWrap/>
            <w:tcMar>
              <w:left w:w="101" w:type="dxa"/>
              <w:right w:w="101" w:type="dxa"/>
            </w:tcMar>
          </w:tcPr>
          <w:p w14:paraId="0E24615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4B822F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472188E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4421026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2780C95F" w14:textId="52AF9C31"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Next steps for the Canberra Hospital Masterplan from HCSD</w:t>
            </w:r>
          </w:p>
        </w:tc>
        <w:tc>
          <w:tcPr>
            <w:tcW w:w="992" w:type="dxa"/>
            <w:tcBorders>
              <w:top w:val="nil"/>
              <w:left w:val="nil"/>
              <w:bottom w:val="nil"/>
              <w:right w:val="nil"/>
              <w:tl2br w:val="nil"/>
              <w:tr2bl w:val="nil"/>
            </w:tcBorders>
            <w:noWrap/>
            <w:tcMar>
              <w:left w:w="101" w:type="dxa"/>
              <w:right w:w="101" w:type="dxa"/>
            </w:tcMar>
          </w:tcPr>
          <w:p w14:paraId="12BA18F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7,385</w:t>
            </w:r>
          </w:p>
        </w:tc>
        <w:tc>
          <w:tcPr>
            <w:tcW w:w="992" w:type="dxa"/>
            <w:tcBorders>
              <w:top w:val="nil"/>
              <w:left w:val="nil"/>
              <w:bottom w:val="nil"/>
              <w:right w:val="nil"/>
              <w:tl2br w:val="nil"/>
              <w:tr2bl w:val="nil"/>
            </w:tcBorders>
            <w:noWrap/>
            <w:tcMar>
              <w:left w:w="101" w:type="dxa"/>
              <w:right w:w="101" w:type="dxa"/>
            </w:tcMar>
          </w:tcPr>
          <w:p w14:paraId="085C218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3,725</w:t>
            </w:r>
          </w:p>
        </w:tc>
        <w:tc>
          <w:tcPr>
            <w:tcW w:w="992" w:type="dxa"/>
            <w:tcBorders>
              <w:top w:val="nil"/>
              <w:left w:val="nil"/>
              <w:bottom w:val="nil"/>
              <w:right w:val="nil"/>
              <w:tl2br w:val="nil"/>
              <w:tr2bl w:val="nil"/>
            </w:tcBorders>
            <w:noWrap/>
            <w:tcMar>
              <w:left w:w="101" w:type="dxa"/>
              <w:right w:w="101" w:type="dxa"/>
            </w:tcMar>
          </w:tcPr>
          <w:p w14:paraId="517E3C0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2D20DDE"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7F6AED5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56E99C48"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4165AF0A"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Planning the next stages of the Canberra Hospital Expansion to CHS</w:t>
            </w:r>
          </w:p>
        </w:tc>
        <w:tc>
          <w:tcPr>
            <w:tcW w:w="992" w:type="dxa"/>
            <w:tcBorders>
              <w:top w:val="nil"/>
              <w:left w:val="nil"/>
              <w:bottom w:val="nil"/>
              <w:right w:val="nil"/>
              <w:tl2br w:val="nil"/>
              <w:tr2bl w:val="nil"/>
            </w:tcBorders>
            <w:noWrap/>
            <w:tcMar>
              <w:left w:w="101" w:type="dxa"/>
              <w:right w:w="101" w:type="dxa"/>
            </w:tcMar>
          </w:tcPr>
          <w:p w14:paraId="74F8DE02"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-3,210</w:t>
            </w:r>
          </w:p>
        </w:tc>
        <w:tc>
          <w:tcPr>
            <w:tcW w:w="992" w:type="dxa"/>
            <w:tcBorders>
              <w:top w:val="nil"/>
              <w:left w:val="nil"/>
              <w:bottom w:val="nil"/>
              <w:right w:val="nil"/>
              <w:tl2br w:val="nil"/>
              <w:tr2bl w:val="nil"/>
            </w:tcBorders>
            <w:noWrap/>
            <w:tcMar>
              <w:left w:w="101" w:type="dxa"/>
              <w:right w:w="101" w:type="dxa"/>
            </w:tcMar>
          </w:tcPr>
          <w:p w14:paraId="0A69E89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C0CB80F"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2EFDCAB4"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59561828"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160AA425"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963" w:type="dxa"/>
            <w:tcBorders>
              <w:top w:val="nil"/>
              <w:left w:val="nil"/>
              <w:bottom w:val="nil"/>
              <w:right w:val="nil"/>
              <w:tl2br w:val="nil"/>
              <w:tr2bl w:val="nil"/>
            </w:tcBorders>
            <w:shd w:val="clear" w:color="FFFFFF" w:fill="FFFFFF"/>
            <w:tcMar>
              <w:left w:w="236" w:type="dxa"/>
              <w:right w:w="101" w:type="dxa"/>
            </w:tcMar>
          </w:tcPr>
          <w:p w14:paraId="5B1D699F" w14:textId="77777777" w:rsidR="00CA75AA" w:rsidRDefault="00CA75AA" w:rsidP="00CA75AA">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Supporting local sport – Stromlo District Playing Fields – Stage 1 Construction from CMTEDD</w:t>
            </w:r>
          </w:p>
        </w:tc>
        <w:tc>
          <w:tcPr>
            <w:tcW w:w="992" w:type="dxa"/>
            <w:tcBorders>
              <w:top w:val="nil"/>
              <w:left w:val="nil"/>
              <w:bottom w:val="nil"/>
              <w:right w:val="nil"/>
              <w:tl2br w:val="nil"/>
              <w:tr2bl w:val="nil"/>
            </w:tcBorders>
            <w:noWrap/>
            <w:tcMar>
              <w:left w:w="101" w:type="dxa"/>
              <w:right w:w="101" w:type="dxa"/>
            </w:tcMar>
          </w:tcPr>
          <w:p w14:paraId="1269CF1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1,400</w:t>
            </w:r>
          </w:p>
        </w:tc>
        <w:tc>
          <w:tcPr>
            <w:tcW w:w="992" w:type="dxa"/>
            <w:tcBorders>
              <w:top w:val="nil"/>
              <w:left w:val="nil"/>
              <w:bottom w:val="nil"/>
              <w:right w:val="nil"/>
              <w:tl2br w:val="nil"/>
              <w:tr2bl w:val="nil"/>
            </w:tcBorders>
            <w:noWrap/>
            <w:tcMar>
              <w:left w:w="101" w:type="dxa"/>
              <w:right w:w="101" w:type="dxa"/>
            </w:tcMar>
          </w:tcPr>
          <w:p w14:paraId="003A15B3"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27,567</w:t>
            </w:r>
          </w:p>
        </w:tc>
        <w:tc>
          <w:tcPr>
            <w:tcW w:w="992" w:type="dxa"/>
            <w:tcBorders>
              <w:top w:val="nil"/>
              <w:left w:val="nil"/>
              <w:bottom w:val="nil"/>
              <w:right w:val="nil"/>
              <w:tl2br w:val="nil"/>
              <w:tr2bl w:val="nil"/>
            </w:tcBorders>
            <w:noWrap/>
            <w:tcMar>
              <w:left w:w="101" w:type="dxa"/>
              <w:right w:w="101" w:type="dxa"/>
            </w:tcMar>
          </w:tcPr>
          <w:p w14:paraId="4F5F28ED"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6,342</w:t>
            </w:r>
          </w:p>
        </w:tc>
        <w:tc>
          <w:tcPr>
            <w:tcW w:w="992" w:type="dxa"/>
            <w:tcBorders>
              <w:top w:val="nil"/>
              <w:left w:val="nil"/>
              <w:bottom w:val="nil"/>
              <w:right w:val="nil"/>
              <w:tl2br w:val="nil"/>
              <w:tr2bl w:val="nil"/>
            </w:tcBorders>
            <w:noWrap/>
            <w:tcMar>
              <w:left w:w="101" w:type="dxa"/>
              <w:right w:w="101" w:type="dxa"/>
            </w:tcMar>
          </w:tcPr>
          <w:p w14:paraId="10B1EF15"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92" w:type="dxa"/>
            <w:tcBorders>
              <w:top w:val="nil"/>
              <w:left w:val="nil"/>
              <w:bottom w:val="nil"/>
              <w:right w:val="nil"/>
              <w:tl2br w:val="nil"/>
              <w:tr2bl w:val="nil"/>
            </w:tcBorders>
            <w:noWrap/>
            <w:tcMar>
              <w:left w:w="101" w:type="dxa"/>
              <w:right w:w="101" w:type="dxa"/>
            </w:tcMar>
          </w:tcPr>
          <w:p w14:paraId="152DB879" w14:textId="77777777" w:rsidR="00CA75AA" w:rsidRDefault="00CA75AA" w:rsidP="00CA75A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CA75AA" w14:paraId="3481A8BE" w14:textId="77777777" w:rsidTr="00A24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3963"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4021A8AD" w14:textId="77777777" w:rsidR="00CA75AA" w:rsidRDefault="00CA75AA" w:rsidP="00CA75AA">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2026-27 Budget</w:t>
            </w:r>
          </w:p>
        </w:tc>
        <w:tc>
          <w:tcPr>
            <w:tcW w:w="992"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6650BD3A" w14:textId="77777777" w:rsidR="00CA75AA" w:rsidRDefault="00CA75AA" w:rsidP="00CA75AA">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724,529</w:t>
            </w:r>
          </w:p>
        </w:tc>
        <w:tc>
          <w:tcPr>
            <w:tcW w:w="992"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427845BE" w14:textId="77777777" w:rsidR="00CA75AA" w:rsidRDefault="00CA75AA" w:rsidP="00CA75AA">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941,508</w:t>
            </w:r>
          </w:p>
        </w:tc>
        <w:tc>
          <w:tcPr>
            <w:tcW w:w="992"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1B18648A" w14:textId="77777777" w:rsidR="00CA75AA" w:rsidRDefault="00CA75AA" w:rsidP="00CA75AA">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1,038,024</w:t>
            </w:r>
          </w:p>
        </w:tc>
        <w:tc>
          <w:tcPr>
            <w:tcW w:w="992"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11D5C5CC" w14:textId="77777777" w:rsidR="00CA75AA" w:rsidRDefault="00CA75AA" w:rsidP="00CA75AA">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326,057</w:t>
            </w:r>
          </w:p>
        </w:tc>
        <w:tc>
          <w:tcPr>
            <w:tcW w:w="992"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5111D769" w14:textId="77777777" w:rsidR="00CA75AA" w:rsidRDefault="00CA75AA" w:rsidP="00CA75AA">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326,034</w:t>
            </w:r>
          </w:p>
        </w:tc>
      </w:tr>
    </w:tbl>
    <w:p w14:paraId="6D335371" w14:textId="77777777" w:rsidR="00D309B1" w:rsidRDefault="009B5C32" w:rsidP="00D309B1">
      <w:pPr>
        <w:pStyle w:val="Heading2"/>
        <w:keepLines w:val="0"/>
        <w:pageBreakBefore/>
        <w:pBdr>
          <w:top w:val="nil"/>
          <w:left w:val="nil"/>
          <w:bottom w:val="nil"/>
          <w:right w:val="nil"/>
          <w:between w:val="nil"/>
          <w:bar w:val="nil"/>
        </w:pBdr>
        <w:ind w:left="0" w:firstLine="0"/>
        <w:rPr>
          <w:szCs w:val="20"/>
        </w:rPr>
      </w:pPr>
      <w:bookmarkStart w:id="24" w:name="RG_MARKER_56739"/>
      <w:bookmarkStart w:id="25" w:name="RG_MARKER_56738"/>
      <w:bookmarkStart w:id="26" w:name="_Toc452127417"/>
      <w:bookmarkStart w:id="27" w:name="_Toc231374045"/>
      <w:r>
        <w:rPr>
          <w:szCs w:val="20"/>
        </w:rPr>
        <w:lastRenderedPageBreak/>
        <w:t xml:space="preserve">Summary of </w:t>
      </w:r>
      <w:bookmarkEnd w:id="24"/>
      <w:bookmarkEnd w:id="25"/>
      <w:r w:rsidRPr="000249AE">
        <w:rPr>
          <w:szCs w:val="20"/>
        </w:rPr>
        <w:t>2026-27 Infrastructure Program</w:t>
      </w:r>
      <w:bookmarkEnd w:id="26"/>
      <w:bookmarkEnd w:id="27"/>
    </w:p>
    <w:p w14:paraId="65150EC2" w14:textId="6220F981" w:rsidR="006E7477" w:rsidRDefault="009B5C32" w:rsidP="006E7477">
      <w:pPr>
        <w:pStyle w:val="Caption"/>
        <w:pBdr>
          <w:top w:val="nil"/>
          <w:left w:val="nil"/>
          <w:bottom w:val="nil"/>
          <w:right w:val="nil"/>
          <w:between w:val="nil"/>
          <w:bar w:val="nil"/>
        </w:pBdr>
        <w:rPr>
          <w:rFonts w:eastAsia="Times New Roman"/>
          <w:iCs w:val="0"/>
        </w:rPr>
      </w:pPr>
      <w:r>
        <w:rPr>
          <w:rFonts w:eastAsia="Times New Roman"/>
          <w:bCs/>
          <w:iCs w:val="0"/>
          <w:color w:val="000000"/>
        </w:rPr>
        <w:t>Table</w:t>
      </w:r>
      <w:r w:rsidR="00244B5B">
        <w:rPr>
          <w:rFonts w:eastAsia="Times New Roman"/>
          <w:bCs/>
          <w:iCs w:val="0"/>
          <w:color w:val="000000"/>
        </w:rPr>
        <w:t xml:space="preserve"> </w:t>
      </w:r>
      <w:r w:rsidR="00633F76">
        <w:rPr>
          <w:rFonts w:eastAsia="Times New Roman"/>
          <w:bCs/>
          <w:iCs w:val="0"/>
          <w:color w:val="000000"/>
        </w:rPr>
        <w:t>9</w:t>
      </w:r>
      <w:r>
        <w:rPr>
          <w:rFonts w:eastAsia="Times New Roman"/>
          <w:bCs/>
          <w:iCs w:val="0"/>
          <w:noProof/>
          <w:color w:val="000000"/>
        </w:rPr>
        <w:t xml:space="preserve">: </w:t>
      </w:r>
      <w:r w:rsidRPr="000249AE">
        <w:rPr>
          <w:rFonts w:eastAsia="Times New Roman"/>
          <w:bCs/>
          <w:iCs w:val="0"/>
          <w:color w:val="000000"/>
        </w:rPr>
        <w:t>2026-27 Infrastructure Canberra Infrastructure</w:t>
      </w:r>
      <w:r>
        <w:rPr>
          <w:rFonts w:eastAsia="Times New Roman"/>
          <w:bCs/>
          <w:iCs w:val="0"/>
          <w:color w:val="000000"/>
        </w:rPr>
        <w:t xml:space="preserve"> Program ($’000)</w:t>
      </w:r>
    </w:p>
    <w:tbl>
      <w:tblPr>
        <w:tblStyle w:val="CDMRange1"/>
        <w:tblW w:w="9135" w:type="dxa"/>
        <w:tblLayout w:type="fixed"/>
        <w:tblLook w:val="0620" w:firstRow="1" w:lastRow="0" w:firstColumn="0" w:lastColumn="0" w:noHBand="1" w:noVBand="1"/>
      </w:tblPr>
      <w:tblGrid>
        <w:gridCol w:w="2985"/>
        <w:gridCol w:w="840"/>
        <w:gridCol w:w="840"/>
        <w:gridCol w:w="840"/>
        <w:gridCol w:w="840"/>
        <w:gridCol w:w="840"/>
        <w:gridCol w:w="945"/>
        <w:gridCol w:w="1005"/>
      </w:tblGrid>
      <w:tr w:rsidR="00143C9C" w14:paraId="6DED8034" w14:textId="77777777" w:rsidTr="00BE2852">
        <w:trPr>
          <w:trHeight w:val="730"/>
          <w:tblHeader/>
        </w:trPr>
        <w:tc>
          <w:tcPr>
            <w:tcW w:w="298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3E41A4A" w14:textId="77777777" w:rsidR="00143C9C" w:rsidRDefault="009B5C32">
            <w:pPr>
              <w:pBdr>
                <w:top w:val="nil"/>
                <w:left w:val="nil"/>
                <w:bottom w:val="nil"/>
                <w:right w:val="nil"/>
                <w:between w:val="nil"/>
                <w:bar w:val="nil"/>
              </w:pBdr>
              <w:rPr>
                <w:rFonts w:eastAsia="Calibri" w:cs="Calibri"/>
                <w:b/>
                <w:color w:val="000000"/>
              </w:rPr>
            </w:pPr>
            <w:r>
              <w:rPr>
                <w:rFonts w:ascii="Calibri" w:eastAsia="Calibri" w:hAnsi="Calibri" w:cs="Calibri"/>
                <w:b/>
                <w:color w:val="000000"/>
                <w:sz w:val="18"/>
                <w:lang w:eastAsia="en-US"/>
              </w:rPr>
              <w:t>Project</w:t>
            </w:r>
            <w:r>
              <w:rPr>
                <w:rFonts w:ascii="Calibri" w:eastAsia="Calibri" w:hAnsi="Calibri" w:cs="Calibri"/>
                <w:b/>
                <w:color w:val="000000"/>
                <w:sz w:val="18"/>
                <w:vertAlign w:val="superscript"/>
                <w:lang w:eastAsia="en-US"/>
              </w:rPr>
              <w:t>1</w:t>
            </w:r>
          </w:p>
        </w:tc>
        <w:tc>
          <w:tcPr>
            <w:tcW w:w="84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0D185B7"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Total Project Value</w:t>
            </w:r>
          </w:p>
        </w:tc>
        <w:tc>
          <w:tcPr>
            <w:tcW w:w="84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10388A2"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2026-27</w:t>
            </w:r>
          </w:p>
        </w:tc>
        <w:tc>
          <w:tcPr>
            <w:tcW w:w="84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F9D8FD0"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2027­28</w:t>
            </w:r>
          </w:p>
        </w:tc>
        <w:tc>
          <w:tcPr>
            <w:tcW w:w="84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AA2D3B0"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2028­29</w:t>
            </w:r>
          </w:p>
        </w:tc>
        <w:tc>
          <w:tcPr>
            <w:tcW w:w="84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39FD876"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2029­30</w:t>
            </w:r>
          </w:p>
        </w:tc>
        <w:tc>
          <w:tcPr>
            <w:tcW w:w="94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63FF251"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Four Year</w:t>
            </w:r>
          </w:p>
          <w:p w14:paraId="3E400A42"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Investment</w:t>
            </w:r>
          </w:p>
        </w:tc>
        <w:tc>
          <w:tcPr>
            <w:tcW w:w="100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39D650FB"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Physical Completion Date</w:t>
            </w:r>
          </w:p>
        </w:tc>
      </w:tr>
      <w:tr w:rsidR="00143C9C" w14:paraId="60E1F7D6"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5" w:type="dxa"/>
            <w:tcBorders>
              <w:top w:val="single" w:sz="12" w:space="0" w:color="000000"/>
              <w:left w:val="nil"/>
              <w:bottom w:val="nil"/>
              <w:right w:val="nil"/>
              <w:tl2br w:val="nil"/>
              <w:tr2bl w:val="nil"/>
            </w:tcBorders>
            <w:tcMar>
              <w:left w:w="40" w:type="dxa"/>
              <w:right w:w="40" w:type="dxa"/>
            </w:tcMar>
          </w:tcPr>
          <w:p w14:paraId="4B5C2E9F"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New Works</w:t>
            </w:r>
          </w:p>
        </w:tc>
        <w:tc>
          <w:tcPr>
            <w:tcW w:w="840" w:type="dxa"/>
            <w:tcBorders>
              <w:top w:val="single" w:sz="12" w:space="0" w:color="000000"/>
              <w:left w:val="nil"/>
              <w:bottom w:val="nil"/>
              <w:right w:val="nil"/>
              <w:tl2br w:val="nil"/>
              <w:tr2bl w:val="nil"/>
            </w:tcBorders>
            <w:tcMar>
              <w:left w:w="0" w:type="dxa"/>
              <w:right w:w="0" w:type="dxa"/>
            </w:tcMar>
          </w:tcPr>
          <w:p w14:paraId="2A755A9C" w14:textId="77777777" w:rsidR="00143C9C" w:rsidRDefault="00143C9C">
            <w:pPr>
              <w:jc w:val="center"/>
              <w:rPr>
                <w:rFonts w:eastAsia="Calibri" w:cs="Calibri"/>
                <w:b/>
                <w:color w:val="000000"/>
              </w:rPr>
            </w:pPr>
          </w:p>
        </w:tc>
        <w:tc>
          <w:tcPr>
            <w:tcW w:w="840" w:type="dxa"/>
            <w:tcBorders>
              <w:top w:val="single" w:sz="12" w:space="0" w:color="000000"/>
              <w:left w:val="nil"/>
              <w:bottom w:val="nil"/>
              <w:right w:val="nil"/>
              <w:tl2br w:val="nil"/>
              <w:tr2bl w:val="nil"/>
            </w:tcBorders>
            <w:noWrap/>
            <w:tcMar>
              <w:left w:w="0" w:type="dxa"/>
              <w:right w:w="0" w:type="dxa"/>
            </w:tcMar>
          </w:tcPr>
          <w:p w14:paraId="7321EC22" w14:textId="77777777" w:rsidR="00143C9C" w:rsidRDefault="00143C9C">
            <w:pPr>
              <w:jc w:val="right"/>
              <w:rPr>
                <w:rFonts w:eastAsia="Calibri" w:cs="Calibri"/>
                <w:color w:val="000000"/>
              </w:rPr>
            </w:pPr>
          </w:p>
        </w:tc>
        <w:tc>
          <w:tcPr>
            <w:tcW w:w="840" w:type="dxa"/>
            <w:tcBorders>
              <w:top w:val="single" w:sz="12" w:space="0" w:color="000000"/>
              <w:left w:val="nil"/>
              <w:bottom w:val="nil"/>
              <w:right w:val="nil"/>
              <w:tl2br w:val="nil"/>
              <w:tr2bl w:val="nil"/>
            </w:tcBorders>
            <w:noWrap/>
            <w:tcMar>
              <w:left w:w="0" w:type="dxa"/>
              <w:right w:w="0" w:type="dxa"/>
            </w:tcMar>
          </w:tcPr>
          <w:p w14:paraId="776CCFE8" w14:textId="77777777" w:rsidR="00143C9C" w:rsidRDefault="00143C9C">
            <w:pPr>
              <w:jc w:val="right"/>
              <w:rPr>
                <w:rFonts w:eastAsia="Calibri" w:cs="Calibri"/>
                <w:color w:val="000000"/>
              </w:rPr>
            </w:pPr>
          </w:p>
        </w:tc>
        <w:tc>
          <w:tcPr>
            <w:tcW w:w="840" w:type="dxa"/>
            <w:tcBorders>
              <w:top w:val="single" w:sz="12" w:space="0" w:color="000000"/>
              <w:left w:val="nil"/>
              <w:bottom w:val="nil"/>
              <w:right w:val="nil"/>
              <w:tl2br w:val="nil"/>
              <w:tr2bl w:val="nil"/>
            </w:tcBorders>
            <w:noWrap/>
            <w:tcMar>
              <w:left w:w="0" w:type="dxa"/>
              <w:right w:w="0" w:type="dxa"/>
            </w:tcMar>
          </w:tcPr>
          <w:p w14:paraId="2470E55A" w14:textId="77777777" w:rsidR="00143C9C" w:rsidRDefault="00143C9C">
            <w:pPr>
              <w:jc w:val="right"/>
              <w:rPr>
                <w:rFonts w:eastAsia="Calibri" w:cs="Calibri"/>
                <w:color w:val="000000"/>
              </w:rPr>
            </w:pPr>
          </w:p>
        </w:tc>
        <w:tc>
          <w:tcPr>
            <w:tcW w:w="840" w:type="dxa"/>
            <w:tcBorders>
              <w:top w:val="single" w:sz="12" w:space="0" w:color="000000"/>
              <w:left w:val="nil"/>
              <w:bottom w:val="nil"/>
              <w:right w:val="nil"/>
              <w:tl2br w:val="nil"/>
              <w:tr2bl w:val="nil"/>
            </w:tcBorders>
            <w:noWrap/>
            <w:tcMar>
              <w:left w:w="0" w:type="dxa"/>
              <w:right w:w="0" w:type="dxa"/>
            </w:tcMar>
          </w:tcPr>
          <w:p w14:paraId="1A1B8118" w14:textId="77777777" w:rsidR="00143C9C" w:rsidRDefault="00143C9C">
            <w:pPr>
              <w:jc w:val="right"/>
              <w:rPr>
                <w:rFonts w:eastAsia="Calibri" w:cs="Calibri"/>
                <w:color w:val="000000"/>
              </w:rPr>
            </w:pPr>
          </w:p>
        </w:tc>
        <w:tc>
          <w:tcPr>
            <w:tcW w:w="945" w:type="dxa"/>
            <w:tcBorders>
              <w:top w:val="single" w:sz="12" w:space="0" w:color="000000"/>
              <w:left w:val="nil"/>
              <w:bottom w:val="nil"/>
              <w:right w:val="nil"/>
              <w:tl2br w:val="nil"/>
              <w:tr2bl w:val="nil"/>
            </w:tcBorders>
            <w:noWrap/>
            <w:tcMar>
              <w:left w:w="0" w:type="dxa"/>
              <w:right w:w="0" w:type="dxa"/>
            </w:tcMar>
          </w:tcPr>
          <w:p w14:paraId="2C342F91" w14:textId="77777777" w:rsidR="00143C9C" w:rsidRDefault="00143C9C">
            <w:pPr>
              <w:jc w:val="right"/>
              <w:rPr>
                <w:rFonts w:eastAsia="Calibri" w:cs="Calibri"/>
                <w:b/>
                <w:color w:val="000000"/>
              </w:rPr>
            </w:pPr>
          </w:p>
        </w:tc>
        <w:tc>
          <w:tcPr>
            <w:tcW w:w="1005" w:type="dxa"/>
            <w:tcBorders>
              <w:top w:val="single" w:sz="12" w:space="0" w:color="000000"/>
              <w:left w:val="nil"/>
              <w:bottom w:val="nil"/>
              <w:right w:val="nil"/>
              <w:tl2br w:val="nil"/>
              <w:tr2bl w:val="nil"/>
            </w:tcBorders>
            <w:noWrap/>
            <w:tcMar>
              <w:left w:w="0" w:type="dxa"/>
              <w:right w:w="0" w:type="dxa"/>
            </w:tcMar>
          </w:tcPr>
          <w:p w14:paraId="691189D7" w14:textId="77777777" w:rsidR="00143C9C" w:rsidRDefault="00143C9C">
            <w:pPr>
              <w:jc w:val="center"/>
              <w:rPr>
                <w:rFonts w:eastAsia="Calibri" w:cs="Calibri"/>
                <w:b/>
                <w:color w:val="000000"/>
              </w:rPr>
            </w:pPr>
          </w:p>
        </w:tc>
      </w:tr>
      <w:tr w:rsidR="00105A8C" w14:paraId="2C956EAC"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985" w:type="dxa"/>
            <w:tcBorders>
              <w:top w:val="nil"/>
              <w:left w:val="nil"/>
              <w:bottom w:val="nil"/>
              <w:right w:val="nil"/>
              <w:tl2br w:val="nil"/>
              <w:tr2bl w:val="nil"/>
            </w:tcBorders>
            <w:tcMar>
              <w:left w:w="40" w:type="dxa"/>
              <w:right w:w="40" w:type="dxa"/>
            </w:tcMar>
          </w:tcPr>
          <w:p w14:paraId="424790D6" w14:textId="51DAF8B5" w:rsidR="00105A8C" w:rsidRDefault="00105A8C" w:rsidP="00105A8C">
            <w:pPr>
              <w:pBdr>
                <w:top w:val="nil"/>
                <w:left w:val="nil"/>
                <w:bottom w:val="nil"/>
                <w:right w:val="nil"/>
                <w:between w:val="nil"/>
                <w:bar w:val="nil"/>
              </w:pBdr>
              <w:ind w:left="170" w:hanging="170"/>
              <w:rPr>
                <w:rFonts w:ascii="Calibri" w:eastAsia="Calibri" w:hAnsi="Calibri" w:cs="Calibri"/>
                <w:color w:val="000000"/>
                <w:sz w:val="18"/>
              </w:rPr>
            </w:pPr>
            <w:r w:rsidRPr="00105A8C">
              <w:rPr>
                <w:rFonts w:ascii="Calibri" w:eastAsia="Calibri" w:hAnsi="Calibri" w:cs="Calibri"/>
                <w:color w:val="000000"/>
                <w:sz w:val="18"/>
              </w:rPr>
              <w:t>30,000 homes by 2030 – Public housing pipeline</w:t>
            </w:r>
          </w:p>
        </w:tc>
        <w:tc>
          <w:tcPr>
            <w:tcW w:w="840" w:type="dxa"/>
            <w:tcBorders>
              <w:top w:val="nil"/>
              <w:left w:val="nil"/>
              <w:bottom w:val="nil"/>
              <w:right w:val="nil"/>
              <w:tl2br w:val="nil"/>
              <w:tr2bl w:val="nil"/>
            </w:tcBorders>
            <w:noWrap/>
            <w:tcMar>
              <w:left w:w="40" w:type="dxa"/>
              <w:right w:w="40" w:type="dxa"/>
            </w:tcMar>
          </w:tcPr>
          <w:p w14:paraId="4E8C3091" w14:textId="3A69774F" w:rsidR="00105A8C" w:rsidRDefault="00105A8C" w:rsidP="00105A8C">
            <w:pPr>
              <w:pBdr>
                <w:top w:val="nil"/>
                <w:left w:val="nil"/>
                <w:bottom w:val="nil"/>
                <w:right w:val="nil"/>
                <w:between w:val="nil"/>
                <w:bar w:val="nil"/>
              </w:pBdr>
              <w:jc w:val="center"/>
              <w:rPr>
                <w:rFonts w:ascii="Calibri" w:eastAsia="Calibri" w:hAnsi="Calibri" w:cs="Calibri"/>
                <w:b/>
                <w:color w:val="000000"/>
                <w:sz w:val="18"/>
              </w:rPr>
            </w:pPr>
            <w:r>
              <w:rPr>
                <w:rFonts w:ascii="Calibri" w:eastAsia="Calibri" w:hAnsi="Calibri" w:cs="Calibri"/>
                <w:b/>
                <w:color w:val="000000"/>
                <w:sz w:val="18"/>
                <w:lang w:eastAsia="en-US"/>
              </w:rPr>
              <w:t>6,070</w:t>
            </w:r>
          </w:p>
        </w:tc>
        <w:tc>
          <w:tcPr>
            <w:tcW w:w="840" w:type="dxa"/>
            <w:tcBorders>
              <w:top w:val="nil"/>
              <w:left w:val="nil"/>
              <w:bottom w:val="nil"/>
              <w:right w:val="nil"/>
              <w:tl2br w:val="nil"/>
              <w:tr2bl w:val="nil"/>
            </w:tcBorders>
            <w:noWrap/>
            <w:tcMar>
              <w:left w:w="40" w:type="dxa"/>
              <w:right w:w="40" w:type="dxa"/>
            </w:tcMar>
          </w:tcPr>
          <w:p w14:paraId="733007CF" w14:textId="7B12ED7C" w:rsidR="00105A8C" w:rsidRDefault="00105A8C" w:rsidP="00105A8C">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1,995</w:t>
            </w:r>
          </w:p>
        </w:tc>
        <w:tc>
          <w:tcPr>
            <w:tcW w:w="840" w:type="dxa"/>
            <w:tcBorders>
              <w:top w:val="nil"/>
              <w:left w:val="nil"/>
              <w:bottom w:val="nil"/>
              <w:right w:val="nil"/>
              <w:tl2br w:val="nil"/>
              <w:tr2bl w:val="nil"/>
            </w:tcBorders>
            <w:noWrap/>
            <w:tcMar>
              <w:left w:w="40" w:type="dxa"/>
              <w:right w:w="40" w:type="dxa"/>
            </w:tcMar>
          </w:tcPr>
          <w:p w14:paraId="14A887F0" w14:textId="202D9B72" w:rsidR="00105A8C" w:rsidRDefault="00105A8C" w:rsidP="00105A8C">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2,023</w:t>
            </w:r>
          </w:p>
        </w:tc>
        <w:tc>
          <w:tcPr>
            <w:tcW w:w="840" w:type="dxa"/>
            <w:tcBorders>
              <w:top w:val="nil"/>
              <w:left w:val="nil"/>
              <w:bottom w:val="nil"/>
              <w:right w:val="nil"/>
              <w:tl2br w:val="nil"/>
              <w:tr2bl w:val="nil"/>
            </w:tcBorders>
            <w:noWrap/>
            <w:tcMar>
              <w:left w:w="40" w:type="dxa"/>
              <w:right w:w="40" w:type="dxa"/>
            </w:tcMar>
          </w:tcPr>
          <w:p w14:paraId="2073BFDB" w14:textId="10B11F63" w:rsidR="00105A8C" w:rsidRDefault="00105A8C" w:rsidP="00105A8C">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2,052</w:t>
            </w:r>
          </w:p>
        </w:tc>
        <w:tc>
          <w:tcPr>
            <w:tcW w:w="840" w:type="dxa"/>
            <w:tcBorders>
              <w:top w:val="nil"/>
              <w:left w:val="nil"/>
              <w:bottom w:val="nil"/>
              <w:right w:val="nil"/>
              <w:tl2br w:val="nil"/>
              <w:tr2bl w:val="nil"/>
            </w:tcBorders>
            <w:noWrap/>
            <w:tcMar>
              <w:left w:w="40" w:type="dxa"/>
              <w:right w:w="40" w:type="dxa"/>
            </w:tcMar>
          </w:tcPr>
          <w:p w14:paraId="1393FAD8" w14:textId="760DCA90" w:rsidR="00105A8C" w:rsidRDefault="00105A8C" w:rsidP="00105A8C">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2F0AF27B" w14:textId="0A20FFF6" w:rsidR="00105A8C" w:rsidRDefault="00105A8C" w:rsidP="00105A8C">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6,070</w:t>
            </w:r>
          </w:p>
        </w:tc>
        <w:tc>
          <w:tcPr>
            <w:tcW w:w="1005" w:type="dxa"/>
            <w:tcBorders>
              <w:top w:val="nil"/>
              <w:left w:val="nil"/>
              <w:bottom w:val="nil"/>
              <w:right w:val="nil"/>
              <w:tl2br w:val="nil"/>
              <w:tr2bl w:val="nil"/>
            </w:tcBorders>
            <w:noWrap/>
            <w:tcMar>
              <w:left w:w="40" w:type="dxa"/>
              <w:right w:w="40" w:type="dxa"/>
            </w:tcMar>
          </w:tcPr>
          <w:p w14:paraId="5205337F" w14:textId="2F082768" w:rsidR="00105A8C" w:rsidRDefault="00105A8C" w:rsidP="00105A8C">
            <w:pPr>
              <w:pBdr>
                <w:top w:val="nil"/>
                <w:left w:val="nil"/>
                <w:bottom w:val="nil"/>
                <w:right w:val="nil"/>
                <w:between w:val="nil"/>
                <w:bar w:val="nil"/>
              </w:pBdr>
              <w:jc w:val="center"/>
              <w:rPr>
                <w:rFonts w:ascii="Calibri" w:eastAsia="Calibri" w:hAnsi="Calibri" w:cs="Calibri"/>
                <w:b/>
                <w:color w:val="000000"/>
                <w:sz w:val="18"/>
              </w:rPr>
            </w:pPr>
            <w:r>
              <w:rPr>
                <w:rFonts w:ascii="Calibri" w:eastAsia="Calibri" w:hAnsi="Calibri" w:cs="Calibri"/>
                <w:b/>
                <w:color w:val="000000"/>
                <w:sz w:val="18"/>
                <w:lang w:eastAsia="en-US"/>
              </w:rPr>
              <w:t>Jun-30</w:t>
            </w:r>
          </w:p>
        </w:tc>
      </w:tr>
      <w:tr w:rsidR="00105A8C" w14:paraId="4258B5D5" w14:textId="77777777" w:rsidTr="00BF7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
        </w:trPr>
        <w:tc>
          <w:tcPr>
            <w:tcW w:w="2985" w:type="dxa"/>
            <w:tcBorders>
              <w:top w:val="nil"/>
              <w:left w:val="nil"/>
              <w:bottom w:val="nil"/>
              <w:right w:val="nil"/>
              <w:tl2br w:val="nil"/>
              <w:tr2bl w:val="nil"/>
            </w:tcBorders>
            <w:tcMar>
              <w:left w:w="40" w:type="dxa"/>
              <w:right w:w="40" w:type="dxa"/>
            </w:tcMar>
          </w:tcPr>
          <w:p w14:paraId="55AD8307" w14:textId="188C5E78" w:rsidR="00105A8C" w:rsidRDefault="00105A8C" w:rsidP="00105A8C">
            <w:pPr>
              <w:pBdr>
                <w:top w:val="nil"/>
                <w:left w:val="nil"/>
                <w:bottom w:val="nil"/>
                <w:right w:val="nil"/>
                <w:between w:val="nil"/>
                <w:bar w:val="nil"/>
              </w:pBdr>
              <w:ind w:left="170" w:hanging="170"/>
              <w:rPr>
                <w:rFonts w:eastAsia="Calibri" w:cs="Calibri"/>
                <w:color w:val="000000"/>
              </w:rPr>
            </w:pPr>
            <w:r w:rsidRPr="00105A8C">
              <w:rPr>
                <w:rFonts w:ascii="Calibri" w:eastAsia="Calibri" w:hAnsi="Calibri" w:cs="Calibri"/>
                <w:color w:val="000000"/>
                <w:sz w:val="18"/>
                <w:lang w:eastAsia="en-US"/>
              </w:rPr>
              <w:t>Improving Mugga Lane landfill capacity</w:t>
            </w:r>
            <w:r w:rsidRPr="00105A8C">
              <w:rPr>
                <w:rFonts w:ascii="Calibri" w:eastAsia="Calibri" w:hAnsi="Calibri" w:cs="Calibri"/>
                <w:color w:val="000000"/>
                <w:sz w:val="18"/>
                <w:vertAlign w:val="superscript"/>
                <w:lang w:eastAsia="en-US"/>
              </w:rPr>
              <w:t>2,4</w:t>
            </w:r>
          </w:p>
        </w:tc>
        <w:tc>
          <w:tcPr>
            <w:tcW w:w="840" w:type="dxa"/>
            <w:tcBorders>
              <w:top w:val="nil"/>
              <w:left w:val="nil"/>
              <w:bottom w:val="nil"/>
              <w:right w:val="nil"/>
              <w:tl2br w:val="nil"/>
              <w:tr2bl w:val="nil"/>
            </w:tcBorders>
            <w:noWrap/>
            <w:tcMar>
              <w:left w:w="40" w:type="dxa"/>
              <w:right w:w="40" w:type="dxa"/>
            </w:tcMar>
          </w:tcPr>
          <w:p w14:paraId="7C889967" w14:textId="5AD25748" w:rsidR="00105A8C" w:rsidRDefault="00105A8C" w:rsidP="00105A8C">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1,911</w:t>
            </w:r>
          </w:p>
        </w:tc>
        <w:tc>
          <w:tcPr>
            <w:tcW w:w="840" w:type="dxa"/>
            <w:tcBorders>
              <w:top w:val="nil"/>
              <w:left w:val="nil"/>
              <w:bottom w:val="nil"/>
              <w:right w:val="nil"/>
              <w:tl2br w:val="nil"/>
              <w:tr2bl w:val="nil"/>
            </w:tcBorders>
            <w:noWrap/>
            <w:tcMar>
              <w:left w:w="40" w:type="dxa"/>
              <w:right w:w="40" w:type="dxa"/>
            </w:tcMar>
          </w:tcPr>
          <w:p w14:paraId="1F71F9E8" w14:textId="78B29EEA" w:rsidR="00105A8C" w:rsidRDefault="00105A8C" w:rsidP="00105A8C">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1,911</w:t>
            </w:r>
          </w:p>
        </w:tc>
        <w:tc>
          <w:tcPr>
            <w:tcW w:w="840" w:type="dxa"/>
            <w:tcBorders>
              <w:top w:val="nil"/>
              <w:left w:val="nil"/>
              <w:bottom w:val="nil"/>
              <w:right w:val="nil"/>
              <w:tl2br w:val="nil"/>
              <w:tr2bl w:val="nil"/>
            </w:tcBorders>
            <w:noWrap/>
            <w:tcMar>
              <w:left w:w="40" w:type="dxa"/>
              <w:right w:w="40" w:type="dxa"/>
            </w:tcMar>
          </w:tcPr>
          <w:p w14:paraId="728D0BED" w14:textId="2422F6B6" w:rsidR="00105A8C" w:rsidRDefault="00105A8C" w:rsidP="00105A8C">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280F6A5A" w14:textId="24C684D1" w:rsidR="00105A8C" w:rsidRDefault="00105A8C" w:rsidP="00105A8C">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726FBDDB" w14:textId="73487B1D" w:rsidR="00105A8C" w:rsidRDefault="00105A8C" w:rsidP="00105A8C">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43D37F7B" w14:textId="4F492EE4" w:rsidR="00105A8C" w:rsidRDefault="00105A8C" w:rsidP="00105A8C">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1,911</w:t>
            </w:r>
          </w:p>
        </w:tc>
        <w:tc>
          <w:tcPr>
            <w:tcW w:w="1005" w:type="dxa"/>
            <w:tcBorders>
              <w:top w:val="nil"/>
              <w:left w:val="nil"/>
              <w:bottom w:val="nil"/>
              <w:right w:val="nil"/>
              <w:tl2br w:val="nil"/>
              <w:tr2bl w:val="nil"/>
            </w:tcBorders>
            <w:noWrap/>
            <w:tcMar>
              <w:left w:w="40" w:type="dxa"/>
              <w:right w:w="40" w:type="dxa"/>
            </w:tcMar>
          </w:tcPr>
          <w:p w14:paraId="23CE7484" w14:textId="0DBFB4FF" w:rsidR="00105A8C" w:rsidRDefault="00105A8C" w:rsidP="00105A8C">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r>
      <w:tr w:rsidR="00105A8C" w14:paraId="7DFF4F88" w14:textId="77777777" w:rsidTr="00BF7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
        </w:trPr>
        <w:tc>
          <w:tcPr>
            <w:tcW w:w="2985" w:type="dxa"/>
            <w:tcBorders>
              <w:top w:val="nil"/>
              <w:left w:val="nil"/>
              <w:bottom w:val="nil"/>
              <w:right w:val="nil"/>
              <w:tl2br w:val="nil"/>
              <w:tr2bl w:val="nil"/>
            </w:tcBorders>
            <w:tcMar>
              <w:left w:w="40" w:type="dxa"/>
              <w:right w:w="40" w:type="dxa"/>
            </w:tcMar>
          </w:tcPr>
          <w:p w14:paraId="604489F6" w14:textId="7084C4C5" w:rsidR="00105A8C" w:rsidRDefault="00105A8C" w:rsidP="00105A8C">
            <w:pPr>
              <w:pBdr>
                <w:top w:val="nil"/>
                <w:left w:val="nil"/>
                <w:bottom w:val="nil"/>
                <w:right w:val="nil"/>
                <w:between w:val="nil"/>
                <w:bar w:val="nil"/>
              </w:pBdr>
              <w:ind w:left="170" w:hanging="170"/>
              <w:rPr>
                <w:rFonts w:eastAsia="Calibri" w:cs="Calibri"/>
                <w:color w:val="000000"/>
              </w:rPr>
            </w:pPr>
            <w:r w:rsidRPr="00105A8C">
              <w:rPr>
                <w:rFonts w:ascii="Calibri" w:eastAsia="Calibri" w:hAnsi="Calibri" w:cs="Calibri"/>
                <w:color w:val="000000"/>
                <w:sz w:val="18"/>
                <w:lang w:eastAsia="en-US"/>
              </w:rPr>
              <w:t>Investing in public services – Relocation of Access Canberra Woden</w:t>
            </w:r>
            <w:r>
              <w:rPr>
                <w:rFonts w:ascii="Calibri" w:eastAsia="Calibri" w:hAnsi="Calibri" w:cs="Calibri"/>
                <w:color w:val="000000"/>
                <w:sz w:val="18"/>
                <w:vertAlign w:val="superscript"/>
                <w:lang w:eastAsia="en-US"/>
              </w:rPr>
              <w:t>2</w:t>
            </w:r>
          </w:p>
        </w:tc>
        <w:tc>
          <w:tcPr>
            <w:tcW w:w="840" w:type="dxa"/>
            <w:tcBorders>
              <w:top w:val="nil"/>
              <w:left w:val="nil"/>
              <w:bottom w:val="nil"/>
              <w:right w:val="nil"/>
              <w:tl2br w:val="nil"/>
              <w:tr2bl w:val="nil"/>
            </w:tcBorders>
            <w:noWrap/>
            <w:tcMar>
              <w:left w:w="40" w:type="dxa"/>
              <w:right w:w="40" w:type="dxa"/>
            </w:tcMar>
          </w:tcPr>
          <w:p w14:paraId="406D9D8D" w14:textId="4B4E3171" w:rsidR="00105A8C" w:rsidRDefault="00105A8C" w:rsidP="00105A8C">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3,192</w:t>
            </w:r>
          </w:p>
        </w:tc>
        <w:tc>
          <w:tcPr>
            <w:tcW w:w="840" w:type="dxa"/>
            <w:tcBorders>
              <w:top w:val="nil"/>
              <w:left w:val="nil"/>
              <w:bottom w:val="nil"/>
              <w:right w:val="nil"/>
              <w:tl2br w:val="nil"/>
              <w:tr2bl w:val="nil"/>
            </w:tcBorders>
            <w:noWrap/>
            <w:tcMar>
              <w:left w:w="40" w:type="dxa"/>
              <w:right w:w="40" w:type="dxa"/>
            </w:tcMar>
          </w:tcPr>
          <w:p w14:paraId="4841F560" w14:textId="4C0E08CF" w:rsidR="00105A8C" w:rsidRDefault="00105A8C" w:rsidP="00105A8C">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2,881</w:t>
            </w:r>
          </w:p>
        </w:tc>
        <w:tc>
          <w:tcPr>
            <w:tcW w:w="840" w:type="dxa"/>
            <w:tcBorders>
              <w:top w:val="nil"/>
              <w:left w:val="nil"/>
              <w:bottom w:val="nil"/>
              <w:right w:val="nil"/>
              <w:tl2br w:val="nil"/>
              <w:tr2bl w:val="nil"/>
            </w:tcBorders>
            <w:noWrap/>
            <w:tcMar>
              <w:left w:w="40" w:type="dxa"/>
              <w:right w:w="40" w:type="dxa"/>
            </w:tcMar>
          </w:tcPr>
          <w:p w14:paraId="256F44D6" w14:textId="06DF6980" w:rsidR="00105A8C" w:rsidRDefault="00105A8C" w:rsidP="00105A8C">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311</w:t>
            </w:r>
          </w:p>
        </w:tc>
        <w:tc>
          <w:tcPr>
            <w:tcW w:w="840" w:type="dxa"/>
            <w:tcBorders>
              <w:top w:val="nil"/>
              <w:left w:val="nil"/>
              <w:bottom w:val="nil"/>
              <w:right w:val="nil"/>
              <w:tl2br w:val="nil"/>
              <w:tr2bl w:val="nil"/>
            </w:tcBorders>
            <w:noWrap/>
            <w:tcMar>
              <w:left w:w="40" w:type="dxa"/>
              <w:right w:w="40" w:type="dxa"/>
            </w:tcMar>
          </w:tcPr>
          <w:p w14:paraId="38B07ADE" w14:textId="5DCAFA1D" w:rsidR="00105A8C" w:rsidRDefault="00105A8C" w:rsidP="00105A8C">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6566682B" w14:textId="02B0E8CF" w:rsidR="00105A8C" w:rsidRDefault="00105A8C" w:rsidP="00105A8C">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24B72B70" w14:textId="48B1B112" w:rsidR="00105A8C" w:rsidRDefault="00105A8C" w:rsidP="00105A8C">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3,192</w:t>
            </w:r>
          </w:p>
        </w:tc>
        <w:tc>
          <w:tcPr>
            <w:tcW w:w="1005" w:type="dxa"/>
            <w:tcBorders>
              <w:top w:val="nil"/>
              <w:left w:val="nil"/>
              <w:bottom w:val="nil"/>
              <w:right w:val="nil"/>
              <w:tl2br w:val="nil"/>
              <w:tr2bl w:val="nil"/>
            </w:tcBorders>
            <w:noWrap/>
            <w:tcMar>
              <w:left w:w="40" w:type="dxa"/>
              <w:right w:w="40" w:type="dxa"/>
            </w:tcMar>
          </w:tcPr>
          <w:p w14:paraId="220A3E28" w14:textId="131E745E" w:rsidR="00105A8C" w:rsidRDefault="00105A8C" w:rsidP="00105A8C">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Jun-27</w:t>
            </w:r>
          </w:p>
        </w:tc>
      </w:tr>
      <w:tr w:rsidR="00143C9C" w14:paraId="5FAD6FDC"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985" w:type="dxa"/>
            <w:tcBorders>
              <w:top w:val="nil"/>
              <w:left w:val="nil"/>
              <w:bottom w:val="nil"/>
              <w:right w:val="nil"/>
              <w:tl2br w:val="nil"/>
              <w:tr2bl w:val="nil"/>
            </w:tcBorders>
            <w:tcMar>
              <w:left w:w="40" w:type="dxa"/>
              <w:right w:w="40" w:type="dxa"/>
            </w:tcMar>
          </w:tcPr>
          <w:p w14:paraId="456CE21D" w14:textId="2069E283" w:rsidR="00143C9C" w:rsidRDefault="00105A8C" w:rsidP="005D4B41">
            <w:pPr>
              <w:pBdr>
                <w:top w:val="nil"/>
                <w:left w:val="nil"/>
                <w:bottom w:val="nil"/>
                <w:right w:val="nil"/>
                <w:between w:val="nil"/>
                <w:bar w:val="nil"/>
              </w:pBdr>
              <w:ind w:left="170" w:hanging="170"/>
              <w:rPr>
                <w:rFonts w:eastAsia="Calibri" w:cs="Calibri"/>
                <w:color w:val="000000"/>
              </w:rPr>
            </w:pPr>
            <w:r w:rsidRPr="00105A8C">
              <w:rPr>
                <w:rFonts w:ascii="Calibri" w:eastAsia="Calibri" w:hAnsi="Calibri" w:cs="Calibri"/>
                <w:color w:val="000000"/>
                <w:sz w:val="18"/>
                <w:lang w:eastAsia="en-US"/>
              </w:rPr>
              <w:t>Managing government and community facilities</w:t>
            </w:r>
            <w:r w:rsidR="00BF7989" w:rsidRPr="00BF7989">
              <w:rPr>
                <w:rFonts w:ascii="Calibri" w:eastAsia="Calibri" w:hAnsi="Calibri" w:cs="Calibri"/>
                <w:color w:val="000000"/>
                <w:sz w:val="18"/>
                <w:vertAlign w:val="superscript"/>
                <w:lang w:eastAsia="en-US"/>
              </w:rPr>
              <w:t>2</w:t>
            </w:r>
          </w:p>
        </w:tc>
        <w:tc>
          <w:tcPr>
            <w:tcW w:w="840" w:type="dxa"/>
            <w:tcBorders>
              <w:top w:val="nil"/>
              <w:left w:val="nil"/>
              <w:bottom w:val="nil"/>
              <w:right w:val="nil"/>
              <w:tl2br w:val="nil"/>
              <w:tr2bl w:val="nil"/>
            </w:tcBorders>
            <w:noWrap/>
            <w:tcMar>
              <w:left w:w="40" w:type="dxa"/>
              <w:right w:w="40" w:type="dxa"/>
            </w:tcMar>
          </w:tcPr>
          <w:p w14:paraId="7D2B434E" w14:textId="0F76675F" w:rsidR="00143C9C" w:rsidRDefault="00BB5934">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2,766</w:t>
            </w:r>
          </w:p>
        </w:tc>
        <w:tc>
          <w:tcPr>
            <w:tcW w:w="840" w:type="dxa"/>
            <w:tcBorders>
              <w:top w:val="nil"/>
              <w:left w:val="nil"/>
              <w:bottom w:val="nil"/>
              <w:right w:val="nil"/>
              <w:tl2br w:val="nil"/>
              <w:tr2bl w:val="nil"/>
            </w:tcBorders>
            <w:noWrap/>
            <w:tcMar>
              <w:left w:w="40" w:type="dxa"/>
              <w:right w:w="40" w:type="dxa"/>
            </w:tcMar>
          </w:tcPr>
          <w:p w14:paraId="7FC20031" w14:textId="59FCD729" w:rsidR="00143C9C" w:rsidRDefault="00BB593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2,766</w:t>
            </w:r>
          </w:p>
        </w:tc>
        <w:tc>
          <w:tcPr>
            <w:tcW w:w="840" w:type="dxa"/>
            <w:tcBorders>
              <w:top w:val="nil"/>
              <w:left w:val="nil"/>
              <w:bottom w:val="nil"/>
              <w:right w:val="nil"/>
              <w:tl2br w:val="nil"/>
              <w:tr2bl w:val="nil"/>
            </w:tcBorders>
            <w:noWrap/>
            <w:tcMar>
              <w:left w:w="40" w:type="dxa"/>
              <w:right w:w="40" w:type="dxa"/>
            </w:tcMar>
          </w:tcPr>
          <w:p w14:paraId="508E578E" w14:textId="36FBB334" w:rsidR="00143C9C" w:rsidRPr="00B95A00" w:rsidRDefault="00B95A00">
            <w:pPr>
              <w:pBdr>
                <w:top w:val="nil"/>
                <w:left w:val="nil"/>
                <w:bottom w:val="nil"/>
                <w:right w:val="nil"/>
                <w:between w:val="nil"/>
                <w:bar w:val="nil"/>
              </w:pBdr>
              <w:jc w:val="right"/>
              <w:rPr>
                <w:rFonts w:ascii="Calibri" w:eastAsia="Calibri" w:hAnsi="Calibri" w:cs="Calibri"/>
                <w:color w:val="000000"/>
                <w:sz w:val="18"/>
                <w:lang w:eastAsia="en-US"/>
              </w:rPr>
            </w:pPr>
            <w:r w:rsidRPr="00B95A00">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7FC1B0E2" w14:textId="71169E77" w:rsidR="00143C9C" w:rsidRPr="00B95A00" w:rsidRDefault="00B95A00">
            <w:pPr>
              <w:pBdr>
                <w:top w:val="nil"/>
                <w:left w:val="nil"/>
                <w:bottom w:val="nil"/>
                <w:right w:val="nil"/>
                <w:between w:val="nil"/>
                <w:bar w:val="nil"/>
              </w:pBdr>
              <w:jc w:val="right"/>
              <w:rPr>
                <w:rFonts w:ascii="Calibri" w:eastAsia="Calibri" w:hAnsi="Calibri" w:cs="Calibri"/>
                <w:color w:val="000000"/>
                <w:sz w:val="18"/>
                <w:lang w:eastAsia="en-US"/>
              </w:rPr>
            </w:pPr>
            <w:r w:rsidRPr="00B95A00">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44ABC73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0D05444C" w14:textId="5DFC1FBF" w:rsidR="00143C9C" w:rsidRDefault="00BB593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2,766</w:t>
            </w:r>
          </w:p>
        </w:tc>
        <w:tc>
          <w:tcPr>
            <w:tcW w:w="1005" w:type="dxa"/>
            <w:tcBorders>
              <w:top w:val="nil"/>
              <w:left w:val="nil"/>
              <w:bottom w:val="nil"/>
              <w:right w:val="nil"/>
              <w:tl2br w:val="nil"/>
              <w:tr2bl w:val="nil"/>
            </w:tcBorders>
            <w:noWrap/>
            <w:tcMar>
              <w:left w:w="40" w:type="dxa"/>
              <w:right w:w="40" w:type="dxa"/>
            </w:tcMar>
          </w:tcPr>
          <w:p w14:paraId="1E19D281" w14:textId="15936B9D" w:rsidR="00143C9C" w:rsidRDefault="00D44ECF">
            <w:pPr>
              <w:pBdr>
                <w:top w:val="nil"/>
                <w:left w:val="nil"/>
                <w:bottom w:val="nil"/>
                <w:right w:val="nil"/>
                <w:between w:val="nil"/>
                <w:bar w:val="nil"/>
              </w:pBdr>
              <w:jc w:val="center"/>
              <w:rPr>
                <w:rFonts w:eastAsia="Calibri" w:cs="Calibri"/>
                <w:b/>
                <w:color w:val="000000"/>
              </w:rPr>
            </w:pPr>
            <w:r w:rsidRPr="00D44ECF">
              <w:rPr>
                <w:rFonts w:ascii="Calibri" w:eastAsia="Calibri" w:hAnsi="Calibri" w:cs="Calibri"/>
                <w:b/>
                <w:color w:val="000000"/>
                <w:sz w:val="18"/>
                <w:lang w:eastAsia="en-US"/>
              </w:rPr>
              <w:t>Jun-27</w:t>
            </w:r>
          </w:p>
        </w:tc>
      </w:tr>
      <w:tr w:rsidR="00D44ECF" w14:paraId="28E8E478"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985" w:type="dxa"/>
            <w:tcBorders>
              <w:top w:val="nil"/>
              <w:left w:val="nil"/>
              <w:bottom w:val="nil"/>
              <w:right w:val="nil"/>
              <w:tl2br w:val="nil"/>
              <w:tr2bl w:val="nil"/>
            </w:tcBorders>
            <w:tcMar>
              <w:left w:w="40" w:type="dxa"/>
              <w:right w:w="40" w:type="dxa"/>
            </w:tcMar>
          </w:tcPr>
          <w:p w14:paraId="1BA93253" w14:textId="7FC4F95F" w:rsidR="00D44ECF" w:rsidRDefault="00D44ECF" w:rsidP="00D44ECF">
            <w:pPr>
              <w:pBdr>
                <w:top w:val="nil"/>
                <w:left w:val="nil"/>
                <w:bottom w:val="nil"/>
                <w:right w:val="nil"/>
                <w:between w:val="nil"/>
                <w:bar w:val="nil"/>
              </w:pBdr>
              <w:ind w:left="170" w:hanging="170"/>
              <w:rPr>
                <w:rFonts w:eastAsia="Calibri" w:cs="Calibri"/>
                <w:color w:val="000000"/>
              </w:rPr>
            </w:pPr>
            <w:r w:rsidRPr="00D44ECF">
              <w:rPr>
                <w:rFonts w:ascii="Calibri" w:eastAsia="Calibri" w:hAnsi="Calibri" w:cs="Calibri"/>
                <w:color w:val="000000"/>
                <w:sz w:val="18"/>
                <w:lang w:eastAsia="en-US"/>
              </w:rPr>
              <w:t>Public pool upgrades, operations and maintenance</w:t>
            </w:r>
            <w:r w:rsidRPr="00D44ECF">
              <w:rPr>
                <w:rFonts w:ascii="Calibri" w:eastAsia="Calibri" w:hAnsi="Calibri" w:cs="Calibri"/>
                <w:color w:val="000000"/>
                <w:sz w:val="18"/>
                <w:vertAlign w:val="superscript"/>
                <w:lang w:eastAsia="en-US"/>
              </w:rPr>
              <w:t>2</w:t>
            </w:r>
          </w:p>
        </w:tc>
        <w:tc>
          <w:tcPr>
            <w:tcW w:w="840" w:type="dxa"/>
            <w:tcBorders>
              <w:top w:val="nil"/>
              <w:left w:val="nil"/>
              <w:bottom w:val="nil"/>
              <w:right w:val="nil"/>
              <w:tl2br w:val="nil"/>
              <w:tr2bl w:val="nil"/>
            </w:tcBorders>
            <w:noWrap/>
            <w:tcMar>
              <w:left w:w="40" w:type="dxa"/>
              <w:right w:w="40" w:type="dxa"/>
            </w:tcMar>
          </w:tcPr>
          <w:p w14:paraId="44FC671B" w14:textId="2C305BCE" w:rsidR="00D44ECF" w:rsidRDefault="00D44ECF" w:rsidP="00D44ECF">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1,134</w:t>
            </w:r>
          </w:p>
        </w:tc>
        <w:tc>
          <w:tcPr>
            <w:tcW w:w="840" w:type="dxa"/>
            <w:tcBorders>
              <w:top w:val="nil"/>
              <w:left w:val="nil"/>
              <w:bottom w:val="nil"/>
              <w:right w:val="nil"/>
              <w:tl2br w:val="nil"/>
              <w:tr2bl w:val="nil"/>
            </w:tcBorders>
            <w:noWrap/>
            <w:tcMar>
              <w:left w:w="40" w:type="dxa"/>
              <w:right w:w="40" w:type="dxa"/>
            </w:tcMar>
          </w:tcPr>
          <w:p w14:paraId="220C3F31" w14:textId="3C7183B7" w:rsidR="00D44ECF" w:rsidRDefault="00D44ECF" w:rsidP="00D44ECF">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718</w:t>
            </w:r>
          </w:p>
        </w:tc>
        <w:tc>
          <w:tcPr>
            <w:tcW w:w="840" w:type="dxa"/>
            <w:tcBorders>
              <w:top w:val="nil"/>
              <w:left w:val="nil"/>
              <w:bottom w:val="nil"/>
              <w:right w:val="nil"/>
              <w:tl2br w:val="nil"/>
              <w:tr2bl w:val="nil"/>
            </w:tcBorders>
            <w:noWrap/>
            <w:tcMar>
              <w:left w:w="40" w:type="dxa"/>
              <w:right w:w="40" w:type="dxa"/>
            </w:tcMar>
          </w:tcPr>
          <w:p w14:paraId="4AE1001C" w14:textId="74D84EBB" w:rsidR="00D44ECF" w:rsidRDefault="00D44ECF" w:rsidP="00D44ECF">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98</w:t>
            </w:r>
          </w:p>
        </w:tc>
        <w:tc>
          <w:tcPr>
            <w:tcW w:w="840" w:type="dxa"/>
            <w:tcBorders>
              <w:top w:val="nil"/>
              <w:left w:val="nil"/>
              <w:bottom w:val="nil"/>
              <w:right w:val="nil"/>
              <w:tl2br w:val="nil"/>
              <w:tr2bl w:val="nil"/>
            </w:tcBorders>
            <w:noWrap/>
            <w:tcMar>
              <w:left w:w="40" w:type="dxa"/>
              <w:right w:w="40" w:type="dxa"/>
            </w:tcMar>
          </w:tcPr>
          <w:p w14:paraId="34CE0CB0" w14:textId="30F24058" w:rsidR="00D44ECF" w:rsidRDefault="00D44ECF" w:rsidP="00D44ECF">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210</w:t>
            </w:r>
          </w:p>
        </w:tc>
        <w:tc>
          <w:tcPr>
            <w:tcW w:w="840" w:type="dxa"/>
            <w:tcBorders>
              <w:top w:val="nil"/>
              <w:left w:val="nil"/>
              <w:bottom w:val="nil"/>
              <w:right w:val="nil"/>
              <w:tl2br w:val="nil"/>
              <w:tr2bl w:val="nil"/>
            </w:tcBorders>
            <w:noWrap/>
            <w:tcMar>
              <w:left w:w="40" w:type="dxa"/>
              <w:right w:w="40" w:type="dxa"/>
            </w:tcMar>
          </w:tcPr>
          <w:p w14:paraId="5FC97F99" w14:textId="54ED6417" w:rsidR="00D44ECF" w:rsidRDefault="00D44ECF" w:rsidP="00D44ECF">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108</w:t>
            </w:r>
          </w:p>
        </w:tc>
        <w:tc>
          <w:tcPr>
            <w:tcW w:w="945" w:type="dxa"/>
            <w:tcBorders>
              <w:top w:val="nil"/>
              <w:left w:val="nil"/>
              <w:bottom w:val="nil"/>
              <w:right w:val="nil"/>
              <w:tl2br w:val="nil"/>
              <w:tr2bl w:val="nil"/>
            </w:tcBorders>
            <w:noWrap/>
            <w:tcMar>
              <w:left w:w="40" w:type="dxa"/>
              <w:right w:w="40" w:type="dxa"/>
            </w:tcMar>
          </w:tcPr>
          <w:p w14:paraId="5030EB3F" w14:textId="6AC6F595" w:rsidR="00D44ECF" w:rsidRDefault="00D44ECF" w:rsidP="00D44ECF">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1,134</w:t>
            </w:r>
          </w:p>
        </w:tc>
        <w:tc>
          <w:tcPr>
            <w:tcW w:w="1005" w:type="dxa"/>
            <w:tcBorders>
              <w:top w:val="nil"/>
              <w:left w:val="nil"/>
              <w:bottom w:val="nil"/>
              <w:right w:val="nil"/>
              <w:tl2br w:val="nil"/>
              <w:tr2bl w:val="nil"/>
            </w:tcBorders>
            <w:noWrap/>
            <w:tcMar>
              <w:left w:w="40" w:type="dxa"/>
              <w:right w:w="40" w:type="dxa"/>
            </w:tcMar>
          </w:tcPr>
          <w:p w14:paraId="7FBDA17B" w14:textId="34CA05BD" w:rsidR="00D44ECF" w:rsidRDefault="00D44ECF" w:rsidP="00D44ECF">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Ongoing</w:t>
            </w:r>
          </w:p>
        </w:tc>
      </w:tr>
      <w:tr w:rsidR="00143C9C" w14:paraId="2DE9377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5" w:type="dxa"/>
            <w:tcBorders>
              <w:top w:val="nil"/>
              <w:left w:val="nil"/>
              <w:bottom w:val="nil"/>
              <w:right w:val="nil"/>
              <w:tl2br w:val="nil"/>
              <w:tr2bl w:val="nil"/>
            </w:tcBorders>
            <w:tcMar>
              <w:left w:w="40" w:type="dxa"/>
              <w:right w:w="40" w:type="dxa"/>
            </w:tcMar>
          </w:tcPr>
          <w:p w14:paraId="0991A1F2"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Total New Works</w:t>
            </w:r>
          </w:p>
        </w:tc>
        <w:tc>
          <w:tcPr>
            <w:tcW w:w="840" w:type="dxa"/>
            <w:tcBorders>
              <w:top w:val="single" w:sz="4" w:space="0" w:color="000000"/>
              <w:left w:val="nil"/>
              <w:bottom w:val="nil"/>
              <w:right w:val="nil"/>
              <w:tl2br w:val="nil"/>
              <w:tr2bl w:val="nil"/>
            </w:tcBorders>
            <w:noWrap/>
            <w:tcMar>
              <w:left w:w="40" w:type="dxa"/>
              <w:right w:w="40" w:type="dxa"/>
            </w:tcMar>
          </w:tcPr>
          <w:p w14:paraId="32FE65EE" w14:textId="365BCF6B"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1</w:t>
            </w:r>
            <w:r w:rsidR="00C64927">
              <w:rPr>
                <w:rFonts w:ascii="Calibri" w:eastAsia="Calibri" w:hAnsi="Calibri" w:cs="Calibri"/>
                <w:b/>
                <w:color w:val="000000"/>
                <w:sz w:val="18"/>
                <w:lang w:eastAsia="en-US"/>
              </w:rPr>
              <w:t>5</w:t>
            </w:r>
            <w:r>
              <w:rPr>
                <w:rFonts w:ascii="Calibri" w:eastAsia="Calibri" w:hAnsi="Calibri" w:cs="Calibri"/>
                <w:b/>
                <w:color w:val="000000"/>
                <w:sz w:val="18"/>
                <w:lang w:eastAsia="en-US"/>
              </w:rPr>
              <w:t>,</w:t>
            </w:r>
            <w:r w:rsidR="00C64927">
              <w:rPr>
                <w:rFonts w:ascii="Calibri" w:eastAsia="Calibri" w:hAnsi="Calibri" w:cs="Calibri"/>
                <w:b/>
                <w:color w:val="000000"/>
                <w:sz w:val="18"/>
                <w:lang w:eastAsia="en-US"/>
              </w:rPr>
              <w:t>07</w:t>
            </w:r>
            <w:r>
              <w:rPr>
                <w:rFonts w:ascii="Calibri" w:eastAsia="Calibri" w:hAnsi="Calibri" w:cs="Calibri"/>
                <w:b/>
                <w:color w:val="000000"/>
                <w:sz w:val="18"/>
                <w:lang w:eastAsia="en-US"/>
              </w:rPr>
              <w:t>3</w:t>
            </w:r>
          </w:p>
        </w:tc>
        <w:tc>
          <w:tcPr>
            <w:tcW w:w="840" w:type="dxa"/>
            <w:tcBorders>
              <w:top w:val="single" w:sz="4" w:space="0" w:color="000000"/>
              <w:left w:val="nil"/>
              <w:bottom w:val="nil"/>
              <w:right w:val="nil"/>
              <w:tl2br w:val="nil"/>
              <w:tr2bl w:val="nil"/>
            </w:tcBorders>
            <w:noWrap/>
            <w:tcMar>
              <w:left w:w="40" w:type="dxa"/>
              <w:right w:w="40" w:type="dxa"/>
            </w:tcMar>
          </w:tcPr>
          <w:p w14:paraId="64992AF5" w14:textId="280B50D5" w:rsidR="00143C9C" w:rsidRDefault="000E579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10</w:t>
            </w:r>
            <w:r w:rsidR="009B5C32">
              <w:rPr>
                <w:rFonts w:ascii="Calibri" w:eastAsia="Calibri" w:hAnsi="Calibri" w:cs="Calibri"/>
                <w:b/>
                <w:color w:val="000000"/>
                <w:sz w:val="18"/>
                <w:lang w:eastAsia="en-US"/>
              </w:rPr>
              <w:t>,</w:t>
            </w:r>
            <w:r>
              <w:rPr>
                <w:rFonts w:ascii="Calibri" w:eastAsia="Calibri" w:hAnsi="Calibri" w:cs="Calibri"/>
                <w:b/>
                <w:color w:val="000000"/>
                <w:sz w:val="18"/>
                <w:lang w:eastAsia="en-US"/>
              </w:rPr>
              <w:t>27</w:t>
            </w:r>
            <w:r w:rsidR="009B5C32">
              <w:rPr>
                <w:rFonts w:ascii="Calibri" w:eastAsia="Calibri" w:hAnsi="Calibri" w:cs="Calibri"/>
                <w:b/>
                <w:color w:val="000000"/>
                <w:sz w:val="18"/>
                <w:lang w:eastAsia="en-US"/>
              </w:rPr>
              <w:t>1</w:t>
            </w:r>
          </w:p>
        </w:tc>
        <w:tc>
          <w:tcPr>
            <w:tcW w:w="840" w:type="dxa"/>
            <w:tcBorders>
              <w:top w:val="single" w:sz="4" w:space="0" w:color="000000"/>
              <w:left w:val="nil"/>
              <w:bottom w:val="nil"/>
              <w:right w:val="nil"/>
              <w:tl2br w:val="nil"/>
              <w:tr2bl w:val="nil"/>
            </w:tcBorders>
            <w:noWrap/>
            <w:tcMar>
              <w:left w:w="40" w:type="dxa"/>
              <w:right w:w="40" w:type="dxa"/>
            </w:tcMar>
          </w:tcPr>
          <w:p w14:paraId="6311EE7D"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2,432</w:t>
            </w:r>
          </w:p>
        </w:tc>
        <w:tc>
          <w:tcPr>
            <w:tcW w:w="840" w:type="dxa"/>
            <w:tcBorders>
              <w:top w:val="single" w:sz="4" w:space="0" w:color="000000"/>
              <w:left w:val="nil"/>
              <w:bottom w:val="nil"/>
              <w:right w:val="nil"/>
              <w:tl2br w:val="nil"/>
              <w:tr2bl w:val="nil"/>
            </w:tcBorders>
            <w:noWrap/>
            <w:tcMar>
              <w:left w:w="40" w:type="dxa"/>
              <w:right w:w="40" w:type="dxa"/>
            </w:tcMar>
          </w:tcPr>
          <w:p w14:paraId="41F72A6B"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2,262</w:t>
            </w:r>
          </w:p>
        </w:tc>
        <w:tc>
          <w:tcPr>
            <w:tcW w:w="840" w:type="dxa"/>
            <w:tcBorders>
              <w:top w:val="single" w:sz="4" w:space="0" w:color="000000"/>
              <w:left w:val="nil"/>
              <w:bottom w:val="nil"/>
              <w:right w:val="nil"/>
              <w:tl2br w:val="nil"/>
              <w:tr2bl w:val="nil"/>
            </w:tcBorders>
            <w:noWrap/>
            <w:tcMar>
              <w:left w:w="40" w:type="dxa"/>
              <w:right w:w="40" w:type="dxa"/>
            </w:tcMar>
          </w:tcPr>
          <w:p w14:paraId="4223321F"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108</w:t>
            </w:r>
          </w:p>
        </w:tc>
        <w:tc>
          <w:tcPr>
            <w:tcW w:w="945" w:type="dxa"/>
            <w:tcBorders>
              <w:top w:val="single" w:sz="4" w:space="0" w:color="000000"/>
              <w:left w:val="nil"/>
              <w:bottom w:val="nil"/>
              <w:right w:val="nil"/>
              <w:tl2br w:val="nil"/>
              <w:tr2bl w:val="nil"/>
            </w:tcBorders>
            <w:noWrap/>
            <w:tcMar>
              <w:left w:w="40" w:type="dxa"/>
              <w:right w:w="40" w:type="dxa"/>
            </w:tcMar>
          </w:tcPr>
          <w:p w14:paraId="5B46B4A3" w14:textId="43AC69CC"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1</w:t>
            </w:r>
            <w:r w:rsidR="0070485F">
              <w:rPr>
                <w:rFonts w:ascii="Calibri" w:eastAsia="Calibri" w:hAnsi="Calibri" w:cs="Calibri"/>
                <w:b/>
                <w:color w:val="000000"/>
                <w:sz w:val="18"/>
                <w:lang w:eastAsia="en-US"/>
              </w:rPr>
              <w:t>5</w:t>
            </w:r>
            <w:r>
              <w:rPr>
                <w:rFonts w:ascii="Calibri" w:eastAsia="Calibri" w:hAnsi="Calibri" w:cs="Calibri"/>
                <w:b/>
                <w:color w:val="000000"/>
                <w:sz w:val="18"/>
                <w:lang w:eastAsia="en-US"/>
              </w:rPr>
              <w:t>,</w:t>
            </w:r>
            <w:r w:rsidR="0070485F">
              <w:rPr>
                <w:rFonts w:ascii="Calibri" w:eastAsia="Calibri" w:hAnsi="Calibri" w:cs="Calibri"/>
                <w:b/>
                <w:color w:val="000000"/>
                <w:sz w:val="18"/>
                <w:lang w:eastAsia="en-US"/>
              </w:rPr>
              <w:t>07</w:t>
            </w:r>
            <w:r>
              <w:rPr>
                <w:rFonts w:ascii="Calibri" w:eastAsia="Calibri" w:hAnsi="Calibri" w:cs="Calibri"/>
                <w:b/>
                <w:color w:val="000000"/>
                <w:sz w:val="18"/>
                <w:lang w:eastAsia="en-US"/>
              </w:rPr>
              <w:t>3</w:t>
            </w:r>
          </w:p>
        </w:tc>
        <w:tc>
          <w:tcPr>
            <w:tcW w:w="1005" w:type="dxa"/>
            <w:tcBorders>
              <w:top w:val="single" w:sz="4" w:space="0" w:color="000000"/>
              <w:left w:val="nil"/>
              <w:bottom w:val="nil"/>
              <w:right w:val="nil"/>
              <w:tl2br w:val="nil"/>
              <w:tr2bl w:val="nil"/>
            </w:tcBorders>
            <w:noWrap/>
            <w:tcMar>
              <w:left w:w="0" w:type="dxa"/>
              <w:right w:w="0" w:type="dxa"/>
            </w:tcMar>
          </w:tcPr>
          <w:p w14:paraId="428CC833" w14:textId="77777777" w:rsidR="00143C9C" w:rsidRDefault="00143C9C">
            <w:pPr>
              <w:jc w:val="center"/>
              <w:rPr>
                <w:rFonts w:eastAsia="Calibri" w:cs="Calibri"/>
                <w:b/>
                <w:color w:val="000000"/>
              </w:rPr>
            </w:pPr>
          </w:p>
        </w:tc>
      </w:tr>
      <w:tr w:rsidR="00143C9C" w14:paraId="5209FCF8"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5" w:type="dxa"/>
            <w:tcBorders>
              <w:top w:val="nil"/>
              <w:left w:val="nil"/>
              <w:bottom w:val="nil"/>
              <w:right w:val="nil"/>
              <w:tl2br w:val="nil"/>
              <w:tr2bl w:val="nil"/>
            </w:tcBorders>
            <w:shd w:val="clear" w:color="FFFFFF" w:fill="FFFFFF"/>
            <w:tcMar>
              <w:left w:w="0" w:type="dxa"/>
              <w:right w:w="0" w:type="dxa"/>
            </w:tcMar>
          </w:tcPr>
          <w:p w14:paraId="67011855" w14:textId="77777777" w:rsidR="00143C9C" w:rsidRDefault="00143C9C" w:rsidP="005D4B41">
            <w:pPr>
              <w:ind w:left="170" w:hanging="170"/>
              <w:rPr>
                <w:rFonts w:eastAsia="Calibri" w:cs="Calibri"/>
                <w:b/>
                <w:color w:val="000000"/>
              </w:rPr>
            </w:pPr>
          </w:p>
        </w:tc>
        <w:tc>
          <w:tcPr>
            <w:tcW w:w="840" w:type="dxa"/>
            <w:tcBorders>
              <w:top w:val="nil"/>
              <w:left w:val="nil"/>
              <w:bottom w:val="nil"/>
              <w:right w:val="nil"/>
              <w:tl2br w:val="nil"/>
              <w:tr2bl w:val="nil"/>
            </w:tcBorders>
            <w:shd w:val="clear" w:color="FFFFFF" w:fill="FFFFFF"/>
            <w:noWrap/>
            <w:tcMar>
              <w:left w:w="0" w:type="dxa"/>
              <w:right w:w="0" w:type="dxa"/>
            </w:tcMar>
          </w:tcPr>
          <w:p w14:paraId="300F61C0" w14:textId="77777777" w:rsidR="00143C9C" w:rsidRDefault="00143C9C">
            <w:pPr>
              <w:jc w:val="right"/>
              <w:rPr>
                <w:rFonts w:eastAsia="Calibri" w:cs="Calibri"/>
                <w:b/>
                <w:color w:val="000000"/>
              </w:rPr>
            </w:pPr>
          </w:p>
        </w:tc>
        <w:tc>
          <w:tcPr>
            <w:tcW w:w="840" w:type="dxa"/>
            <w:tcBorders>
              <w:top w:val="nil"/>
              <w:left w:val="nil"/>
              <w:bottom w:val="nil"/>
              <w:right w:val="nil"/>
              <w:tl2br w:val="nil"/>
              <w:tr2bl w:val="nil"/>
            </w:tcBorders>
            <w:shd w:val="clear" w:color="FFFFFF" w:fill="FFFFFF"/>
            <w:noWrap/>
            <w:tcMar>
              <w:left w:w="0" w:type="dxa"/>
              <w:right w:w="0" w:type="dxa"/>
            </w:tcMar>
          </w:tcPr>
          <w:p w14:paraId="5925D9AA" w14:textId="77777777" w:rsidR="00143C9C" w:rsidRDefault="00143C9C">
            <w:pPr>
              <w:jc w:val="right"/>
              <w:rPr>
                <w:rFonts w:eastAsia="Calibri" w:cs="Calibri"/>
                <w:b/>
                <w:color w:val="000000"/>
              </w:rPr>
            </w:pPr>
          </w:p>
        </w:tc>
        <w:tc>
          <w:tcPr>
            <w:tcW w:w="840" w:type="dxa"/>
            <w:tcBorders>
              <w:top w:val="nil"/>
              <w:left w:val="nil"/>
              <w:bottom w:val="nil"/>
              <w:right w:val="nil"/>
              <w:tl2br w:val="nil"/>
              <w:tr2bl w:val="nil"/>
            </w:tcBorders>
            <w:shd w:val="clear" w:color="FFFFFF" w:fill="FFFFFF"/>
            <w:noWrap/>
            <w:tcMar>
              <w:left w:w="0" w:type="dxa"/>
              <w:right w:w="0" w:type="dxa"/>
            </w:tcMar>
          </w:tcPr>
          <w:p w14:paraId="1C1C4393" w14:textId="77777777" w:rsidR="00143C9C" w:rsidRDefault="00143C9C">
            <w:pPr>
              <w:jc w:val="right"/>
              <w:rPr>
                <w:rFonts w:eastAsia="Calibri" w:cs="Calibri"/>
                <w:b/>
                <w:color w:val="000000"/>
              </w:rPr>
            </w:pPr>
          </w:p>
        </w:tc>
        <w:tc>
          <w:tcPr>
            <w:tcW w:w="840" w:type="dxa"/>
            <w:tcBorders>
              <w:top w:val="nil"/>
              <w:left w:val="nil"/>
              <w:bottom w:val="nil"/>
              <w:right w:val="nil"/>
              <w:tl2br w:val="nil"/>
              <w:tr2bl w:val="nil"/>
            </w:tcBorders>
            <w:shd w:val="clear" w:color="FFFFFF" w:fill="FFFFFF"/>
            <w:noWrap/>
            <w:tcMar>
              <w:left w:w="0" w:type="dxa"/>
              <w:right w:w="0" w:type="dxa"/>
            </w:tcMar>
          </w:tcPr>
          <w:p w14:paraId="035918B3" w14:textId="77777777" w:rsidR="00143C9C" w:rsidRDefault="00143C9C">
            <w:pPr>
              <w:jc w:val="right"/>
              <w:rPr>
                <w:rFonts w:eastAsia="Calibri" w:cs="Calibri"/>
                <w:b/>
                <w:color w:val="000000"/>
              </w:rPr>
            </w:pPr>
          </w:p>
        </w:tc>
        <w:tc>
          <w:tcPr>
            <w:tcW w:w="840" w:type="dxa"/>
            <w:tcBorders>
              <w:top w:val="nil"/>
              <w:left w:val="nil"/>
              <w:bottom w:val="nil"/>
              <w:right w:val="nil"/>
              <w:tl2br w:val="nil"/>
              <w:tr2bl w:val="nil"/>
            </w:tcBorders>
            <w:shd w:val="clear" w:color="FFFFFF" w:fill="FFFFFF"/>
            <w:noWrap/>
            <w:tcMar>
              <w:left w:w="0" w:type="dxa"/>
              <w:right w:w="0" w:type="dxa"/>
            </w:tcMar>
          </w:tcPr>
          <w:p w14:paraId="0C154AA5" w14:textId="77777777" w:rsidR="00143C9C" w:rsidRDefault="00143C9C">
            <w:pPr>
              <w:jc w:val="right"/>
              <w:rPr>
                <w:rFonts w:eastAsia="Calibri" w:cs="Calibri"/>
                <w:b/>
                <w:color w:val="000000"/>
              </w:rPr>
            </w:pPr>
          </w:p>
        </w:tc>
        <w:tc>
          <w:tcPr>
            <w:tcW w:w="945" w:type="dxa"/>
            <w:tcBorders>
              <w:top w:val="nil"/>
              <w:left w:val="nil"/>
              <w:bottom w:val="nil"/>
              <w:right w:val="nil"/>
              <w:tl2br w:val="nil"/>
              <w:tr2bl w:val="nil"/>
            </w:tcBorders>
            <w:shd w:val="clear" w:color="FFFFFF" w:fill="FFFFFF"/>
            <w:noWrap/>
            <w:tcMar>
              <w:left w:w="0" w:type="dxa"/>
              <w:right w:w="0" w:type="dxa"/>
            </w:tcMar>
          </w:tcPr>
          <w:p w14:paraId="27DD5796" w14:textId="77777777" w:rsidR="00143C9C" w:rsidRDefault="00143C9C">
            <w:pPr>
              <w:jc w:val="right"/>
              <w:rPr>
                <w:rFonts w:eastAsia="Calibri" w:cs="Calibri"/>
                <w:b/>
                <w:color w:val="000000"/>
              </w:rPr>
            </w:pPr>
          </w:p>
        </w:tc>
        <w:tc>
          <w:tcPr>
            <w:tcW w:w="1005" w:type="dxa"/>
            <w:tcBorders>
              <w:top w:val="nil"/>
              <w:left w:val="nil"/>
              <w:bottom w:val="nil"/>
              <w:right w:val="nil"/>
              <w:tl2br w:val="nil"/>
              <w:tr2bl w:val="nil"/>
            </w:tcBorders>
            <w:shd w:val="clear" w:color="FFFFFF" w:fill="FFFFFF"/>
            <w:noWrap/>
            <w:tcMar>
              <w:left w:w="0" w:type="dxa"/>
              <w:right w:w="0" w:type="dxa"/>
            </w:tcMar>
          </w:tcPr>
          <w:p w14:paraId="7175DF72" w14:textId="77777777" w:rsidR="00143C9C" w:rsidRDefault="00143C9C">
            <w:pPr>
              <w:jc w:val="center"/>
              <w:rPr>
                <w:rFonts w:eastAsia="Calibri" w:cs="Calibri"/>
                <w:b/>
                <w:color w:val="000000"/>
              </w:rPr>
            </w:pPr>
          </w:p>
        </w:tc>
      </w:tr>
      <w:tr w:rsidR="00143C9C" w14:paraId="6FDC39FE"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85" w:type="dxa"/>
            <w:tcBorders>
              <w:top w:val="nil"/>
              <w:left w:val="nil"/>
              <w:bottom w:val="nil"/>
              <w:right w:val="nil"/>
              <w:tl2br w:val="nil"/>
              <w:tr2bl w:val="nil"/>
            </w:tcBorders>
            <w:tcMar>
              <w:left w:w="40" w:type="dxa"/>
              <w:right w:w="40" w:type="dxa"/>
            </w:tcMar>
          </w:tcPr>
          <w:p w14:paraId="643A86F1"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Asset Renewal Program</w:t>
            </w:r>
          </w:p>
        </w:tc>
        <w:tc>
          <w:tcPr>
            <w:tcW w:w="840" w:type="dxa"/>
            <w:tcBorders>
              <w:top w:val="nil"/>
              <w:left w:val="nil"/>
              <w:bottom w:val="nil"/>
              <w:right w:val="nil"/>
              <w:tl2br w:val="nil"/>
              <w:tr2bl w:val="nil"/>
            </w:tcBorders>
            <w:tcMar>
              <w:left w:w="0" w:type="dxa"/>
              <w:right w:w="0" w:type="dxa"/>
            </w:tcMar>
          </w:tcPr>
          <w:p w14:paraId="3457A504" w14:textId="77777777" w:rsidR="00143C9C" w:rsidRDefault="00143C9C">
            <w:pPr>
              <w:jc w:val="center"/>
              <w:rPr>
                <w:rFonts w:eastAsia="Calibri" w:cs="Calibri"/>
                <w:b/>
                <w:color w:val="000000"/>
              </w:rPr>
            </w:pPr>
          </w:p>
        </w:tc>
        <w:tc>
          <w:tcPr>
            <w:tcW w:w="840" w:type="dxa"/>
            <w:tcBorders>
              <w:top w:val="nil"/>
              <w:left w:val="nil"/>
              <w:bottom w:val="nil"/>
              <w:right w:val="nil"/>
              <w:tl2br w:val="nil"/>
              <w:tr2bl w:val="nil"/>
            </w:tcBorders>
            <w:noWrap/>
            <w:tcMar>
              <w:left w:w="0" w:type="dxa"/>
              <w:right w:w="0" w:type="dxa"/>
            </w:tcMar>
          </w:tcPr>
          <w:p w14:paraId="21625FA6" w14:textId="77777777" w:rsidR="00143C9C" w:rsidRDefault="00143C9C">
            <w:pPr>
              <w:jc w:val="right"/>
              <w:rPr>
                <w:rFonts w:eastAsia="Calibri" w:cs="Calibri"/>
                <w:color w:val="000000"/>
              </w:rPr>
            </w:pPr>
          </w:p>
        </w:tc>
        <w:tc>
          <w:tcPr>
            <w:tcW w:w="840" w:type="dxa"/>
            <w:tcBorders>
              <w:top w:val="nil"/>
              <w:left w:val="nil"/>
              <w:bottom w:val="nil"/>
              <w:right w:val="nil"/>
              <w:tl2br w:val="nil"/>
              <w:tr2bl w:val="nil"/>
            </w:tcBorders>
            <w:noWrap/>
            <w:tcMar>
              <w:left w:w="0" w:type="dxa"/>
              <w:right w:w="0" w:type="dxa"/>
            </w:tcMar>
          </w:tcPr>
          <w:p w14:paraId="55FC2AEF" w14:textId="77777777" w:rsidR="00143C9C" w:rsidRDefault="00143C9C">
            <w:pPr>
              <w:jc w:val="right"/>
              <w:rPr>
                <w:rFonts w:eastAsia="Calibri" w:cs="Calibri"/>
                <w:color w:val="000000"/>
              </w:rPr>
            </w:pPr>
          </w:p>
        </w:tc>
        <w:tc>
          <w:tcPr>
            <w:tcW w:w="840" w:type="dxa"/>
            <w:tcBorders>
              <w:top w:val="nil"/>
              <w:left w:val="nil"/>
              <w:bottom w:val="nil"/>
              <w:right w:val="nil"/>
              <w:tl2br w:val="nil"/>
              <w:tr2bl w:val="nil"/>
            </w:tcBorders>
            <w:noWrap/>
            <w:tcMar>
              <w:left w:w="0" w:type="dxa"/>
              <w:right w:w="0" w:type="dxa"/>
            </w:tcMar>
          </w:tcPr>
          <w:p w14:paraId="4608058A" w14:textId="77777777" w:rsidR="00143C9C" w:rsidRDefault="00143C9C">
            <w:pPr>
              <w:jc w:val="right"/>
              <w:rPr>
                <w:rFonts w:eastAsia="Calibri" w:cs="Calibri"/>
                <w:color w:val="000000"/>
              </w:rPr>
            </w:pPr>
          </w:p>
        </w:tc>
        <w:tc>
          <w:tcPr>
            <w:tcW w:w="840" w:type="dxa"/>
            <w:tcBorders>
              <w:top w:val="nil"/>
              <w:left w:val="nil"/>
              <w:bottom w:val="nil"/>
              <w:right w:val="nil"/>
              <w:tl2br w:val="nil"/>
              <w:tr2bl w:val="nil"/>
            </w:tcBorders>
            <w:noWrap/>
            <w:tcMar>
              <w:left w:w="0" w:type="dxa"/>
              <w:right w:w="0" w:type="dxa"/>
            </w:tcMar>
          </w:tcPr>
          <w:p w14:paraId="3CC95C7E" w14:textId="77777777" w:rsidR="00143C9C" w:rsidRDefault="00143C9C">
            <w:pPr>
              <w:jc w:val="right"/>
              <w:rPr>
                <w:rFonts w:eastAsia="Calibri" w:cs="Calibri"/>
                <w:color w:val="000000"/>
              </w:rPr>
            </w:pPr>
          </w:p>
        </w:tc>
        <w:tc>
          <w:tcPr>
            <w:tcW w:w="945" w:type="dxa"/>
            <w:tcBorders>
              <w:top w:val="nil"/>
              <w:left w:val="nil"/>
              <w:bottom w:val="nil"/>
              <w:right w:val="nil"/>
              <w:tl2br w:val="nil"/>
              <w:tr2bl w:val="nil"/>
            </w:tcBorders>
            <w:noWrap/>
            <w:tcMar>
              <w:left w:w="0" w:type="dxa"/>
              <w:right w:w="0" w:type="dxa"/>
            </w:tcMar>
          </w:tcPr>
          <w:p w14:paraId="13EE340E" w14:textId="77777777" w:rsidR="00143C9C" w:rsidRDefault="00143C9C">
            <w:pPr>
              <w:jc w:val="right"/>
              <w:rPr>
                <w:rFonts w:eastAsia="Calibri" w:cs="Calibri"/>
                <w:b/>
                <w:color w:val="000000"/>
              </w:rPr>
            </w:pPr>
          </w:p>
        </w:tc>
        <w:tc>
          <w:tcPr>
            <w:tcW w:w="1005" w:type="dxa"/>
            <w:tcBorders>
              <w:top w:val="nil"/>
              <w:left w:val="nil"/>
              <w:bottom w:val="nil"/>
              <w:right w:val="nil"/>
              <w:tl2br w:val="nil"/>
              <w:tr2bl w:val="nil"/>
            </w:tcBorders>
            <w:noWrap/>
            <w:tcMar>
              <w:left w:w="0" w:type="dxa"/>
              <w:right w:w="0" w:type="dxa"/>
            </w:tcMar>
          </w:tcPr>
          <w:p w14:paraId="344FAE3D" w14:textId="77777777" w:rsidR="00143C9C" w:rsidRDefault="00143C9C">
            <w:pPr>
              <w:jc w:val="center"/>
              <w:rPr>
                <w:rFonts w:eastAsia="Calibri" w:cs="Calibri"/>
                <w:b/>
                <w:color w:val="000000"/>
              </w:rPr>
            </w:pPr>
          </w:p>
        </w:tc>
      </w:tr>
      <w:tr w:rsidR="00143C9C" w14:paraId="5FC0E301"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85" w:type="dxa"/>
            <w:tcBorders>
              <w:top w:val="nil"/>
              <w:left w:val="nil"/>
              <w:bottom w:val="nil"/>
              <w:right w:val="nil"/>
              <w:tl2br w:val="nil"/>
              <w:tr2bl w:val="nil"/>
            </w:tcBorders>
            <w:tcMar>
              <w:left w:w="40" w:type="dxa"/>
              <w:right w:w="40" w:type="dxa"/>
            </w:tcMar>
          </w:tcPr>
          <w:p w14:paraId="6EA9AB53"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Infrastructure Canberra – 2026-27 Asset Renewal Program</w:t>
            </w:r>
          </w:p>
        </w:tc>
        <w:tc>
          <w:tcPr>
            <w:tcW w:w="840" w:type="dxa"/>
            <w:tcBorders>
              <w:top w:val="nil"/>
              <w:left w:val="nil"/>
              <w:bottom w:val="nil"/>
              <w:right w:val="nil"/>
              <w:tl2br w:val="nil"/>
              <w:tr2bl w:val="nil"/>
            </w:tcBorders>
            <w:noWrap/>
            <w:tcMar>
              <w:left w:w="40" w:type="dxa"/>
              <w:right w:w="40" w:type="dxa"/>
            </w:tcMar>
          </w:tcPr>
          <w:p w14:paraId="7E1E7846"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Ongoing</w:t>
            </w:r>
          </w:p>
        </w:tc>
        <w:tc>
          <w:tcPr>
            <w:tcW w:w="840" w:type="dxa"/>
            <w:tcBorders>
              <w:top w:val="nil"/>
              <w:left w:val="nil"/>
              <w:bottom w:val="nil"/>
              <w:right w:val="nil"/>
              <w:tl2br w:val="nil"/>
              <w:tr2bl w:val="nil"/>
            </w:tcBorders>
            <w:noWrap/>
            <w:tcMar>
              <w:left w:w="40" w:type="dxa"/>
              <w:right w:w="40" w:type="dxa"/>
            </w:tcMar>
          </w:tcPr>
          <w:p w14:paraId="71F90FA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4,930</w:t>
            </w:r>
          </w:p>
        </w:tc>
        <w:tc>
          <w:tcPr>
            <w:tcW w:w="840" w:type="dxa"/>
            <w:tcBorders>
              <w:top w:val="nil"/>
              <w:left w:val="nil"/>
              <w:bottom w:val="nil"/>
              <w:right w:val="nil"/>
              <w:tl2br w:val="nil"/>
              <w:tr2bl w:val="nil"/>
            </w:tcBorders>
            <w:noWrap/>
            <w:tcMar>
              <w:left w:w="40" w:type="dxa"/>
              <w:right w:w="40" w:type="dxa"/>
            </w:tcMar>
          </w:tcPr>
          <w:p w14:paraId="7AD9C3F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4,056</w:t>
            </w:r>
          </w:p>
        </w:tc>
        <w:tc>
          <w:tcPr>
            <w:tcW w:w="840" w:type="dxa"/>
            <w:tcBorders>
              <w:top w:val="nil"/>
              <w:left w:val="nil"/>
              <w:bottom w:val="nil"/>
              <w:right w:val="nil"/>
              <w:tl2br w:val="nil"/>
              <w:tr2bl w:val="nil"/>
            </w:tcBorders>
            <w:noWrap/>
            <w:tcMar>
              <w:left w:w="40" w:type="dxa"/>
              <w:right w:w="40" w:type="dxa"/>
            </w:tcMar>
          </w:tcPr>
          <w:p w14:paraId="0F3EEBC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6,277</w:t>
            </w:r>
          </w:p>
        </w:tc>
        <w:tc>
          <w:tcPr>
            <w:tcW w:w="840" w:type="dxa"/>
            <w:tcBorders>
              <w:top w:val="nil"/>
              <w:left w:val="nil"/>
              <w:bottom w:val="nil"/>
              <w:right w:val="nil"/>
              <w:tl2br w:val="nil"/>
              <w:tr2bl w:val="nil"/>
            </w:tcBorders>
            <w:noWrap/>
            <w:tcMar>
              <w:left w:w="40" w:type="dxa"/>
              <w:right w:w="40" w:type="dxa"/>
            </w:tcMar>
          </w:tcPr>
          <w:p w14:paraId="7BE7716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6,277</w:t>
            </w:r>
          </w:p>
        </w:tc>
        <w:tc>
          <w:tcPr>
            <w:tcW w:w="945" w:type="dxa"/>
            <w:tcBorders>
              <w:top w:val="nil"/>
              <w:left w:val="nil"/>
              <w:bottom w:val="nil"/>
              <w:right w:val="nil"/>
              <w:tl2br w:val="nil"/>
              <w:tr2bl w:val="nil"/>
            </w:tcBorders>
            <w:noWrap/>
            <w:tcMar>
              <w:left w:w="40" w:type="dxa"/>
              <w:right w:w="40" w:type="dxa"/>
            </w:tcMar>
          </w:tcPr>
          <w:p w14:paraId="78F5726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21,540</w:t>
            </w:r>
          </w:p>
        </w:tc>
        <w:tc>
          <w:tcPr>
            <w:tcW w:w="1005" w:type="dxa"/>
            <w:tcBorders>
              <w:top w:val="nil"/>
              <w:left w:val="nil"/>
              <w:bottom w:val="nil"/>
              <w:right w:val="nil"/>
              <w:tl2br w:val="nil"/>
              <w:tr2bl w:val="nil"/>
            </w:tcBorders>
            <w:noWrap/>
            <w:tcMar>
              <w:left w:w="40" w:type="dxa"/>
              <w:right w:w="40" w:type="dxa"/>
            </w:tcMar>
          </w:tcPr>
          <w:p w14:paraId="7B329D13"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Ongoing</w:t>
            </w:r>
          </w:p>
        </w:tc>
      </w:tr>
      <w:tr w:rsidR="00143C9C" w14:paraId="2937952D"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85" w:type="dxa"/>
            <w:tcBorders>
              <w:top w:val="nil"/>
              <w:left w:val="nil"/>
              <w:bottom w:val="nil"/>
              <w:right w:val="nil"/>
              <w:tl2br w:val="nil"/>
              <w:tr2bl w:val="nil"/>
            </w:tcBorders>
            <w:tcMar>
              <w:left w:w="40" w:type="dxa"/>
              <w:right w:w="40" w:type="dxa"/>
            </w:tcMar>
          </w:tcPr>
          <w:p w14:paraId="40ABA176"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Prior year Asset Renewal Program</w:t>
            </w:r>
          </w:p>
        </w:tc>
        <w:tc>
          <w:tcPr>
            <w:tcW w:w="840" w:type="dxa"/>
            <w:tcBorders>
              <w:top w:val="nil"/>
              <w:left w:val="nil"/>
              <w:bottom w:val="nil"/>
              <w:right w:val="nil"/>
              <w:tl2br w:val="nil"/>
              <w:tr2bl w:val="nil"/>
            </w:tcBorders>
            <w:tcMar>
              <w:left w:w="40" w:type="dxa"/>
              <w:right w:w="40" w:type="dxa"/>
            </w:tcMar>
          </w:tcPr>
          <w:p w14:paraId="135DFB12"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5,256</w:t>
            </w:r>
          </w:p>
        </w:tc>
        <w:tc>
          <w:tcPr>
            <w:tcW w:w="840" w:type="dxa"/>
            <w:tcBorders>
              <w:top w:val="nil"/>
              <w:left w:val="nil"/>
              <w:bottom w:val="nil"/>
              <w:right w:val="nil"/>
              <w:tl2br w:val="nil"/>
              <w:tr2bl w:val="nil"/>
            </w:tcBorders>
            <w:noWrap/>
            <w:tcMar>
              <w:left w:w="40" w:type="dxa"/>
              <w:right w:w="40" w:type="dxa"/>
            </w:tcMar>
          </w:tcPr>
          <w:p w14:paraId="177594C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5,256</w:t>
            </w:r>
          </w:p>
        </w:tc>
        <w:tc>
          <w:tcPr>
            <w:tcW w:w="840" w:type="dxa"/>
            <w:tcBorders>
              <w:top w:val="nil"/>
              <w:left w:val="nil"/>
              <w:bottom w:val="nil"/>
              <w:right w:val="nil"/>
              <w:tl2br w:val="nil"/>
              <w:tr2bl w:val="nil"/>
            </w:tcBorders>
            <w:noWrap/>
            <w:tcMar>
              <w:left w:w="40" w:type="dxa"/>
              <w:right w:w="40" w:type="dxa"/>
            </w:tcMar>
          </w:tcPr>
          <w:p w14:paraId="14D9EC8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0753435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204B541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04E50CD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5,256</w:t>
            </w:r>
          </w:p>
        </w:tc>
        <w:tc>
          <w:tcPr>
            <w:tcW w:w="1005" w:type="dxa"/>
            <w:tcBorders>
              <w:top w:val="nil"/>
              <w:left w:val="nil"/>
              <w:bottom w:val="nil"/>
              <w:right w:val="nil"/>
              <w:tl2br w:val="nil"/>
              <w:tr2bl w:val="nil"/>
            </w:tcBorders>
            <w:noWrap/>
            <w:tcMar>
              <w:left w:w="40" w:type="dxa"/>
              <w:right w:w="40" w:type="dxa"/>
            </w:tcMar>
          </w:tcPr>
          <w:p w14:paraId="622B10FD"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Jun-27</w:t>
            </w:r>
          </w:p>
        </w:tc>
      </w:tr>
      <w:tr w:rsidR="00143C9C" w14:paraId="63D7F6A9"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5" w:type="dxa"/>
            <w:tcBorders>
              <w:top w:val="nil"/>
              <w:left w:val="nil"/>
              <w:bottom w:val="nil"/>
              <w:right w:val="nil"/>
              <w:tl2br w:val="nil"/>
              <w:tr2bl w:val="nil"/>
            </w:tcBorders>
            <w:tcMar>
              <w:left w:w="0" w:type="dxa"/>
              <w:right w:w="0" w:type="dxa"/>
            </w:tcMar>
          </w:tcPr>
          <w:p w14:paraId="54629BF7" w14:textId="77777777" w:rsidR="00143C9C" w:rsidRDefault="00143C9C" w:rsidP="005D4B41">
            <w:pPr>
              <w:ind w:left="170" w:hanging="170"/>
              <w:rPr>
                <w:rFonts w:eastAsia="Calibri" w:cs="Calibri"/>
                <w:color w:val="000000"/>
              </w:rPr>
            </w:pPr>
          </w:p>
        </w:tc>
        <w:tc>
          <w:tcPr>
            <w:tcW w:w="840" w:type="dxa"/>
            <w:tcBorders>
              <w:top w:val="nil"/>
              <w:left w:val="nil"/>
              <w:bottom w:val="single" w:sz="4" w:space="0" w:color="000000"/>
              <w:right w:val="nil"/>
              <w:tl2br w:val="nil"/>
              <w:tr2bl w:val="nil"/>
            </w:tcBorders>
            <w:noWrap/>
            <w:tcMar>
              <w:left w:w="0" w:type="dxa"/>
              <w:right w:w="0" w:type="dxa"/>
            </w:tcMar>
          </w:tcPr>
          <w:p w14:paraId="66062A8B" w14:textId="77777777" w:rsidR="00143C9C" w:rsidRDefault="00143C9C">
            <w:pPr>
              <w:jc w:val="center"/>
              <w:rPr>
                <w:rFonts w:eastAsia="Calibri" w:cs="Calibri"/>
                <w:b/>
                <w:color w:val="000000"/>
              </w:rPr>
            </w:pPr>
          </w:p>
        </w:tc>
        <w:tc>
          <w:tcPr>
            <w:tcW w:w="840" w:type="dxa"/>
            <w:tcBorders>
              <w:top w:val="nil"/>
              <w:left w:val="nil"/>
              <w:bottom w:val="single" w:sz="4" w:space="0" w:color="000000"/>
              <w:right w:val="nil"/>
              <w:tl2br w:val="nil"/>
              <w:tr2bl w:val="nil"/>
            </w:tcBorders>
            <w:noWrap/>
            <w:tcMar>
              <w:left w:w="0" w:type="dxa"/>
              <w:right w:w="0" w:type="dxa"/>
            </w:tcMar>
          </w:tcPr>
          <w:p w14:paraId="159B1235" w14:textId="77777777" w:rsidR="00143C9C" w:rsidRDefault="00143C9C">
            <w:pPr>
              <w:jc w:val="right"/>
              <w:rPr>
                <w:rFonts w:eastAsia="Calibri" w:cs="Calibri"/>
                <w:color w:val="000000"/>
              </w:rPr>
            </w:pPr>
          </w:p>
        </w:tc>
        <w:tc>
          <w:tcPr>
            <w:tcW w:w="840" w:type="dxa"/>
            <w:tcBorders>
              <w:top w:val="nil"/>
              <w:left w:val="nil"/>
              <w:bottom w:val="single" w:sz="4" w:space="0" w:color="000000"/>
              <w:right w:val="nil"/>
              <w:tl2br w:val="nil"/>
              <w:tr2bl w:val="nil"/>
            </w:tcBorders>
            <w:noWrap/>
            <w:tcMar>
              <w:left w:w="0" w:type="dxa"/>
              <w:right w:w="0" w:type="dxa"/>
            </w:tcMar>
          </w:tcPr>
          <w:p w14:paraId="79162A75" w14:textId="77777777" w:rsidR="00143C9C" w:rsidRDefault="00143C9C">
            <w:pPr>
              <w:jc w:val="right"/>
              <w:rPr>
                <w:rFonts w:eastAsia="Calibri" w:cs="Calibri"/>
                <w:color w:val="000000"/>
              </w:rPr>
            </w:pPr>
          </w:p>
        </w:tc>
        <w:tc>
          <w:tcPr>
            <w:tcW w:w="840" w:type="dxa"/>
            <w:tcBorders>
              <w:top w:val="nil"/>
              <w:left w:val="nil"/>
              <w:bottom w:val="single" w:sz="4" w:space="0" w:color="000000"/>
              <w:right w:val="nil"/>
              <w:tl2br w:val="nil"/>
              <w:tr2bl w:val="nil"/>
            </w:tcBorders>
            <w:noWrap/>
            <w:tcMar>
              <w:left w:w="0" w:type="dxa"/>
              <w:right w:w="0" w:type="dxa"/>
            </w:tcMar>
          </w:tcPr>
          <w:p w14:paraId="6267B4FA" w14:textId="77777777" w:rsidR="00143C9C" w:rsidRDefault="00143C9C">
            <w:pPr>
              <w:jc w:val="right"/>
              <w:rPr>
                <w:rFonts w:eastAsia="Calibri" w:cs="Calibri"/>
                <w:color w:val="000000"/>
              </w:rPr>
            </w:pPr>
          </w:p>
        </w:tc>
        <w:tc>
          <w:tcPr>
            <w:tcW w:w="840" w:type="dxa"/>
            <w:tcBorders>
              <w:top w:val="nil"/>
              <w:left w:val="nil"/>
              <w:bottom w:val="single" w:sz="4" w:space="0" w:color="000000"/>
              <w:right w:val="nil"/>
              <w:tl2br w:val="nil"/>
              <w:tr2bl w:val="nil"/>
            </w:tcBorders>
            <w:noWrap/>
            <w:tcMar>
              <w:left w:w="0" w:type="dxa"/>
              <w:right w:w="0" w:type="dxa"/>
            </w:tcMar>
          </w:tcPr>
          <w:p w14:paraId="3F96B901" w14:textId="77777777" w:rsidR="00143C9C" w:rsidRDefault="00143C9C">
            <w:pPr>
              <w:jc w:val="right"/>
              <w:rPr>
                <w:rFonts w:eastAsia="Calibri" w:cs="Calibri"/>
                <w:color w:val="000000"/>
              </w:rPr>
            </w:pPr>
          </w:p>
        </w:tc>
        <w:tc>
          <w:tcPr>
            <w:tcW w:w="945" w:type="dxa"/>
            <w:tcBorders>
              <w:top w:val="nil"/>
              <w:left w:val="nil"/>
              <w:bottom w:val="single" w:sz="4" w:space="0" w:color="000000"/>
              <w:right w:val="nil"/>
              <w:tl2br w:val="nil"/>
              <w:tr2bl w:val="nil"/>
            </w:tcBorders>
            <w:noWrap/>
            <w:tcMar>
              <w:left w:w="0" w:type="dxa"/>
              <w:right w:w="0" w:type="dxa"/>
            </w:tcMar>
          </w:tcPr>
          <w:p w14:paraId="14444192" w14:textId="77777777" w:rsidR="00143C9C" w:rsidRDefault="00143C9C">
            <w:pPr>
              <w:jc w:val="right"/>
              <w:rPr>
                <w:rFonts w:eastAsia="Calibri" w:cs="Calibri"/>
                <w:color w:val="000000"/>
              </w:rPr>
            </w:pPr>
          </w:p>
        </w:tc>
        <w:tc>
          <w:tcPr>
            <w:tcW w:w="1005" w:type="dxa"/>
            <w:tcBorders>
              <w:top w:val="nil"/>
              <w:left w:val="nil"/>
              <w:bottom w:val="single" w:sz="4" w:space="0" w:color="000000"/>
              <w:right w:val="nil"/>
              <w:tl2br w:val="nil"/>
              <w:tr2bl w:val="nil"/>
            </w:tcBorders>
            <w:noWrap/>
            <w:tcMar>
              <w:left w:w="0" w:type="dxa"/>
              <w:right w:w="0" w:type="dxa"/>
            </w:tcMar>
          </w:tcPr>
          <w:p w14:paraId="1994283A" w14:textId="77777777" w:rsidR="00143C9C" w:rsidRDefault="00143C9C">
            <w:pPr>
              <w:jc w:val="center"/>
              <w:rPr>
                <w:rFonts w:eastAsia="Calibri" w:cs="Calibri"/>
                <w:b/>
                <w:color w:val="000000"/>
              </w:rPr>
            </w:pPr>
          </w:p>
        </w:tc>
      </w:tr>
      <w:tr w:rsidR="00143C9C" w14:paraId="4E39197E"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85" w:type="dxa"/>
            <w:tcBorders>
              <w:top w:val="nil"/>
              <w:left w:val="nil"/>
              <w:bottom w:val="nil"/>
              <w:right w:val="nil"/>
              <w:tl2br w:val="nil"/>
              <w:tr2bl w:val="nil"/>
            </w:tcBorders>
            <w:tcMar>
              <w:left w:w="40" w:type="dxa"/>
              <w:right w:w="40" w:type="dxa"/>
            </w:tcMar>
          </w:tcPr>
          <w:p w14:paraId="6F1E9712"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Total Asset Renewal Program</w:t>
            </w:r>
          </w:p>
        </w:tc>
        <w:tc>
          <w:tcPr>
            <w:tcW w:w="840" w:type="dxa"/>
            <w:tcBorders>
              <w:top w:val="single" w:sz="4" w:space="0" w:color="000000"/>
              <w:left w:val="nil"/>
              <w:bottom w:val="nil"/>
              <w:right w:val="nil"/>
              <w:tl2br w:val="nil"/>
              <w:tr2bl w:val="nil"/>
            </w:tcBorders>
            <w:tcMar>
              <w:left w:w="0" w:type="dxa"/>
              <w:right w:w="0" w:type="dxa"/>
            </w:tcMar>
          </w:tcPr>
          <w:p w14:paraId="03967A0A" w14:textId="77777777" w:rsidR="00143C9C" w:rsidRDefault="00143C9C">
            <w:pPr>
              <w:jc w:val="center"/>
              <w:rPr>
                <w:rFonts w:eastAsia="Calibri" w:cs="Calibri"/>
                <w:b/>
                <w:color w:val="000000"/>
              </w:rPr>
            </w:pPr>
          </w:p>
        </w:tc>
        <w:tc>
          <w:tcPr>
            <w:tcW w:w="840" w:type="dxa"/>
            <w:tcBorders>
              <w:top w:val="single" w:sz="4" w:space="0" w:color="000000"/>
              <w:left w:val="nil"/>
              <w:bottom w:val="nil"/>
              <w:right w:val="nil"/>
              <w:tl2br w:val="nil"/>
              <w:tr2bl w:val="nil"/>
            </w:tcBorders>
            <w:noWrap/>
            <w:tcMar>
              <w:left w:w="40" w:type="dxa"/>
              <w:right w:w="40" w:type="dxa"/>
            </w:tcMar>
          </w:tcPr>
          <w:p w14:paraId="3ED485B5" w14:textId="61CD3ECE"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1</w:t>
            </w:r>
            <w:r w:rsidR="00251D2B">
              <w:rPr>
                <w:rFonts w:ascii="Calibri" w:eastAsia="Calibri" w:hAnsi="Calibri" w:cs="Calibri"/>
                <w:b/>
                <w:color w:val="000000"/>
                <w:sz w:val="18"/>
                <w:lang w:eastAsia="en-US"/>
              </w:rPr>
              <w:t>0</w:t>
            </w:r>
            <w:r>
              <w:rPr>
                <w:rFonts w:ascii="Calibri" w:eastAsia="Calibri" w:hAnsi="Calibri" w:cs="Calibri"/>
                <w:b/>
                <w:color w:val="000000"/>
                <w:sz w:val="18"/>
                <w:lang w:eastAsia="en-US"/>
              </w:rPr>
              <w:t>,</w:t>
            </w:r>
            <w:r w:rsidR="00251D2B">
              <w:rPr>
                <w:rFonts w:ascii="Calibri" w:eastAsia="Calibri" w:hAnsi="Calibri" w:cs="Calibri"/>
                <w:b/>
                <w:color w:val="000000"/>
                <w:sz w:val="18"/>
                <w:lang w:eastAsia="en-US"/>
              </w:rPr>
              <w:t>1</w:t>
            </w:r>
            <w:r>
              <w:rPr>
                <w:rFonts w:ascii="Calibri" w:eastAsia="Calibri" w:hAnsi="Calibri" w:cs="Calibri"/>
                <w:b/>
                <w:color w:val="000000"/>
                <w:sz w:val="18"/>
                <w:lang w:eastAsia="en-US"/>
              </w:rPr>
              <w:t>86</w:t>
            </w:r>
          </w:p>
        </w:tc>
        <w:tc>
          <w:tcPr>
            <w:tcW w:w="840" w:type="dxa"/>
            <w:tcBorders>
              <w:top w:val="single" w:sz="4" w:space="0" w:color="000000"/>
              <w:left w:val="nil"/>
              <w:bottom w:val="nil"/>
              <w:right w:val="nil"/>
              <w:tl2br w:val="nil"/>
              <w:tr2bl w:val="nil"/>
            </w:tcBorders>
            <w:noWrap/>
            <w:tcMar>
              <w:left w:w="40" w:type="dxa"/>
              <w:right w:w="40" w:type="dxa"/>
            </w:tcMar>
          </w:tcPr>
          <w:p w14:paraId="7A1A53CE"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4,056</w:t>
            </w:r>
          </w:p>
        </w:tc>
        <w:tc>
          <w:tcPr>
            <w:tcW w:w="840" w:type="dxa"/>
            <w:tcBorders>
              <w:top w:val="single" w:sz="4" w:space="0" w:color="000000"/>
              <w:left w:val="nil"/>
              <w:bottom w:val="nil"/>
              <w:right w:val="nil"/>
              <w:tl2br w:val="nil"/>
              <w:tr2bl w:val="nil"/>
            </w:tcBorders>
            <w:noWrap/>
            <w:tcMar>
              <w:left w:w="40" w:type="dxa"/>
              <w:right w:w="40" w:type="dxa"/>
            </w:tcMar>
          </w:tcPr>
          <w:p w14:paraId="5F0E0AFB"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6,277</w:t>
            </w:r>
          </w:p>
        </w:tc>
        <w:tc>
          <w:tcPr>
            <w:tcW w:w="840" w:type="dxa"/>
            <w:tcBorders>
              <w:top w:val="single" w:sz="4" w:space="0" w:color="000000"/>
              <w:left w:val="nil"/>
              <w:bottom w:val="nil"/>
              <w:right w:val="nil"/>
              <w:tl2br w:val="nil"/>
              <w:tr2bl w:val="nil"/>
            </w:tcBorders>
            <w:noWrap/>
            <w:tcMar>
              <w:left w:w="40" w:type="dxa"/>
              <w:right w:w="40" w:type="dxa"/>
            </w:tcMar>
          </w:tcPr>
          <w:p w14:paraId="38C836D8"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6,277</w:t>
            </w:r>
          </w:p>
        </w:tc>
        <w:tc>
          <w:tcPr>
            <w:tcW w:w="945" w:type="dxa"/>
            <w:tcBorders>
              <w:top w:val="single" w:sz="4" w:space="0" w:color="000000"/>
              <w:left w:val="nil"/>
              <w:bottom w:val="nil"/>
              <w:right w:val="nil"/>
              <w:tl2br w:val="nil"/>
              <w:tr2bl w:val="nil"/>
            </w:tcBorders>
            <w:noWrap/>
            <w:tcMar>
              <w:left w:w="40" w:type="dxa"/>
              <w:right w:w="40" w:type="dxa"/>
            </w:tcMar>
          </w:tcPr>
          <w:p w14:paraId="73ECD961" w14:textId="090E9433"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w:t>
            </w:r>
            <w:r w:rsidR="00136055">
              <w:rPr>
                <w:rFonts w:ascii="Calibri" w:eastAsia="Calibri" w:hAnsi="Calibri" w:cs="Calibri"/>
                <w:b/>
                <w:color w:val="000000"/>
                <w:sz w:val="18"/>
                <w:lang w:eastAsia="en-US"/>
              </w:rPr>
              <w:t>6</w:t>
            </w:r>
            <w:r>
              <w:rPr>
                <w:rFonts w:ascii="Calibri" w:eastAsia="Calibri" w:hAnsi="Calibri" w:cs="Calibri"/>
                <w:b/>
                <w:color w:val="000000"/>
                <w:sz w:val="18"/>
                <w:lang w:eastAsia="en-US"/>
              </w:rPr>
              <w:t>,</w:t>
            </w:r>
            <w:r w:rsidR="00136055">
              <w:rPr>
                <w:rFonts w:ascii="Calibri" w:eastAsia="Calibri" w:hAnsi="Calibri" w:cs="Calibri"/>
                <w:b/>
                <w:color w:val="000000"/>
                <w:sz w:val="18"/>
                <w:lang w:eastAsia="en-US"/>
              </w:rPr>
              <w:t>796</w:t>
            </w:r>
          </w:p>
        </w:tc>
        <w:tc>
          <w:tcPr>
            <w:tcW w:w="1005" w:type="dxa"/>
            <w:tcBorders>
              <w:top w:val="single" w:sz="4" w:space="0" w:color="000000"/>
              <w:left w:val="nil"/>
              <w:bottom w:val="nil"/>
              <w:right w:val="nil"/>
              <w:tl2br w:val="nil"/>
              <w:tr2bl w:val="nil"/>
            </w:tcBorders>
            <w:noWrap/>
            <w:tcMar>
              <w:left w:w="0" w:type="dxa"/>
              <w:right w:w="0" w:type="dxa"/>
            </w:tcMar>
          </w:tcPr>
          <w:p w14:paraId="605C4111" w14:textId="77777777" w:rsidR="00143C9C" w:rsidRDefault="00143C9C">
            <w:pPr>
              <w:jc w:val="center"/>
              <w:rPr>
                <w:rFonts w:eastAsia="Calibri" w:cs="Calibri"/>
                <w:b/>
                <w:color w:val="000000"/>
              </w:rPr>
            </w:pPr>
          </w:p>
        </w:tc>
      </w:tr>
      <w:tr w:rsidR="00143C9C" w14:paraId="742646A6"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5" w:type="dxa"/>
            <w:tcBorders>
              <w:top w:val="nil"/>
              <w:left w:val="nil"/>
              <w:bottom w:val="nil"/>
              <w:right w:val="nil"/>
              <w:tl2br w:val="nil"/>
              <w:tr2bl w:val="nil"/>
            </w:tcBorders>
            <w:shd w:val="clear" w:color="FFFFFF" w:fill="FFFFFF"/>
            <w:tcMar>
              <w:left w:w="0" w:type="dxa"/>
              <w:right w:w="0" w:type="dxa"/>
            </w:tcMar>
          </w:tcPr>
          <w:p w14:paraId="7F93DB53" w14:textId="77777777" w:rsidR="00143C9C" w:rsidRDefault="00143C9C" w:rsidP="005D4B41">
            <w:pPr>
              <w:ind w:left="170" w:hanging="170"/>
              <w:rPr>
                <w:rFonts w:eastAsia="Calibri" w:cs="Calibri"/>
                <w:b/>
                <w:color w:val="000000"/>
              </w:rPr>
            </w:pPr>
          </w:p>
        </w:tc>
        <w:tc>
          <w:tcPr>
            <w:tcW w:w="840" w:type="dxa"/>
            <w:tcBorders>
              <w:top w:val="nil"/>
              <w:left w:val="nil"/>
              <w:bottom w:val="nil"/>
              <w:right w:val="nil"/>
              <w:tl2br w:val="nil"/>
              <w:tr2bl w:val="nil"/>
            </w:tcBorders>
            <w:shd w:val="clear" w:color="FFFFFF" w:fill="FFFFFF"/>
            <w:noWrap/>
            <w:tcMar>
              <w:left w:w="0" w:type="dxa"/>
              <w:right w:w="0" w:type="dxa"/>
            </w:tcMar>
          </w:tcPr>
          <w:p w14:paraId="6651F636" w14:textId="77777777" w:rsidR="00143C9C" w:rsidRDefault="00143C9C">
            <w:pPr>
              <w:jc w:val="right"/>
              <w:rPr>
                <w:rFonts w:eastAsia="Calibri" w:cs="Calibri"/>
                <w:b/>
                <w:color w:val="000000"/>
              </w:rPr>
            </w:pPr>
          </w:p>
        </w:tc>
        <w:tc>
          <w:tcPr>
            <w:tcW w:w="840" w:type="dxa"/>
            <w:tcBorders>
              <w:top w:val="nil"/>
              <w:left w:val="nil"/>
              <w:bottom w:val="nil"/>
              <w:right w:val="nil"/>
              <w:tl2br w:val="nil"/>
              <w:tr2bl w:val="nil"/>
            </w:tcBorders>
            <w:shd w:val="clear" w:color="FFFFFF" w:fill="FFFFFF"/>
            <w:noWrap/>
            <w:tcMar>
              <w:left w:w="0" w:type="dxa"/>
              <w:right w:w="0" w:type="dxa"/>
            </w:tcMar>
          </w:tcPr>
          <w:p w14:paraId="715F6795" w14:textId="77777777" w:rsidR="00143C9C" w:rsidRDefault="00143C9C">
            <w:pPr>
              <w:jc w:val="right"/>
              <w:rPr>
                <w:rFonts w:eastAsia="Calibri" w:cs="Calibri"/>
                <w:b/>
                <w:color w:val="000000"/>
              </w:rPr>
            </w:pPr>
          </w:p>
        </w:tc>
        <w:tc>
          <w:tcPr>
            <w:tcW w:w="840" w:type="dxa"/>
            <w:tcBorders>
              <w:top w:val="nil"/>
              <w:left w:val="nil"/>
              <w:bottom w:val="nil"/>
              <w:right w:val="nil"/>
              <w:tl2br w:val="nil"/>
              <w:tr2bl w:val="nil"/>
            </w:tcBorders>
            <w:shd w:val="clear" w:color="FFFFFF" w:fill="FFFFFF"/>
            <w:noWrap/>
            <w:tcMar>
              <w:left w:w="0" w:type="dxa"/>
              <w:right w:w="0" w:type="dxa"/>
            </w:tcMar>
          </w:tcPr>
          <w:p w14:paraId="7415A388" w14:textId="77777777" w:rsidR="00143C9C" w:rsidRDefault="00143C9C">
            <w:pPr>
              <w:jc w:val="right"/>
              <w:rPr>
                <w:rFonts w:eastAsia="Calibri" w:cs="Calibri"/>
                <w:b/>
                <w:color w:val="000000"/>
              </w:rPr>
            </w:pPr>
          </w:p>
        </w:tc>
        <w:tc>
          <w:tcPr>
            <w:tcW w:w="840" w:type="dxa"/>
            <w:tcBorders>
              <w:top w:val="nil"/>
              <w:left w:val="nil"/>
              <w:bottom w:val="nil"/>
              <w:right w:val="nil"/>
              <w:tl2br w:val="nil"/>
              <w:tr2bl w:val="nil"/>
            </w:tcBorders>
            <w:shd w:val="clear" w:color="FFFFFF" w:fill="FFFFFF"/>
            <w:noWrap/>
            <w:tcMar>
              <w:left w:w="0" w:type="dxa"/>
              <w:right w:w="0" w:type="dxa"/>
            </w:tcMar>
          </w:tcPr>
          <w:p w14:paraId="7D2F8187" w14:textId="77777777" w:rsidR="00143C9C" w:rsidRDefault="00143C9C">
            <w:pPr>
              <w:jc w:val="right"/>
              <w:rPr>
                <w:rFonts w:eastAsia="Calibri" w:cs="Calibri"/>
                <w:b/>
                <w:color w:val="000000"/>
              </w:rPr>
            </w:pPr>
          </w:p>
        </w:tc>
        <w:tc>
          <w:tcPr>
            <w:tcW w:w="840" w:type="dxa"/>
            <w:tcBorders>
              <w:top w:val="nil"/>
              <w:left w:val="nil"/>
              <w:bottom w:val="nil"/>
              <w:right w:val="nil"/>
              <w:tl2br w:val="nil"/>
              <w:tr2bl w:val="nil"/>
            </w:tcBorders>
            <w:shd w:val="clear" w:color="FFFFFF" w:fill="FFFFFF"/>
            <w:noWrap/>
            <w:tcMar>
              <w:left w:w="0" w:type="dxa"/>
              <w:right w:w="0" w:type="dxa"/>
            </w:tcMar>
          </w:tcPr>
          <w:p w14:paraId="22891241" w14:textId="77777777" w:rsidR="00143C9C" w:rsidRDefault="00143C9C">
            <w:pPr>
              <w:jc w:val="right"/>
              <w:rPr>
                <w:rFonts w:eastAsia="Calibri" w:cs="Calibri"/>
                <w:b/>
                <w:color w:val="000000"/>
              </w:rPr>
            </w:pPr>
          </w:p>
        </w:tc>
        <w:tc>
          <w:tcPr>
            <w:tcW w:w="945" w:type="dxa"/>
            <w:tcBorders>
              <w:top w:val="nil"/>
              <w:left w:val="nil"/>
              <w:bottom w:val="nil"/>
              <w:right w:val="nil"/>
              <w:tl2br w:val="nil"/>
              <w:tr2bl w:val="nil"/>
            </w:tcBorders>
            <w:shd w:val="clear" w:color="FFFFFF" w:fill="FFFFFF"/>
            <w:noWrap/>
            <w:tcMar>
              <w:left w:w="0" w:type="dxa"/>
              <w:right w:w="0" w:type="dxa"/>
            </w:tcMar>
          </w:tcPr>
          <w:p w14:paraId="7F8E04FA" w14:textId="77777777" w:rsidR="00143C9C" w:rsidRDefault="00143C9C">
            <w:pPr>
              <w:jc w:val="right"/>
              <w:rPr>
                <w:rFonts w:eastAsia="Calibri" w:cs="Calibri"/>
                <w:b/>
                <w:color w:val="000000"/>
              </w:rPr>
            </w:pPr>
          </w:p>
        </w:tc>
        <w:tc>
          <w:tcPr>
            <w:tcW w:w="1005" w:type="dxa"/>
            <w:tcBorders>
              <w:top w:val="nil"/>
              <w:left w:val="nil"/>
              <w:bottom w:val="nil"/>
              <w:right w:val="nil"/>
              <w:tl2br w:val="nil"/>
              <w:tr2bl w:val="nil"/>
            </w:tcBorders>
            <w:shd w:val="clear" w:color="FFFFFF" w:fill="FFFFFF"/>
            <w:noWrap/>
            <w:tcMar>
              <w:left w:w="0" w:type="dxa"/>
              <w:right w:w="0" w:type="dxa"/>
            </w:tcMar>
          </w:tcPr>
          <w:p w14:paraId="0661E1F6" w14:textId="77777777" w:rsidR="00143C9C" w:rsidRDefault="00143C9C">
            <w:pPr>
              <w:jc w:val="center"/>
              <w:rPr>
                <w:rFonts w:eastAsia="Calibri" w:cs="Calibri"/>
                <w:b/>
                <w:color w:val="000000"/>
              </w:rPr>
            </w:pPr>
          </w:p>
        </w:tc>
      </w:tr>
      <w:tr w:rsidR="00143C9C" w14:paraId="141A0382"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985" w:type="dxa"/>
            <w:tcBorders>
              <w:top w:val="nil"/>
              <w:left w:val="nil"/>
              <w:bottom w:val="nil"/>
              <w:right w:val="nil"/>
              <w:tl2br w:val="nil"/>
              <w:tr2bl w:val="nil"/>
            </w:tcBorders>
            <w:tcMar>
              <w:left w:w="40" w:type="dxa"/>
              <w:right w:w="40" w:type="dxa"/>
            </w:tcMar>
          </w:tcPr>
          <w:p w14:paraId="7B71358D"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Works in progress</w:t>
            </w:r>
          </w:p>
        </w:tc>
        <w:tc>
          <w:tcPr>
            <w:tcW w:w="840" w:type="dxa"/>
            <w:tcBorders>
              <w:top w:val="nil"/>
              <w:left w:val="nil"/>
              <w:bottom w:val="nil"/>
              <w:right w:val="nil"/>
              <w:tl2br w:val="nil"/>
              <w:tr2bl w:val="nil"/>
            </w:tcBorders>
            <w:tcMar>
              <w:left w:w="0" w:type="dxa"/>
              <w:right w:w="0" w:type="dxa"/>
            </w:tcMar>
          </w:tcPr>
          <w:p w14:paraId="41206E1D" w14:textId="77777777" w:rsidR="00143C9C" w:rsidRDefault="00143C9C">
            <w:pPr>
              <w:jc w:val="center"/>
              <w:rPr>
                <w:rFonts w:eastAsia="Calibri" w:cs="Calibri"/>
                <w:b/>
                <w:color w:val="000000"/>
              </w:rPr>
            </w:pPr>
          </w:p>
        </w:tc>
        <w:tc>
          <w:tcPr>
            <w:tcW w:w="840" w:type="dxa"/>
            <w:tcBorders>
              <w:top w:val="nil"/>
              <w:left w:val="nil"/>
              <w:bottom w:val="nil"/>
              <w:right w:val="nil"/>
              <w:tl2br w:val="nil"/>
              <w:tr2bl w:val="nil"/>
            </w:tcBorders>
            <w:noWrap/>
            <w:tcMar>
              <w:left w:w="0" w:type="dxa"/>
              <w:right w:w="0" w:type="dxa"/>
            </w:tcMar>
          </w:tcPr>
          <w:p w14:paraId="142D2D2C" w14:textId="77777777" w:rsidR="00143C9C" w:rsidRDefault="00143C9C">
            <w:pPr>
              <w:jc w:val="right"/>
              <w:rPr>
                <w:rFonts w:eastAsia="Calibri" w:cs="Calibri"/>
                <w:b/>
                <w:color w:val="000000"/>
              </w:rPr>
            </w:pPr>
          </w:p>
        </w:tc>
        <w:tc>
          <w:tcPr>
            <w:tcW w:w="840" w:type="dxa"/>
            <w:tcBorders>
              <w:top w:val="nil"/>
              <w:left w:val="nil"/>
              <w:bottom w:val="nil"/>
              <w:right w:val="nil"/>
              <w:tl2br w:val="nil"/>
              <w:tr2bl w:val="nil"/>
            </w:tcBorders>
            <w:noWrap/>
            <w:tcMar>
              <w:left w:w="0" w:type="dxa"/>
              <w:right w:w="0" w:type="dxa"/>
            </w:tcMar>
          </w:tcPr>
          <w:p w14:paraId="242AB446" w14:textId="77777777" w:rsidR="00143C9C" w:rsidRDefault="00143C9C">
            <w:pPr>
              <w:jc w:val="right"/>
              <w:rPr>
                <w:rFonts w:eastAsia="Calibri" w:cs="Calibri"/>
                <w:b/>
                <w:color w:val="000000"/>
              </w:rPr>
            </w:pPr>
          </w:p>
        </w:tc>
        <w:tc>
          <w:tcPr>
            <w:tcW w:w="840" w:type="dxa"/>
            <w:tcBorders>
              <w:top w:val="nil"/>
              <w:left w:val="nil"/>
              <w:bottom w:val="nil"/>
              <w:right w:val="nil"/>
              <w:tl2br w:val="nil"/>
              <w:tr2bl w:val="nil"/>
            </w:tcBorders>
            <w:noWrap/>
            <w:tcMar>
              <w:left w:w="0" w:type="dxa"/>
              <w:right w:w="0" w:type="dxa"/>
            </w:tcMar>
          </w:tcPr>
          <w:p w14:paraId="15529941" w14:textId="77777777" w:rsidR="00143C9C" w:rsidRDefault="00143C9C">
            <w:pPr>
              <w:jc w:val="right"/>
              <w:rPr>
                <w:rFonts w:eastAsia="Calibri" w:cs="Calibri"/>
                <w:b/>
                <w:color w:val="000000"/>
              </w:rPr>
            </w:pPr>
          </w:p>
        </w:tc>
        <w:tc>
          <w:tcPr>
            <w:tcW w:w="840" w:type="dxa"/>
            <w:tcBorders>
              <w:top w:val="nil"/>
              <w:left w:val="nil"/>
              <w:bottom w:val="nil"/>
              <w:right w:val="nil"/>
              <w:tl2br w:val="nil"/>
              <w:tr2bl w:val="nil"/>
            </w:tcBorders>
            <w:noWrap/>
            <w:tcMar>
              <w:left w:w="0" w:type="dxa"/>
              <w:right w:w="0" w:type="dxa"/>
            </w:tcMar>
          </w:tcPr>
          <w:p w14:paraId="1CCE1274" w14:textId="77777777" w:rsidR="00143C9C" w:rsidRDefault="00143C9C">
            <w:pPr>
              <w:jc w:val="right"/>
              <w:rPr>
                <w:rFonts w:eastAsia="Calibri" w:cs="Calibri"/>
                <w:b/>
                <w:color w:val="000000"/>
              </w:rPr>
            </w:pPr>
          </w:p>
        </w:tc>
        <w:tc>
          <w:tcPr>
            <w:tcW w:w="945" w:type="dxa"/>
            <w:tcBorders>
              <w:top w:val="nil"/>
              <w:left w:val="nil"/>
              <w:bottom w:val="nil"/>
              <w:right w:val="nil"/>
              <w:tl2br w:val="nil"/>
              <w:tr2bl w:val="nil"/>
            </w:tcBorders>
            <w:noWrap/>
            <w:tcMar>
              <w:left w:w="0" w:type="dxa"/>
              <w:right w:w="0" w:type="dxa"/>
            </w:tcMar>
          </w:tcPr>
          <w:p w14:paraId="28A6BCB1" w14:textId="77777777" w:rsidR="00143C9C" w:rsidRDefault="00143C9C">
            <w:pPr>
              <w:jc w:val="right"/>
              <w:rPr>
                <w:rFonts w:eastAsia="Calibri" w:cs="Calibri"/>
                <w:b/>
                <w:color w:val="000000"/>
              </w:rPr>
            </w:pPr>
          </w:p>
        </w:tc>
        <w:tc>
          <w:tcPr>
            <w:tcW w:w="1005" w:type="dxa"/>
            <w:tcBorders>
              <w:top w:val="nil"/>
              <w:left w:val="nil"/>
              <w:bottom w:val="nil"/>
              <w:right w:val="nil"/>
              <w:tl2br w:val="nil"/>
              <w:tr2bl w:val="nil"/>
            </w:tcBorders>
            <w:noWrap/>
            <w:tcMar>
              <w:left w:w="0" w:type="dxa"/>
              <w:right w:w="0" w:type="dxa"/>
            </w:tcMar>
          </w:tcPr>
          <w:p w14:paraId="1FA18FE5" w14:textId="77777777" w:rsidR="00143C9C" w:rsidRDefault="00143C9C">
            <w:pPr>
              <w:jc w:val="center"/>
              <w:rPr>
                <w:rFonts w:eastAsia="Calibri" w:cs="Calibri"/>
                <w:b/>
                <w:color w:val="000000"/>
              </w:rPr>
            </w:pPr>
          </w:p>
        </w:tc>
      </w:tr>
      <w:tr w:rsidR="00143C9C" w14:paraId="0230CDDD"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985" w:type="dxa"/>
            <w:tcBorders>
              <w:top w:val="nil"/>
              <w:left w:val="nil"/>
              <w:bottom w:val="nil"/>
              <w:right w:val="nil"/>
              <w:tl2br w:val="nil"/>
              <w:tr2bl w:val="nil"/>
            </w:tcBorders>
            <w:tcMar>
              <w:left w:w="40" w:type="dxa"/>
              <w:right w:w="40" w:type="dxa"/>
            </w:tcMar>
          </w:tcPr>
          <w:p w14:paraId="4505585C"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ACT Government office accommodation consolidation</w:t>
            </w:r>
          </w:p>
        </w:tc>
        <w:tc>
          <w:tcPr>
            <w:tcW w:w="840" w:type="dxa"/>
            <w:tcBorders>
              <w:top w:val="nil"/>
              <w:left w:val="nil"/>
              <w:bottom w:val="nil"/>
              <w:right w:val="nil"/>
              <w:tl2br w:val="nil"/>
              <w:tr2bl w:val="nil"/>
            </w:tcBorders>
            <w:noWrap/>
            <w:tcMar>
              <w:left w:w="40" w:type="dxa"/>
              <w:right w:w="40" w:type="dxa"/>
            </w:tcMar>
          </w:tcPr>
          <w:p w14:paraId="791B9BDB"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12,213</w:t>
            </w:r>
          </w:p>
        </w:tc>
        <w:tc>
          <w:tcPr>
            <w:tcW w:w="840" w:type="dxa"/>
            <w:tcBorders>
              <w:top w:val="nil"/>
              <w:left w:val="nil"/>
              <w:bottom w:val="nil"/>
              <w:right w:val="nil"/>
              <w:tl2br w:val="nil"/>
              <w:tr2bl w:val="nil"/>
            </w:tcBorders>
            <w:noWrap/>
            <w:tcMar>
              <w:left w:w="40" w:type="dxa"/>
              <w:right w:w="40" w:type="dxa"/>
            </w:tcMar>
          </w:tcPr>
          <w:p w14:paraId="333729F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421</w:t>
            </w:r>
          </w:p>
        </w:tc>
        <w:tc>
          <w:tcPr>
            <w:tcW w:w="840" w:type="dxa"/>
            <w:tcBorders>
              <w:top w:val="nil"/>
              <w:left w:val="nil"/>
              <w:bottom w:val="nil"/>
              <w:right w:val="nil"/>
              <w:tl2br w:val="nil"/>
              <w:tr2bl w:val="nil"/>
            </w:tcBorders>
            <w:noWrap/>
            <w:tcMar>
              <w:left w:w="40" w:type="dxa"/>
              <w:right w:w="40" w:type="dxa"/>
            </w:tcMar>
          </w:tcPr>
          <w:p w14:paraId="66523AC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7BA4DD4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7EC9942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16449DC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421</w:t>
            </w:r>
          </w:p>
        </w:tc>
        <w:tc>
          <w:tcPr>
            <w:tcW w:w="1005" w:type="dxa"/>
            <w:tcBorders>
              <w:top w:val="nil"/>
              <w:left w:val="nil"/>
              <w:bottom w:val="nil"/>
              <w:right w:val="nil"/>
              <w:tl2br w:val="nil"/>
              <w:tr2bl w:val="nil"/>
            </w:tcBorders>
            <w:noWrap/>
            <w:tcMar>
              <w:left w:w="40" w:type="dxa"/>
              <w:right w:w="40" w:type="dxa"/>
            </w:tcMar>
          </w:tcPr>
          <w:p w14:paraId="616531B5"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Jun-27</w:t>
            </w:r>
          </w:p>
        </w:tc>
      </w:tr>
      <w:tr w:rsidR="00143C9C" w14:paraId="2D6B80BA"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5" w:type="dxa"/>
            <w:tcBorders>
              <w:top w:val="nil"/>
              <w:left w:val="nil"/>
              <w:bottom w:val="nil"/>
              <w:right w:val="nil"/>
              <w:tl2br w:val="nil"/>
              <w:tr2bl w:val="nil"/>
            </w:tcBorders>
            <w:tcMar>
              <w:left w:w="40" w:type="dxa"/>
              <w:right w:w="40" w:type="dxa"/>
            </w:tcMar>
          </w:tcPr>
          <w:p w14:paraId="25565A59"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Athllon Drive Duplication</w:t>
            </w:r>
          </w:p>
        </w:tc>
        <w:tc>
          <w:tcPr>
            <w:tcW w:w="840" w:type="dxa"/>
            <w:tcBorders>
              <w:top w:val="nil"/>
              <w:left w:val="nil"/>
              <w:bottom w:val="nil"/>
              <w:right w:val="nil"/>
              <w:tl2br w:val="nil"/>
              <w:tr2bl w:val="nil"/>
            </w:tcBorders>
            <w:noWrap/>
            <w:tcMar>
              <w:left w:w="40" w:type="dxa"/>
              <w:right w:w="40" w:type="dxa"/>
            </w:tcMar>
          </w:tcPr>
          <w:p w14:paraId="7CD4D19C"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98,550</w:t>
            </w:r>
          </w:p>
        </w:tc>
        <w:tc>
          <w:tcPr>
            <w:tcW w:w="840" w:type="dxa"/>
            <w:tcBorders>
              <w:top w:val="nil"/>
              <w:left w:val="nil"/>
              <w:bottom w:val="nil"/>
              <w:right w:val="nil"/>
              <w:tl2br w:val="nil"/>
              <w:tr2bl w:val="nil"/>
            </w:tcBorders>
            <w:noWrap/>
            <w:tcMar>
              <w:left w:w="40" w:type="dxa"/>
              <w:right w:w="40" w:type="dxa"/>
            </w:tcMar>
          </w:tcPr>
          <w:p w14:paraId="0B7A573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24,298</w:t>
            </w:r>
          </w:p>
        </w:tc>
        <w:tc>
          <w:tcPr>
            <w:tcW w:w="840" w:type="dxa"/>
            <w:tcBorders>
              <w:top w:val="nil"/>
              <w:left w:val="nil"/>
              <w:bottom w:val="nil"/>
              <w:right w:val="nil"/>
              <w:tl2br w:val="nil"/>
              <w:tr2bl w:val="nil"/>
            </w:tcBorders>
            <w:noWrap/>
            <w:tcMar>
              <w:left w:w="40" w:type="dxa"/>
              <w:right w:w="40" w:type="dxa"/>
            </w:tcMar>
          </w:tcPr>
          <w:p w14:paraId="6F71ABE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27,484</w:t>
            </w:r>
          </w:p>
        </w:tc>
        <w:tc>
          <w:tcPr>
            <w:tcW w:w="840" w:type="dxa"/>
            <w:tcBorders>
              <w:top w:val="nil"/>
              <w:left w:val="nil"/>
              <w:bottom w:val="nil"/>
              <w:right w:val="nil"/>
              <w:tl2br w:val="nil"/>
              <w:tr2bl w:val="nil"/>
            </w:tcBorders>
            <w:noWrap/>
            <w:tcMar>
              <w:left w:w="40" w:type="dxa"/>
              <w:right w:w="40" w:type="dxa"/>
            </w:tcMar>
          </w:tcPr>
          <w:p w14:paraId="76DBC61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24,642</w:t>
            </w:r>
          </w:p>
        </w:tc>
        <w:tc>
          <w:tcPr>
            <w:tcW w:w="840" w:type="dxa"/>
            <w:tcBorders>
              <w:top w:val="nil"/>
              <w:left w:val="nil"/>
              <w:bottom w:val="nil"/>
              <w:right w:val="nil"/>
              <w:tl2br w:val="nil"/>
              <w:tr2bl w:val="nil"/>
            </w:tcBorders>
            <w:noWrap/>
            <w:tcMar>
              <w:left w:w="40" w:type="dxa"/>
              <w:right w:w="40" w:type="dxa"/>
            </w:tcMar>
          </w:tcPr>
          <w:p w14:paraId="684AEA7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3,543</w:t>
            </w:r>
          </w:p>
        </w:tc>
        <w:tc>
          <w:tcPr>
            <w:tcW w:w="945" w:type="dxa"/>
            <w:tcBorders>
              <w:top w:val="nil"/>
              <w:left w:val="nil"/>
              <w:bottom w:val="nil"/>
              <w:right w:val="nil"/>
              <w:tl2br w:val="nil"/>
              <w:tr2bl w:val="nil"/>
            </w:tcBorders>
            <w:noWrap/>
            <w:tcMar>
              <w:left w:w="40" w:type="dxa"/>
              <w:right w:w="40" w:type="dxa"/>
            </w:tcMar>
          </w:tcPr>
          <w:p w14:paraId="1D11EB8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79,967</w:t>
            </w:r>
          </w:p>
        </w:tc>
        <w:tc>
          <w:tcPr>
            <w:tcW w:w="1005" w:type="dxa"/>
            <w:tcBorders>
              <w:top w:val="nil"/>
              <w:left w:val="nil"/>
              <w:bottom w:val="nil"/>
              <w:right w:val="nil"/>
              <w:tl2br w:val="nil"/>
              <w:tr2bl w:val="nil"/>
            </w:tcBorders>
            <w:noWrap/>
            <w:tcMar>
              <w:left w:w="40" w:type="dxa"/>
              <w:right w:w="40" w:type="dxa"/>
            </w:tcMar>
          </w:tcPr>
          <w:p w14:paraId="5384EC56"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Dec-29</w:t>
            </w:r>
          </w:p>
        </w:tc>
      </w:tr>
      <w:tr w:rsidR="00143C9C" w14:paraId="25B7646C"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985" w:type="dxa"/>
            <w:tcBorders>
              <w:top w:val="nil"/>
              <w:left w:val="nil"/>
              <w:bottom w:val="nil"/>
              <w:right w:val="nil"/>
              <w:tl2br w:val="nil"/>
              <w:tr2bl w:val="nil"/>
            </w:tcBorders>
            <w:tcMar>
              <w:left w:w="40" w:type="dxa"/>
              <w:right w:w="40" w:type="dxa"/>
            </w:tcMar>
          </w:tcPr>
          <w:p w14:paraId="10361F1D"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Refurbishing Canberra’s public pools</w:t>
            </w:r>
          </w:p>
        </w:tc>
        <w:tc>
          <w:tcPr>
            <w:tcW w:w="840" w:type="dxa"/>
            <w:tcBorders>
              <w:top w:val="nil"/>
              <w:left w:val="nil"/>
              <w:bottom w:val="nil"/>
              <w:right w:val="nil"/>
              <w:tl2br w:val="nil"/>
              <w:tr2bl w:val="nil"/>
            </w:tcBorders>
            <w:noWrap/>
            <w:tcMar>
              <w:left w:w="40" w:type="dxa"/>
              <w:right w:w="40" w:type="dxa"/>
            </w:tcMar>
          </w:tcPr>
          <w:p w14:paraId="07545037"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4,008</w:t>
            </w:r>
          </w:p>
        </w:tc>
        <w:tc>
          <w:tcPr>
            <w:tcW w:w="840" w:type="dxa"/>
            <w:tcBorders>
              <w:top w:val="nil"/>
              <w:left w:val="nil"/>
              <w:bottom w:val="nil"/>
              <w:right w:val="nil"/>
              <w:tl2br w:val="nil"/>
              <w:tr2bl w:val="nil"/>
            </w:tcBorders>
            <w:noWrap/>
            <w:tcMar>
              <w:left w:w="40" w:type="dxa"/>
              <w:right w:w="40" w:type="dxa"/>
            </w:tcMar>
          </w:tcPr>
          <w:p w14:paraId="4895F5B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184</w:t>
            </w:r>
          </w:p>
        </w:tc>
        <w:tc>
          <w:tcPr>
            <w:tcW w:w="840" w:type="dxa"/>
            <w:tcBorders>
              <w:top w:val="nil"/>
              <w:left w:val="nil"/>
              <w:bottom w:val="nil"/>
              <w:right w:val="nil"/>
              <w:tl2br w:val="nil"/>
              <w:tr2bl w:val="nil"/>
            </w:tcBorders>
            <w:noWrap/>
            <w:tcMar>
              <w:left w:w="40" w:type="dxa"/>
              <w:right w:w="40" w:type="dxa"/>
            </w:tcMar>
          </w:tcPr>
          <w:p w14:paraId="3BFF6B7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50CB21E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1BE07B0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0DDD7D4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184</w:t>
            </w:r>
          </w:p>
        </w:tc>
        <w:tc>
          <w:tcPr>
            <w:tcW w:w="1005" w:type="dxa"/>
            <w:tcBorders>
              <w:top w:val="nil"/>
              <w:left w:val="nil"/>
              <w:bottom w:val="nil"/>
              <w:right w:val="nil"/>
              <w:tl2br w:val="nil"/>
              <w:tr2bl w:val="nil"/>
            </w:tcBorders>
            <w:noWrap/>
            <w:tcMar>
              <w:left w:w="40" w:type="dxa"/>
              <w:right w:w="40" w:type="dxa"/>
            </w:tcMar>
          </w:tcPr>
          <w:p w14:paraId="051C3204"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Dec-26</w:t>
            </w:r>
          </w:p>
        </w:tc>
      </w:tr>
      <w:tr w:rsidR="00143C9C" w14:paraId="2C8B278E"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985" w:type="dxa"/>
            <w:tcBorders>
              <w:top w:val="nil"/>
              <w:left w:val="nil"/>
              <w:bottom w:val="nil"/>
              <w:right w:val="nil"/>
              <w:tl2br w:val="nil"/>
              <w:tr2bl w:val="nil"/>
            </w:tcBorders>
            <w:tcMar>
              <w:left w:w="40" w:type="dxa"/>
              <w:right w:w="40" w:type="dxa"/>
            </w:tcMar>
          </w:tcPr>
          <w:p w14:paraId="07945A14"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Refurbishing community and government buildings</w:t>
            </w:r>
          </w:p>
        </w:tc>
        <w:tc>
          <w:tcPr>
            <w:tcW w:w="840" w:type="dxa"/>
            <w:tcBorders>
              <w:top w:val="nil"/>
              <w:left w:val="nil"/>
              <w:bottom w:val="nil"/>
              <w:right w:val="nil"/>
              <w:tl2br w:val="nil"/>
              <w:tr2bl w:val="nil"/>
            </w:tcBorders>
            <w:noWrap/>
            <w:tcMar>
              <w:left w:w="40" w:type="dxa"/>
              <w:right w:w="40" w:type="dxa"/>
            </w:tcMar>
          </w:tcPr>
          <w:p w14:paraId="615078BF"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7,249</w:t>
            </w:r>
          </w:p>
        </w:tc>
        <w:tc>
          <w:tcPr>
            <w:tcW w:w="840" w:type="dxa"/>
            <w:tcBorders>
              <w:top w:val="nil"/>
              <w:left w:val="nil"/>
              <w:bottom w:val="nil"/>
              <w:right w:val="nil"/>
              <w:tl2br w:val="nil"/>
              <w:tr2bl w:val="nil"/>
            </w:tcBorders>
            <w:noWrap/>
            <w:tcMar>
              <w:left w:w="40" w:type="dxa"/>
              <w:right w:w="40" w:type="dxa"/>
            </w:tcMar>
          </w:tcPr>
          <w:p w14:paraId="67351C2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490</w:t>
            </w:r>
          </w:p>
        </w:tc>
        <w:tc>
          <w:tcPr>
            <w:tcW w:w="840" w:type="dxa"/>
            <w:tcBorders>
              <w:top w:val="nil"/>
              <w:left w:val="nil"/>
              <w:bottom w:val="nil"/>
              <w:right w:val="nil"/>
              <w:tl2br w:val="nil"/>
              <w:tr2bl w:val="nil"/>
            </w:tcBorders>
            <w:noWrap/>
            <w:tcMar>
              <w:left w:w="40" w:type="dxa"/>
              <w:right w:w="40" w:type="dxa"/>
            </w:tcMar>
          </w:tcPr>
          <w:p w14:paraId="7B865CD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6CA5497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1BFF9F6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389368D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490</w:t>
            </w:r>
          </w:p>
        </w:tc>
        <w:tc>
          <w:tcPr>
            <w:tcW w:w="1005" w:type="dxa"/>
            <w:tcBorders>
              <w:top w:val="nil"/>
              <w:left w:val="nil"/>
              <w:bottom w:val="nil"/>
              <w:right w:val="nil"/>
              <w:tl2br w:val="nil"/>
              <w:tr2bl w:val="nil"/>
            </w:tcBorders>
            <w:noWrap/>
            <w:tcMar>
              <w:left w:w="40" w:type="dxa"/>
              <w:right w:w="40" w:type="dxa"/>
            </w:tcMar>
          </w:tcPr>
          <w:p w14:paraId="0A2AF1CE"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Jun-27</w:t>
            </w:r>
          </w:p>
        </w:tc>
      </w:tr>
      <w:tr w:rsidR="00143C9C" w14:paraId="109D9B10"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985" w:type="dxa"/>
            <w:tcBorders>
              <w:top w:val="nil"/>
              <w:left w:val="nil"/>
              <w:bottom w:val="nil"/>
              <w:right w:val="nil"/>
              <w:tl2br w:val="nil"/>
              <w:tr2bl w:val="nil"/>
            </w:tcBorders>
            <w:tcMar>
              <w:left w:w="40" w:type="dxa"/>
              <w:right w:w="40" w:type="dxa"/>
            </w:tcMar>
          </w:tcPr>
          <w:p w14:paraId="71794381"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Gungahlin Community Centre – design and construction</w:t>
            </w:r>
          </w:p>
        </w:tc>
        <w:tc>
          <w:tcPr>
            <w:tcW w:w="840" w:type="dxa"/>
            <w:tcBorders>
              <w:top w:val="nil"/>
              <w:left w:val="nil"/>
              <w:bottom w:val="nil"/>
              <w:right w:val="nil"/>
              <w:tl2br w:val="nil"/>
              <w:tr2bl w:val="nil"/>
            </w:tcBorders>
            <w:noWrap/>
            <w:tcMar>
              <w:left w:w="40" w:type="dxa"/>
              <w:right w:w="40" w:type="dxa"/>
            </w:tcMar>
          </w:tcPr>
          <w:p w14:paraId="541FB2A9"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26,247</w:t>
            </w:r>
          </w:p>
        </w:tc>
        <w:tc>
          <w:tcPr>
            <w:tcW w:w="840" w:type="dxa"/>
            <w:tcBorders>
              <w:top w:val="nil"/>
              <w:left w:val="nil"/>
              <w:bottom w:val="nil"/>
              <w:right w:val="nil"/>
              <w:tl2br w:val="nil"/>
              <w:tr2bl w:val="nil"/>
            </w:tcBorders>
            <w:noWrap/>
            <w:tcMar>
              <w:left w:w="40" w:type="dxa"/>
              <w:right w:w="40" w:type="dxa"/>
            </w:tcMar>
          </w:tcPr>
          <w:p w14:paraId="5F15CE8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6,623</w:t>
            </w:r>
          </w:p>
        </w:tc>
        <w:tc>
          <w:tcPr>
            <w:tcW w:w="840" w:type="dxa"/>
            <w:tcBorders>
              <w:top w:val="nil"/>
              <w:left w:val="nil"/>
              <w:bottom w:val="nil"/>
              <w:right w:val="nil"/>
              <w:tl2br w:val="nil"/>
              <w:tr2bl w:val="nil"/>
            </w:tcBorders>
            <w:noWrap/>
            <w:tcMar>
              <w:left w:w="40" w:type="dxa"/>
              <w:right w:w="40" w:type="dxa"/>
            </w:tcMar>
          </w:tcPr>
          <w:p w14:paraId="62A1797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67BDDBA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79A0F83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2F6093E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6,623</w:t>
            </w:r>
          </w:p>
        </w:tc>
        <w:tc>
          <w:tcPr>
            <w:tcW w:w="1005" w:type="dxa"/>
            <w:tcBorders>
              <w:top w:val="nil"/>
              <w:left w:val="nil"/>
              <w:bottom w:val="nil"/>
              <w:right w:val="nil"/>
              <w:tl2br w:val="nil"/>
              <w:tr2bl w:val="nil"/>
            </w:tcBorders>
            <w:noWrap/>
            <w:tcMar>
              <w:left w:w="40" w:type="dxa"/>
              <w:right w:w="40" w:type="dxa"/>
            </w:tcMar>
          </w:tcPr>
          <w:p w14:paraId="2715F67B"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Jun-26</w:t>
            </w:r>
          </w:p>
        </w:tc>
      </w:tr>
      <w:tr w:rsidR="00143C9C" w14:paraId="59DCFF5E"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985" w:type="dxa"/>
            <w:tcBorders>
              <w:top w:val="nil"/>
              <w:left w:val="nil"/>
              <w:bottom w:val="nil"/>
              <w:right w:val="nil"/>
              <w:tl2br w:val="nil"/>
              <w:tr2bl w:val="nil"/>
            </w:tcBorders>
            <w:tcMar>
              <w:left w:w="40" w:type="dxa"/>
              <w:right w:w="40" w:type="dxa"/>
            </w:tcMar>
          </w:tcPr>
          <w:p w14:paraId="09526824"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Community Infrastructure – Public Building Upgrades</w:t>
            </w:r>
          </w:p>
        </w:tc>
        <w:tc>
          <w:tcPr>
            <w:tcW w:w="840" w:type="dxa"/>
            <w:tcBorders>
              <w:top w:val="nil"/>
              <w:left w:val="nil"/>
              <w:bottom w:val="nil"/>
              <w:right w:val="nil"/>
              <w:tl2br w:val="nil"/>
              <w:tr2bl w:val="nil"/>
            </w:tcBorders>
            <w:noWrap/>
            <w:tcMar>
              <w:left w:w="40" w:type="dxa"/>
              <w:right w:w="40" w:type="dxa"/>
            </w:tcMar>
          </w:tcPr>
          <w:p w14:paraId="3971F0D0"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27,127</w:t>
            </w:r>
          </w:p>
        </w:tc>
        <w:tc>
          <w:tcPr>
            <w:tcW w:w="840" w:type="dxa"/>
            <w:tcBorders>
              <w:top w:val="nil"/>
              <w:left w:val="nil"/>
              <w:bottom w:val="nil"/>
              <w:right w:val="nil"/>
              <w:tl2br w:val="nil"/>
              <w:tr2bl w:val="nil"/>
            </w:tcBorders>
            <w:noWrap/>
            <w:tcMar>
              <w:left w:w="40" w:type="dxa"/>
              <w:right w:w="40" w:type="dxa"/>
            </w:tcMar>
          </w:tcPr>
          <w:p w14:paraId="63303D3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8,330</w:t>
            </w:r>
          </w:p>
        </w:tc>
        <w:tc>
          <w:tcPr>
            <w:tcW w:w="840" w:type="dxa"/>
            <w:tcBorders>
              <w:top w:val="nil"/>
              <w:left w:val="nil"/>
              <w:bottom w:val="nil"/>
              <w:right w:val="nil"/>
              <w:tl2br w:val="nil"/>
              <w:tr2bl w:val="nil"/>
            </w:tcBorders>
            <w:noWrap/>
            <w:tcMar>
              <w:left w:w="40" w:type="dxa"/>
              <w:right w:w="40" w:type="dxa"/>
            </w:tcMar>
          </w:tcPr>
          <w:p w14:paraId="4CA874A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758F8A5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1EBC53B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39E3D72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8,330</w:t>
            </w:r>
          </w:p>
        </w:tc>
        <w:tc>
          <w:tcPr>
            <w:tcW w:w="1005" w:type="dxa"/>
            <w:tcBorders>
              <w:top w:val="nil"/>
              <w:left w:val="nil"/>
              <w:bottom w:val="nil"/>
              <w:right w:val="nil"/>
              <w:tl2br w:val="nil"/>
              <w:tr2bl w:val="nil"/>
            </w:tcBorders>
            <w:noWrap/>
            <w:tcMar>
              <w:left w:w="40" w:type="dxa"/>
              <w:right w:w="40" w:type="dxa"/>
            </w:tcMar>
          </w:tcPr>
          <w:p w14:paraId="74C237A1"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Jun-27</w:t>
            </w:r>
          </w:p>
        </w:tc>
      </w:tr>
      <w:tr w:rsidR="00143C9C" w14:paraId="65150325"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985" w:type="dxa"/>
            <w:tcBorders>
              <w:top w:val="nil"/>
              <w:left w:val="nil"/>
              <w:bottom w:val="nil"/>
              <w:right w:val="nil"/>
              <w:tl2br w:val="nil"/>
              <w:tr2bl w:val="nil"/>
            </w:tcBorders>
            <w:tcMar>
              <w:left w:w="40" w:type="dxa"/>
              <w:right w:w="40" w:type="dxa"/>
            </w:tcMar>
          </w:tcPr>
          <w:p w14:paraId="5246420A" w14:textId="2AE2FDA4"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transport infrastructure – Delivering Light Rail Stage 2A</w:t>
            </w:r>
            <w:r w:rsidR="00897636">
              <w:rPr>
                <w:rFonts w:ascii="Calibri" w:eastAsia="Calibri" w:hAnsi="Calibri" w:cs="Calibri"/>
                <w:color w:val="000000"/>
                <w:sz w:val="18"/>
                <w:vertAlign w:val="superscript"/>
                <w:lang w:eastAsia="en-US"/>
              </w:rPr>
              <w:t>3</w:t>
            </w:r>
          </w:p>
        </w:tc>
        <w:tc>
          <w:tcPr>
            <w:tcW w:w="840" w:type="dxa"/>
            <w:tcBorders>
              <w:top w:val="nil"/>
              <w:left w:val="nil"/>
              <w:bottom w:val="nil"/>
              <w:right w:val="nil"/>
              <w:tl2br w:val="nil"/>
              <w:tr2bl w:val="nil"/>
            </w:tcBorders>
            <w:noWrap/>
            <w:tcMar>
              <w:left w:w="40" w:type="dxa"/>
              <w:right w:w="40" w:type="dxa"/>
            </w:tcMar>
          </w:tcPr>
          <w:p w14:paraId="6C60575E" w14:textId="18643F48"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8</w:t>
            </w:r>
            <w:r w:rsidR="00BF7989">
              <w:rPr>
                <w:rFonts w:ascii="Calibri" w:eastAsia="Calibri" w:hAnsi="Calibri" w:cs="Calibri"/>
                <w:b/>
                <w:color w:val="000000"/>
                <w:sz w:val="18"/>
                <w:lang w:eastAsia="en-US"/>
              </w:rPr>
              <w:t>18</w:t>
            </w:r>
            <w:r>
              <w:rPr>
                <w:rFonts w:ascii="Calibri" w:eastAsia="Calibri" w:hAnsi="Calibri" w:cs="Calibri"/>
                <w:b/>
                <w:color w:val="000000"/>
                <w:sz w:val="18"/>
                <w:lang w:eastAsia="en-US"/>
              </w:rPr>
              <w:t>,</w:t>
            </w:r>
            <w:r w:rsidR="00BF7989">
              <w:rPr>
                <w:rFonts w:ascii="Calibri" w:eastAsia="Calibri" w:hAnsi="Calibri" w:cs="Calibri"/>
                <w:b/>
                <w:color w:val="000000"/>
                <w:sz w:val="18"/>
                <w:lang w:eastAsia="en-US"/>
              </w:rPr>
              <w:t>573</w:t>
            </w:r>
          </w:p>
        </w:tc>
        <w:tc>
          <w:tcPr>
            <w:tcW w:w="840" w:type="dxa"/>
            <w:tcBorders>
              <w:top w:val="nil"/>
              <w:left w:val="nil"/>
              <w:bottom w:val="nil"/>
              <w:right w:val="nil"/>
              <w:tl2br w:val="nil"/>
              <w:tr2bl w:val="nil"/>
            </w:tcBorders>
            <w:noWrap/>
            <w:tcMar>
              <w:left w:w="40" w:type="dxa"/>
              <w:right w:w="40" w:type="dxa"/>
            </w:tcMar>
          </w:tcPr>
          <w:p w14:paraId="470493E7" w14:textId="5E3B9548" w:rsidR="00143C9C" w:rsidRDefault="00BF7989">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w:t>
            </w:r>
            <w:r w:rsidR="009B5C32">
              <w:rPr>
                <w:rFonts w:ascii="Calibri" w:eastAsia="Calibri" w:hAnsi="Calibri" w:cs="Calibri"/>
                <w:color w:val="000000"/>
                <w:sz w:val="18"/>
                <w:lang w:eastAsia="en-US"/>
              </w:rPr>
              <w:t>,</w:t>
            </w:r>
            <w:r>
              <w:rPr>
                <w:rFonts w:ascii="Calibri" w:eastAsia="Calibri" w:hAnsi="Calibri" w:cs="Calibri"/>
                <w:color w:val="000000"/>
                <w:sz w:val="18"/>
                <w:lang w:eastAsia="en-US"/>
              </w:rPr>
              <w:t>618</w:t>
            </w:r>
          </w:p>
        </w:tc>
        <w:tc>
          <w:tcPr>
            <w:tcW w:w="840" w:type="dxa"/>
            <w:tcBorders>
              <w:top w:val="nil"/>
              <w:left w:val="nil"/>
              <w:bottom w:val="nil"/>
              <w:right w:val="nil"/>
              <w:tl2br w:val="nil"/>
              <w:tr2bl w:val="nil"/>
            </w:tcBorders>
            <w:noWrap/>
            <w:tcMar>
              <w:left w:w="40" w:type="dxa"/>
              <w:right w:w="40" w:type="dxa"/>
            </w:tcMar>
          </w:tcPr>
          <w:p w14:paraId="15AAEE5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528,161</w:t>
            </w:r>
          </w:p>
        </w:tc>
        <w:tc>
          <w:tcPr>
            <w:tcW w:w="840" w:type="dxa"/>
            <w:tcBorders>
              <w:top w:val="nil"/>
              <w:left w:val="nil"/>
              <w:bottom w:val="nil"/>
              <w:right w:val="nil"/>
              <w:tl2br w:val="nil"/>
              <w:tr2bl w:val="nil"/>
            </w:tcBorders>
            <w:noWrap/>
            <w:tcMar>
              <w:left w:w="40" w:type="dxa"/>
              <w:right w:w="40" w:type="dxa"/>
            </w:tcMar>
          </w:tcPr>
          <w:p w14:paraId="59866F3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1566B67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95,325</w:t>
            </w:r>
          </w:p>
        </w:tc>
        <w:tc>
          <w:tcPr>
            <w:tcW w:w="945" w:type="dxa"/>
            <w:tcBorders>
              <w:top w:val="nil"/>
              <w:left w:val="nil"/>
              <w:bottom w:val="nil"/>
              <w:right w:val="nil"/>
              <w:tl2br w:val="nil"/>
              <w:tr2bl w:val="nil"/>
            </w:tcBorders>
            <w:noWrap/>
            <w:tcMar>
              <w:left w:w="40" w:type="dxa"/>
              <w:right w:w="40" w:type="dxa"/>
            </w:tcMar>
          </w:tcPr>
          <w:p w14:paraId="20724F91" w14:textId="6C5C198E"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w:t>
            </w:r>
            <w:r w:rsidR="00BF7989">
              <w:rPr>
                <w:rFonts w:ascii="Calibri" w:eastAsia="Calibri" w:hAnsi="Calibri" w:cs="Calibri"/>
                <w:color w:val="000000"/>
                <w:sz w:val="18"/>
                <w:lang w:eastAsia="en-US"/>
              </w:rPr>
              <w:t>2</w:t>
            </w:r>
            <w:r>
              <w:rPr>
                <w:rFonts w:ascii="Calibri" w:eastAsia="Calibri" w:hAnsi="Calibri" w:cs="Calibri"/>
                <w:color w:val="000000"/>
                <w:sz w:val="18"/>
                <w:lang w:eastAsia="en-US"/>
              </w:rPr>
              <w:t>9,</w:t>
            </w:r>
            <w:r w:rsidR="00BF7989">
              <w:rPr>
                <w:rFonts w:ascii="Calibri" w:eastAsia="Calibri" w:hAnsi="Calibri" w:cs="Calibri"/>
                <w:color w:val="000000"/>
                <w:sz w:val="18"/>
                <w:lang w:eastAsia="en-US"/>
              </w:rPr>
              <w:t>104</w:t>
            </w:r>
          </w:p>
        </w:tc>
        <w:tc>
          <w:tcPr>
            <w:tcW w:w="1005" w:type="dxa"/>
            <w:tcBorders>
              <w:top w:val="nil"/>
              <w:left w:val="nil"/>
              <w:bottom w:val="nil"/>
              <w:right w:val="nil"/>
              <w:tl2br w:val="nil"/>
              <w:tr2bl w:val="nil"/>
            </w:tcBorders>
            <w:noWrap/>
            <w:tcMar>
              <w:left w:w="40" w:type="dxa"/>
              <w:right w:w="40" w:type="dxa"/>
            </w:tcMar>
          </w:tcPr>
          <w:p w14:paraId="5C6335D5"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Jan-28</w:t>
            </w:r>
          </w:p>
        </w:tc>
      </w:tr>
      <w:tr w:rsidR="00143C9C" w14:paraId="3A898D4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985" w:type="dxa"/>
            <w:tcBorders>
              <w:top w:val="nil"/>
              <w:left w:val="nil"/>
              <w:bottom w:val="nil"/>
              <w:right w:val="nil"/>
              <w:tl2br w:val="nil"/>
              <w:tr2bl w:val="nil"/>
            </w:tcBorders>
            <w:tcMar>
              <w:left w:w="40" w:type="dxa"/>
              <w:right w:w="40" w:type="dxa"/>
            </w:tcMar>
          </w:tcPr>
          <w:p w14:paraId="72268951" w14:textId="09555F03"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Better transport infrastructure – New light rail vehicles and depot expansion</w:t>
            </w:r>
            <w:r w:rsidR="00897636">
              <w:rPr>
                <w:rFonts w:ascii="Calibri" w:eastAsia="Calibri" w:hAnsi="Calibri" w:cs="Calibri"/>
                <w:color w:val="000000"/>
                <w:sz w:val="18"/>
                <w:vertAlign w:val="superscript"/>
                <w:lang w:eastAsia="en-US"/>
              </w:rPr>
              <w:t>3</w:t>
            </w:r>
          </w:p>
        </w:tc>
        <w:tc>
          <w:tcPr>
            <w:tcW w:w="840" w:type="dxa"/>
            <w:tcBorders>
              <w:top w:val="nil"/>
              <w:left w:val="nil"/>
              <w:bottom w:val="nil"/>
              <w:right w:val="nil"/>
              <w:tl2br w:val="nil"/>
              <w:tr2bl w:val="nil"/>
            </w:tcBorders>
            <w:noWrap/>
            <w:tcMar>
              <w:left w:w="40" w:type="dxa"/>
              <w:right w:w="40" w:type="dxa"/>
            </w:tcMar>
          </w:tcPr>
          <w:p w14:paraId="4B6ED153"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149,684</w:t>
            </w:r>
          </w:p>
        </w:tc>
        <w:tc>
          <w:tcPr>
            <w:tcW w:w="840" w:type="dxa"/>
            <w:tcBorders>
              <w:top w:val="nil"/>
              <w:left w:val="nil"/>
              <w:bottom w:val="nil"/>
              <w:right w:val="nil"/>
              <w:tl2br w:val="nil"/>
              <w:tr2bl w:val="nil"/>
            </w:tcBorders>
            <w:noWrap/>
            <w:tcMar>
              <w:left w:w="40" w:type="dxa"/>
              <w:right w:w="40" w:type="dxa"/>
            </w:tcMar>
          </w:tcPr>
          <w:p w14:paraId="7561426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18,941</w:t>
            </w:r>
          </w:p>
        </w:tc>
        <w:tc>
          <w:tcPr>
            <w:tcW w:w="840" w:type="dxa"/>
            <w:tcBorders>
              <w:top w:val="nil"/>
              <w:left w:val="nil"/>
              <w:bottom w:val="nil"/>
              <w:right w:val="nil"/>
              <w:tl2br w:val="nil"/>
              <w:tr2bl w:val="nil"/>
            </w:tcBorders>
            <w:noWrap/>
            <w:tcMar>
              <w:left w:w="40" w:type="dxa"/>
              <w:right w:w="40" w:type="dxa"/>
            </w:tcMar>
          </w:tcPr>
          <w:p w14:paraId="2F3C6C4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3C131FD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44B91D1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0C9F19F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18,941</w:t>
            </w:r>
          </w:p>
        </w:tc>
        <w:tc>
          <w:tcPr>
            <w:tcW w:w="1005" w:type="dxa"/>
            <w:tcBorders>
              <w:top w:val="nil"/>
              <w:left w:val="nil"/>
              <w:bottom w:val="nil"/>
              <w:right w:val="nil"/>
              <w:tl2br w:val="nil"/>
              <w:tr2bl w:val="nil"/>
            </w:tcBorders>
            <w:noWrap/>
            <w:tcMar>
              <w:left w:w="40" w:type="dxa"/>
              <w:right w:w="40" w:type="dxa"/>
            </w:tcMar>
          </w:tcPr>
          <w:p w14:paraId="4EB2C056"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Aug-26</w:t>
            </w:r>
          </w:p>
        </w:tc>
      </w:tr>
      <w:tr w:rsidR="00143C9C" w14:paraId="787F70E9"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985" w:type="dxa"/>
            <w:tcBorders>
              <w:top w:val="nil"/>
              <w:left w:val="nil"/>
              <w:bottom w:val="nil"/>
              <w:right w:val="nil"/>
              <w:tl2br w:val="nil"/>
              <w:tr2bl w:val="nil"/>
            </w:tcBorders>
            <w:tcMar>
              <w:left w:w="40" w:type="dxa"/>
              <w:right w:w="40" w:type="dxa"/>
            </w:tcMar>
          </w:tcPr>
          <w:p w14:paraId="49FD445E" w14:textId="20C8D98E"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Canberra Aquatic Centre</w:t>
            </w:r>
            <w:r w:rsidR="00897636">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14349BC0"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10,574</w:t>
            </w:r>
          </w:p>
        </w:tc>
        <w:tc>
          <w:tcPr>
            <w:tcW w:w="840" w:type="dxa"/>
            <w:tcBorders>
              <w:top w:val="nil"/>
              <w:left w:val="nil"/>
              <w:bottom w:val="nil"/>
              <w:right w:val="nil"/>
              <w:tl2br w:val="nil"/>
              <w:tr2bl w:val="nil"/>
            </w:tcBorders>
            <w:noWrap/>
            <w:tcMar>
              <w:left w:w="40" w:type="dxa"/>
              <w:right w:w="40" w:type="dxa"/>
            </w:tcMar>
          </w:tcPr>
          <w:p w14:paraId="4147C0C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5,474</w:t>
            </w:r>
          </w:p>
        </w:tc>
        <w:tc>
          <w:tcPr>
            <w:tcW w:w="840" w:type="dxa"/>
            <w:tcBorders>
              <w:top w:val="nil"/>
              <w:left w:val="nil"/>
              <w:bottom w:val="nil"/>
              <w:right w:val="nil"/>
              <w:tl2br w:val="nil"/>
              <w:tr2bl w:val="nil"/>
            </w:tcBorders>
            <w:noWrap/>
            <w:tcMar>
              <w:left w:w="40" w:type="dxa"/>
              <w:right w:w="40" w:type="dxa"/>
            </w:tcMar>
          </w:tcPr>
          <w:p w14:paraId="78BC978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760EA13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2A4C70D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5190925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5,474</w:t>
            </w:r>
          </w:p>
        </w:tc>
        <w:tc>
          <w:tcPr>
            <w:tcW w:w="1005" w:type="dxa"/>
            <w:tcBorders>
              <w:top w:val="nil"/>
              <w:left w:val="nil"/>
              <w:bottom w:val="nil"/>
              <w:right w:val="nil"/>
              <w:tl2br w:val="nil"/>
              <w:tr2bl w:val="nil"/>
            </w:tcBorders>
            <w:noWrap/>
            <w:tcMar>
              <w:left w:w="40" w:type="dxa"/>
              <w:right w:w="40" w:type="dxa"/>
            </w:tcMar>
          </w:tcPr>
          <w:p w14:paraId="324ABE9E"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r>
      <w:tr w:rsidR="00143C9C" w14:paraId="621597C1"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2985" w:type="dxa"/>
            <w:tcBorders>
              <w:top w:val="nil"/>
              <w:left w:val="nil"/>
              <w:bottom w:val="nil"/>
              <w:right w:val="nil"/>
              <w:tl2br w:val="nil"/>
              <w:tr2bl w:val="nil"/>
            </w:tcBorders>
            <w:tcMar>
              <w:left w:w="40" w:type="dxa"/>
              <w:right w:w="40" w:type="dxa"/>
            </w:tcMar>
          </w:tcPr>
          <w:p w14:paraId="4C1B9FB7" w14:textId="6FD878BD"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Canberra Institute of Technology Woden Campus Project and public transport interchange</w:t>
            </w:r>
            <w:r w:rsidR="00897636">
              <w:rPr>
                <w:rFonts w:ascii="Calibri" w:eastAsia="Calibri" w:hAnsi="Calibri" w:cs="Calibri"/>
                <w:color w:val="000000"/>
                <w:sz w:val="18"/>
                <w:vertAlign w:val="superscript"/>
                <w:lang w:eastAsia="en-US"/>
              </w:rPr>
              <w:t>5</w:t>
            </w:r>
          </w:p>
        </w:tc>
        <w:tc>
          <w:tcPr>
            <w:tcW w:w="840" w:type="dxa"/>
            <w:tcBorders>
              <w:top w:val="nil"/>
              <w:left w:val="nil"/>
              <w:bottom w:val="nil"/>
              <w:right w:val="nil"/>
              <w:tl2br w:val="nil"/>
              <w:tr2bl w:val="nil"/>
            </w:tcBorders>
            <w:noWrap/>
            <w:tcMar>
              <w:left w:w="40" w:type="dxa"/>
              <w:right w:w="40" w:type="dxa"/>
            </w:tcMar>
          </w:tcPr>
          <w:p w14:paraId="5ACB2019"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384,421</w:t>
            </w:r>
          </w:p>
        </w:tc>
        <w:tc>
          <w:tcPr>
            <w:tcW w:w="840" w:type="dxa"/>
            <w:tcBorders>
              <w:top w:val="nil"/>
              <w:left w:val="nil"/>
              <w:bottom w:val="nil"/>
              <w:right w:val="nil"/>
              <w:tl2br w:val="nil"/>
              <w:tr2bl w:val="nil"/>
            </w:tcBorders>
            <w:noWrap/>
            <w:tcMar>
              <w:left w:w="40" w:type="dxa"/>
              <w:right w:w="40" w:type="dxa"/>
            </w:tcMar>
          </w:tcPr>
          <w:p w14:paraId="3D9B392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17,000</w:t>
            </w:r>
          </w:p>
        </w:tc>
        <w:tc>
          <w:tcPr>
            <w:tcW w:w="840" w:type="dxa"/>
            <w:tcBorders>
              <w:top w:val="nil"/>
              <w:left w:val="nil"/>
              <w:bottom w:val="nil"/>
              <w:right w:val="nil"/>
              <w:tl2br w:val="nil"/>
              <w:tr2bl w:val="nil"/>
            </w:tcBorders>
            <w:noWrap/>
            <w:tcMar>
              <w:left w:w="40" w:type="dxa"/>
              <w:right w:w="40" w:type="dxa"/>
            </w:tcMar>
          </w:tcPr>
          <w:p w14:paraId="06EC270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2CA1B7D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5316A8D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2757417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17,000</w:t>
            </w:r>
          </w:p>
        </w:tc>
        <w:tc>
          <w:tcPr>
            <w:tcW w:w="1005" w:type="dxa"/>
            <w:tcBorders>
              <w:top w:val="nil"/>
              <w:left w:val="nil"/>
              <w:bottom w:val="nil"/>
              <w:right w:val="nil"/>
              <w:tl2br w:val="nil"/>
              <w:tr2bl w:val="nil"/>
            </w:tcBorders>
            <w:noWrap/>
            <w:tcMar>
              <w:left w:w="40" w:type="dxa"/>
              <w:right w:w="40" w:type="dxa"/>
            </w:tcMar>
          </w:tcPr>
          <w:p w14:paraId="5977C035"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DLP</w:t>
            </w:r>
          </w:p>
        </w:tc>
      </w:tr>
      <w:tr w:rsidR="00143C9C" w14:paraId="26D14C41"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985" w:type="dxa"/>
            <w:tcBorders>
              <w:top w:val="nil"/>
              <w:left w:val="nil"/>
              <w:bottom w:val="nil"/>
              <w:right w:val="nil"/>
              <w:tl2br w:val="nil"/>
              <w:tr2bl w:val="nil"/>
            </w:tcBorders>
            <w:tcMar>
              <w:left w:w="40" w:type="dxa"/>
              <w:right w:w="40" w:type="dxa"/>
            </w:tcMar>
          </w:tcPr>
          <w:p w14:paraId="716BB388" w14:textId="65242080"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Canberra Theatre Redevelopment – Delivering a new Lyric Theatre</w:t>
            </w:r>
          </w:p>
        </w:tc>
        <w:tc>
          <w:tcPr>
            <w:tcW w:w="840" w:type="dxa"/>
            <w:tcBorders>
              <w:top w:val="nil"/>
              <w:left w:val="nil"/>
              <w:bottom w:val="nil"/>
              <w:right w:val="nil"/>
              <w:tl2br w:val="nil"/>
              <w:tr2bl w:val="nil"/>
            </w:tcBorders>
            <w:noWrap/>
            <w:tcMar>
              <w:left w:w="40" w:type="dxa"/>
              <w:right w:w="40" w:type="dxa"/>
            </w:tcMar>
          </w:tcPr>
          <w:p w14:paraId="4BD3623D"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456,636</w:t>
            </w:r>
          </w:p>
        </w:tc>
        <w:tc>
          <w:tcPr>
            <w:tcW w:w="840" w:type="dxa"/>
            <w:tcBorders>
              <w:top w:val="nil"/>
              <w:left w:val="nil"/>
              <w:bottom w:val="nil"/>
              <w:right w:val="nil"/>
              <w:tl2br w:val="nil"/>
              <w:tr2bl w:val="nil"/>
            </w:tcBorders>
            <w:noWrap/>
            <w:tcMar>
              <w:left w:w="40" w:type="dxa"/>
              <w:right w:w="40" w:type="dxa"/>
            </w:tcMar>
          </w:tcPr>
          <w:p w14:paraId="076CA57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162,704</w:t>
            </w:r>
          </w:p>
        </w:tc>
        <w:tc>
          <w:tcPr>
            <w:tcW w:w="840" w:type="dxa"/>
            <w:tcBorders>
              <w:top w:val="nil"/>
              <w:left w:val="nil"/>
              <w:bottom w:val="nil"/>
              <w:right w:val="nil"/>
              <w:tl2br w:val="nil"/>
              <w:tr2bl w:val="nil"/>
            </w:tcBorders>
            <w:noWrap/>
            <w:tcMar>
              <w:left w:w="40" w:type="dxa"/>
              <w:right w:w="40" w:type="dxa"/>
            </w:tcMar>
          </w:tcPr>
          <w:p w14:paraId="6E15726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118,086</w:t>
            </w:r>
          </w:p>
        </w:tc>
        <w:tc>
          <w:tcPr>
            <w:tcW w:w="840" w:type="dxa"/>
            <w:tcBorders>
              <w:top w:val="nil"/>
              <w:left w:val="nil"/>
              <w:bottom w:val="nil"/>
              <w:right w:val="nil"/>
              <w:tl2br w:val="nil"/>
              <w:tr2bl w:val="nil"/>
            </w:tcBorders>
            <w:noWrap/>
            <w:tcMar>
              <w:left w:w="40" w:type="dxa"/>
              <w:right w:w="40" w:type="dxa"/>
            </w:tcMar>
          </w:tcPr>
          <w:p w14:paraId="47D2593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40,361</w:t>
            </w:r>
          </w:p>
        </w:tc>
        <w:tc>
          <w:tcPr>
            <w:tcW w:w="840" w:type="dxa"/>
            <w:tcBorders>
              <w:top w:val="nil"/>
              <w:left w:val="nil"/>
              <w:bottom w:val="nil"/>
              <w:right w:val="nil"/>
              <w:tl2br w:val="nil"/>
              <w:tr2bl w:val="nil"/>
            </w:tcBorders>
            <w:noWrap/>
            <w:tcMar>
              <w:left w:w="40" w:type="dxa"/>
              <w:right w:w="40" w:type="dxa"/>
            </w:tcMar>
          </w:tcPr>
          <w:p w14:paraId="6BB4982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0A3EB4F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321,151</w:t>
            </w:r>
          </w:p>
        </w:tc>
        <w:tc>
          <w:tcPr>
            <w:tcW w:w="1005" w:type="dxa"/>
            <w:tcBorders>
              <w:top w:val="nil"/>
              <w:left w:val="nil"/>
              <w:bottom w:val="nil"/>
              <w:right w:val="nil"/>
              <w:tl2br w:val="nil"/>
              <w:tr2bl w:val="nil"/>
            </w:tcBorders>
            <w:noWrap/>
            <w:tcMar>
              <w:left w:w="40" w:type="dxa"/>
              <w:right w:w="40" w:type="dxa"/>
            </w:tcMar>
          </w:tcPr>
          <w:p w14:paraId="22B2220F"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Jul-28</w:t>
            </w:r>
          </w:p>
        </w:tc>
      </w:tr>
      <w:tr w:rsidR="00143C9C" w14:paraId="271FBD39"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985" w:type="dxa"/>
            <w:tcBorders>
              <w:top w:val="nil"/>
              <w:left w:val="nil"/>
              <w:bottom w:val="nil"/>
              <w:right w:val="nil"/>
              <w:tl2br w:val="nil"/>
              <w:tr2bl w:val="nil"/>
            </w:tcBorders>
            <w:tcMar>
              <w:left w:w="40" w:type="dxa"/>
              <w:right w:w="40" w:type="dxa"/>
            </w:tcMar>
          </w:tcPr>
          <w:p w14:paraId="466712EF"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Climate action – Continuing the Electrification of Government Assets</w:t>
            </w:r>
          </w:p>
        </w:tc>
        <w:tc>
          <w:tcPr>
            <w:tcW w:w="840" w:type="dxa"/>
            <w:tcBorders>
              <w:top w:val="nil"/>
              <w:left w:val="nil"/>
              <w:bottom w:val="nil"/>
              <w:right w:val="nil"/>
              <w:tl2br w:val="nil"/>
              <w:tr2bl w:val="nil"/>
            </w:tcBorders>
            <w:noWrap/>
            <w:tcMar>
              <w:left w:w="0" w:type="dxa"/>
              <w:right w:w="0" w:type="dxa"/>
            </w:tcMar>
          </w:tcPr>
          <w:p w14:paraId="7B4E32F0" w14:textId="5E03B5CD" w:rsidR="00143C9C" w:rsidRDefault="001E1F13">
            <w:pPr>
              <w:jc w:val="center"/>
              <w:rPr>
                <w:rFonts w:eastAsia="Calibri" w:cs="Calibri"/>
                <w:b/>
                <w:color w:val="000000"/>
              </w:rPr>
            </w:pPr>
            <w:r w:rsidRPr="00365268">
              <w:rPr>
                <w:rFonts w:ascii="Calibri" w:eastAsia="Calibri" w:hAnsi="Calibri" w:cs="Calibri"/>
                <w:b/>
                <w:color w:val="000000"/>
                <w:sz w:val="18"/>
              </w:rPr>
              <w:t>Ongoing</w:t>
            </w:r>
          </w:p>
        </w:tc>
        <w:tc>
          <w:tcPr>
            <w:tcW w:w="840" w:type="dxa"/>
            <w:tcBorders>
              <w:top w:val="nil"/>
              <w:left w:val="nil"/>
              <w:bottom w:val="nil"/>
              <w:right w:val="nil"/>
              <w:tl2br w:val="nil"/>
              <w:tr2bl w:val="nil"/>
            </w:tcBorders>
            <w:noWrap/>
            <w:tcMar>
              <w:left w:w="40" w:type="dxa"/>
              <w:right w:w="40" w:type="dxa"/>
            </w:tcMar>
          </w:tcPr>
          <w:p w14:paraId="0205126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9,189</w:t>
            </w:r>
          </w:p>
        </w:tc>
        <w:tc>
          <w:tcPr>
            <w:tcW w:w="840" w:type="dxa"/>
            <w:tcBorders>
              <w:top w:val="nil"/>
              <w:left w:val="nil"/>
              <w:bottom w:val="nil"/>
              <w:right w:val="nil"/>
              <w:tl2br w:val="nil"/>
              <w:tr2bl w:val="nil"/>
            </w:tcBorders>
            <w:noWrap/>
            <w:tcMar>
              <w:left w:w="40" w:type="dxa"/>
              <w:right w:w="40" w:type="dxa"/>
            </w:tcMar>
          </w:tcPr>
          <w:p w14:paraId="179FE4F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10,000</w:t>
            </w:r>
          </w:p>
        </w:tc>
        <w:tc>
          <w:tcPr>
            <w:tcW w:w="840" w:type="dxa"/>
            <w:tcBorders>
              <w:top w:val="nil"/>
              <w:left w:val="nil"/>
              <w:bottom w:val="nil"/>
              <w:right w:val="nil"/>
              <w:tl2br w:val="nil"/>
              <w:tr2bl w:val="nil"/>
            </w:tcBorders>
            <w:noWrap/>
            <w:tcMar>
              <w:left w:w="40" w:type="dxa"/>
              <w:right w:w="40" w:type="dxa"/>
            </w:tcMar>
          </w:tcPr>
          <w:p w14:paraId="6C1EBE2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7270DAE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6E8A540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19,189</w:t>
            </w:r>
          </w:p>
        </w:tc>
        <w:tc>
          <w:tcPr>
            <w:tcW w:w="1005" w:type="dxa"/>
            <w:tcBorders>
              <w:top w:val="nil"/>
              <w:left w:val="nil"/>
              <w:bottom w:val="nil"/>
              <w:right w:val="nil"/>
              <w:tl2br w:val="nil"/>
              <w:tr2bl w:val="nil"/>
            </w:tcBorders>
            <w:noWrap/>
            <w:tcMar>
              <w:left w:w="40" w:type="dxa"/>
              <w:right w:w="40" w:type="dxa"/>
            </w:tcMar>
          </w:tcPr>
          <w:p w14:paraId="4BC6DD2C"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Ongoing</w:t>
            </w:r>
          </w:p>
        </w:tc>
      </w:tr>
      <w:tr w:rsidR="00143C9C" w14:paraId="299ACECF"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985" w:type="dxa"/>
            <w:tcBorders>
              <w:top w:val="nil"/>
              <w:left w:val="nil"/>
              <w:bottom w:val="nil"/>
              <w:right w:val="nil"/>
              <w:tl2br w:val="nil"/>
              <w:tr2bl w:val="nil"/>
            </w:tcBorders>
            <w:tcMar>
              <w:left w:w="40" w:type="dxa"/>
              <w:right w:w="40" w:type="dxa"/>
            </w:tcMar>
          </w:tcPr>
          <w:p w14:paraId="07AAFE31"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Climate action – Moving more government facilities off gas</w:t>
            </w:r>
          </w:p>
        </w:tc>
        <w:tc>
          <w:tcPr>
            <w:tcW w:w="840" w:type="dxa"/>
            <w:tcBorders>
              <w:top w:val="nil"/>
              <w:left w:val="nil"/>
              <w:bottom w:val="nil"/>
              <w:right w:val="nil"/>
              <w:tl2br w:val="nil"/>
              <w:tr2bl w:val="nil"/>
            </w:tcBorders>
            <w:noWrap/>
            <w:tcMar>
              <w:left w:w="40" w:type="dxa"/>
              <w:right w:w="40" w:type="dxa"/>
            </w:tcMar>
          </w:tcPr>
          <w:p w14:paraId="45E6400B"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6,900</w:t>
            </w:r>
          </w:p>
        </w:tc>
        <w:tc>
          <w:tcPr>
            <w:tcW w:w="840" w:type="dxa"/>
            <w:tcBorders>
              <w:top w:val="nil"/>
              <w:left w:val="nil"/>
              <w:bottom w:val="nil"/>
              <w:right w:val="nil"/>
              <w:tl2br w:val="nil"/>
              <w:tr2bl w:val="nil"/>
            </w:tcBorders>
            <w:noWrap/>
            <w:tcMar>
              <w:left w:w="40" w:type="dxa"/>
              <w:right w:w="40" w:type="dxa"/>
            </w:tcMar>
          </w:tcPr>
          <w:p w14:paraId="2D33C03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1,425</w:t>
            </w:r>
          </w:p>
        </w:tc>
        <w:tc>
          <w:tcPr>
            <w:tcW w:w="840" w:type="dxa"/>
            <w:tcBorders>
              <w:top w:val="nil"/>
              <w:left w:val="nil"/>
              <w:bottom w:val="nil"/>
              <w:right w:val="nil"/>
              <w:tl2br w:val="nil"/>
              <w:tr2bl w:val="nil"/>
            </w:tcBorders>
            <w:noWrap/>
            <w:tcMar>
              <w:left w:w="40" w:type="dxa"/>
              <w:right w:w="40" w:type="dxa"/>
            </w:tcMar>
          </w:tcPr>
          <w:p w14:paraId="3561A5C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7E213B5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5BEEBBC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70A73B5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1,425</w:t>
            </w:r>
          </w:p>
        </w:tc>
        <w:tc>
          <w:tcPr>
            <w:tcW w:w="1005" w:type="dxa"/>
            <w:tcBorders>
              <w:top w:val="nil"/>
              <w:left w:val="nil"/>
              <w:bottom w:val="nil"/>
              <w:right w:val="nil"/>
              <w:tl2br w:val="nil"/>
              <w:tr2bl w:val="nil"/>
            </w:tcBorders>
            <w:noWrap/>
            <w:tcMar>
              <w:left w:w="40" w:type="dxa"/>
              <w:right w:w="40" w:type="dxa"/>
            </w:tcMar>
          </w:tcPr>
          <w:p w14:paraId="5A9BE486"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Jun-27</w:t>
            </w:r>
          </w:p>
        </w:tc>
      </w:tr>
      <w:tr w:rsidR="00143C9C" w14:paraId="37744596"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985" w:type="dxa"/>
            <w:tcBorders>
              <w:top w:val="nil"/>
              <w:left w:val="nil"/>
              <w:bottom w:val="nil"/>
              <w:right w:val="nil"/>
              <w:tl2br w:val="nil"/>
              <w:tr2bl w:val="nil"/>
            </w:tcBorders>
            <w:tcMar>
              <w:left w:w="40" w:type="dxa"/>
              <w:right w:w="40" w:type="dxa"/>
            </w:tcMar>
          </w:tcPr>
          <w:p w14:paraId="32FCA4C8" w14:textId="372A1994"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lastRenderedPageBreak/>
              <w:t>Connected and sustainable Canberra – Constructing the William Hovell Drive duplication</w:t>
            </w:r>
          </w:p>
        </w:tc>
        <w:tc>
          <w:tcPr>
            <w:tcW w:w="840" w:type="dxa"/>
            <w:tcBorders>
              <w:top w:val="nil"/>
              <w:left w:val="nil"/>
              <w:bottom w:val="nil"/>
              <w:right w:val="nil"/>
              <w:tl2br w:val="nil"/>
              <w:tr2bl w:val="nil"/>
            </w:tcBorders>
            <w:noWrap/>
            <w:tcMar>
              <w:left w:w="40" w:type="dxa"/>
              <w:right w:w="40" w:type="dxa"/>
            </w:tcMar>
          </w:tcPr>
          <w:p w14:paraId="214A4E5F"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107,250</w:t>
            </w:r>
          </w:p>
        </w:tc>
        <w:tc>
          <w:tcPr>
            <w:tcW w:w="840" w:type="dxa"/>
            <w:tcBorders>
              <w:top w:val="nil"/>
              <w:left w:val="nil"/>
              <w:bottom w:val="nil"/>
              <w:right w:val="nil"/>
              <w:tl2br w:val="nil"/>
              <w:tr2bl w:val="nil"/>
            </w:tcBorders>
            <w:noWrap/>
            <w:tcMar>
              <w:left w:w="40" w:type="dxa"/>
              <w:right w:w="40" w:type="dxa"/>
            </w:tcMar>
          </w:tcPr>
          <w:p w14:paraId="3AAD517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35,785</w:t>
            </w:r>
          </w:p>
        </w:tc>
        <w:tc>
          <w:tcPr>
            <w:tcW w:w="840" w:type="dxa"/>
            <w:tcBorders>
              <w:top w:val="nil"/>
              <w:left w:val="nil"/>
              <w:bottom w:val="nil"/>
              <w:right w:val="nil"/>
              <w:tl2br w:val="nil"/>
              <w:tr2bl w:val="nil"/>
            </w:tcBorders>
            <w:noWrap/>
            <w:tcMar>
              <w:left w:w="40" w:type="dxa"/>
              <w:right w:w="40" w:type="dxa"/>
            </w:tcMar>
          </w:tcPr>
          <w:p w14:paraId="261A98C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42,695</w:t>
            </w:r>
          </w:p>
        </w:tc>
        <w:tc>
          <w:tcPr>
            <w:tcW w:w="840" w:type="dxa"/>
            <w:tcBorders>
              <w:top w:val="nil"/>
              <w:left w:val="nil"/>
              <w:bottom w:val="nil"/>
              <w:right w:val="nil"/>
              <w:tl2br w:val="nil"/>
              <w:tr2bl w:val="nil"/>
            </w:tcBorders>
            <w:noWrap/>
            <w:tcMar>
              <w:left w:w="40" w:type="dxa"/>
              <w:right w:w="40" w:type="dxa"/>
            </w:tcMar>
          </w:tcPr>
          <w:p w14:paraId="656492C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13,561</w:t>
            </w:r>
          </w:p>
        </w:tc>
        <w:tc>
          <w:tcPr>
            <w:tcW w:w="840" w:type="dxa"/>
            <w:tcBorders>
              <w:top w:val="nil"/>
              <w:left w:val="nil"/>
              <w:bottom w:val="nil"/>
              <w:right w:val="nil"/>
              <w:tl2br w:val="nil"/>
              <w:tr2bl w:val="nil"/>
            </w:tcBorders>
            <w:noWrap/>
            <w:tcMar>
              <w:left w:w="40" w:type="dxa"/>
              <w:right w:w="40" w:type="dxa"/>
            </w:tcMar>
          </w:tcPr>
          <w:p w14:paraId="5E60309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2B33F4B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92,041</w:t>
            </w:r>
          </w:p>
        </w:tc>
        <w:tc>
          <w:tcPr>
            <w:tcW w:w="1005" w:type="dxa"/>
            <w:tcBorders>
              <w:top w:val="nil"/>
              <w:left w:val="nil"/>
              <w:bottom w:val="nil"/>
              <w:right w:val="nil"/>
              <w:tl2br w:val="nil"/>
              <w:tr2bl w:val="nil"/>
            </w:tcBorders>
            <w:noWrap/>
            <w:tcMar>
              <w:left w:w="40" w:type="dxa"/>
              <w:right w:w="40" w:type="dxa"/>
            </w:tcMar>
          </w:tcPr>
          <w:p w14:paraId="033F88EB"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Dec-28</w:t>
            </w:r>
          </w:p>
        </w:tc>
      </w:tr>
      <w:tr w:rsidR="00143C9C" w14:paraId="5337963F"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985" w:type="dxa"/>
            <w:tcBorders>
              <w:top w:val="nil"/>
              <w:left w:val="nil"/>
              <w:bottom w:val="nil"/>
              <w:right w:val="nil"/>
              <w:tl2br w:val="nil"/>
              <w:tr2bl w:val="nil"/>
            </w:tcBorders>
            <w:tcMar>
              <w:left w:w="40" w:type="dxa"/>
              <w:right w:w="40" w:type="dxa"/>
            </w:tcMar>
          </w:tcPr>
          <w:p w14:paraId="029E5767" w14:textId="436F831A"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Connected and sustainable Canberra – Monaro Highway upgrades</w:t>
            </w:r>
            <w:r w:rsidR="00897636">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0F8BAE9D" w14:textId="7CDEED1D" w:rsidR="00143C9C" w:rsidRDefault="0007764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c>
          <w:tcPr>
            <w:tcW w:w="840" w:type="dxa"/>
            <w:tcBorders>
              <w:top w:val="nil"/>
              <w:left w:val="nil"/>
              <w:bottom w:val="nil"/>
              <w:right w:val="nil"/>
              <w:tl2br w:val="nil"/>
              <w:tr2bl w:val="nil"/>
            </w:tcBorders>
            <w:noWrap/>
            <w:tcMar>
              <w:left w:w="40" w:type="dxa"/>
              <w:right w:w="40" w:type="dxa"/>
            </w:tcMar>
          </w:tcPr>
          <w:p w14:paraId="7CB6663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88,477</w:t>
            </w:r>
          </w:p>
        </w:tc>
        <w:tc>
          <w:tcPr>
            <w:tcW w:w="840" w:type="dxa"/>
            <w:tcBorders>
              <w:top w:val="nil"/>
              <w:left w:val="nil"/>
              <w:bottom w:val="nil"/>
              <w:right w:val="nil"/>
              <w:tl2br w:val="nil"/>
              <w:tr2bl w:val="nil"/>
            </w:tcBorders>
            <w:noWrap/>
            <w:tcMar>
              <w:left w:w="40" w:type="dxa"/>
              <w:right w:w="40" w:type="dxa"/>
            </w:tcMar>
          </w:tcPr>
          <w:p w14:paraId="7C7D6BF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6,070</w:t>
            </w:r>
          </w:p>
        </w:tc>
        <w:tc>
          <w:tcPr>
            <w:tcW w:w="840" w:type="dxa"/>
            <w:tcBorders>
              <w:top w:val="nil"/>
              <w:left w:val="nil"/>
              <w:bottom w:val="nil"/>
              <w:right w:val="nil"/>
              <w:tl2br w:val="nil"/>
              <w:tr2bl w:val="nil"/>
            </w:tcBorders>
            <w:noWrap/>
            <w:tcMar>
              <w:left w:w="40" w:type="dxa"/>
              <w:right w:w="40" w:type="dxa"/>
            </w:tcMar>
          </w:tcPr>
          <w:p w14:paraId="72A4680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373</w:t>
            </w:r>
          </w:p>
        </w:tc>
        <w:tc>
          <w:tcPr>
            <w:tcW w:w="840" w:type="dxa"/>
            <w:tcBorders>
              <w:top w:val="nil"/>
              <w:left w:val="nil"/>
              <w:bottom w:val="nil"/>
              <w:right w:val="nil"/>
              <w:tl2br w:val="nil"/>
              <w:tr2bl w:val="nil"/>
            </w:tcBorders>
            <w:noWrap/>
            <w:tcMar>
              <w:left w:w="40" w:type="dxa"/>
              <w:right w:w="40" w:type="dxa"/>
            </w:tcMar>
          </w:tcPr>
          <w:p w14:paraId="2836D6E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12,411</w:t>
            </w:r>
          </w:p>
        </w:tc>
        <w:tc>
          <w:tcPr>
            <w:tcW w:w="945" w:type="dxa"/>
            <w:tcBorders>
              <w:top w:val="nil"/>
              <w:left w:val="nil"/>
              <w:bottom w:val="nil"/>
              <w:right w:val="nil"/>
              <w:tl2br w:val="nil"/>
              <w:tr2bl w:val="nil"/>
            </w:tcBorders>
            <w:noWrap/>
            <w:tcMar>
              <w:left w:w="40" w:type="dxa"/>
              <w:right w:w="40" w:type="dxa"/>
            </w:tcMar>
          </w:tcPr>
          <w:p w14:paraId="5ADEAB4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107,331</w:t>
            </w:r>
          </w:p>
        </w:tc>
        <w:tc>
          <w:tcPr>
            <w:tcW w:w="1005" w:type="dxa"/>
            <w:tcBorders>
              <w:top w:val="nil"/>
              <w:left w:val="nil"/>
              <w:bottom w:val="nil"/>
              <w:right w:val="nil"/>
              <w:tl2br w:val="nil"/>
              <w:tr2bl w:val="nil"/>
            </w:tcBorders>
            <w:noWrap/>
            <w:tcMar>
              <w:left w:w="40" w:type="dxa"/>
              <w:right w:w="40" w:type="dxa"/>
            </w:tcMar>
          </w:tcPr>
          <w:p w14:paraId="2B5E1425"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r>
      <w:tr w:rsidR="00B95A00" w14:paraId="32A0A59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985" w:type="dxa"/>
            <w:tcBorders>
              <w:top w:val="nil"/>
              <w:left w:val="nil"/>
              <w:bottom w:val="nil"/>
              <w:right w:val="nil"/>
              <w:tl2br w:val="nil"/>
              <w:tr2bl w:val="nil"/>
            </w:tcBorders>
            <w:tcMar>
              <w:left w:w="40" w:type="dxa"/>
              <w:right w:w="40" w:type="dxa"/>
            </w:tcMar>
          </w:tcPr>
          <w:p w14:paraId="4D3ABA92" w14:textId="436AF45D" w:rsidR="00B95A00" w:rsidRPr="00BF7989" w:rsidRDefault="00B95A00" w:rsidP="00B95A00">
            <w:pPr>
              <w:pBdr>
                <w:top w:val="nil"/>
                <w:left w:val="nil"/>
                <w:bottom w:val="nil"/>
                <w:right w:val="nil"/>
                <w:between w:val="nil"/>
                <w:bar w:val="nil"/>
              </w:pBdr>
              <w:ind w:left="170" w:hanging="170"/>
              <w:rPr>
                <w:rFonts w:ascii="Calibri" w:eastAsia="Calibri" w:hAnsi="Calibri" w:cs="Calibri"/>
                <w:color w:val="000000"/>
                <w:sz w:val="18"/>
                <w:highlight w:val="yellow"/>
              </w:rPr>
            </w:pPr>
            <w:r>
              <w:rPr>
                <w:rFonts w:ascii="Calibri" w:eastAsia="Calibri" w:hAnsi="Calibri" w:cs="Calibri"/>
                <w:color w:val="000000"/>
                <w:sz w:val="18"/>
                <w:lang w:eastAsia="en-US"/>
              </w:rPr>
              <w:t>Delivering a second public college for Gungahlin</w:t>
            </w:r>
            <w:r>
              <w:rPr>
                <w:rFonts w:ascii="Calibri" w:eastAsia="Calibri" w:hAnsi="Calibri" w:cs="Calibri"/>
                <w:color w:val="000000"/>
                <w:sz w:val="18"/>
                <w:vertAlign w:val="superscript"/>
                <w:lang w:eastAsia="en-US"/>
              </w:rPr>
              <w:t>2</w:t>
            </w:r>
          </w:p>
        </w:tc>
        <w:tc>
          <w:tcPr>
            <w:tcW w:w="840" w:type="dxa"/>
            <w:tcBorders>
              <w:top w:val="nil"/>
              <w:left w:val="nil"/>
              <w:bottom w:val="nil"/>
              <w:right w:val="nil"/>
              <w:tl2br w:val="nil"/>
              <w:tr2bl w:val="nil"/>
            </w:tcBorders>
            <w:noWrap/>
            <w:tcMar>
              <w:left w:w="40" w:type="dxa"/>
              <w:right w:w="40" w:type="dxa"/>
            </w:tcMar>
          </w:tcPr>
          <w:p w14:paraId="611460BB" w14:textId="223F63F4" w:rsidR="00B95A00" w:rsidRPr="00BF7989" w:rsidRDefault="00B95A00" w:rsidP="00B95A00">
            <w:pPr>
              <w:pBdr>
                <w:top w:val="nil"/>
                <w:left w:val="nil"/>
                <w:bottom w:val="nil"/>
                <w:right w:val="nil"/>
                <w:between w:val="nil"/>
                <w:bar w:val="nil"/>
              </w:pBdr>
              <w:jc w:val="center"/>
              <w:rPr>
                <w:rFonts w:ascii="Calibri" w:eastAsia="Calibri" w:hAnsi="Calibri" w:cs="Calibri"/>
                <w:b/>
                <w:color w:val="000000"/>
                <w:sz w:val="18"/>
                <w:highlight w:val="yellow"/>
              </w:rPr>
            </w:pPr>
            <w:r>
              <w:rPr>
                <w:rFonts w:ascii="Calibri" w:eastAsia="Calibri" w:hAnsi="Calibri" w:cs="Calibri"/>
                <w:b/>
                <w:color w:val="000000"/>
                <w:sz w:val="18"/>
                <w:lang w:eastAsia="en-US"/>
              </w:rPr>
              <w:t>125,511</w:t>
            </w:r>
          </w:p>
        </w:tc>
        <w:tc>
          <w:tcPr>
            <w:tcW w:w="840" w:type="dxa"/>
            <w:tcBorders>
              <w:top w:val="nil"/>
              <w:left w:val="nil"/>
              <w:bottom w:val="nil"/>
              <w:right w:val="nil"/>
              <w:tl2br w:val="nil"/>
              <w:tr2bl w:val="nil"/>
            </w:tcBorders>
            <w:noWrap/>
            <w:tcMar>
              <w:left w:w="40" w:type="dxa"/>
              <w:right w:w="40" w:type="dxa"/>
            </w:tcMar>
          </w:tcPr>
          <w:p w14:paraId="65CFE323" w14:textId="5E00E4FC" w:rsidR="00B95A00" w:rsidRPr="00BF7989" w:rsidRDefault="00B95A00" w:rsidP="00B95A00">
            <w:pPr>
              <w:pBdr>
                <w:top w:val="nil"/>
                <w:left w:val="nil"/>
                <w:bottom w:val="nil"/>
                <w:right w:val="nil"/>
                <w:between w:val="nil"/>
                <w:bar w:val="nil"/>
              </w:pBdr>
              <w:jc w:val="right"/>
              <w:rPr>
                <w:rFonts w:ascii="Calibri" w:eastAsia="Calibri" w:hAnsi="Calibri" w:cs="Calibri"/>
                <w:color w:val="000000"/>
                <w:sz w:val="18"/>
                <w:highlight w:val="yellow"/>
              </w:rPr>
            </w:pPr>
            <w:r>
              <w:rPr>
                <w:rFonts w:ascii="Calibri" w:eastAsia="Calibri" w:hAnsi="Calibri" w:cs="Calibri"/>
                <w:color w:val="000000"/>
                <w:sz w:val="18"/>
                <w:lang w:eastAsia="en-US"/>
              </w:rPr>
              <w:t>47,067</w:t>
            </w:r>
          </w:p>
        </w:tc>
        <w:tc>
          <w:tcPr>
            <w:tcW w:w="840" w:type="dxa"/>
            <w:tcBorders>
              <w:top w:val="nil"/>
              <w:left w:val="nil"/>
              <w:bottom w:val="nil"/>
              <w:right w:val="nil"/>
              <w:tl2br w:val="nil"/>
              <w:tr2bl w:val="nil"/>
            </w:tcBorders>
            <w:noWrap/>
            <w:tcMar>
              <w:left w:w="40" w:type="dxa"/>
              <w:right w:w="40" w:type="dxa"/>
            </w:tcMar>
          </w:tcPr>
          <w:p w14:paraId="7349A38F" w14:textId="14B69EEA" w:rsidR="00B95A00" w:rsidRPr="00BF7989" w:rsidRDefault="00B95A00" w:rsidP="00B95A00">
            <w:pPr>
              <w:pBdr>
                <w:top w:val="nil"/>
                <w:left w:val="nil"/>
                <w:bottom w:val="nil"/>
                <w:right w:val="nil"/>
                <w:between w:val="nil"/>
                <w:bar w:val="nil"/>
              </w:pBdr>
              <w:jc w:val="right"/>
              <w:rPr>
                <w:rFonts w:ascii="Calibri" w:eastAsia="Calibri" w:hAnsi="Calibri" w:cs="Calibri"/>
                <w:color w:val="000000"/>
                <w:sz w:val="18"/>
                <w:highlight w:val="yellow"/>
              </w:rPr>
            </w:pPr>
            <w:r>
              <w:rPr>
                <w:rFonts w:ascii="Calibri" w:eastAsia="Calibri" w:hAnsi="Calibri" w:cs="Calibri"/>
                <w:color w:val="000000"/>
                <w:sz w:val="18"/>
                <w:lang w:eastAsia="en-US"/>
              </w:rPr>
              <w:t>52,112</w:t>
            </w:r>
          </w:p>
        </w:tc>
        <w:tc>
          <w:tcPr>
            <w:tcW w:w="840" w:type="dxa"/>
            <w:tcBorders>
              <w:top w:val="nil"/>
              <w:left w:val="nil"/>
              <w:bottom w:val="nil"/>
              <w:right w:val="nil"/>
              <w:tl2br w:val="nil"/>
              <w:tr2bl w:val="nil"/>
            </w:tcBorders>
            <w:noWrap/>
            <w:tcMar>
              <w:left w:w="40" w:type="dxa"/>
              <w:right w:w="40" w:type="dxa"/>
            </w:tcMar>
          </w:tcPr>
          <w:p w14:paraId="6B1489BA" w14:textId="0A436C9A" w:rsidR="00B95A00" w:rsidRPr="00BF7989" w:rsidRDefault="00B95A00" w:rsidP="00B95A00">
            <w:pPr>
              <w:pBdr>
                <w:top w:val="nil"/>
                <w:left w:val="nil"/>
                <w:bottom w:val="nil"/>
                <w:right w:val="nil"/>
                <w:between w:val="nil"/>
                <w:bar w:val="nil"/>
              </w:pBdr>
              <w:jc w:val="right"/>
              <w:rPr>
                <w:rFonts w:ascii="Calibri" w:eastAsia="Calibri" w:hAnsi="Calibri" w:cs="Calibri"/>
                <w:color w:val="000000"/>
                <w:sz w:val="18"/>
                <w:highlight w:val="yellow"/>
              </w:rPr>
            </w:pPr>
            <w:r>
              <w:rPr>
                <w:rFonts w:ascii="Calibri" w:eastAsia="Calibri" w:hAnsi="Calibri" w:cs="Calibri"/>
                <w:color w:val="000000"/>
                <w:sz w:val="18"/>
                <w:lang w:eastAsia="en-US"/>
              </w:rPr>
              <w:t>3,500</w:t>
            </w:r>
          </w:p>
        </w:tc>
        <w:tc>
          <w:tcPr>
            <w:tcW w:w="840" w:type="dxa"/>
            <w:tcBorders>
              <w:top w:val="nil"/>
              <w:left w:val="nil"/>
              <w:bottom w:val="nil"/>
              <w:right w:val="nil"/>
              <w:tl2br w:val="nil"/>
              <w:tr2bl w:val="nil"/>
            </w:tcBorders>
            <w:noWrap/>
            <w:tcMar>
              <w:left w:w="40" w:type="dxa"/>
              <w:right w:w="40" w:type="dxa"/>
            </w:tcMar>
          </w:tcPr>
          <w:p w14:paraId="0DF48A40" w14:textId="318889F1" w:rsidR="00B95A00" w:rsidRPr="00BF7989" w:rsidRDefault="00B95A00" w:rsidP="00B95A00">
            <w:pPr>
              <w:pBdr>
                <w:top w:val="nil"/>
                <w:left w:val="nil"/>
                <w:bottom w:val="nil"/>
                <w:right w:val="nil"/>
                <w:between w:val="nil"/>
                <w:bar w:val="nil"/>
              </w:pBdr>
              <w:jc w:val="right"/>
              <w:rPr>
                <w:rFonts w:ascii="Calibri" w:eastAsia="Calibri" w:hAnsi="Calibri" w:cs="Calibri"/>
                <w:color w:val="000000"/>
                <w:sz w:val="18"/>
                <w:highlight w:val="yellow"/>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79687F74" w14:textId="2561829C" w:rsidR="00B95A00" w:rsidRPr="00BF7989" w:rsidRDefault="00B95A00" w:rsidP="00B95A00">
            <w:pPr>
              <w:pBdr>
                <w:top w:val="nil"/>
                <w:left w:val="nil"/>
                <w:bottom w:val="nil"/>
                <w:right w:val="nil"/>
                <w:between w:val="nil"/>
                <w:bar w:val="nil"/>
              </w:pBdr>
              <w:jc w:val="right"/>
              <w:rPr>
                <w:rFonts w:ascii="Calibri" w:eastAsia="Calibri" w:hAnsi="Calibri" w:cs="Calibri"/>
                <w:color w:val="000000"/>
                <w:sz w:val="18"/>
                <w:highlight w:val="yellow"/>
              </w:rPr>
            </w:pPr>
            <w:r>
              <w:rPr>
                <w:rFonts w:ascii="Calibri" w:eastAsia="Calibri" w:hAnsi="Calibri" w:cs="Calibri"/>
                <w:color w:val="000000"/>
                <w:sz w:val="18"/>
                <w:lang w:eastAsia="en-US"/>
              </w:rPr>
              <w:t>102,679</w:t>
            </w:r>
          </w:p>
        </w:tc>
        <w:tc>
          <w:tcPr>
            <w:tcW w:w="1005" w:type="dxa"/>
            <w:tcBorders>
              <w:top w:val="nil"/>
              <w:left w:val="nil"/>
              <w:bottom w:val="nil"/>
              <w:right w:val="nil"/>
              <w:tl2br w:val="nil"/>
              <w:tr2bl w:val="nil"/>
            </w:tcBorders>
            <w:noWrap/>
            <w:tcMar>
              <w:left w:w="40" w:type="dxa"/>
              <w:right w:w="40" w:type="dxa"/>
            </w:tcMar>
          </w:tcPr>
          <w:p w14:paraId="38EE8CE9" w14:textId="2AD0A9E3" w:rsidR="00B95A00" w:rsidRPr="00BF7989" w:rsidRDefault="00B95A00" w:rsidP="00B95A00">
            <w:pPr>
              <w:pBdr>
                <w:top w:val="nil"/>
                <w:left w:val="nil"/>
                <w:bottom w:val="nil"/>
                <w:right w:val="nil"/>
                <w:between w:val="nil"/>
                <w:bar w:val="nil"/>
              </w:pBdr>
              <w:jc w:val="center"/>
              <w:rPr>
                <w:rFonts w:ascii="Calibri" w:eastAsia="Calibri" w:hAnsi="Calibri" w:cs="Calibri"/>
                <w:b/>
                <w:color w:val="000000"/>
                <w:sz w:val="18"/>
                <w:highlight w:val="yellow"/>
              </w:rPr>
            </w:pPr>
            <w:r>
              <w:rPr>
                <w:rFonts w:ascii="Calibri" w:eastAsia="Calibri" w:hAnsi="Calibri" w:cs="Calibri"/>
                <w:b/>
                <w:color w:val="000000"/>
                <w:sz w:val="18"/>
                <w:lang w:eastAsia="en-US"/>
              </w:rPr>
              <w:t>Dec-28</w:t>
            </w:r>
          </w:p>
        </w:tc>
      </w:tr>
      <w:tr w:rsidR="00B95A00" w14:paraId="4A8053A8" w14:textId="77777777" w:rsidTr="00B95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2985" w:type="dxa"/>
            <w:tcBorders>
              <w:top w:val="nil"/>
              <w:left w:val="nil"/>
              <w:bottom w:val="nil"/>
              <w:right w:val="nil"/>
              <w:tl2br w:val="nil"/>
              <w:tr2bl w:val="nil"/>
            </w:tcBorders>
            <w:tcMar>
              <w:left w:w="40" w:type="dxa"/>
              <w:right w:w="40" w:type="dxa"/>
            </w:tcMar>
          </w:tcPr>
          <w:p w14:paraId="18D32272" w14:textId="227D2E69" w:rsidR="00B95A00" w:rsidRPr="00B95A00" w:rsidRDefault="00B95A00" w:rsidP="00B95A00">
            <w:pPr>
              <w:pBdr>
                <w:top w:val="nil"/>
                <w:left w:val="nil"/>
                <w:bottom w:val="nil"/>
                <w:right w:val="nil"/>
                <w:between w:val="nil"/>
                <w:bar w:val="nil"/>
              </w:pBdr>
              <w:ind w:left="170" w:hanging="170"/>
              <w:rPr>
                <w:rFonts w:ascii="Calibri" w:eastAsia="Calibri" w:hAnsi="Calibri" w:cs="Calibri"/>
                <w:color w:val="000000"/>
                <w:sz w:val="18"/>
              </w:rPr>
            </w:pPr>
            <w:r w:rsidRPr="00B95A00">
              <w:rPr>
                <w:rFonts w:ascii="Calibri" w:eastAsia="Calibri" w:hAnsi="Calibri" w:cs="Calibri"/>
                <w:color w:val="000000"/>
                <w:sz w:val="18"/>
                <w:lang w:eastAsia="en-US"/>
              </w:rPr>
              <w:t>Delivering Light Rail to Woden</w:t>
            </w:r>
            <w:r w:rsidRPr="00B95A00">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76DD3E9C" w14:textId="582F3795" w:rsidR="00B95A00" w:rsidRPr="00B95A00" w:rsidRDefault="00B95A00" w:rsidP="00B95A00">
            <w:pPr>
              <w:pBdr>
                <w:top w:val="nil"/>
                <w:left w:val="nil"/>
                <w:bottom w:val="nil"/>
                <w:right w:val="nil"/>
                <w:between w:val="nil"/>
                <w:bar w:val="nil"/>
              </w:pBdr>
              <w:jc w:val="center"/>
              <w:rPr>
                <w:rFonts w:ascii="Calibri" w:eastAsia="Calibri" w:hAnsi="Calibri" w:cs="Calibri"/>
                <w:b/>
                <w:color w:val="000000"/>
                <w:sz w:val="18"/>
              </w:rPr>
            </w:pPr>
            <w:r w:rsidRPr="00B95A00">
              <w:rPr>
                <w:rFonts w:ascii="Calibri" w:eastAsia="Calibri" w:hAnsi="Calibri" w:cs="Calibri"/>
                <w:b/>
                <w:color w:val="000000"/>
                <w:sz w:val="18"/>
                <w:lang w:eastAsia="en-US"/>
              </w:rPr>
              <w:t>TBD</w:t>
            </w:r>
          </w:p>
        </w:tc>
        <w:tc>
          <w:tcPr>
            <w:tcW w:w="840" w:type="dxa"/>
            <w:tcBorders>
              <w:top w:val="nil"/>
              <w:left w:val="nil"/>
              <w:bottom w:val="nil"/>
              <w:right w:val="nil"/>
              <w:tl2br w:val="nil"/>
              <w:tr2bl w:val="nil"/>
            </w:tcBorders>
            <w:noWrap/>
            <w:tcMar>
              <w:left w:w="40" w:type="dxa"/>
              <w:right w:w="40" w:type="dxa"/>
            </w:tcMar>
          </w:tcPr>
          <w:p w14:paraId="20B7E6A7" w14:textId="539B11D3" w:rsidR="00B95A00" w:rsidRPr="00B95A00" w:rsidRDefault="00B95A00" w:rsidP="00B95A00">
            <w:pPr>
              <w:pBdr>
                <w:top w:val="nil"/>
                <w:left w:val="nil"/>
                <w:bottom w:val="nil"/>
                <w:right w:val="nil"/>
                <w:between w:val="nil"/>
                <w:bar w:val="nil"/>
              </w:pBdr>
              <w:jc w:val="right"/>
              <w:rPr>
                <w:rFonts w:ascii="Calibri" w:eastAsia="Calibri" w:hAnsi="Calibri" w:cs="Calibri"/>
                <w:color w:val="000000"/>
                <w:sz w:val="18"/>
              </w:rPr>
            </w:pPr>
            <w:r w:rsidRPr="00B95A00">
              <w:rPr>
                <w:rFonts w:ascii="Calibri" w:eastAsia="Calibri" w:hAnsi="Calibri" w:cs="Calibri"/>
                <w:color w:val="000000"/>
                <w:sz w:val="18"/>
                <w:lang w:eastAsia="en-US"/>
              </w:rPr>
              <w:t>32,657</w:t>
            </w:r>
          </w:p>
        </w:tc>
        <w:tc>
          <w:tcPr>
            <w:tcW w:w="840" w:type="dxa"/>
            <w:tcBorders>
              <w:top w:val="nil"/>
              <w:left w:val="nil"/>
              <w:bottom w:val="nil"/>
              <w:right w:val="nil"/>
              <w:tl2br w:val="nil"/>
              <w:tr2bl w:val="nil"/>
            </w:tcBorders>
            <w:noWrap/>
            <w:tcMar>
              <w:left w:w="40" w:type="dxa"/>
              <w:right w:w="40" w:type="dxa"/>
            </w:tcMar>
          </w:tcPr>
          <w:p w14:paraId="4A18516F" w14:textId="51B35F7F" w:rsidR="00B95A00" w:rsidRPr="00B95A00" w:rsidRDefault="00B95A00" w:rsidP="00B95A00">
            <w:pPr>
              <w:pBdr>
                <w:top w:val="nil"/>
                <w:left w:val="nil"/>
                <w:bottom w:val="nil"/>
                <w:right w:val="nil"/>
                <w:between w:val="nil"/>
                <w:bar w:val="nil"/>
              </w:pBdr>
              <w:jc w:val="right"/>
              <w:rPr>
                <w:rFonts w:ascii="Calibri" w:eastAsia="Calibri" w:hAnsi="Calibri" w:cs="Calibri"/>
                <w:color w:val="000000"/>
                <w:sz w:val="18"/>
              </w:rPr>
            </w:pPr>
            <w:r w:rsidRPr="00B95A00">
              <w:rPr>
                <w:rFonts w:ascii="Calibri" w:eastAsia="Calibri" w:hAnsi="Calibri" w:cs="Calibri"/>
                <w:color w:val="000000"/>
                <w:sz w:val="18"/>
                <w:lang w:eastAsia="en-US"/>
              </w:rPr>
              <w:t>5,545</w:t>
            </w:r>
          </w:p>
        </w:tc>
        <w:tc>
          <w:tcPr>
            <w:tcW w:w="840" w:type="dxa"/>
            <w:tcBorders>
              <w:top w:val="nil"/>
              <w:left w:val="nil"/>
              <w:bottom w:val="nil"/>
              <w:right w:val="nil"/>
              <w:tl2br w:val="nil"/>
              <w:tr2bl w:val="nil"/>
            </w:tcBorders>
            <w:noWrap/>
            <w:tcMar>
              <w:left w:w="40" w:type="dxa"/>
              <w:right w:w="40" w:type="dxa"/>
            </w:tcMar>
          </w:tcPr>
          <w:p w14:paraId="21F8F514" w14:textId="696375FB" w:rsidR="00B95A00" w:rsidRPr="00B95A00" w:rsidRDefault="00B95A00" w:rsidP="00B95A00">
            <w:pPr>
              <w:pBdr>
                <w:top w:val="nil"/>
                <w:left w:val="nil"/>
                <w:bottom w:val="nil"/>
                <w:right w:val="nil"/>
                <w:between w:val="nil"/>
                <w:bar w:val="nil"/>
              </w:pBdr>
              <w:jc w:val="right"/>
              <w:rPr>
                <w:rFonts w:ascii="Calibri" w:eastAsia="Calibri" w:hAnsi="Calibri" w:cs="Calibri"/>
                <w:color w:val="000000"/>
                <w:sz w:val="18"/>
              </w:rPr>
            </w:pPr>
            <w:r w:rsidRPr="00B95A00">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66DECD5D" w14:textId="27B21F23" w:rsidR="00B95A00" w:rsidRPr="00B95A00" w:rsidRDefault="00B95A00" w:rsidP="00B95A00">
            <w:pPr>
              <w:pBdr>
                <w:top w:val="nil"/>
                <w:left w:val="nil"/>
                <w:bottom w:val="nil"/>
                <w:right w:val="nil"/>
                <w:between w:val="nil"/>
                <w:bar w:val="nil"/>
              </w:pBdr>
              <w:jc w:val="right"/>
              <w:rPr>
                <w:rFonts w:ascii="Calibri" w:eastAsia="Calibri" w:hAnsi="Calibri" w:cs="Calibri"/>
                <w:color w:val="000000"/>
                <w:sz w:val="18"/>
              </w:rPr>
            </w:pPr>
            <w:r w:rsidRPr="00B95A00">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0C796578" w14:textId="34C23342" w:rsidR="00B95A00" w:rsidRPr="00B95A00" w:rsidRDefault="00B95A00" w:rsidP="00B95A00">
            <w:pPr>
              <w:pBdr>
                <w:top w:val="nil"/>
                <w:left w:val="nil"/>
                <w:bottom w:val="nil"/>
                <w:right w:val="nil"/>
                <w:between w:val="nil"/>
                <w:bar w:val="nil"/>
              </w:pBdr>
              <w:jc w:val="right"/>
              <w:rPr>
                <w:rFonts w:ascii="Calibri" w:eastAsia="Calibri" w:hAnsi="Calibri" w:cs="Calibri"/>
                <w:color w:val="000000"/>
                <w:sz w:val="18"/>
              </w:rPr>
            </w:pPr>
            <w:r w:rsidRPr="00B95A00">
              <w:rPr>
                <w:rFonts w:ascii="Calibri" w:eastAsia="Calibri" w:hAnsi="Calibri" w:cs="Calibri"/>
                <w:color w:val="000000"/>
                <w:sz w:val="18"/>
                <w:lang w:eastAsia="en-US"/>
              </w:rPr>
              <w:t>38,202</w:t>
            </w:r>
          </w:p>
        </w:tc>
        <w:tc>
          <w:tcPr>
            <w:tcW w:w="1005" w:type="dxa"/>
            <w:tcBorders>
              <w:top w:val="nil"/>
              <w:left w:val="nil"/>
              <w:bottom w:val="nil"/>
              <w:right w:val="nil"/>
              <w:tl2br w:val="nil"/>
              <w:tr2bl w:val="nil"/>
            </w:tcBorders>
            <w:noWrap/>
            <w:tcMar>
              <w:left w:w="40" w:type="dxa"/>
              <w:right w:w="40" w:type="dxa"/>
            </w:tcMar>
          </w:tcPr>
          <w:p w14:paraId="283669A9" w14:textId="6ABAA282" w:rsidR="00B95A00" w:rsidRPr="00B95A00" w:rsidRDefault="00B95A00" w:rsidP="00B95A00">
            <w:pPr>
              <w:pBdr>
                <w:top w:val="nil"/>
                <w:left w:val="nil"/>
                <w:bottom w:val="nil"/>
                <w:right w:val="nil"/>
                <w:between w:val="nil"/>
                <w:bar w:val="nil"/>
              </w:pBdr>
              <w:jc w:val="center"/>
              <w:rPr>
                <w:rFonts w:ascii="Calibri" w:eastAsia="Calibri" w:hAnsi="Calibri" w:cs="Calibri"/>
                <w:b/>
                <w:color w:val="000000"/>
                <w:sz w:val="18"/>
              </w:rPr>
            </w:pPr>
            <w:r w:rsidRPr="00B95A00">
              <w:rPr>
                <w:rFonts w:ascii="Calibri" w:eastAsia="Calibri" w:hAnsi="Calibri" w:cs="Calibri"/>
                <w:b/>
                <w:color w:val="000000"/>
                <w:sz w:val="18"/>
                <w:lang w:eastAsia="en-US"/>
              </w:rPr>
              <w:t>TBD</w:t>
            </w:r>
          </w:p>
        </w:tc>
      </w:tr>
      <w:tr w:rsidR="00143C9C" w14:paraId="7B1B463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2985" w:type="dxa"/>
            <w:tcBorders>
              <w:top w:val="nil"/>
              <w:left w:val="nil"/>
              <w:bottom w:val="nil"/>
              <w:right w:val="nil"/>
              <w:tl2br w:val="nil"/>
              <w:tr2bl w:val="nil"/>
            </w:tcBorders>
            <w:tcMar>
              <w:left w:w="40" w:type="dxa"/>
              <w:right w:w="40" w:type="dxa"/>
            </w:tcMar>
          </w:tcPr>
          <w:p w14:paraId="69F4C1CE" w14:textId="71CE890A"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Delivering the New Materials Recovery Facility and Food Organics / Garden Organics Facility</w:t>
            </w:r>
            <w:r w:rsidR="00897636">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6DBBF42B"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29,620</w:t>
            </w:r>
          </w:p>
        </w:tc>
        <w:tc>
          <w:tcPr>
            <w:tcW w:w="840" w:type="dxa"/>
            <w:tcBorders>
              <w:top w:val="nil"/>
              <w:left w:val="nil"/>
              <w:bottom w:val="nil"/>
              <w:right w:val="nil"/>
              <w:tl2br w:val="nil"/>
              <w:tr2bl w:val="nil"/>
            </w:tcBorders>
            <w:noWrap/>
            <w:tcMar>
              <w:left w:w="40" w:type="dxa"/>
              <w:right w:w="40" w:type="dxa"/>
            </w:tcMar>
          </w:tcPr>
          <w:p w14:paraId="5E930AE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12,750</w:t>
            </w:r>
          </w:p>
        </w:tc>
        <w:tc>
          <w:tcPr>
            <w:tcW w:w="840" w:type="dxa"/>
            <w:tcBorders>
              <w:top w:val="nil"/>
              <w:left w:val="nil"/>
              <w:bottom w:val="nil"/>
              <w:right w:val="nil"/>
              <w:tl2br w:val="nil"/>
              <w:tr2bl w:val="nil"/>
            </w:tcBorders>
            <w:noWrap/>
            <w:tcMar>
              <w:left w:w="40" w:type="dxa"/>
              <w:right w:w="40" w:type="dxa"/>
            </w:tcMar>
          </w:tcPr>
          <w:p w14:paraId="4A15644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8,979</w:t>
            </w:r>
          </w:p>
        </w:tc>
        <w:tc>
          <w:tcPr>
            <w:tcW w:w="840" w:type="dxa"/>
            <w:tcBorders>
              <w:top w:val="nil"/>
              <w:left w:val="nil"/>
              <w:bottom w:val="nil"/>
              <w:right w:val="nil"/>
              <w:tl2br w:val="nil"/>
              <w:tr2bl w:val="nil"/>
            </w:tcBorders>
            <w:noWrap/>
            <w:tcMar>
              <w:left w:w="40" w:type="dxa"/>
              <w:right w:w="40" w:type="dxa"/>
            </w:tcMar>
          </w:tcPr>
          <w:p w14:paraId="31B4F26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05C32D0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2BA2814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21,729</w:t>
            </w:r>
          </w:p>
        </w:tc>
        <w:tc>
          <w:tcPr>
            <w:tcW w:w="1005" w:type="dxa"/>
            <w:tcBorders>
              <w:top w:val="nil"/>
              <w:left w:val="nil"/>
              <w:bottom w:val="nil"/>
              <w:right w:val="nil"/>
              <w:tl2br w:val="nil"/>
              <w:tr2bl w:val="nil"/>
            </w:tcBorders>
            <w:noWrap/>
            <w:tcMar>
              <w:left w:w="40" w:type="dxa"/>
              <w:right w:w="40" w:type="dxa"/>
            </w:tcMar>
          </w:tcPr>
          <w:p w14:paraId="1446CC60"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r>
      <w:tr w:rsidR="00B95A00" w14:paraId="3472737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985" w:type="dxa"/>
            <w:tcBorders>
              <w:top w:val="nil"/>
              <w:left w:val="nil"/>
              <w:bottom w:val="nil"/>
              <w:right w:val="nil"/>
              <w:tl2br w:val="nil"/>
              <w:tr2bl w:val="nil"/>
            </w:tcBorders>
            <w:tcMar>
              <w:left w:w="40" w:type="dxa"/>
              <w:right w:w="40" w:type="dxa"/>
            </w:tcMar>
          </w:tcPr>
          <w:p w14:paraId="1987B53D" w14:textId="622BAE88" w:rsidR="00B95A00" w:rsidRDefault="00B95A00" w:rsidP="00B95A00">
            <w:pPr>
              <w:pBdr>
                <w:top w:val="nil"/>
                <w:left w:val="nil"/>
                <w:bottom w:val="nil"/>
                <w:right w:val="nil"/>
                <w:between w:val="nil"/>
                <w:bar w:val="nil"/>
              </w:pBdr>
              <w:ind w:left="170" w:hanging="170"/>
              <w:rPr>
                <w:rFonts w:ascii="Calibri" w:eastAsia="Calibri" w:hAnsi="Calibri" w:cs="Calibri"/>
                <w:color w:val="000000"/>
                <w:sz w:val="18"/>
              </w:rPr>
            </w:pPr>
            <w:r>
              <w:rPr>
                <w:rFonts w:ascii="Calibri" w:eastAsia="Calibri" w:hAnsi="Calibri" w:cs="Calibri"/>
                <w:color w:val="000000"/>
                <w:sz w:val="18"/>
                <w:lang w:eastAsia="en-US"/>
              </w:rPr>
              <w:t>Delivery of the Whitlam School – Stage</w:t>
            </w:r>
            <w:r w:rsidR="0075292A">
              <w:rPr>
                <w:rFonts w:ascii="Calibri" w:eastAsia="Calibri" w:hAnsi="Calibri" w:cs="Calibri"/>
                <w:color w:val="000000"/>
                <w:sz w:val="18"/>
                <w:lang w:eastAsia="en-US"/>
              </w:rPr>
              <w:t> </w:t>
            </w:r>
            <w:r>
              <w:rPr>
                <w:rFonts w:ascii="Calibri" w:eastAsia="Calibri" w:hAnsi="Calibri" w:cs="Calibri"/>
                <w:color w:val="000000"/>
                <w:sz w:val="18"/>
                <w:lang w:eastAsia="en-US"/>
              </w:rPr>
              <w:t>2</w:t>
            </w:r>
            <w:r w:rsidR="009D4458" w:rsidRPr="009D4458">
              <w:rPr>
                <w:rFonts w:ascii="Calibri" w:eastAsia="Calibri" w:hAnsi="Calibri" w:cs="Calibri"/>
                <w:color w:val="000000"/>
                <w:sz w:val="18"/>
                <w:vertAlign w:val="superscript"/>
                <w:lang w:eastAsia="en-US"/>
              </w:rPr>
              <w:t>2,</w:t>
            </w:r>
            <w:r w:rsidRPr="00B95A00">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0640927F" w14:textId="5D7478DC" w:rsidR="00B95A00" w:rsidRDefault="00B95A00" w:rsidP="00B95A00">
            <w:pPr>
              <w:pBdr>
                <w:top w:val="nil"/>
                <w:left w:val="nil"/>
                <w:bottom w:val="nil"/>
                <w:right w:val="nil"/>
                <w:between w:val="nil"/>
                <w:bar w:val="nil"/>
              </w:pBdr>
              <w:jc w:val="center"/>
              <w:rPr>
                <w:rFonts w:ascii="Calibri" w:eastAsia="Calibri" w:hAnsi="Calibri" w:cs="Calibri"/>
                <w:b/>
                <w:color w:val="000000"/>
                <w:sz w:val="18"/>
              </w:rPr>
            </w:pPr>
            <w:r>
              <w:rPr>
                <w:rFonts w:ascii="Calibri" w:eastAsia="Calibri" w:hAnsi="Calibri" w:cs="Calibri"/>
                <w:b/>
                <w:color w:val="000000"/>
                <w:sz w:val="18"/>
                <w:lang w:eastAsia="en-US"/>
              </w:rPr>
              <w:t>36,736</w:t>
            </w:r>
          </w:p>
        </w:tc>
        <w:tc>
          <w:tcPr>
            <w:tcW w:w="840" w:type="dxa"/>
            <w:tcBorders>
              <w:top w:val="nil"/>
              <w:left w:val="nil"/>
              <w:bottom w:val="nil"/>
              <w:right w:val="nil"/>
              <w:tl2br w:val="nil"/>
              <w:tr2bl w:val="nil"/>
            </w:tcBorders>
            <w:noWrap/>
            <w:tcMar>
              <w:left w:w="40" w:type="dxa"/>
              <w:right w:w="40" w:type="dxa"/>
            </w:tcMar>
          </w:tcPr>
          <w:p w14:paraId="7640C17D" w14:textId="3022C02D" w:rsidR="00B95A00" w:rsidRDefault="00B95A00" w:rsidP="00B95A00">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rPr>
              <w:t>14,091</w:t>
            </w:r>
          </w:p>
        </w:tc>
        <w:tc>
          <w:tcPr>
            <w:tcW w:w="840" w:type="dxa"/>
            <w:tcBorders>
              <w:top w:val="nil"/>
              <w:left w:val="nil"/>
              <w:bottom w:val="nil"/>
              <w:right w:val="nil"/>
              <w:tl2br w:val="nil"/>
              <w:tr2bl w:val="nil"/>
            </w:tcBorders>
            <w:noWrap/>
            <w:tcMar>
              <w:left w:w="40" w:type="dxa"/>
              <w:right w:w="40" w:type="dxa"/>
            </w:tcMar>
          </w:tcPr>
          <w:p w14:paraId="2D4BD0D2" w14:textId="625E0869" w:rsidR="00B95A00" w:rsidRDefault="00B95A00" w:rsidP="00B95A00">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rPr>
              <w:t>20,939</w:t>
            </w:r>
          </w:p>
        </w:tc>
        <w:tc>
          <w:tcPr>
            <w:tcW w:w="840" w:type="dxa"/>
            <w:tcBorders>
              <w:top w:val="nil"/>
              <w:left w:val="nil"/>
              <w:bottom w:val="nil"/>
              <w:right w:val="nil"/>
              <w:tl2br w:val="nil"/>
              <w:tr2bl w:val="nil"/>
            </w:tcBorders>
            <w:noWrap/>
            <w:tcMar>
              <w:left w:w="40" w:type="dxa"/>
              <w:right w:w="40" w:type="dxa"/>
            </w:tcMar>
          </w:tcPr>
          <w:p w14:paraId="5096DE3B" w14:textId="1AD0658B" w:rsidR="00B95A00" w:rsidRDefault="00B95A00" w:rsidP="00B95A00">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rPr>
              <w:t>1,706</w:t>
            </w:r>
          </w:p>
        </w:tc>
        <w:tc>
          <w:tcPr>
            <w:tcW w:w="840" w:type="dxa"/>
            <w:tcBorders>
              <w:top w:val="nil"/>
              <w:left w:val="nil"/>
              <w:bottom w:val="nil"/>
              <w:right w:val="nil"/>
              <w:tl2br w:val="nil"/>
              <w:tr2bl w:val="nil"/>
            </w:tcBorders>
            <w:noWrap/>
            <w:tcMar>
              <w:left w:w="40" w:type="dxa"/>
              <w:right w:w="40" w:type="dxa"/>
            </w:tcMar>
          </w:tcPr>
          <w:p w14:paraId="46D86463" w14:textId="47D44F86" w:rsidR="00B95A00" w:rsidRDefault="00B95A00" w:rsidP="00B95A00">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rPr>
              <w:t>0</w:t>
            </w:r>
          </w:p>
        </w:tc>
        <w:tc>
          <w:tcPr>
            <w:tcW w:w="945" w:type="dxa"/>
            <w:tcBorders>
              <w:top w:val="nil"/>
              <w:left w:val="nil"/>
              <w:bottom w:val="nil"/>
              <w:right w:val="nil"/>
              <w:tl2br w:val="nil"/>
              <w:tr2bl w:val="nil"/>
            </w:tcBorders>
            <w:noWrap/>
            <w:tcMar>
              <w:left w:w="40" w:type="dxa"/>
              <w:right w:w="40" w:type="dxa"/>
            </w:tcMar>
          </w:tcPr>
          <w:p w14:paraId="768FF377" w14:textId="2930D5FB" w:rsidR="00B95A00" w:rsidRDefault="00B95A00" w:rsidP="00B95A00">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rPr>
              <w:t>36,736</w:t>
            </w:r>
          </w:p>
        </w:tc>
        <w:tc>
          <w:tcPr>
            <w:tcW w:w="1005" w:type="dxa"/>
            <w:tcBorders>
              <w:top w:val="nil"/>
              <w:left w:val="nil"/>
              <w:bottom w:val="nil"/>
              <w:right w:val="nil"/>
              <w:tl2br w:val="nil"/>
              <w:tr2bl w:val="nil"/>
            </w:tcBorders>
            <w:noWrap/>
            <w:tcMar>
              <w:left w:w="40" w:type="dxa"/>
              <w:right w:w="40" w:type="dxa"/>
            </w:tcMar>
          </w:tcPr>
          <w:p w14:paraId="0B7C23B4" w14:textId="2F94AD31" w:rsidR="00B95A00" w:rsidRDefault="00B95A00" w:rsidP="00B95A00">
            <w:pPr>
              <w:pBdr>
                <w:top w:val="nil"/>
                <w:left w:val="nil"/>
                <w:bottom w:val="nil"/>
                <w:right w:val="nil"/>
                <w:between w:val="nil"/>
                <w:bar w:val="nil"/>
              </w:pBdr>
              <w:jc w:val="center"/>
              <w:rPr>
                <w:rFonts w:ascii="Calibri" w:eastAsia="Calibri" w:hAnsi="Calibri" w:cs="Calibri"/>
                <w:b/>
                <w:color w:val="000000"/>
                <w:sz w:val="18"/>
              </w:rPr>
            </w:pPr>
            <w:r>
              <w:rPr>
                <w:rFonts w:ascii="Calibri" w:eastAsia="Calibri" w:hAnsi="Calibri" w:cs="Calibri"/>
                <w:b/>
                <w:color w:val="000000"/>
                <w:sz w:val="18"/>
                <w:lang w:eastAsia="en-US"/>
              </w:rPr>
              <w:t>TBD</w:t>
            </w:r>
          </w:p>
        </w:tc>
      </w:tr>
      <w:tr w:rsidR="00143C9C" w14:paraId="513FB187"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985" w:type="dxa"/>
            <w:tcBorders>
              <w:top w:val="nil"/>
              <w:left w:val="nil"/>
              <w:bottom w:val="nil"/>
              <w:right w:val="nil"/>
              <w:tl2br w:val="nil"/>
              <w:tr2bl w:val="nil"/>
            </w:tcBorders>
            <w:tcMar>
              <w:left w:w="40" w:type="dxa"/>
              <w:right w:w="40" w:type="dxa"/>
            </w:tcMar>
          </w:tcPr>
          <w:p w14:paraId="60613618" w14:textId="22380753"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Designing the Molonglo Parkway-Drive Connector</w:t>
            </w:r>
            <w:r w:rsidR="00897636">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0C6524A4" w14:textId="56584F72" w:rsidR="00143C9C" w:rsidRDefault="0007764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c>
          <w:tcPr>
            <w:tcW w:w="840" w:type="dxa"/>
            <w:tcBorders>
              <w:top w:val="nil"/>
              <w:left w:val="nil"/>
              <w:bottom w:val="nil"/>
              <w:right w:val="nil"/>
              <w:tl2br w:val="nil"/>
              <w:tr2bl w:val="nil"/>
            </w:tcBorders>
            <w:noWrap/>
            <w:tcMar>
              <w:left w:w="40" w:type="dxa"/>
              <w:right w:w="40" w:type="dxa"/>
            </w:tcMar>
          </w:tcPr>
          <w:p w14:paraId="1F3B6CF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2,888</w:t>
            </w:r>
          </w:p>
        </w:tc>
        <w:tc>
          <w:tcPr>
            <w:tcW w:w="840" w:type="dxa"/>
            <w:tcBorders>
              <w:top w:val="nil"/>
              <w:left w:val="nil"/>
              <w:bottom w:val="nil"/>
              <w:right w:val="nil"/>
              <w:tl2br w:val="nil"/>
              <w:tr2bl w:val="nil"/>
            </w:tcBorders>
            <w:noWrap/>
            <w:tcMar>
              <w:left w:w="40" w:type="dxa"/>
              <w:right w:w="40" w:type="dxa"/>
            </w:tcMar>
          </w:tcPr>
          <w:p w14:paraId="45CFFAD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2,287</w:t>
            </w:r>
          </w:p>
        </w:tc>
        <w:tc>
          <w:tcPr>
            <w:tcW w:w="840" w:type="dxa"/>
            <w:tcBorders>
              <w:top w:val="nil"/>
              <w:left w:val="nil"/>
              <w:bottom w:val="nil"/>
              <w:right w:val="nil"/>
              <w:tl2br w:val="nil"/>
              <w:tr2bl w:val="nil"/>
            </w:tcBorders>
            <w:noWrap/>
            <w:tcMar>
              <w:left w:w="40" w:type="dxa"/>
              <w:right w:w="40" w:type="dxa"/>
            </w:tcMar>
          </w:tcPr>
          <w:p w14:paraId="56D73CB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1A41D35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6A55585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5,175</w:t>
            </w:r>
          </w:p>
        </w:tc>
        <w:tc>
          <w:tcPr>
            <w:tcW w:w="1005" w:type="dxa"/>
            <w:tcBorders>
              <w:top w:val="nil"/>
              <w:left w:val="nil"/>
              <w:bottom w:val="nil"/>
              <w:right w:val="nil"/>
              <w:tl2br w:val="nil"/>
              <w:tr2bl w:val="nil"/>
            </w:tcBorders>
            <w:noWrap/>
            <w:tcMar>
              <w:left w:w="40" w:type="dxa"/>
              <w:right w:w="40" w:type="dxa"/>
            </w:tcMar>
          </w:tcPr>
          <w:p w14:paraId="6729FF9A"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r>
      <w:tr w:rsidR="00143C9C" w14:paraId="5EB66A93"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2985" w:type="dxa"/>
            <w:tcBorders>
              <w:top w:val="nil"/>
              <w:left w:val="nil"/>
              <w:bottom w:val="nil"/>
              <w:right w:val="nil"/>
              <w:tl2br w:val="nil"/>
              <w:tr2bl w:val="nil"/>
            </w:tcBorders>
            <w:tcMar>
              <w:left w:w="40" w:type="dxa"/>
              <w:right w:w="40" w:type="dxa"/>
            </w:tcMar>
          </w:tcPr>
          <w:p w14:paraId="138A682E" w14:textId="10B6BD9B"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Expanding health centres across the city</w:t>
            </w:r>
          </w:p>
        </w:tc>
        <w:tc>
          <w:tcPr>
            <w:tcW w:w="840" w:type="dxa"/>
            <w:tcBorders>
              <w:top w:val="nil"/>
              <w:left w:val="nil"/>
              <w:bottom w:val="nil"/>
              <w:right w:val="nil"/>
              <w:tl2br w:val="nil"/>
              <w:tr2bl w:val="nil"/>
            </w:tcBorders>
            <w:noWrap/>
            <w:tcMar>
              <w:left w:w="40" w:type="dxa"/>
              <w:right w:w="40" w:type="dxa"/>
            </w:tcMar>
          </w:tcPr>
          <w:p w14:paraId="3FCB61E9"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15,572</w:t>
            </w:r>
          </w:p>
        </w:tc>
        <w:tc>
          <w:tcPr>
            <w:tcW w:w="840" w:type="dxa"/>
            <w:tcBorders>
              <w:top w:val="nil"/>
              <w:left w:val="nil"/>
              <w:bottom w:val="nil"/>
              <w:right w:val="nil"/>
              <w:tl2br w:val="nil"/>
              <w:tr2bl w:val="nil"/>
            </w:tcBorders>
            <w:noWrap/>
            <w:tcMar>
              <w:left w:w="40" w:type="dxa"/>
              <w:right w:w="40" w:type="dxa"/>
            </w:tcMar>
          </w:tcPr>
          <w:p w14:paraId="7878002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2,574</w:t>
            </w:r>
          </w:p>
        </w:tc>
        <w:tc>
          <w:tcPr>
            <w:tcW w:w="840" w:type="dxa"/>
            <w:tcBorders>
              <w:top w:val="nil"/>
              <w:left w:val="nil"/>
              <w:bottom w:val="nil"/>
              <w:right w:val="nil"/>
              <w:tl2br w:val="nil"/>
              <w:tr2bl w:val="nil"/>
            </w:tcBorders>
            <w:noWrap/>
            <w:tcMar>
              <w:left w:w="40" w:type="dxa"/>
              <w:right w:w="40" w:type="dxa"/>
            </w:tcMar>
          </w:tcPr>
          <w:p w14:paraId="2EAA060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4BB6D13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3F847F5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5917444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2,574</w:t>
            </w:r>
          </w:p>
        </w:tc>
        <w:tc>
          <w:tcPr>
            <w:tcW w:w="1005" w:type="dxa"/>
            <w:tcBorders>
              <w:top w:val="nil"/>
              <w:left w:val="nil"/>
              <w:bottom w:val="nil"/>
              <w:right w:val="nil"/>
              <w:tl2br w:val="nil"/>
              <w:tr2bl w:val="nil"/>
            </w:tcBorders>
            <w:noWrap/>
            <w:tcMar>
              <w:left w:w="40" w:type="dxa"/>
              <w:right w:w="40" w:type="dxa"/>
            </w:tcMar>
          </w:tcPr>
          <w:p w14:paraId="6CA3B07C"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Sep-26</w:t>
            </w:r>
          </w:p>
        </w:tc>
      </w:tr>
      <w:tr w:rsidR="00143C9C" w14:paraId="741C41C1"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2985" w:type="dxa"/>
            <w:tcBorders>
              <w:top w:val="nil"/>
              <w:left w:val="nil"/>
              <w:bottom w:val="nil"/>
              <w:right w:val="nil"/>
              <w:tl2br w:val="nil"/>
              <w:tr2bl w:val="nil"/>
            </w:tcBorders>
            <w:tcMar>
              <w:left w:w="40" w:type="dxa"/>
              <w:right w:w="40" w:type="dxa"/>
            </w:tcMar>
          </w:tcPr>
          <w:p w14:paraId="1723680A" w14:textId="23C93AD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Inner South Health Centre Construction</w:t>
            </w:r>
            <w:r w:rsidR="00897636">
              <w:rPr>
                <w:rFonts w:ascii="Calibri" w:eastAsia="Calibri" w:hAnsi="Calibri" w:cs="Calibri"/>
                <w:color w:val="000000"/>
                <w:sz w:val="18"/>
                <w:vertAlign w:val="superscript"/>
                <w:lang w:eastAsia="en-US"/>
              </w:rPr>
              <w:t>3</w:t>
            </w:r>
          </w:p>
        </w:tc>
        <w:tc>
          <w:tcPr>
            <w:tcW w:w="840" w:type="dxa"/>
            <w:tcBorders>
              <w:top w:val="nil"/>
              <w:left w:val="nil"/>
              <w:bottom w:val="nil"/>
              <w:right w:val="nil"/>
              <w:tl2br w:val="nil"/>
              <w:tr2bl w:val="nil"/>
            </w:tcBorders>
            <w:noWrap/>
            <w:tcMar>
              <w:left w:w="40" w:type="dxa"/>
              <w:right w:w="40" w:type="dxa"/>
            </w:tcMar>
          </w:tcPr>
          <w:p w14:paraId="445B0AEB"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36,111</w:t>
            </w:r>
          </w:p>
        </w:tc>
        <w:tc>
          <w:tcPr>
            <w:tcW w:w="840" w:type="dxa"/>
            <w:tcBorders>
              <w:top w:val="nil"/>
              <w:left w:val="nil"/>
              <w:bottom w:val="nil"/>
              <w:right w:val="nil"/>
              <w:tl2br w:val="nil"/>
              <w:tr2bl w:val="nil"/>
            </w:tcBorders>
            <w:noWrap/>
            <w:tcMar>
              <w:left w:w="40" w:type="dxa"/>
              <w:right w:w="40" w:type="dxa"/>
            </w:tcMar>
          </w:tcPr>
          <w:p w14:paraId="73BEB78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4,952</w:t>
            </w:r>
          </w:p>
        </w:tc>
        <w:tc>
          <w:tcPr>
            <w:tcW w:w="840" w:type="dxa"/>
            <w:tcBorders>
              <w:top w:val="nil"/>
              <w:left w:val="nil"/>
              <w:bottom w:val="nil"/>
              <w:right w:val="nil"/>
              <w:tl2br w:val="nil"/>
              <w:tr2bl w:val="nil"/>
            </w:tcBorders>
            <w:noWrap/>
            <w:tcMar>
              <w:left w:w="40" w:type="dxa"/>
              <w:right w:w="40" w:type="dxa"/>
            </w:tcMar>
          </w:tcPr>
          <w:p w14:paraId="7694A8C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20,000</w:t>
            </w:r>
          </w:p>
        </w:tc>
        <w:tc>
          <w:tcPr>
            <w:tcW w:w="840" w:type="dxa"/>
            <w:tcBorders>
              <w:top w:val="nil"/>
              <w:left w:val="nil"/>
              <w:bottom w:val="nil"/>
              <w:right w:val="nil"/>
              <w:tl2br w:val="nil"/>
              <w:tr2bl w:val="nil"/>
            </w:tcBorders>
            <w:noWrap/>
            <w:tcMar>
              <w:left w:w="40" w:type="dxa"/>
              <w:right w:w="40" w:type="dxa"/>
            </w:tcMar>
          </w:tcPr>
          <w:p w14:paraId="401C1DE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7,293</w:t>
            </w:r>
          </w:p>
        </w:tc>
        <w:tc>
          <w:tcPr>
            <w:tcW w:w="840" w:type="dxa"/>
            <w:tcBorders>
              <w:top w:val="nil"/>
              <w:left w:val="nil"/>
              <w:bottom w:val="nil"/>
              <w:right w:val="nil"/>
              <w:tl2br w:val="nil"/>
              <w:tr2bl w:val="nil"/>
            </w:tcBorders>
            <w:noWrap/>
            <w:tcMar>
              <w:left w:w="40" w:type="dxa"/>
              <w:right w:w="40" w:type="dxa"/>
            </w:tcMar>
          </w:tcPr>
          <w:p w14:paraId="11B5177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6B53030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32,245</w:t>
            </w:r>
          </w:p>
        </w:tc>
        <w:tc>
          <w:tcPr>
            <w:tcW w:w="1005" w:type="dxa"/>
            <w:tcBorders>
              <w:top w:val="nil"/>
              <w:left w:val="nil"/>
              <w:bottom w:val="nil"/>
              <w:right w:val="nil"/>
              <w:tl2br w:val="nil"/>
              <w:tr2bl w:val="nil"/>
            </w:tcBorders>
            <w:noWrap/>
            <w:tcMar>
              <w:left w:w="40" w:type="dxa"/>
              <w:right w:w="40" w:type="dxa"/>
            </w:tcMar>
          </w:tcPr>
          <w:p w14:paraId="6AA91875"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Jun-28</w:t>
            </w:r>
          </w:p>
        </w:tc>
      </w:tr>
      <w:tr w:rsidR="00143C9C" w14:paraId="33F653DE"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985" w:type="dxa"/>
            <w:tcBorders>
              <w:top w:val="nil"/>
              <w:left w:val="nil"/>
              <w:bottom w:val="nil"/>
              <w:right w:val="nil"/>
              <w:tl2br w:val="nil"/>
              <w:tr2bl w:val="nil"/>
            </w:tcBorders>
            <w:tcMar>
              <w:left w:w="40" w:type="dxa"/>
              <w:right w:w="40" w:type="dxa"/>
            </w:tcMar>
          </w:tcPr>
          <w:p w14:paraId="7B136F9D"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More parking at the Canberra Hospital</w:t>
            </w:r>
          </w:p>
        </w:tc>
        <w:tc>
          <w:tcPr>
            <w:tcW w:w="840" w:type="dxa"/>
            <w:tcBorders>
              <w:top w:val="nil"/>
              <w:left w:val="nil"/>
              <w:bottom w:val="nil"/>
              <w:right w:val="nil"/>
              <w:tl2br w:val="nil"/>
              <w:tr2bl w:val="nil"/>
            </w:tcBorders>
            <w:noWrap/>
            <w:tcMar>
              <w:left w:w="40" w:type="dxa"/>
              <w:right w:w="40" w:type="dxa"/>
            </w:tcMar>
          </w:tcPr>
          <w:p w14:paraId="33ADC675"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4,820</w:t>
            </w:r>
          </w:p>
        </w:tc>
        <w:tc>
          <w:tcPr>
            <w:tcW w:w="840" w:type="dxa"/>
            <w:tcBorders>
              <w:top w:val="nil"/>
              <w:left w:val="nil"/>
              <w:bottom w:val="nil"/>
              <w:right w:val="nil"/>
              <w:tl2br w:val="nil"/>
              <w:tr2bl w:val="nil"/>
            </w:tcBorders>
            <w:noWrap/>
            <w:tcMar>
              <w:left w:w="40" w:type="dxa"/>
              <w:right w:w="40" w:type="dxa"/>
            </w:tcMar>
          </w:tcPr>
          <w:p w14:paraId="2CA34A0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4,259</w:t>
            </w:r>
          </w:p>
        </w:tc>
        <w:tc>
          <w:tcPr>
            <w:tcW w:w="840" w:type="dxa"/>
            <w:tcBorders>
              <w:top w:val="nil"/>
              <w:left w:val="nil"/>
              <w:bottom w:val="nil"/>
              <w:right w:val="nil"/>
              <w:tl2br w:val="nil"/>
              <w:tr2bl w:val="nil"/>
            </w:tcBorders>
            <w:noWrap/>
            <w:tcMar>
              <w:left w:w="40" w:type="dxa"/>
              <w:right w:w="40" w:type="dxa"/>
            </w:tcMar>
          </w:tcPr>
          <w:p w14:paraId="0F5C9C8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6EECDB2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0FA03C4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1135A38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4,259</w:t>
            </w:r>
          </w:p>
        </w:tc>
        <w:tc>
          <w:tcPr>
            <w:tcW w:w="1005" w:type="dxa"/>
            <w:tcBorders>
              <w:top w:val="nil"/>
              <w:left w:val="nil"/>
              <w:bottom w:val="nil"/>
              <w:right w:val="nil"/>
              <w:tl2br w:val="nil"/>
              <w:tr2bl w:val="nil"/>
            </w:tcBorders>
            <w:noWrap/>
            <w:tcMar>
              <w:left w:w="40" w:type="dxa"/>
              <w:right w:w="40" w:type="dxa"/>
            </w:tcMar>
          </w:tcPr>
          <w:p w14:paraId="51D00255"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Jun-27</w:t>
            </w:r>
          </w:p>
        </w:tc>
      </w:tr>
      <w:tr w:rsidR="00143C9C" w14:paraId="3335B20F"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2985" w:type="dxa"/>
            <w:tcBorders>
              <w:top w:val="nil"/>
              <w:left w:val="nil"/>
              <w:bottom w:val="nil"/>
              <w:right w:val="nil"/>
              <w:tl2br w:val="nil"/>
              <w:tr2bl w:val="nil"/>
            </w:tcBorders>
            <w:tcMar>
              <w:left w:w="40" w:type="dxa"/>
              <w:right w:w="40" w:type="dxa"/>
            </w:tcMar>
          </w:tcPr>
          <w:p w14:paraId="0BFC2F16" w14:textId="1976B1A2"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New Health Centres across the ACT</w:t>
            </w:r>
            <w:r w:rsidR="00897636">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64A724C0"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4,378</w:t>
            </w:r>
          </w:p>
        </w:tc>
        <w:tc>
          <w:tcPr>
            <w:tcW w:w="840" w:type="dxa"/>
            <w:tcBorders>
              <w:top w:val="nil"/>
              <w:left w:val="nil"/>
              <w:bottom w:val="nil"/>
              <w:right w:val="nil"/>
              <w:tl2br w:val="nil"/>
              <w:tr2bl w:val="nil"/>
            </w:tcBorders>
            <w:noWrap/>
            <w:tcMar>
              <w:left w:w="40" w:type="dxa"/>
              <w:right w:w="40" w:type="dxa"/>
            </w:tcMar>
          </w:tcPr>
          <w:p w14:paraId="7B39B7B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2,677</w:t>
            </w:r>
          </w:p>
        </w:tc>
        <w:tc>
          <w:tcPr>
            <w:tcW w:w="840" w:type="dxa"/>
            <w:tcBorders>
              <w:top w:val="nil"/>
              <w:left w:val="nil"/>
              <w:bottom w:val="nil"/>
              <w:right w:val="nil"/>
              <w:tl2br w:val="nil"/>
              <w:tr2bl w:val="nil"/>
            </w:tcBorders>
            <w:noWrap/>
            <w:tcMar>
              <w:left w:w="40" w:type="dxa"/>
              <w:right w:w="40" w:type="dxa"/>
            </w:tcMar>
          </w:tcPr>
          <w:p w14:paraId="7049926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5182C97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2178D0A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32E93D0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2,677</w:t>
            </w:r>
          </w:p>
        </w:tc>
        <w:tc>
          <w:tcPr>
            <w:tcW w:w="1005" w:type="dxa"/>
            <w:tcBorders>
              <w:top w:val="nil"/>
              <w:left w:val="nil"/>
              <w:bottom w:val="nil"/>
              <w:right w:val="nil"/>
              <w:tl2br w:val="nil"/>
              <w:tr2bl w:val="nil"/>
            </w:tcBorders>
            <w:noWrap/>
            <w:tcMar>
              <w:left w:w="40" w:type="dxa"/>
              <w:right w:w="40" w:type="dxa"/>
            </w:tcMar>
          </w:tcPr>
          <w:p w14:paraId="38D735BF"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r>
      <w:tr w:rsidR="00143C9C" w14:paraId="6754A32D"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2985" w:type="dxa"/>
            <w:tcBorders>
              <w:top w:val="nil"/>
              <w:left w:val="nil"/>
              <w:bottom w:val="nil"/>
              <w:right w:val="nil"/>
              <w:tl2br w:val="nil"/>
              <w:tr2bl w:val="nil"/>
            </w:tcBorders>
            <w:tcMar>
              <w:left w:w="40" w:type="dxa"/>
              <w:right w:w="40" w:type="dxa"/>
            </w:tcMar>
          </w:tcPr>
          <w:p w14:paraId="2DFCC2D7" w14:textId="238AA74B"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Next steps for the Canberra Hospital Masterplan</w:t>
            </w:r>
            <w:r w:rsidR="00897636">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54CB8054"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11,100</w:t>
            </w:r>
          </w:p>
        </w:tc>
        <w:tc>
          <w:tcPr>
            <w:tcW w:w="840" w:type="dxa"/>
            <w:tcBorders>
              <w:top w:val="nil"/>
              <w:left w:val="nil"/>
              <w:bottom w:val="nil"/>
              <w:right w:val="nil"/>
              <w:tl2br w:val="nil"/>
              <w:tr2bl w:val="nil"/>
            </w:tcBorders>
            <w:noWrap/>
            <w:tcMar>
              <w:left w:w="40" w:type="dxa"/>
              <w:right w:w="40" w:type="dxa"/>
            </w:tcMar>
          </w:tcPr>
          <w:p w14:paraId="1E0708A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3,800</w:t>
            </w:r>
          </w:p>
        </w:tc>
        <w:tc>
          <w:tcPr>
            <w:tcW w:w="840" w:type="dxa"/>
            <w:tcBorders>
              <w:top w:val="nil"/>
              <w:left w:val="nil"/>
              <w:bottom w:val="nil"/>
              <w:right w:val="nil"/>
              <w:tl2br w:val="nil"/>
              <w:tr2bl w:val="nil"/>
            </w:tcBorders>
            <w:noWrap/>
            <w:tcMar>
              <w:left w:w="40" w:type="dxa"/>
              <w:right w:w="40" w:type="dxa"/>
            </w:tcMar>
          </w:tcPr>
          <w:p w14:paraId="0EE2FAD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3,527</w:t>
            </w:r>
          </w:p>
        </w:tc>
        <w:tc>
          <w:tcPr>
            <w:tcW w:w="840" w:type="dxa"/>
            <w:tcBorders>
              <w:top w:val="nil"/>
              <w:left w:val="nil"/>
              <w:bottom w:val="nil"/>
              <w:right w:val="nil"/>
              <w:tl2br w:val="nil"/>
              <w:tr2bl w:val="nil"/>
            </w:tcBorders>
            <w:noWrap/>
            <w:tcMar>
              <w:left w:w="40" w:type="dxa"/>
              <w:right w:w="40" w:type="dxa"/>
            </w:tcMar>
          </w:tcPr>
          <w:p w14:paraId="34BD77E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63AD871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1323B98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7,327</w:t>
            </w:r>
          </w:p>
        </w:tc>
        <w:tc>
          <w:tcPr>
            <w:tcW w:w="1005" w:type="dxa"/>
            <w:tcBorders>
              <w:top w:val="nil"/>
              <w:left w:val="nil"/>
              <w:bottom w:val="nil"/>
              <w:right w:val="nil"/>
              <w:tl2br w:val="nil"/>
              <w:tr2bl w:val="nil"/>
            </w:tcBorders>
            <w:noWrap/>
            <w:tcMar>
              <w:left w:w="40" w:type="dxa"/>
              <w:right w:w="40" w:type="dxa"/>
            </w:tcMar>
          </w:tcPr>
          <w:p w14:paraId="5C91FAF0"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r>
      <w:tr w:rsidR="00143C9C" w14:paraId="0082B00C"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
        </w:trPr>
        <w:tc>
          <w:tcPr>
            <w:tcW w:w="2985" w:type="dxa"/>
            <w:tcBorders>
              <w:top w:val="nil"/>
              <w:left w:val="nil"/>
              <w:bottom w:val="nil"/>
              <w:right w:val="nil"/>
              <w:tl2br w:val="nil"/>
              <w:tr2bl w:val="nil"/>
            </w:tcBorders>
            <w:tcMar>
              <w:left w:w="40" w:type="dxa"/>
              <w:right w:w="40" w:type="dxa"/>
            </w:tcMar>
          </w:tcPr>
          <w:p w14:paraId="3504D4F5" w14:textId="4580D394"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Redeveloping and expanding services at the Watson Health Precinct</w:t>
            </w:r>
          </w:p>
        </w:tc>
        <w:tc>
          <w:tcPr>
            <w:tcW w:w="840" w:type="dxa"/>
            <w:tcBorders>
              <w:top w:val="nil"/>
              <w:left w:val="nil"/>
              <w:bottom w:val="nil"/>
              <w:right w:val="nil"/>
              <w:tl2br w:val="nil"/>
              <w:tr2bl w:val="nil"/>
            </w:tcBorders>
            <w:noWrap/>
            <w:tcMar>
              <w:left w:w="40" w:type="dxa"/>
              <w:right w:w="40" w:type="dxa"/>
            </w:tcMar>
          </w:tcPr>
          <w:p w14:paraId="156A8C27"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48,993</w:t>
            </w:r>
          </w:p>
        </w:tc>
        <w:tc>
          <w:tcPr>
            <w:tcW w:w="840" w:type="dxa"/>
            <w:tcBorders>
              <w:top w:val="nil"/>
              <w:left w:val="nil"/>
              <w:bottom w:val="nil"/>
              <w:right w:val="nil"/>
              <w:tl2br w:val="nil"/>
              <w:tr2bl w:val="nil"/>
            </w:tcBorders>
            <w:noWrap/>
            <w:tcMar>
              <w:left w:w="40" w:type="dxa"/>
              <w:right w:w="40" w:type="dxa"/>
            </w:tcMar>
          </w:tcPr>
          <w:p w14:paraId="338F832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5,500</w:t>
            </w:r>
          </w:p>
        </w:tc>
        <w:tc>
          <w:tcPr>
            <w:tcW w:w="840" w:type="dxa"/>
            <w:tcBorders>
              <w:top w:val="nil"/>
              <w:left w:val="nil"/>
              <w:bottom w:val="nil"/>
              <w:right w:val="nil"/>
              <w:tl2br w:val="nil"/>
              <w:tr2bl w:val="nil"/>
            </w:tcBorders>
            <w:noWrap/>
            <w:tcMar>
              <w:left w:w="40" w:type="dxa"/>
              <w:right w:w="40" w:type="dxa"/>
            </w:tcMar>
          </w:tcPr>
          <w:p w14:paraId="23A6E72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54FE8C4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4459243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2AD00FD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5,500</w:t>
            </w:r>
          </w:p>
        </w:tc>
        <w:tc>
          <w:tcPr>
            <w:tcW w:w="1005" w:type="dxa"/>
            <w:tcBorders>
              <w:top w:val="nil"/>
              <w:left w:val="nil"/>
              <w:bottom w:val="nil"/>
              <w:right w:val="nil"/>
              <w:tl2br w:val="nil"/>
              <w:tr2bl w:val="nil"/>
            </w:tcBorders>
            <w:noWrap/>
            <w:tcMar>
              <w:left w:w="40" w:type="dxa"/>
              <w:right w:w="40" w:type="dxa"/>
            </w:tcMar>
          </w:tcPr>
          <w:p w14:paraId="0AFBFF6D"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Aug-26</w:t>
            </w:r>
          </w:p>
        </w:tc>
      </w:tr>
      <w:tr w:rsidR="00143C9C" w14:paraId="0FCE5051"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2985" w:type="dxa"/>
            <w:tcBorders>
              <w:top w:val="nil"/>
              <w:left w:val="nil"/>
              <w:bottom w:val="nil"/>
              <w:right w:val="nil"/>
              <w:tl2br w:val="nil"/>
              <w:tr2bl w:val="nil"/>
            </w:tcBorders>
            <w:tcMar>
              <w:left w:w="40" w:type="dxa"/>
              <w:right w:w="40" w:type="dxa"/>
            </w:tcMar>
          </w:tcPr>
          <w:p w14:paraId="30A87FB9" w14:textId="5F43D2A3"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Canberra Hospital Expansion</w:t>
            </w:r>
            <w:r w:rsidR="00897636">
              <w:rPr>
                <w:rFonts w:ascii="Calibri" w:eastAsia="Calibri" w:hAnsi="Calibri" w:cs="Calibri"/>
                <w:color w:val="000000"/>
                <w:sz w:val="18"/>
                <w:vertAlign w:val="superscript"/>
                <w:lang w:eastAsia="en-US"/>
              </w:rPr>
              <w:t>5</w:t>
            </w:r>
          </w:p>
        </w:tc>
        <w:tc>
          <w:tcPr>
            <w:tcW w:w="840" w:type="dxa"/>
            <w:tcBorders>
              <w:top w:val="nil"/>
              <w:left w:val="nil"/>
              <w:bottom w:val="nil"/>
              <w:right w:val="nil"/>
              <w:tl2br w:val="nil"/>
              <w:tr2bl w:val="nil"/>
            </w:tcBorders>
            <w:noWrap/>
            <w:tcMar>
              <w:left w:w="40" w:type="dxa"/>
              <w:right w:w="40" w:type="dxa"/>
            </w:tcMar>
          </w:tcPr>
          <w:p w14:paraId="4B389AFF"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673,254</w:t>
            </w:r>
          </w:p>
        </w:tc>
        <w:tc>
          <w:tcPr>
            <w:tcW w:w="840" w:type="dxa"/>
            <w:tcBorders>
              <w:top w:val="nil"/>
              <w:left w:val="nil"/>
              <w:bottom w:val="nil"/>
              <w:right w:val="nil"/>
              <w:tl2br w:val="nil"/>
              <w:tr2bl w:val="nil"/>
            </w:tcBorders>
            <w:noWrap/>
            <w:tcMar>
              <w:left w:w="40" w:type="dxa"/>
              <w:right w:w="40" w:type="dxa"/>
            </w:tcMar>
          </w:tcPr>
          <w:p w14:paraId="559F163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3,000</w:t>
            </w:r>
          </w:p>
        </w:tc>
        <w:tc>
          <w:tcPr>
            <w:tcW w:w="840" w:type="dxa"/>
            <w:tcBorders>
              <w:top w:val="nil"/>
              <w:left w:val="nil"/>
              <w:bottom w:val="nil"/>
              <w:right w:val="nil"/>
              <w:tl2br w:val="nil"/>
              <w:tr2bl w:val="nil"/>
            </w:tcBorders>
            <w:noWrap/>
            <w:tcMar>
              <w:left w:w="40" w:type="dxa"/>
              <w:right w:w="40" w:type="dxa"/>
            </w:tcMar>
          </w:tcPr>
          <w:p w14:paraId="532441F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3102FEC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5AF55A5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1198402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3,000</w:t>
            </w:r>
          </w:p>
        </w:tc>
        <w:tc>
          <w:tcPr>
            <w:tcW w:w="1005" w:type="dxa"/>
            <w:tcBorders>
              <w:top w:val="nil"/>
              <w:left w:val="nil"/>
              <w:bottom w:val="nil"/>
              <w:right w:val="nil"/>
              <w:tl2br w:val="nil"/>
              <w:tr2bl w:val="nil"/>
            </w:tcBorders>
            <w:noWrap/>
            <w:tcMar>
              <w:left w:w="40" w:type="dxa"/>
              <w:right w:w="40" w:type="dxa"/>
            </w:tcMar>
          </w:tcPr>
          <w:p w14:paraId="18E1217C"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DLP</w:t>
            </w:r>
          </w:p>
        </w:tc>
      </w:tr>
      <w:tr w:rsidR="00143C9C" w14:paraId="7D1A7B96"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2985" w:type="dxa"/>
            <w:tcBorders>
              <w:top w:val="nil"/>
              <w:left w:val="nil"/>
              <w:bottom w:val="nil"/>
              <w:right w:val="nil"/>
              <w:tl2br w:val="nil"/>
              <w:tr2bl w:val="nil"/>
            </w:tcBorders>
            <w:tcMar>
              <w:left w:w="40" w:type="dxa"/>
              <w:right w:w="40" w:type="dxa"/>
            </w:tcMar>
          </w:tcPr>
          <w:p w14:paraId="78EBE4BA" w14:textId="0C455992"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Improving Canberra's Health Infrastructure – Northside Hospital Development</w:t>
            </w:r>
            <w:r>
              <w:rPr>
                <w:rFonts w:ascii="Calibri" w:eastAsia="Calibri" w:hAnsi="Calibri" w:cs="Calibri"/>
                <w:color w:val="000000"/>
                <w:sz w:val="18"/>
                <w:vertAlign w:val="superscript"/>
                <w:lang w:eastAsia="en-US"/>
              </w:rPr>
              <w:t>2,</w:t>
            </w:r>
            <w:r w:rsidR="00897636">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0CB2A158"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1,471,215</w:t>
            </w:r>
          </w:p>
        </w:tc>
        <w:tc>
          <w:tcPr>
            <w:tcW w:w="840" w:type="dxa"/>
            <w:tcBorders>
              <w:top w:val="nil"/>
              <w:left w:val="nil"/>
              <w:bottom w:val="nil"/>
              <w:right w:val="nil"/>
              <w:tl2br w:val="nil"/>
              <w:tr2bl w:val="nil"/>
            </w:tcBorders>
            <w:noWrap/>
            <w:tcMar>
              <w:left w:w="40" w:type="dxa"/>
              <w:right w:w="40" w:type="dxa"/>
            </w:tcMar>
          </w:tcPr>
          <w:p w14:paraId="3BE4647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96,324</w:t>
            </w:r>
          </w:p>
        </w:tc>
        <w:tc>
          <w:tcPr>
            <w:tcW w:w="840" w:type="dxa"/>
            <w:tcBorders>
              <w:top w:val="nil"/>
              <w:left w:val="nil"/>
              <w:bottom w:val="nil"/>
              <w:right w:val="nil"/>
              <w:tl2br w:val="nil"/>
              <w:tr2bl w:val="nil"/>
            </w:tcBorders>
            <w:noWrap/>
            <w:tcMar>
              <w:left w:w="40" w:type="dxa"/>
              <w:right w:w="40" w:type="dxa"/>
            </w:tcMar>
          </w:tcPr>
          <w:p w14:paraId="43F0001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111,970</w:t>
            </w:r>
          </w:p>
        </w:tc>
        <w:tc>
          <w:tcPr>
            <w:tcW w:w="840" w:type="dxa"/>
            <w:tcBorders>
              <w:top w:val="nil"/>
              <w:left w:val="nil"/>
              <w:bottom w:val="nil"/>
              <w:right w:val="nil"/>
              <w:tl2br w:val="nil"/>
              <w:tr2bl w:val="nil"/>
            </w:tcBorders>
            <w:noWrap/>
            <w:tcMar>
              <w:left w:w="40" w:type="dxa"/>
              <w:right w:w="40" w:type="dxa"/>
            </w:tcMar>
          </w:tcPr>
          <w:p w14:paraId="6940C67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184,140</w:t>
            </w:r>
          </w:p>
        </w:tc>
        <w:tc>
          <w:tcPr>
            <w:tcW w:w="840" w:type="dxa"/>
            <w:tcBorders>
              <w:top w:val="nil"/>
              <w:left w:val="nil"/>
              <w:bottom w:val="nil"/>
              <w:right w:val="nil"/>
              <w:tl2br w:val="nil"/>
              <w:tr2bl w:val="nil"/>
            </w:tcBorders>
            <w:noWrap/>
            <w:tcMar>
              <w:left w:w="40" w:type="dxa"/>
              <w:right w:w="40" w:type="dxa"/>
            </w:tcMar>
          </w:tcPr>
          <w:p w14:paraId="750B18C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184,140</w:t>
            </w:r>
          </w:p>
        </w:tc>
        <w:tc>
          <w:tcPr>
            <w:tcW w:w="945" w:type="dxa"/>
            <w:tcBorders>
              <w:top w:val="nil"/>
              <w:left w:val="nil"/>
              <w:bottom w:val="nil"/>
              <w:right w:val="nil"/>
              <w:tl2br w:val="nil"/>
              <w:tr2bl w:val="nil"/>
            </w:tcBorders>
            <w:noWrap/>
            <w:tcMar>
              <w:left w:w="40" w:type="dxa"/>
              <w:right w:w="40" w:type="dxa"/>
            </w:tcMar>
          </w:tcPr>
          <w:p w14:paraId="45C257B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576,574</w:t>
            </w:r>
          </w:p>
        </w:tc>
        <w:tc>
          <w:tcPr>
            <w:tcW w:w="1005" w:type="dxa"/>
            <w:tcBorders>
              <w:top w:val="nil"/>
              <w:left w:val="nil"/>
              <w:bottom w:val="nil"/>
              <w:right w:val="nil"/>
              <w:tl2br w:val="nil"/>
              <w:tr2bl w:val="nil"/>
            </w:tcBorders>
            <w:noWrap/>
            <w:tcMar>
              <w:left w:w="40" w:type="dxa"/>
              <w:right w:w="40" w:type="dxa"/>
            </w:tcMar>
          </w:tcPr>
          <w:p w14:paraId="4BAB1391"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r>
      <w:tr w:rsidR="00143C9C" w14:paraId="4D9D3C9F"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2985" w:type="dxa"/>
            <w:tcBorders>
              <w:top w:val="nil"/>
              <w:left w:val="nil"/>
              <w:bottom w:val="nil"/>
              <w:right w:val="nil"/>
              <w:tl2br w:val="nil"/>
              <w:tr2bl w:val="nil"/>
            </w:tcBorders>
            <w:tcMar>
              <w:left w:w="40" w:type="dxa"/>
              <w:right w:w="40" w:type="dxa"/>
            </w:tcMar>
          </w:tcPr>
          <w:p w14:paraId="7C04287E"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Investing in Canberra’s Arts Sector</w:t>
            </w:r>
          </w:p>
        </w:tc>
        <w:tc>
          <w:tcPr>
            <w:tcW w:w="840" w:type="dxa"/>
            <w:tcBorders>
              <w:top w:val="nil"/>
              <w:left w:val="nil"/>
              <w:bottom w:val="nil"/>
              <w:right w:val="nil"/>
              <w:tl2br w:val="nil"/>
              <w:tr2bl w:val="nil"/>
            </w:tcBorders>
            <w:noWrap/>
            <w:tcMar>
              <w:left w:w="40" w:type="dxa"/>
              <w:right w:w="40" w:type="dxa"/>
            </w:tcMar>
          </w:tcPr>
          <w:p w14:paraId="4692657B"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5,845</w:t>
            </w:r>
          </w:p>
        </w:tc>
        <w:tc>
          <w:tcPr>
            <w:tcW w:w="840" w:type="dxa"/>
            <w:tcBorders>
              <w:top w:val="nil"/>
              <w:left w:val="nil"/>
              <w:bottom w:val="nil"/>
              <w:right w:val="nil"/>
              <w:tl2br w:val="nil"/>
              <w:tr2bl w:val="nil"/>
            </w:tcBorders>
            <w:noWrap/>
            <w:tcMar>
              <w:left w:w="40" w:type="dxa"/>
              <w:right w:w="40" w:type="dxa"/>
            </w:tcMar>
          </w:tcPr>
          <w:p w14:paraId="794BF55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2,715</w:t>
            </w:r>
          </w:p>
        </w:tc>
        <w:tc>
          <w:tcPr>
            <w:tcW w:w="840" w:type="dxa"/>
            <w:tcBorders>
              <w:top w:val="nil"/>
              <w:left w:val="nil"/>
              <w:bottom w:val="nil"/>
              <w:right w:val="nil"/>
              <w:tl2br w:val="nil"/>
              <w:tr2bl w:val="nil"/>
            </w:tcBorders>
            <w:noWrap/>
            <w:tcMar>
              <w:left w:w="40" w:type="dxa"/>
              <w:right w:w="40" w:type="dxa"/>
            </w:tcMar>
          </w:tcPr>
          <w:p w14:paraId="720F629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2,710</w:t>
            </w:r>
          </w:p>
        </w:tc>
        <w:tc>
          <w:tcPr>
            <w:tcW w:w="840" w:type="dxa"/>
            <w:tcBorders>
              <w:top w:val="nil"/>
              <w:left w:val="nil"/>
              <w:bottom w:val="nil"/>
              <w:right w:val="nil"/>
              <w:tl2br w:val="nil"/>
              <w:tr2bl w:val="nil"/>
            </w:tcBorders>
            <w:noWrap/>
            <w:tcMar>
              <w:left w:w="40" w:type="dxa"/>
              <w:right w:w="40" w:type="dxa"/>
            </w:tcMar>
          </w:tcPr>
          <w:p w14:paraId="53463B5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485FFFA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25E0861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5,425</w:t>
            </w:r>
          </w:p>
        </w:tc>
        <w:tc>
          <w:tcPr>
            <w:tcW w:w="1005" w:type="dxa"/>
            <w:tcBorders>
              <w:top w:val="nil"/>
              <w:left w:val="nil"/>
              <w:bottom w:val="nil"/>
              <w:right w:val="nil"/>
              <w:tl2br w:val="nil"/>
              <w:tr2bl w:val="nil"/>
            </w:tcBorders>
            <w:noWrap/>
            <w:tcMar>
              <w:left w:w="40" w:type="dxa"/>
              <w:right w:w="40" w:type="dxa"/>
            </w:tcMar>
          </w:tcPr>
          <w:p w14:paraId="3184C599"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Jun-28</w:t>
            </w:r>
          </w:p>
        </w:tc>
      </w:tr>
      <w:tr w:rsidR="00143C9C" w14:paraId="328D4D09"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985" w:type="dxa"/>
            <w:tcBorders>
              <w:top w:val="nil"/>
              <w:left w:val="nil"/>
              <w:bottom w:val="nil"/>
              <w:right w:val="nil"/>
              <w:tl2br w:val="nil"/>
              <w:tr2bl w:val="nil"/>
            </w:tcBorders>
            <w:tcMar>
              <w:left w:w="40" w:type="dxa"/>
              <w:right w:w="40" w:type="dxa"/>
            </w:tcMar>
          </w:tcPr>
          <w:p w14:paraId="242B88E3" w14:textId="57A49E09"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Kingston Arts Precinct</w:t>
            </w:r>
            <w:r w:rsidR="00897636">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352F403C"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30,074</w:t>
            </w:r>
          </w:p>
        </w:tc>
        <w:tc>
          <w:tcPr>
            <w:tcW w:w="840" w:type="dxa"/>
            <w:tcBorders>
              <w:top w:val="nil"/>
              <w:left w:val="nil"/>
              <w:bottom w:val="nil"/>
              <w:right w:val="nil"/>
              <w:tl2br w:val="nil"/>
              <w:tr2bl w:val="nil"/>
            </w:tcBorders>
            <w:noWrap/>
            <w:tcMar>
              <w:left w:w="40" w:type="dxa"/>
              <w:right w:w="40" w:type="dxa"/>
            </w:tcMar>
          </w:tcPr>
          <w:p w14:paraId="70C01A7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28,456</w:t>
            </w:r>
          </w:p>
        </w:tc>
        <w:tc>
          <w:tcPr>
            <w:tcW w:w="840" w:type="dxa"/>
            <w:tcBorders>
              <w:top w:val="nil"/>
              <w:left w:val="nil"/>
              <w:bottom w:val="nil"/>
              <w:right w:val="nil"/>
              <w:tl2br w:val="nil"/>
              <w:tr2bl w:val="nil"/>
            </w:tcBorders>
            <w:noWrap/>
            <w:tcMar>
              <w:left w:w="40" w:type="dxa"/>
              <w:right w:w="40" w:type="dxa"/>
            </w:tcMar>
          </w:tcPr>
          <w:p w14:paraId="14C4D4F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5E2B2AB3"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3911F17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006A27C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28,456</w:t>
            </w:r>
          </w:p>
        </w:tc>
        <w:tc>
          <w:tcPr>
            <w:tcW w:w="1005" w:type="dxa"/>
            <w:tcBorders>
              <w:top w:val="nil"/>
              <w:left w:val="nil"/>
              <w:bottom w:val="nil"/>
              <w:right w:val="nil"/>
              <w:tl2br w:val="nil"/>
              <w:tr2bl w:val="nil"/>
            </w:tcBorders>
            <w:noWrap/>
            <w:tcMar>
              <w:left w:w="40" w:type="dxa"/>
              <w:right w:w="40" w:type="dxa"/>
            </w:tcMar>
          </w:tcPr>
          <w:p w14:paraId="0385795B"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r>
      <w:tr w:rsidR="001B3ED6" w14:paraId="6E185685"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985" w:type="dxa"/>
            <w:tcBorders>
              <w:top w:val="nil"/>
              <w:left w:val="nil"/>
              <w:bottom w:val="nil"/>
              <w:right w:val="nil"/>
              <w:tl2br w:val="nil"/>
              <w:tr2bl w:val="nil"/>
            </w:tcBorders>
            <w:tcMar>
              <w:left w:w="40" w:type="dxa"/>
              <w:right w:w="40" w:type="dxa"/>
            </w:tcMar>
          </w:tcPr>
          <w:p w14:paraId="2054742A" w14:textId="1D0B1466" w:rsidR="001B3ED6" w:rsidRDefault="001B3ED6" w:rsidP="001B3ED6">
            <w:pPr>
              <w:pBdr>
                <w:top w:val="nil"/>
                <w:left w:val="nil"/>
                <w:bottom w:val="nil"/>
                <w:right w:val="nil"/>
                <w:between w:val="nil"/>
                <w:bar w:val="nil"/>
              </w:pBdr>
              <w:ind w:left="170" w:hanging="170"/>
              <w:rPr>
                <w:rFonts w:ascii="Calibri" w:eastAsia="Calibri" w:hAnsi="Calibri" w:cs="Calibri"/>
                <w:color w:val="000000"/>
                <w:sz w:val="18"/>
              </w:rPr>
            </w:pPr>
            <w:r w:rsidRPr="001B3ED6">
              <w:rPr>
                <w:rFonts w:ascii="Calibri" w:eastAsia="Calibri" w:hAnsi="Calibri" w:cs="Calibri"/>
                <w:color w:val="000000"/>
                <w:sz w:val="18"/>
                <w:lang w:eastAsia="en-US"/>
              </w:rPr>
              <w:t>Market Conditions Provision</w:t>
            </w:r>
            <w:r>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62F92DBF" w14:textId="77777777" w:rsidR="001B3ED6" w:rsidRDefault="001B3ED6" w:rsidP="001B3ED6">
            <w:pPr>
              <w:pBdr>
                <w:top w:val="nil"/>
                <w:left w:val="nil"/>
                <w:bottom w:val="nil"/>
                <w:right w:val="nil"/>
                <w:between w:val="nil"/>
                <w:bar w:val="nil"/>
              </w:pBdr>
              <w:jc w:val="center"/>
              <w:rPr>
                <w:rFonts w:ascii="Calibri" w:eastAsia="Calibri" w:hAnsi="Calibri" w:cs="Calibri"/>
                <w:b/>
                <w:color w:val="000000"/>
                <w:sz w:val="18"/>
              </w:rPr>
            </w:pPr>
          </w:p>
        </w:tc>
        <w:tc>
          <w:tcPr>
            <w:tcW w:w="840" w:type="dxa"/>
            <w:tcBorders>
              <w:top w:val="nil"/>
              <w:left w:val="nil"/>
              <w:bottom w:val="nil"/>
              <w:right w:val="nil"/>
              <w:tl2br w:val="nil"/>
              <w:tr2bl w:val="nil"/>
            </w:tcBorders>
            <w:noWrap/>
            <w:tcMar>
              <w:left w:w="40" w:type="dxa"/>
              <w:right w:w="40" w:type="dxa"/>
            </w:tcMar>
          </w:tcPr>
          <w:p w14:paraId="0C5CE4F6" w14:textId="4D1A4121" w:rsidR="001B3ED6" w:rsidRDefault="001B3ED6" w:rsidP="001B3ED6">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50,000</w:t>
            </w:r>
          </w:p>
        </w:tc>
        <w:tc>
          <w:tcPr>
            <w:tcW w:w="840" w:type="dxa"/>
            <w:tcBorders>
              <w:top w:val="nil"/>
              <w:left w:val="nil"/>
              <w:bottom w:val="nil"/>
              <w:right w:val="nil"/>
              <w:tl2br w:val="nil"/>
              <w:tr2bl w:val="nil"/>
            </w:tcBorders>
            <w:noWrap/>
            <w:tcMar>
              <w:left w:w="40" w:type="dxa"/>
              <w:right w:w="40" w:type="dxa"/>
            </w:tcMar>
          </w:tcPr>
          <w:p w14:paraId="62C86C69" w14:textId="0341720C" w:rsidR="001B3ED6" w:rsidRDefault="001B3ED6" w:rsidP="001B3ED6">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3DF3D714" w14:textId="00C0EEC9" w:rsidR="001B3ED6" w:rsidRDefault="001B3ED6" w:rsidP="001B3ED6">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4E8EF96D" w14:textId="04953FE3" w:rsidR="001B3ED6" w:rsidRDefault="001B3ED6" w:rsidP="001B3ED6">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5E03984C" w14:textId="6CC087AD" w:rsidR="001B3ED6" w:rsidRDefault="001B3ED6" w:rsidP="001B3ED6">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50,000</w:t>
            </w:r>
          </w:p>
        </w:tc>
        <w:tc>
          <w:tcPr>
            <w:tcW w:w="1005" w:type="dxa"/>
            <w:tcBorders>
              <w:top w:val="nil"/>
              <w:left w:val="nil"/>
              <w:bottom w:val="nil"/>
              <w:right w:val="nil"/>
              <w:tl2br w:val="nil"/>
              <w:tr2bl w:val="nil"/>
            </w:tcBorders>
            <w:noWrap/>
            <w:tcMar>
              <w:left w:w="40" w:type="dxa"/>
              <w:right w:w="40" w:type="dxa"/>
            </w:tcMar>
          </w:tcPr>
          <w:p w14:paraId="4AF6834F" w14:textId="3121E8F9" w:rsidR="001B3ED6" w:rsidRDefault="001B3ED6" w:rsidP="001B3ED6">
            <w:pPr>
              <w:pBdr>
                <w:top w:val="nil"/>
                <w:left w:val="nil"/>
                <w:bottom w:val="nil"/>
                <w:right w:val="nil"/>
                <w:between w:val="nil"/>
                <w:bar w:val="nil"/>
              </w:pBdr>
              <w:jc w:val="center"/>
              <w:rPr>
                <w:rFonts w:ascii="Calibri" w:eastAsia="Calibri" w:hAnsi="Calibri" w:cs="Calibri"/>
                <w:b/>
                <w:color w:val="000000"/>
                <w:sz w:val="18"/>
              </w:rPr>
            </w:pPr>
            <w:r>
              <w:rPr>
                <w:rFonts w:ascii="Calibri" w:eastAsia="Calibri" w:hAnsi="Calibri" w:cs="Calibri"/>
                <w:b/>
                <w:color w:val="000000"/>
                <w:sz w:val="18"/>
                <w:lang w:eastAsia="en-US"/>
              </w:rPr>
              <w:t>TBD</w:t>
            </w:r>
          </w:p>
        </w:tc>
      </w:tr>
      <w:tr w:rsidR="00143C9C" w14:paraId="792B6049"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985" w:type="dxa"/>
            <w:tcBorders>
              <w:top w:val="nil"/>
              <w:left w:val="nil"/>
              <w:bottom w:val="nil"/>
              <w:right w:val="nil"/>
              <w:tl2br w:val="nil"/>
              <w:tr2bl w:val="nil"/>
            </w:tcBorders>
            <w:tcMar>
              <w:left w:w="40" w:type="dxa"/>
              <w:right w:w="40" w:type="dxa"/>
            </w:tcMar>
          </w:tcPr>
          <w:p w14:paraId="71D12159" w14:textId="4538DE4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Molonglo Enabling Works</w:t>
            </w:r>
            <w:r w:rsidR="00897636">
              <w:rPr>
                <w:rFonts w:ascii="Calibri" w:eastAsia="Calibri" w:hAnsi="Calibri" w:cs="Calibri"/>
                <w:color w:val="000000"/>
                <w:sz w:val="18"/>
                <w:vertAlign w:val="superscript"/>
                <w:lang w:eastAsia="en-US"/>
              </w:rPr>
              <w:t>3</w:t>
            </w:r>
          </w:p>
        </w:tc>
        <w:tc>
          <w:tcPr>
            <w:tcW w:w="840" w:type="dxa"/>
            <w:tcBorders>
              <w:top w:val="nil"/>
              <w:left w:val="nil"/>
              <w:bottom w:val="nil"/>
              <w:right w:val="nil"/>
              <w:tl2br w:val="nil"/>
              <w:tr2bl w:val="nil"/>
            </w:tcBorders>
            <w:noWrap/>
            <w:tcMar>
              <w:left w:w="40" w:type="dxa"/>
              <w:right w:w="40" w:type="dxa"/>
            </w:tcMar>
          </w:tcPr>
          <w:p w14:paraId="7EF95464"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226,200</w:t>
            </w:r>
          </w:p>
        </w:tc>
        <w:tc>
          <w:tcPr>
            <w:tcW w:w="840" w:type="dxa"/>
            <w:tcBorders>
              <w:top w:val="nil"/>
              <w:left w:val="nil"/>
              <w:bottom w:val="nil"/>
              <w:right w:val="nil"/>
              <w:tl2br w:val="nil"/>
              <w:tr2bl w:val="nil"/>
            </w:tcBorders>
            <w:noWrap/>
            <w:tcMar>
              <w:left w:w="40" w:type="dxa"/>
              <w:right w:w="40" w:type="dxa"/>
            </w:tcMar>
          </w:tcPr>
          <w:p w14:paraId="3E278F1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53,442</w:t>
            </w:r>
          </w:p>
        </w:tc>
        <w:tc>
          <w:tcPr>
            <w:tcW w:w="840" w:type="dxa"/>
            <w:tcBorders>
              <w:top w:val="nil"/>
              <w:left w:val="nil"/>
              <w:bottom w:val="nil"/>
              <w:right w:val="nil"/>
              <w:tl2br w:val="nil"/>
              <w:tr2bl w:val="nil"/>
            </w:tcBorders>
            <w:noWrap/>
            <w:tcMar>
              <w:left w:w="40" w:type="dxa"/>
              <w:right w:w="40" w:type="dxa"/>
            </w:tcMar>
          </w:tcPr>
          <w:p w14:paraId="0EA85A1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4,500</w:t>
            </w:r>
          </w:p>
        </w:tc>
        <w:tc>
          <w:tcPr>
            <w:tcW w:w="840" w:type="dxa"/>
            <w:tcBorders>
              <w:top w:val="nil"/>
              <w:left w:val="nil"/>
              <w:bottom w:val="nil"/>
              <w:right w:val="nil"/>
              <w:tl2br w:val="nil"/>
              <w:tr2bl w:val="nil"/>
            </w:tcBorders>
            <w:noWrap/>
            <w:tcMar>
              <w:left w:w="40" w:type="dxa"/>
              <w:right w:w="40" w:type="dxa"/>
            </w:tcMar>
          </w:tcPr>
          <w:p w14:paraId="6B93FE5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27902F7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617A7B9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57,942</w:t>
            </w:r>
          </w:p>
        </w:tc>
        <w:tc>
          <w:tcPr>
            <w:tcW w:w="1005" w:type="dxa"/>
            <w:tcBorders>
              <w:top w:val="nil"/>
              <w:left w:val="nil"/>
              <w:bottom w:val="nil"/>
              <w:right w:val="nil"/>
              <w:tl2br w:val="nil"/>
              <w:tr2bl w:val="nil"/>
            </w:tcBorders>
            <w:noWrap/>
            <w:tcMar>
              <w:left w:w="40" w:type="dxa"/>
              <w:right w:w="40" w:type="dxa"/>
            </w:tcMar>
          </w:tcPr>
          <w:p w14:paraId="32E43E00"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Dec-26</w:t>
            </w:r>
          </w:p>
        </w:tc>
      </w:tr>
      <w:tr w:rsidR="00143C9C" w14:paraId="4ED79382"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85" w:type="dxa"/>
            <w:tcBorders>
              <w:top w:val="nil"/>
              <w:left w:val="nil"/>
              <w:bottom w:val="nil"/>
              <w:right w:val="nil"/>
              <w:tl2br w:val="nil"/>
              <w:tr2bl w:val="nil"/>
            </w:tcBorders>
            <w:tcMar>
              <w:left w:w="40" w:type="dxa"/>
              <w:right w:w="40" w:type="dxa"/>
            </w:tcMar>
          </w:tcPr>
          <w:p w14:paraId="1019CC01"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More energy efficient Government accommodation</w:t>
            </w:r>
          </w:p>
        </w:tc>
        <w:tc>
          <w:tcPr>
            <w:tcW w:w="840" w:type="dxa"/>
            <w:tcBorders>
              <w:top w:val="nil"/>
              <w:left w:val="nil"/>
              <w:bottom w:val="nil"/>
              <w:right w:val="nil"/>
              <w:tl2br w:val="nil"/>
              <w:tr2bl w:val="nil"/>
            </w:tcBorders>
            <w:noWrap/>
            <w:tcMar>
              <w:left w:w="40" w:type="dxa"/>
              <w:right w:w="40" w:type="dxa"/>
            </w:tcMar>
          </w:tcPr>
          <w:p w14:paraId="48B40307"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15,252</w:t>
            </w:r>
          </w:p>
        </w:tc>
        <w:tc>
          <w:tcPr>
            <w:tcW w:w="840" w:type="dxa"/>
            <w:tcBorders>
              <w:top w:val="nil"/>
              <w:left w:val="nil"/>
              <w:bottom w:val="nil"/>
              <w:right w:val="nil"/>
              <w:tl2br w:val="nil"/>
              <w:tr2bl w:val="nil"/>
            </w:tcBorders>
            <w:noWrap/>
            <w:tcMar>
              <w:left w:w="40" w:type="dxa"/>
              <w:right w:w="40" w:type="dxa"/>
            </w:tcMar>
          </w:tcPr>
          <w:p w14:paraId="3CE4F40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2,995</w:t>
            </w:r>
          </w:p>
        </w:tc>
        <w:tc>
          <w:tcPr>
            <w:tcW w:w="840" w:type="dxa"/>
            <w:tcBorders>
              <w:top w:val="nil"/>
              <w:left w:val="nil"/>
              <w:bottom w:val="nil"/>
              <w:right w:val="nil"/>
              <w:tl2br w:val="nil"/>
              <w:tr2bl w:val="nil"/>
            </w:tcBorders>
            <w:noWrap/>
            <w:tcMar>
              <w:left w:w="40" w:type="dxa"/>
              <w:right w:w="40" w:type="dxa"/>
            </w:tcMar>
          </w:tcPr>
          <w:p w14:paraId="36721A7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1,500</w:t>
            </w:r>
          </w:p>
        </w:tc>
        <w:tc>
          <w:tcPr>
            <w:tcW w:w="840" w:type="dxa"/>
            <w:tcBorders>
              <w:top w:val="nil"/>
              <w:left w:val="nil"/>
              <w:bottom w:val="nil"/>
              <w:right w:val="nil"/>
              <w:tl2br w:val="nil"/>
              <w:tr2bl w:val="nil"/>
            </w:tcBorders>
            <w:noWrap/>
            <w:tcMar>
              <w:left w:w="40" w:type="dxa"/>
              <w:right w:w="40" w:type="dxa"/>
            </w:tcMar>
          </w:tcPr>
          <w:p w14:paraId="526D247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2,885</w:t>
            </w:r>
          </w:p>
        </w:tc>
        <w:tc>
          <w:tcPr>
            <w:tcW w:w="840" w:type="dxa"/>
            <w:tcBorders>
              <w:top w:val="nil"/>
              <w:left w:val="nil"/>
              <w:bottom w:val="nil"/>
              <w:right w:val="nil"/>
              <w:tl2br w:val="nil"/>
              <w:tr2bl w:val="nil"/>
            </w:tcBorders>
            <w:noWrap/>
            <w:tcMar>
              <w:left w:w="40" w:type="dxa"/>
              <w:right w:w="40" w:type="dxa"/>
            </w:tcMar>
          </w:tcPr>
          <w:p w14:paraId="401D952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49F0709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7,380</w:t>
            </w:r>
          </w:p>
        </w:tc>
        <w:tc>
          <w:tcPr>
            <w:tcW w:w="1005" w:type="dxa"/>
            <w:tcBorders>
              <w:top w:val="nil"/>
              <w:left w:val="nil"/>
              <w:bottom w:val="nil"/>
              <w:right w:val="nil"/>
              <w:tl2br w:val="nil"/>
              <w:tr2bl w:val="nil"/>
            </w:tcBorders>
            <w:noWrap/>
            <w:tcMar>
              <w:left w:w="40" w:type="dxa"/>
              <w:right w:w="40" w:type="dxa"/>
            </w:tcMar>
          </w:tcPr>
          <w:p w14:paraId="281BD56E"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Jun-29</w:t>
            </w:r>
          </w:p>
        </w:tc>
      </w:tr>
      <w:tr w:rsidR="00143C9C" w14:paraId="2A921D81"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985" w:type="dxa"/>
            <w:tcBorders>
              <w:top w:val="nil"/>
              <w:left w:val="nil"/>
              <w:bottom w:val="nil"/>
              <w:right w:val="nil"/>
              <w:tl2br w:val="nil"/>
              <w:tr2bl w:val="nil"/>
            </w:tcBorders>
            <w:tcMar>
              <w:left w:w="40" w:type="dxa"/>
              <w:right w:w="40" w:type="dxa"/>
            </w:tcMar>
          </w:tcPr>
          <w:p w14:paraId="3F42C50F"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More services for our suburbs – Upgrading the Old Kingston Bus Depot</w:t>
            </w:r>
          </w:p>
        </w:tc>
        <w:tc>
          <w:tcPr>
            <w:tcW w:w="840" w:type="dxa"/>
            <w:tcBorders>
              <w:top w:val="nil"/>
              <w:left w:val="nil"/>
              <w:bottom w:val="nil"/>
              <w:right w:val="nil"/>
              <w:tl2br w:val="nil"/>
              <w:tr2bl w:val="nil"/>
            </w:tcBorders>
            <w:noWrap/>
            <w:tcMar>
              <w:left w:w="40" w:type="dxa"/>
              <w:right w:w="40" w:type="dxa"/>
            </w:tcMar>
          </w:tcPr>
          <w:p w14:paraId="7F8E9A53"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5,953</w:t>
            </w:r>
          </w:p>
        </w:tc>
        <w:tc>
          <w:tcPr>
            <w:tcW w:w="840" w:type="dxa"/>
            <w:tcBorders>
              <w:top w:val="nil"/>
              <w:left w:val="nil"/>
              <w:bottom w:val="nil"/>
              <w:right w:val="nil"/>
              <w:tl2br w:val="nil"/>
              <w:tr2bl w:val="nil"/>
            </w:tcBorders>
            <w:noWrap/>
            <w:tcMar>
              <w:left w:w="40" w:type="dxa"/>
              <w:right w:w="40" w:type="dxa"/>
            </w:tcMar>
          </w:tcPr>
          <w:p w14:paraId="1CC3661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260</w:t>
            </w:r>
          </w:p>
        </w:tc>
        <w:tc>
          <w:tcPr>
            <w:tcW w:w="840" w:type="dxa"/>
            <w:tcBorders>
              <w:top w:val="nil"/>
              <w:left w:val="nil"/>
              <w:bottom w:val="nil"/>
              <w:right w:val="nil"/>
              <w:tl2br w:val="nil"/>
              <w:tr2bl w:val="nil"/>
            </w:tcBorders>
            <w:noWrap/>
            <w:tcMar>
              <w:left w:w="40" w:type="dxa"/>
              <w:right w:w="40" w:type="dxa"/>
            </w:tcMar>
          </w:tcPr>
          <w:p w14:paraId="0F30C85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5D8283B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7304536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080098A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260</w:t>
            </w:r>
          </w:p>
        </w:tc>
        <w:tc>
          <w:tcPr>
            <w:tcW w:w="1005" w:type="dxa"/>
            <w:tcBorders>
              <w:top w:val="nil"/>
              <w:left w:val="nil"/>
              <w:bottom w:val="nil"/>
              <w:right w:val="nil"/>
              <w:tl2br w:val="nil"/>
              <w:tr2bl w:val="nil"/>
            </w:tcBorders>
            <w:noWrap/>
            <w:tcMar>
              <w:left w:w="40" w:type="dxa"/>
              <w:right w:w="40" w:type="dxa"/>
            </w:tcMar>
          </w:tcPr>
          <w:p w14:paraId="19ECC018"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Jun-27</w:t>
            </w:r>
          </w:p>
        </w:tc>
      </w:tr>
      <w:tr w:rsidR="00B95A00" w14:paraId="08D27545"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2985" w:type="dxa"/>
            <w:tcBorders>
              <w:top w:val="nil"/>
              <w:left w:val="nil"/>
              <w:bottom w:val="nil"/>
              <w:right w:val="nil"/>
              <w:tl2br w:val="nil"/>
              <w:tr2bl w:val="nil"/>
            </w:tcBorders>
            <w:tcMar>
              <w:left w:w="40" w:type="dxa"/>
              <w:right w:w="40" w:type="dxa"/>
            </w:tcMar>
          </w:tcPr>
          <w:p w14:paraId="3310BE26" w14:textId="0324357F" w:rsidR="00B95A00" w:rsidRDefault="00B95A00" w:rsidP="00B95A00">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Development of the Whitlam Primary School and Early Childhood Education Centre</w:t>
            </w:r>
          </w:p>
        </w:tc>
        <w:tc>
          <w:tcPr>
            <w:tcW w:w="840" w:type="dxa"/>
            <w:tcBorders>
              <w:top w:val="nil"/>
              <w:left w:val="nil"/>
              <w:bottom w:val="nil"/>
              <w:right w:val="nil"/>
              <w:tl2br w:val="nil"/>
              <w:tr2bl w:val="nil"/>
            </w:tcBorders>
            <w:noWrap/>
            <w:tcMar>
              <w:left w:w="40" w:type="dxa"/>
              <w:right w:w="40" w:type="dxa"/>
            </w:tcMar>
          </w:tcPr>
          <w:p w14:paraId="245B7CBE" w14:textId="11CF4A8C" w:rsidR="00B95A00" w:rsidRDefault="00B95A00" w:rsidP="00B95A00">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114,750</w:t>
            </w:r>
          </w:p>
        </w:tc>
        <w:tc>
          <w:tcPr>
            <w:tcW w:w="840" w:type="dxa"/>
            <w:tcBorders>
              <w:top w:val="nil"/>
              <w:left w:val="nil"/>
              <w:bottom w:val="nil"/>
              <w:right w:val="nil"/>
              <w:tl2br w:val="nil"/>
              <w:tr2bl w:val="nil"/>
            </w:tcBorders>
            <w:noWrap/>
            <w:tcMar>
              <w:left w:w="40" w:type="dxa"/>
              <w:right w:w="40" w:type="dxa"/>
            </w:tcMar>
          </w:tcPr>
          <w:p w14:paraId="64CD3CB1" w14:textId="029A5269" w:rsidR="00B95A00" w:rsidRDefault="00B95A00" w:rsidP="00B95A0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61,753</w:t>
            </w:r>
          </w:p>
        </w:tc>
        <w:tc>
          <w:tcPr>
            <w:tcW w:w="840" w:type="dxa"/>
            <w:tcBorders>
              <w:top w:val="nil"/>
              <w:left w:val="nil"/>
              <w:bottom w:val="nil"/>
              <w:right w:val="nil"/>
              <w:tl2br w:val="nil"/>
              <w:tr2bl w:val="nil"/>
            </w:tcBorders>
            <w:noWrap/>
            <w:tcMar>
              <w:left w:w="40" w:type="dxa"/>
              <w:right w:w="40" w:type="dxa"/>
            </w:tcMar>
          </w:tcPr>
          <w:p w14:paraId="309E50EE" w14:textId="4D8E4FC5" w:rsidR="00B95A00" w:rsidRDefault="00B95A00" w:rsidP="00B95A00">
            <w:pPr>
              <w:pBdr>
                <w:top w:val="nil"/>
                <w:left w:val="nil"/>
                <w:bottom w:val="nil"/>
                <w:right w:val="nil"/>
                <w:between w:val="nil"/>
                <w:bar w:val="nil"/>
              </w:pBdr>
              <w:jc w:val="right"/>
              <w:rPr>
                <w:rFonts w:eastAsia="Calibri" w:cs="Calibri"/>
                <w:color w:val="000000"/>
              </w:rPr>
            </w:pPr>
            <w:r w:rsidRPr="00E65DB1">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44939340" w14:textId="2B871BFD" w:rsidR="00B95A00" w:rsidRDefault="00B95A00" w:rsidP="00B95A00">
            <w:pPr>
              <w:pBdr>
                <w:top w:val="nil"/>
                <w:left w:val="nil"/>
                <w:bottom w:val="nil"/>
                <w:right w:val="nil"/>
                <w:between w:val="nil"/>
                <w:bar w:val="nil"/>
              </w:pBdr>
              <w:jc w:val="right"/>
              <w:rPr>
                <w:rFonts w:eastAsia="Calibri" w:cs="Calibri"/>
                <w:color w:val="000000"/>
              </w:rPr>
            </w:pPr>
            <w:r w:rsidRPr="00E65DB1">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6C84E174" w14:textId="77777777" w:rsidR="00B95A00" w:rsidRDefault="00B95A00" w:rsidP="00B95A0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40CA0BDD" w14:textId="12C18180" w:rsidR="00B95A00" w:rsidRDefault="00B95A00" w:rsidP="00B95A0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61,753</w:t>
            </w:r>
          </w:p>
        </w:tc>
        <w:tc>
          <w:tcPr>
            <w:tcW w:w="1005" w:type="dxa"/>
            <w:tcBorders>
              <w:top w:val="nil"/>
              <w:left w:val="nil"/>
              <w:bottom w:val="nil"/>
              <w:right w:val="nil"/>
              <w:tl2br w:val="nil"/>
              <w:tr2bl w:val="nil"/>
            </w:tcBorders>
            <w:noWrap/>
            <w:tcMar>
              <w:left w:w="40" w:type="dxa"/>
              <w:right w:w="40" w:type="dxa"/>
            </w:tcMar>
          </w:tcPr>
          <w:p w14:paraId="2235E658" w14:textId="77777777" w:rsidR="00B95A00" w:rsidRDefault="00B95A00" w:rsidP="00B95A00">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Jan-27</w:t>
            </w:r>
          </w:p>
        </w:tc>
      </w:tr>
      <w:tr w:rsidR="00143C9C" w14:paraId="3B723FDD"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985" w:type="dxa"/>
            <w:tcBorders>
              <w:top w:val="nil"/>
              <w:left w:val="nil"/>
              <w:bottom w:val="nil"/>
              <w:right w:val="nil"/>
              <w:tl2br w:val="nil"/>
              <w:tr2bl w:val="nil"/>
            </w:tcBorders>
            <w:tcMar>
              <w:left w:w="40" w:type="dxa"/>
              <w:right w:w="40" w:type="dxa"/>
            </w:tcMar>
          </w:tcPr>
          <w:p w14:paraId="0CE98D7E" w14:textId="34BE49DB"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lastRenderedPageBreak/>
              <w:t>New and expanded schools – Garran Primary School</w:t>
            </w:r>
            <w:r w:rsidR="00897636">
              <w:rPr>
                <w:rFonts w:ascii="Calibri" w:eastAsia="Calibri" w:hAnsi="Calibri" w:cs="Calibri"/>
                <w:color w:val="000000"/>
                <w:sz w:val="18"/>
                <w:vertAlign w:val="superscript"/>
                <w:lang w:eastAsia="en-US"/>
              </w:rPr>
              <w:t>3</w:t>
            </w:r>
          </w:p>
        </w:tc>
        <w:tc>
          <w:tcPr>
            <w:tcW w:w="840" w:type="dxa"/>
            <w:tcBorders>
              <w:top w:val="nil"/>
              <w:left w:val="nil"/>
              <w:bottom w:val="nil"/>
              <w:right w:val="nil"/>
              <w:tl2br w:val="nil"/>
              <w:tr2bl w:val="nil"/>
            </w:tcBorders>
            <w:noWrap/>
            <w:tcMar>
              <w:left w:w="40" w:type="dxa"/>
              <w:right w:w="40" w:type="dxa"/>
            </w:tcMar>
          </w:tcPr>
          <w:p w14:paraId="76E5E1CD"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106,422</w:t>
            </w:r>
          </w:p>
        </w:tc>
        <w:tc>
          <w:tcPr>
            <w:tcW w:w="840" w:type="dxa"/>
            <w:tcBorders>
              <w:top w:val="nil"/>
              <w:left w:val="nil"/>
              <w:bottom w:val="nil"/>
              <w:right w:val="nil"/>
              <w:tl2br w:val="nil"/>
              <w:tr2bl w:val="nil"/>
            </w:tcBorders>
            <w:noWrap/>
            <w:tcMar>
              <w:left w:w="40" w:type="dxa"/>
              <w:right w:w="40" w:type="dxa"/>
            </w:tcMar>
          </w:tcPr>
          <w:p w14:paraId="6C147D2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31,115</w:t>
            </w:r>
          </w:p>
        </w:tc>
        <w:tc>
          <w:tcPr>
            <w:tcW w:w="840" w:type="dxa"/>
            <w:tcBorders>
              <w:top w:val="nil"/>
              <w:left w:val="nil"/>
              <w:bottom w:val="nil"/>
              <w:right w:val="nil"/>
              <w:tl2br w:val="nil"/>
              <w:tr2bl w:val="nil"/>
            </w:tcBorders>
            <w:noWrap/>
            <w:tcMar>
              <w:left w:w="40" w:type="dxa"/>
              <w:right w:w="40" w:type="dxa"/>
            </w:tcMar>
          </w:tcPr>
          <w:p w14:paraId="6912B2A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10,373</w:t>
            </w:r>
          </w:p>
        </w:tc>
        <w:tc>
          <w:tcPr>
            <w:tcW w:w="840" w:type="dxa"/>
            <w:tcBorders>
              <w:top w:val="nil"/>
              <w:left w:val="nil"/>
              <w:bottom w:val="nil"/>
              <w:right w:val="nil"/>
              <w:tl2br w:val="nil"/>
              <w:tr2bl w:val="nil"/>
            </w:tcBorders>
            <w:noWrap/>
            <w:tcMar>
              <w:left w:w="40" w:type="dxa"/>
              <w:right w:w="40" w:type="dxa"/>
            </w:tcMar>
          </w:tcPr>
          <w:p w14:paraId="0D5CE7B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40324E0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64E7D6E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41,488</w:t>
            </w:r>
          </w:p>
        </w:tc>
        <w:tc>
          <w:tcPr>
            <w:tcW w:w="1005" w:type="dxa"/>
            <w:tcBorders>
              <w:top w:val="nil"/>
              <w:left w:val="nil"/>
              <w:bottom w:val="nil"/>
              <w:right w:val="nil"/>
              <w:tl2br w:val="nil"/>
              <w:tr2bl w:val="nil"/>
            </w:tcBorders>
            <w:noWrap/>
            <w:tcMar>
              <w:left w:w="40" w:type="dxa"/>
              <w:right w:w="40" w:type="dxa"/>
            </w:tcMar>
          </w:tcPr>
          <w:p w14:paraId="2D2D3C62"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Dec-26</w:t>
            </w:r>
          </w:p>
        </w:tc>
      </w:tr>
      <w:tr w:rsidR="009D4458" w14:paraId="527DF279"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985" w:type="dxa"/>
            <w:tcBorders>
              <w:top w:val="nil"/>
              <w:left w:val="nil"/>
              <w:bottom w:val="nil"/>
              <w:right w:val="nil"/>
              <w:tl2br w:val="nil"/>
              <w:tr2bl w:val="nil"/>
            </w:tcBorders>
            <w:tcMar>
              <w:left w:w="40" w:type="dxa"/>
              <w:right w:w="40" w:type="dxa"/>
            </w:tcMar>
          </w:tcPr>
          <w:p w14:paraId="3F532E29" w14:textId="3C3705C5" w:rsidR="009D4458" w:rsidRPr="009D4458" w:rsidRDefault="009D4458" w:rsidP="009D4458">
            <w:pPr>
              <w:pBdr>
                <w:top w:val="nil"/>
                <w:left w:val="nil"/>
                <w:bottom w:val="nil"/>
                <w:right w:val="nil"/>
                <w:between w:val="nil"/>
                <w:bar w:val="nil"/>
              </w:pBdr>
              <w:ind w:left="170" w:hanging="170"/>
              <w:rPr>
                <w:rFonts w:ascii="Calibri" w:eastAsia="Calibri" w:hAnsi="Calibri" w:cs="Calibri"/>
                <w:color w:val="000000"/>
                <w:sz w:val="18"/>
              </w:rPr>
            </w:pPr>
            <w:r w:rsidRPr="009D4458">
              <w:rPr>
                <w:rFonts w:ascii="Calibri" w:eastAsia="Calibri" w:hAnsi="Calibri" w:cs="Calibri"/>
                <w:color w:val="000000"/>
                <w:sz w:val="18"/>
                <w:lang w:eastAsia="en-US"/>
              </w:rPr>
              <w:t>New and expanded schools – Majura Primary School modernisation</w:t>
            </w:r>
          </w:p>
        </w:tc>
        <w:tc>
          <w:tcPr>
            <w:tcW w:w="840" w:type="dxa"/>
            <w:tcBorders>
              <w:top w:val="nil"/>
              <w:left w:val="nil"/>
              <w:bottom w:val="nil"/>
              <w:right w:val="nil"/>
              <w:tl2br w:val="nil"/>
              <w:tr2bl w:val="nil"/>
            </w:tcBorders>
            <w:noWrap/>
            <w:tcMar>
              <w:left w:w="40" w:type="dxa"/>
              <w:right w:w="40" w:type="dxa"/>
            </w:tcMar>
          </w:tcPr>
          <w:p w14:paraId="751EAF56" w14:textId="25E52D56" w:rsidR="009D4458" w:rsidRPr="009D4458" w:rsidRDefault="009D4458" w:rsidP="009D4458">
            <w:pPr>
              <w:pBdr>
                <w:top w:val="nil"/>
                <w:left w:val="nil"/>
                <w:bottom w:val="nil"/>
                <w:right w:val="nil"/>
                <w:between w:val="nil"/>
                <w:bar w:val="nil"/>
              </w:pBdr>
              <w:jc w:val="center"/>
              <w:rPr>
                <w:rFonts w:ascii="Calibri" w:eastAsia="Calibri" w:hAnsi="Calibri" w:cs="Calibri"/>
                <w:b/>
                <w:color w:val="000000"/>
                <w:sz w:val="18"/>
              </w:rPr>
            </w:pPr>
            <w:r w:rsidRPr="009D4458">
              <w:rPr>
                <w:rFonts w:ascii="Calibri" w:eastAsia="Calibri" w:hAnsi="Calibri" w:cs="Calibri"/>
                <w:b/>
                <w:color w:val="000000"/>
                <w:sz w:val="18"/>
                <w:lang w:eastAsia="en-US"/>
              </w:rPr>
              <w:t>20,450</w:t>
            </w:r>
          </w:p>
        </w:tc>
        <w:tc>
          <w:tcPr>
            <w:tcW w:w="840" w:type="dxa"/>
            <w:tcBorders>
              <w:top w:val="nil"/>
              <w:left w:val="nil"/>
              <w:bottom w:val="nil"/>
              <w:right w:val="nil"/>
              <w:tl2br w:val="nil"/>
              <w:tr2bl w:val="nil"/>
            </w:tcBorders>
            <w:noWrap/>
            <w:tcMar>
              <w:left w:w="40" w:type="dxa"/>
              <w:right w:w="40" w:type="dxa"/>
            </w:tcMar>
          </w:tcPr>
          <w:p w14:paraId="35396B48" w14:textId="6408FCC1" w:rsidR="009D4458" w:rsidRPr="009D4458" w:rsidRDefault="009D4458" w:rsidP="009D4458">
            <w:pPr>
              <w:pBdr>
                <w:top w:val="nil"/>
                <w:left w:val="nil"/>
                <w:bottom w:val="nil"/>
                <w:right w:val="nil"/>
                <w:between w:val="nil"/>
                <w:bar w:val="nil"/>
              </w:pBdr>
              <w:jc w:val="right"/>
              <w:rPr>
                <w:rFonts w:ascii="Calibri" w:eastAsia="Calibri" w:hAnsi="Calibri" w:cs="Calibri"/>
                <w:color w:val="000000"/>
                <w:sz w:val="18"/>
              </w:rPr>
            </w:pPr>
            <w:r w:rsidRPr="009D4458">
              <w:rPr>
                <w:rFonts w:ascii="Calibri" w:eastAsia="Calibri" w:hAnsi="Calibri" w:cs="Calibri"/>
                <w:color w:val="000000"/>
                <w:sz w:val="18"/>
                <w:lang w:eastAsia="en-US"/>
              </w:rPr>
              <w:t>5,575</w:t>
            </w:r>
          </w:p>
        </w:tc>
        <w:tc>
          <w:tcPr>
            <w:tcW w:w="840" w:type="dxa"/>
            <w:tcBorders>
              <w:top w:val="nil"/>
              <w:left w:val="nil"/>
              <w:bottom w:val="nil"/>
              <w:right w:val="nil"/>
              <w:tl2br w:val="nil"/>
              <w:tr2bl w:val="nil"/>
            </w:tcBorders>
            <w:noWrap/>
            <w:tcMar>
              <w:left w:w="40" w:type="dxa"/>
              <w:right w:w="40" w:type="dxa"/>
            </w:tcMar>
          </w:tcPr>
          <w:p w14:paraId="76D57881" w14:textId="47D56103" w:rsidR="009D4458" w:rsidRPr="009D4458" w:rsidRDefault="009D4458" w:rsidP="009D4458">
            <w:pPr>
              <w:pBdr>
                <w:top w:val="nil"/>
                <w:left w:val="nil"/>
                <w:bottom w:val="nil"/>
                <w:right w:val="nil"/>
                <w:between w:val="nil"/>
                <w:bar w:val="nil"/>
              </w:pBdr>
              <w:jc w:val="right"/>
              <w:rPr>
                <w:rFonts w:ascii="Calibri" w:eastAsia="Calibri" w:hAnsi="Calibri" w:cs="Calibri"/>
                <w:color w:val="000000"/>
                <w:sz w:val="18"/>
              </w:rPr>
            </w:pPr>
            <w:r w:rsidRPr="009D4458">
              <w:rPr>
                <w:rFonts w:ascii="Calibri" w:eastAsia="Calibri" w:hAnsi="Calibri" w:cs="Calibri"/>
                <w:color w:val="000000"/>
                <w:sz w:val="18"/>
                <w:lang w:eastAsia="en-US"/>
              </w:rPr>
              <w:t>11,872</w:t>
            </w:r>
          </w:p>
        </w:tc>
        <w:tc>
          <w:tcPr>
            <w:tcW w:w="840" w:type="dxa"/>
            <w:tcBorders>
              <w:top w:val="nil"/>
              <w:left w:val="nil"/>
              <w:bottom w:val="nil"/>
              <w:right w:val="nil"/>
              <w:tl2br w:val="nil"/>
              <w:tr2bl w:val="nil"/>
            </w:tcBorders>
            <w:noWrap/>
            <w:tcMar>
              <w:left w:w="40" w:type="dxa"/>
              <w:right w:w="40" w:type="dxa"/>
            </w:tcMar>
          </w:tcPr>
          <w:p w14:paraId="767CD469" w14:textId="5FF79551" w:rsidR="009D4458" w:rsidRPr="009D4458" w:rsidRDefault="009D4458" w:rsidP="009D4458">
            <w:pPr>
              <w:pBdr>
                <w:top w:val="nil"/>
                <w:left w:val="nil"/>
                <w:bottom w:val="nil"/>
                <w:right w:val="nil"/>
                <w:between w:val="nil"/>
                <w:bar w:val="nil"/>
              </w:pBdr>
              <w:jc w:val="right"/>
              <w:rPr>
                <w:rFonts w:ascii="Calibri" w:eastAsia="Calibri" w:hAnsi="Calibri" w:cs="Calibri"/>
                <w:color w:val="000000"/>
                <w:sz w:val="18"/>
              </w:rPr>
            </w:pPr>
            <w:r w:rsidRPr="009D4458">
              <w:rPr>
                <w:rFonts w:ascii="Calibri" w:eastAsia="Calibri" w:hAnsi="Calibri" w:cs="Calibri"/>
                <w:color w:val="000000"/>
                <w:sz w:val="18"/>
                <w:lang w:eastAsia="en-US"/>
              </w:rPr>
              <w:t>1,258</w:t>
            </w:r>
          </w:p>
        </w:tc>
        <w:tc>
          <w:tcPr>
            <w:tcW w:w="840" w:type="dxa"/>
            <w:tcBorders>
              <w:top w:val="nil"/>
              <w:left w:val="nil"/>
              <w:bottom w:val="nil"/>
              <w:right w:val="nil"/>
              <w:tl2br w:val="nil"/>
              <w:tr2bl w:val="nil"/>
            </w:tcBorders>
            <w:noWrap/>
            <w:tcMar>
              <w:left w:w="40" w:type="dxa"/>
              <w:right w:w="40" w:type="dxa"/>
            </w:tcMar>
          </w:tcPr>
          <w:p w14:paraId="2DEDC18C" w14:textId="38282D7A" w:rsidR="009D4458" w:rsidRPr="009D4458" w:rsidRDefault="009D4458" w:rsidP="009D4458">
            <w:pPr>
              <w:pBdr>
                <w:top w:val="nil"/>
                <w:left w:val="nil"/>
                <w:bottom w:val="nil"/>
                <w:right w:val="nil"/>
                <w:between w:val="nil"/>
                <w:bar w:val="nil"/>
              </w:pBdr>
              <w:jc w:val="right"/>
              <w:rPr>
                <w:rFonts w:ascii="Calibri" w:eastAsia="Calibri" w:hAnsi="Calibri" w:cs="Calibri"/>
                <w:color w:val="000000"/>
                <w:sz w:val="18"/>
              </w:rPr>
            </w:pPr>
            <w:r w:rsidRPr="009D4458">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1526E603" w14:textId="78656E1E" w:rsidR="009D4458" w:rsidRPr="009D4458" w:rsidRDefault="009D4458" w:rsidP="009D4458">
            <w:pPr>
              <w:pBdr>
                <w:top w:val="nil"/>
                <w:left w:val="nil"/>
                <w:bottom w:val="nil"/>
                <w:right w:val="nil"/>
                <w:between w:val="nil"/>
                <w:bar w:val="nil"/>
              </w:pBdr>
              <w:jc w:val="right"/>
              <w:rPr>
                <w:rFonts w:ascii="Calibri" w:eastAsia="Calibri" w:hAnsi="Calibri" w:cs="Calibri"/>
                <w:color w:val="000000"/>
                <w:sz w:val="18"/>
              </w:rPr>
            </w:pPr>
            <w:r w:rsidRPr="009D4458">
              <w:rPr>
                <w:rFonts w:ascii="Calibri" w:eastAsia="Calibri" w:hAnsi="Calibri" w:cs="Calibri"/>
                <w:color w:val="000000"/>
                <w:sz w:val="18"/>
                <w:lang w:eastAsia="en-US"/>
              </w:rPr>
              <w:t>18,705</w:t>
            </w:r>
          </w:p>
        </w:tc>
        <w:tc>
          <w:tcPr>
            <w:tcW w:w="1005" w:type="dxa"/>
            <w:tcBorders>
              <w:top w:val="nil"/>
              <w:left w:val="nil"/>
              <w:bottom w:val="nil"/>
              <w:right w:val="nil"/>
              <w:tl2br w:val="nil"/>
              <w:tr2bl w:val="nil"/>
            </w:tcBorders>
            <w:noWrap/>
            <w:tcMar>
              <w:left w:w="40" w:type="dxa"/>
              <w:right w:w="40" w:type="dxa"/>
            </w:tcMar>
          </w:tcPr>
          <w:p w14:paraId="1052C5E1" w14:textId="663E7C11" w:rsidR="009D4458" w:rsidRPr="009D4458" w:rsidRDefault="009D4458" w:rsidP="009D4458">
            <w:pPr>
              <w:pBdr>
                <w:top w:val="nil"/>
                <w:left w:val="nil"/>
                <w:bottom w:val="nil"/>
                <w:right w:val="nil"/>
                <w:between w:val="nil"/>
                <w:bar w:val="nil"/>
              </w:pBdr>
              <w:jc w:val="center"/>
              <w:rPr>
                <w:rFonts w:ascii="Calibri" w:eastAsia="Calibri" w:hAnsi="Calibri" w:cs="Calibri"/>
                <w:b/>
                <w:color w:val="000000"/>
                <w:sz w:val="18"/>
              </w:rPr>
            </w:pPr>
            <w:r w:rsidRPr="009D4458">
              <w:rPr>
                <w:rFonts w:ascii="Calibri" w:eastAsia="Calibri" w:hAnsi="Calibri" w:cs="Calibri"/>
                <w:b/>
                <w:color w:val="000000"/>
                <w:sz w:val="18"/>
                <w:lang w:eastAsia="en-US"/>
              </w:rPr>
              <w:t>Dec-28</w:t>
            </w:r>
          </w:p>
        </w:tc>
      </w:tr>
      <w:tr w:rsidR="00143C9C" w14:paraId="2A021BEF"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985" w:type="dxa"/>
            <w:tcBorders>
              <w:top w:val="nil"/>
              <w:left w:val="nil"/>
              <w:bottom w:val="nil"/>
              <w:right w:val="nil"/>
              <w:tl2br w:val="nil"/>
              <w:tr2bl w:val="nil"/>
            </w:tcBorders>
            <w:tcMar>
              <w:left w:w="40" w:type="dxa"/>
              <w:right w:w="40" w:type="dxa"/>
            </w:tcMar>
          </w:tcPr>
          <w:p w14:paraId="2908C6F8"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Narrabundah College</w:t>
            </w:r>
          </w:p>
        </w:tc>
        <w:tc>
          <w:tcPr>
            <w:tcW w:w="840" w:type="dxa"/>
            <w:tcBorders>
              <w:top w:val="nil"/>
              <w:left w:val="nil"/>
              <w:bottom w:val="nil"/>
              <w:right w:val="nil"/>
              <w:tl2br w:val="nil"/>
              <w:tr2bl w:val="nil"/>
            </w:tcBorders>
            <w:noWrap/>
            <w:tcMar>
              <w:left w:w="40" w:type="dxa"/>
              <w:right w:w="40" w:type="dxa"/>
            </w:tcMar>
          </w:tcPr>
          <w:p w14:paraId="50C5EF16"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31,910</w:t>
            </w:r>
          </w:p>
        </w:tc>
        <w:tc>
          <w:tcPr>
            <w:tcW w:w="840" w:type="dxa"/>
            <w:tcBorders>
              <w:top w:val="nil"/>
              <w:left w:val="nil"/>
              <w:bottom w:val="nil"/>
              <w:right w:val="nil"/>
              <w:tl2br w:val="nil"/>
              <w:tr2bl w:val="nil"/>
            </w:tcBorders>
            <w:noWrap/>
            <w:tcMar>
              <w:left w:w="40" w:type="dxa"/>
              <w:right w:w="40" w:type="dxa"/>
            </w:tcMar>
          </w:tcPr>
          <w:p w14:paraId="5471F46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12,870</w:t>
            </w:r>
          </w:p>
        </w:tc>
        <w:tc>
          <w:tcPr>
            <w:tcW w:w="840" w:type="dxa"/>
            <w:tcBorders>
              <w:top w:val="nil"/>
              <w:left w:val="nil"/>
              <w:bottom w:val="nil"/>
              <w:right w:val="nil"/>
              <w:tl2br w:val="nil"/>
              <w:tr2bl w:val="nil"/>
            </w:tcBorders>
            <w:noWrap/>
            <w:tcMar>
              <w:left w:w="40" w:type="dxa"/>
              <w:right w:w="40" w:type="dxa"/>
            </w:tcMar>
          </w:tcPr>
          <w:p w14:paraId="32BA3CA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2DB6C59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57C603C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628C84D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12,870</w:t>
            </w:r>
          </w:p>
        </w:tc>
        <w:tc>
          <w:tcPr>
            <w:tcW w:w="1005" w:type="dxa"/>
            <w:tcBorders>
              <w:top w:val="nil"/>
              <w:left w:val="nil"/>
              <w:bottom w:val="nil"/>
              <w:right w:val="nil"/>
              <w:tl2br w:val="nil"/>
              <w:tr2bl w:val="nil"/>
            </w:tcBorders>
            <w:noWrap/>
            <w:tcMar>
              <w:left w:w="40" w:type="dxa"/>
              <w:right w:w="40" w:type="dxa"/>
            </w:tcMar>
          </w:tcPr>
          <w:p w14:paraId="43D052B7"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Feb-27</w:t>
            </w:r>
          </w:p>
        </w:tc>
      </w:tr>
      <w:tr w:rsidR="00143C9C" w14:paraId="5C539CA1"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985" w:type="dxa"/>
            <w:tcBorders>
              <w:top w:val="nil"/>
              <w:left w:val="nil"/>
              <w:bottom w:val="nil"/>
              <w:right w:val="nil"/>
              <w:tl2br w:val="nil"/>
              <w:tr2bl w:val="nil"/>
            </w:tcBorders>
            <w:tcMar>
              <w:left w:w="40" w:type="dxa"/>
              <w:right w:w="40" w:type="dxa"/>
            </w:tcMar>
          </w:tcPr>
          <w:p w14:paraId="17C0B680" w14:textId="5644895C"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and expanded schools – Strathnairn Primary School</w:t>
            </w:r>
            <w:r w:rsidR="00897636">
              <w:rPr>
                <w:rFonts w:ascii="Calibri" w:eastAsia="Calibri" w:hAnsi="Calibri" w:cs="Calibri"/>
                <w:color w:val="000000"/>
                <w:sz w:val="18"/>
                <w:vertAlign w:val="superscript"/>
                <w:lang w:eastAsia="en-US"/>
              </w:rPr>
              <w:t>3</w:t>
            </w:r>
          </w:p>
        </w:tc>
        <w:tc>
          <w:tcPr>
            <w:tcW w:w="840" w:type="dxa"/>
            <w:tcBorders>
              <w:top w:val="nil"/>
              <w:left w:val="nil"/>
              <w:bottom w:val="nil"/>
              <w:right w:val="nil"/>
              <w:tl2br w:val="nil"/>
              <w:tr2bl w:val="nil"/>
            </w:tcBorders>
            <w:noWrap/>
            <w:tcMar>
              <w:left w:w="40" w:type="dxa"/>
              <w:right w:w="40" w:type="dxa"/>
            </w:tcMar>
          </w:tcPr>
          <w:p w14:paraId="57260140"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126,542</w:t>
            </w:r>
          </w:p>
        </w:tc>
        <w:tc>
          <w:tcPr>
            <w:tcW w:w="840" w:type="dxa"/>
            <w:tcBorders>
              <w:top w:val="nil"/>
              <w:left w:val="nil"/>
              <w:bottom w:val="nil"/>
              <w:right w:val="nil"/>
              <w:tl2br w:val="nil"/>
              <w:tr2bl w:val="nil"/>
            </w:tcBorders>
            <w:noWrap/>
            <w:tcMar>
              <w:left w:w="40" w:type="dxa"/>
              <w:right w:w="40" w:type="dxa"/>
            </w:tcMar>
          </w:tcPr>
          <w:p w14:paraId="680AC94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26,551</w:t>
            </w:r>
          </w:p>
        </w:tc>
        <w:tc>
          <w:tcPr>
            <w:tcW w:w="840" w:type="dxa"/>
            <w:tcBorders>
              <w:top w:val="nil"/>
              <w:left w:val="nil"/>
              <w:bottom w:val="nil"/>
              <w:right w:val="nil"/>
              <w:tl2br w:val="nil"/>
              <w:tr2bl w:val="nil"/>
            </w:tcBorders>
            <w:noWrap/>
            <w:tcMar>
              <w:left w:w="40" w:type="dxa"/>
              <w:right w:w="40" w:type="dxa"/>
            </w:tcMar>
          </w:tcPr>
          <w:p w14:paraId="00D9224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20,049</w:t>
            </w:r>
          </w:p>
        </w:tc>
        <w:tc>
          <w:tcPr>
            <w:tcW w:w="840" w:type="dxa"/>
            <w:tcBorders>
              <w:top w:val="nil"/>
              <w:left w:val="nil"/>
              <w:bottom w:val="nil"/>
              <w:right w:val="nil"/>
              <w:tl2br w:val="nil"/>
              <w:tr2bl w:val="nil"/>
            </w:tcBorders>
            <w:noWrap/>
            <w:tcMar>
              <w:left w:w="40" w:type="dxa"/>
              <w:right w:w="40" w:type="dxa"/>
            </w:tcMar>
          </w:tcPr>
          <w:p w14:paraId="2505DEE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6D462D1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383C045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46,600</w:t>
            </w:r>
          </w:p>
        </w:tc>
        <w:tc>
          <w:tcPr>
            <w:tcW w:w="1005" w:type="dxa"/>
            <w:tcBorders>
              <w:top w:val="nil"/>
              <w:left w:val="nil"/>
              <w:bottom w:val="nil"/>
              <w:right w:val="nil"/>
              <w:tl2br w:val="nil"/>
              <w:tr2bl w:val="nil"/>
            </w:tcBorders>
            <w:noWrap/>
            <w:tcMar>
              <w:left w:w="40" w:type="dxa"/>
              <w:right w:w="40" w:type="dxa"/>
            </w:tcMar>
          </w:tcPr>
          <w:p w14:paraId="7180268B"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Dec-26</w:t>
            </w:r>
          </w:p>
        </w:tc>
      </w:tr>
      <w:tr w:rsidR="009D4458" w14:paraId="4BCFF8C7"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5" w:type="dxa"/>
            <w:tcBorders>
              <w:top w:val="nil"/>
              <w:left w:val="nil"/>
              <w:bottom w:val="nil"/>
              <w:right w:val="nil"/>
              <w:tl2br w:val="nil"/>
              <w:tr2bl w:val="nil"/>
            </w:tcBorders>
            <w:tcMar>
              <w:left w:w="40" w:type="dxa"/>
              <w:right w:w="40" w:type="dxa"/>
            </w:tcMar>
          </w:tcPr>
          <w:p w14:paraId="575AA93E" w14:textId="7A0EC97F" w:rsidR="009D4458" w:rsidRDefault="009D4458" w:rsidP="009D4458">
            <w:pPr>
              <w:pBdr>
                <w:top w:val="nil"/>
                <w:left w:val="nil"/>
                <w:bottom w:val="nil"/>
                <w:right w:val="nil"/>
                <w:between w:val="nil"/>
                <w:bar w:val="nil"/>
              </w:pBdr>
              <w:ind w:left="170" w:hanging="170"/>
              <w:rPr>
                <w:rFonts w:ascii="Calibri" w:eastAsia="Calibri" w:hAnsi="Calibri" w:cs="Calibri"/>
                <w:color w:val="000000"/>
                <w:sz w:val="18"/>
              </w:rPr>
            </w:pPr>
            <w:r>
              <w:rPr>
                <w:rFonts w:ascii="Calibri" w:eastAsia="Calibri" w:hAnsi="Calibri" w:cs="Calibri"/>
                <w:color w:val="000000"/>
                <w:sz w:val="18"/>
                <w:lang w:eastAsia="en-US"/>
              </w:rPr>
              <w:t>New and expanded schools – Telopea Park High School modernisation</w:t>
            </w:r>
            <w:r>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4C1B9B0C" w14:textId="24550519" w:rsidR="009D4458" w:rsidRDefault="009D4458" w:rsidP="009D4458">
            <w:pPr>
              <w:pBdr>
                <w:top w:val="nil"/>
                <w:left w:val="nil"/>
                <w:bottom w:val="nil"/>
                <w:right w:val="nil"/>
                <w:between w:val="nil"/>
                <w:bar w:val="nil"/>
              </w:pBdr>
              <w:jc w:val="center"/>
              <w:rPr>
                <w:rFonts w:ascii="Calibri" w:eastAsia="Calibri" w:hAnsi="Calibri" w:cs="Calibri"/>
                <w:b/>
                <w:color w:val="000000"/>
                <w:sz w:val="18"/>
              </w:rPr>
            </w:pPr>
            <w:r>
              <w:rPr>
                <w:rFonts w:ascii="Calibri" w:eastAsia="Calibri" w:hAnsi="Calibri" w:cs="Calibri"/>
                <w:b/>
                <w:color w:val="000000"/>
                <w:sz w:val="18"/>
                <w:lang w:eastAsia="en-US"/>
              </w:rPr>
              <w:t>53,404</w:t>
            </w:r>
          </w:p>
        </w:tc>
        <w:tc>
          <w:tcPr>
            <w:tcW w:w="840" w:type="dxa"/>
            <w:tcBorders>
              <w:top w:val="nil"/>
              <w:left w:val="nil"/>
              <w:bottom w:val="nil"/>
              <w:right w:val="nil"/>
              <w:tl2br w:val="nil"/>
              <w:tr2bl w:val="nil"/>
            </w:tcBorders>
            <w:noWrap/>
            <w:tcMar>
              <w:left w:w="40" w:type="dxa"/>
              <w:right w:w="40" w:type="dxa"/>
            </w:tcMar>
          </w:tcPr>
          <w:p w14:paraId="5A17E7EF" w14:textId="6CB16293" w:rsidR="009D4458" w:rsidRDefault="009D4458" w:rsidP="009D4458">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6229AE17" w14:textId="6C1FA114" w:rsidR="009D4458" w:rsidRDefault="009D4458" w:rsidP="009D4458">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5,000</w:t>
            </w:r>
          </w:p>
        </w:tc>
        <w:tc>
          <w:tcPr>
            <w:tcW w:w="840" w:type="dxa"/>
            <w:tcBorders>
              <w:top w:val="nil"/>
              <w:left w:val="nil"/>
              <w:bottom w:val="nil"/>
              <w:right w:val="nil"/>
              <w:tl2br w:val="nil"/>
              <w:tr2bl w:val="nil"/>
            </w:tcBorders>
            <w:noWrap/>
            <w:tcMar>
              <w:left w:w="40" w:type="dxa"/>
              <w:right w:w="40" w:type="dxa"/>
            </w:tcMar>
          </w:tcPr>
          <w:p w14:paraId="74088244" w14:textId="147369E4" w:rsidR="009D4458" w:rsidRDefault="009D4458" w:rsidP="009D4458">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20,000</w:t>
            </w:r>
          </w:p>
        </w:tc>
        <w:tc>
          <w:tcPr>
            <w:tcW w:w="840" w:type="dxa"/>
            <w:tcBorders>
              <w:top w:val="nil"/>
              <w:left w:val="nil"/>
              <w:bottom w:val="nil"/>
              <w:right w:val="nil"/>
              <w:tl2br w:val="nil"/>
              <w:tr2bl w:val="nil"/>
            </w:tcBorders>
            <w:noWrap/>
            <w:tcMar>
              <w:left w:w="40" w:type="dxa"/>
              <w:right w:w="40" w:type="dxa"/>
            </w:tcMar>
          </w:tcPr>
          <w:p w14:paraId="057A69B6" w14:textId="2AB1F96A" w:rsidR="009D4458" w:rsidRDefault="009D4458" w:rsidP="009D4458">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8,050</w:t>
            </w:r>
          </w:p>
        </w:tc>
        <w:tc>
          <w:tcPr>
            <w:tcW w:w="945" w:type="dxa"/>
            <w:tcBorders>
              <w:top w:val="nil"/>
              <w:left w:val="nil"/>
              <w:bottom w:val="nil"/>
              <w:right w:val="nil"/>
              <w:tl2br w:val="nil"/>
              <w:tr2bl w:val="nil"/>
            </w:tcBorders>
            <w:noWrap/>
            <w:tcMar>
              <w:left w:w="40" w:type="dxa"/>
              <w:right w:w="40" w:type="dxa"/>
            </w:tcMar>
          </w:tcPr>
          <w:p w14:paraId="44361A19" w14:textId="08BA2A15" w:rsidR="009D4458" w:rsidRDefault="009D4458" w:rsidP="009D4458">
            <w:pPr>
              <w:pBdr>
                <w:top w:val="nil"/>
                <w:left w:val="nil"/>
                <w:bottom w:val="nil"/>
                <w:right w:val="nil"/>
                <w:between w:val="nil"/>
                <w:bar w:val="nil"/>
              </w:pBdr>
              <w:jc w:val="right"/>
              <w:rPr>
                <w:rFonts w:ascii="Calibri" w:eastAsia="Calibri" w:hAnsi="Calibri" w:cs="Calibri"/>
                <w:color w:val="000000"/>
                <w:sz w:val="18"/>
              </w:rPr>
            </w:pPr>
            <w:r>
              <w:rPr>
                <w:rFonts w:ascii="Calibri" w:eastAsia="Calibri" w:hAnsi="Calibri" w:cs="Calibri"/>
                <w:color w:val="000000"/>
                <w:sz w:val="18"/>
                <w:lang w:eastAsia="en-US"/>
              </w:rPr>
              <w:t>33,050</w:t>
            </w:r>
          </w:p>
        </w:tc>
        <w:tc>
          <w:tcPr>
            <w:tcW w:w="1005" w:type="dxa"/>
            <w:tcBorders>
              <w:top w:val="nil"/>
              <w:left w:val="nil"/>
              <w:bottom w:val="nil"/>
              <w:right w:val="nil"/>
              <w:tl2br w:val="nil"/>
              <w:tr2bl w:val="nil"/>
            </w:tcBorders>
            <w:noWrap/>
            <w:tcMar>
              <w:left w:w="40" w:type="dxa"/>
              <w:right w:w="40" w:type="dxa"/>
            </w:tcMar>
          </w:tcPr>
          <w:p w14:paraId="6A9406A6" w14:textId="68ED218C" w:rsidR="009D4458" w:rsidRDefault="009D4458" w:rsidP="009D4458">
            <w:pPr>
              <w:pBdr>
                <w:top w:val="nil"/>
                <w:left w:val="nil"/>
                <w:bottom w:val="nil"/>
                <w:right w:val="nil"/>
                <w:between w:val="nil"/>
                <w:bar w:val="nil"/>
              </w:pBdr>
              <w:jc w:val="center"/>
              <w:rPr>
                <w:rFonts w:ascii="Calibri" w:eastAsia="Calibri" w:hAnsi="Calibri" w:cs="Calibri"/>
                <w:b/>
                <w:color w:val="000000"/>
                <w:sz w:val="18"/>
              </w:rPr>
            </w:pPr>
            <w:r>
              <w:rPr>
                <w:rFonts w:ascii="Calibri" w:eastAsia="Calibri" w:hAnsi="Calibri" w:cs="Calibri"/>
                <w:b/>
                <w:color w:val="000000"/>
                <w:sz w:val="18"/>
                <w:lang w:eastAsia="en-US"/>
              </w:rPr>
              <w:t>TBD</w:t>
            </w:r>
          </w:p>
        </w:tc>
      </w:tr>
      <w:tr w:rsidR="00143C9C" w14:paraId="7F3DDAE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5" w:type="dxa"/>
            <w:tcBorders>
              <w:top w:val="nil"/>
              <w:left w:val="nil"/>
              <w:bottom w:val="nil"/>
              <w:right w:val="nil"/>
              <w:tl2br w:val="nil"/>
              <w:tr2bl w:val="nil"/>
            </w:tcBorders>
            <w:tcMar>
              <w:left w:w="40" w:type="dxa"/>
              <w:right w:w="40" w:type="dxa"/>
            </w:tcMar>
          </w:tcPr>
          <w:p w14:paraId="0EACA954"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New Materials Recovery Facility</w:t>
            </w:r>
          </w:p>
        </w:tc>
        <w:tc>
          <w:tcPr>
            <w:tcW w:w="840" w:type="dxa"/>
            <w:tcBorders>
              <w:top w:val="nil"/>
              <w:left w:val="nil"/>
              <w:bottom w:val="nil"/>
              <w:right w:val="nil"/>
              <w:tl2br w:val="nil"/>
              <w:tr2bl w:val="nil"/>
            </w:tcBorders>
            <w:noWrap/>
            <w:tcMar>
              <w:left w:w="40" w:type="dxa"/>
              <w:right w:w="40" w:type="dxa"/>
            </w:tcMar>
          </w:tcPr>
          <w:p w14:paraId="10E8B105"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26,000</w:t>
            </w:r>
          </w:p>
        </w:tc>
        <w:tc>
          <w:tcPr>
            <w:tcW w:w="840" w:type="dxa"/>
            <w:tcBorders>
              <w:top w:val="nil"/>
              <w:left w:val="nil"/>
              <w:bottom w:val="nil"/>
              <w:right w:val="nil"/>
              <w:tl2br w:val="nil"/>
              <w:tr2bl w:val="nil"/>
            </w:tcBorders>
            <w:noWrap/>
            <w:tcMar>
              <w:left w:w="40" w:type="dxa"/>
              <w:right w:w="40" w:type="dxa"/>
            </w:tcMar>
          </w:tcPr>
          <w:p w14:paraId="49DBB47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6,340</w:t>
            </w:r>
          </w:p>
        </w:tc>
        <w:tc>
          <w:tcPr>
            <w:tcW w:w="840" w:type="dxa"/>
            <w:tcBorders>
              <w:top w:val="nil"/>
              <w:left w:val="nil"/>
              <w:bottom w:val="nil"/>
              <w:right w:val="nil"/>
              <w:tl2br w:val="nil"/>
              <w:tr2bl w:val="nil"/>
            </w:tcBorders>
            <w:noWrap/>
            <w:tcMar>
              <w:left w:w="40" w:type="dxa"/>
              <w:right w:w="40" w:type="dxa"/>
            </w:tcMar>
          </w:tcPr>
          <w:p w14:paraId="0CA6A35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6,250</w:t>
            </w:r>
          </w:p>
        </w:tc>
        <w:tc>
          <w:tcPr>
            <w:tcW w:w="840" w:type="dxa"/>
            <w:tcBorders>
              <w:top w:val="nil"/>
              <w:left w:val="nil"/>
              <w:bottom w:val="nil"/>
              <w:right w:val="nil"/>
              <w:tl2br w:val="nil"/>
              <w:tr2bl w:val="nil"/>
            </w:tcBorders>
            <w:noWrap/>
            <w:tcMar>
              <w:left w:w="40" w:type="dxa"/>
              <w:right w:w="40" w:type="dxa"/>
            </w:tcMar>
          </w:tcPr>
          <w:p w14:paraId="6FD58C0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6E6A150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76B58CC6"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12,590</w:t>
            </w:r>
          </w:p>
        </w:tc>
        <w:tc>
          <w:tcPr>
            <w:tcW w:w="1005" w:type="dxa"/>
            <w:tcBorders>
              <w:top w:val="nil"/>
              <w:left w:val="nil"/>
              <w:bottom w:val="nil"/>
              <w:right w:val="nil"/>
              <w:tl2br w:val="nil"/>
              <w:tr2bl w:val="nil"/>
            </w:tcBorders>
            <w:noWrap/>
            <w:tcMar>
              <w:left w:w="40" w:type="dxa"/>
              <w:right w:w="40" w:type="dxa"/>
            </w:tcMar>
          </w:tcPr>
          <w:p w14:paraId="2DE6830A"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Apr-28</w:t>
            </w:r>
          </w:p>
        </w:tc>
      </w:tr>
      <w:tr w:rsidR="00143C9C" w14:paraId="4BDF752A"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5" w:type="dxa"/>
            <w:tcBorders>
              <w:top w:val="nil"/>
              <w:left w:val="nil"/>
              <w:bottom w:val="nil"/>
              <w:right w:val="nil"/>
              <w:tl2br w:val="nil"/>
              <w:tr2bl w:val="nil"/>
            </w:tcBorders>
            <w:tcMar>
              <w:left w:w="40" w:type="dxa"/>
              <w:right w:w="40" w:type="dxa"/>
            </w:tcMar>
          </w:tcPr>
          <w:p w14:paraId="030348E1" w14:textId="77777777"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Office Accommodation</w:t>
            </w:r>
          </w:p>
        </w:tc>
        <w:tc>
          <w:tcPr>
            <w:tcW w:w="840" w:type="dxa"/>
            <w:tcBorders>
              <w:top w:val="nil"/>
              <w:left w:val="nil"/>
              <w:bottom w:val="nil"/>
              <w:right w:val="nil"/>
              <w:tl2br w:val="nil"/>
              <w:tr2bl w:val="nil"/>
            </w:tcBorders>
            <w:noWrap/>
            <w:tcMar>
              <w:left w:w="40" w:type="dxa"/>
              <w:right w:w="40" w:type="dxa"/>
            </w:tcMar>
          </w:tcPr>
          <w:p w14:paraId="300F9085"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Ongoing</w:t>
            </w:r>
          </w:p>
        </w:tc>
        <w:tc>
          <w:tcPr>
            <w:tcW w:w="840" w:type="dxa"/>
            <w:tcBorders>
              <w:top w:val="nil"/>
              <w:left w:val="nil"/>
              <w:bottom w:val="nil"/>
              <w:right w:val="nil"/>
              <w:tl2br w:val="nil"/>
              <w:tr2bl w:val="nil"/>
            </w:tcBorders>
            <w:noWrap/>
            <w:tcMar>
              <w:left w:w="40" w:type="dxa"/>
              <w:right w:w="40" w:type="dxa"/>
            </w:tcMar>
          </w:tcPr>
          <w:p w14:paraId="6027FB4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w:t>
            </w:r>
          </w:p>
        </w:tc>
        <w:tc>
          <w:tcPr>
            <w:tcW w:w="840" w:type="dxa"/>
            <w:tcBorders>
              <w:top w:val="nil"/>
              <w:left w:val="nil"/>
              <w:bottom w:val="nil"/>
              <w:right w:val="nil"/>
              <w:tl2br w:val="nil"/>
              <w:tr2bl w:val="nil"/>
            </w:tcBorders>
            <w:noWrap/>
            <w:tcMar>
              <w:left w:w="40" w:type="dxa"/>
              <w:right w:w="40" w:type="dxa"/>
            </w:tcMar>
          </w:tcPr>
          <w:p w14:paraId="78E0F0FE"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w:t>
            </w:r>
          </w:p>
        </w:tc>
        <w:tc>
          <w:tcPr>
            <w:tcW w:w="840" w:type="dxa"/>
            <w:tcBorders>
              <w:top w:val="nil"/>
              <w:left w:val="nil"/>
              <w:bottom w:val="nil"/>
              <w:right w:val="nil"/>
              <w:tl2br w:val="nil"/>
              <w:tr2bl w:val="nil"/>
            </w:tcBorders>
            <w:noWrap/>
            <w:tcMar>
              <w:left w:w="40" w:type="dxa"/>
              <w:right w:w="40" w:type="dxa"/>
            </w:tcMar>
          </w:tcPr>
          <w:p w14:paraId="688A44A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w:t>
            </w:r>
          </w:p>
        </w:tc>
        <w:tc>
          <w:tcPr>
            <w:tcW w:w="840" w:type="dxa"/>
            <w:tcBorders>
              <w:top w:val="nil"/>
              <w:left w:val="nil"/>
              <w:bottom w:val="nil"/>
              <w:right w:val="nil"/>
              <w:tl2br w:val="nil"/>
              <w:tr2bl w:val="nil"/>
            </w:tcBorders>
            <w:noWrap/>
            <w:tcMar>
              <w:left w:w="40" w:type="dxa"/>
              <w:right w:w="40" w:type="dxa"/>
            </w:tcMar>
          </w:tcPr>
          <w:p w14:paraId="1B7952D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w:t>
            </w:r>
          </w:p>
        </w:tc>
        <w:tc>
          <w:tcPr>
            <w:tcW w:w="945" w:type="dxa"/>
            <w:tcBorders>
              <w:top w:val="nil"/>
              <w:left w:val="nil"/>
              <w:bottom w:val="nil"/>
              <w:right w:val="nil"/>
              <w:tl2br w:val="nil"/>
              <w:tr2bl w:val="nil"/>
            </w:tcBorders>
            <w:noWrap/>
            <w:tcMar>
              <w:left w:w="40" w:type="dxa"/>
              <w:right w:w="40" w:type="dxa"/>
            </w:tcMar>
          </w:tcPr>
          <w:p w14:paraId="186B486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2,000</w:t>
            </w:r>
          </w:p>
        </w:tc>
        <w:tc>
          <w:tcPr>
            <w:tcW w:w="1005" w:type="dxa"/>
            <w:tcBorders>
              <w:top w:val="nil"/>
              <w:left w:val="nil"/>
              <w:bottom w:val="nil"/>
              <w:right w:val="nil"/>
              <w:tl2br w:val="nil"/>
              <w:tr2bl w:val="nil"/>
            </w:tcBorders>
            <w:noWrap/>
            <w:tcMar>
              <w:left w:w="40" w:type="dxa"/>
              <w:right w:w="40" w:type="dxa"/>
            </w:tcMar>
          </w:tcPr>
          <w:p w14:paraId="66C5C33A"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Ongoing</w:t>
            </w:r>
          </w:p>
        </w:tc>
      </w:tr>
      <w:tr w:rsidR="00143C9C" w14:paraId="667BC43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2985" w:type="dxa"/>
            <w:tcBorders>
              <w:top w:val="nil"/>
              <w:left w:val="nil"/>
              <w:bottom w:val="nil"/>
              <w:right w:val="nil"/>
              <w:tl2br w:val="nil"/>
              <w:tr2bl w:val="nil"/>
            </w:tcBorders>
            <w:tcMar>
              <w:left w:w="40" w:type="dxa"/>
              <w:right w:w="40" w:type="dxa"/>
            </w:tcMar>
          </w:tcPr>
          <w:p w14:paraId="1116F8FC" w14:textId="69688B2D"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Strengthening emergency services – Early works for the Casey Emergency Services Station</w:t>
            </w:r>
            <w:r w:rsidR="00897636">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395A9791"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1,324</w:t>
            </w:r>
          </w:p>
        </w:tc>
        <w:tc>
          <w:tcPr>
            <w:tcW w:w="840" w:type="dxa"/>
            <w:tcBorders>
              <w:top w:val="nil"/>
              <w:left w:val="nil"/>
              <w:bottom w:val="nil"/>
              <w:right w:val="nil"/>
              <w:tl2br w:val="nil"/>
              <w:tr2bl w:val="nil"/>
            </w:tcBorders>
            <w:noWrap/>
            <w:tcMar>
              <w:left w:w="40" w:type="dxa"/>
              <w:right w:w="40" w:type="dxa"/>
            </w:tcMar>
          </w:tcPr>
          <w:p w14:paraId="63755C1B"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1,124</w:t>
            </w:r>
          </w:p>
        </w:tc>
        <w:tc>
          <w:tcPr>
            <w:tcW w:w="840" w:type="dxa"/>
            <w:tcBorders>
              <w:top w:val="nil"/>
              <w:left w:val="nil"/>
              <w:bottom w:val="nil"/>
              <w:right w:val="nil"/>
              <w:tl2br w:val="nil"/>
              <w:tr2bl w:val="nil"/>
            </w:tcBorders>
            <w:noWrap/>
            <w:tcMar>
              <w:left w:w="40" w:type="dxa"/>
              <w:right w:w="40" w:type="dxa"/>
            </w:tcMar>
          </w:tcPr>
          <w:p w14:paraId="285B6E1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569C6DD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4A2E64A9"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70D890E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1,124</w:t>
            </w:r>
          </w:p>
        </w:tc>
        <w:tc>
          <w:tcPr>
            <w:tcW w:w="1005" w:type="dxa"/>
            <w:tcBorders>
              <w:top w:val="nil"/>
              <w:left w:val="nil"/>
              <w:bottom w:val="nil"/>
              <w:right w:val="nil"/>
              <w:tl2br w:val="nil"/>
              <w:tr2bl w:val="nil"/>
            </w:tcBorders>
            <w:noWrap/>
            <w:tcMar>
              <w:left w:w="40" w:type="dxa"/>
              <w:right w:w="40" w:type="dxa"/>
            </w:tcMar>
          </w:tcPr>
          <w:p w14:paraId="3F3B7171"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r>
      <w:tr w:rsidR="00143C9C" w14:paraId="10C0A4CF"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2985" w:type="dxa"/>
            <w:tcBorders>
              <w:top w:val="nil"/>
              <w:left w:val="nil"/>
              <w:bottom w:val="nil"/>
              <w:right w:val="nil"/>
              <w:tl2br w:val="nil"/>
              <w:tr2bl w:val="nil"/>
            </w:tcBorders>
            <w:tcMar>
              <w:left w:w="40" w:type="dxa"/>
              <w:right w:w="40" w:type="dxa"/>
            </w:tcMar>
          </w:tcPr>
          <w:p w14:paraId="3522FC06" w14:textId="02B26461"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Strengthening emergency services – Planning for the Molonglo Valley Police Station</w:t>
            </w:r>
            <w:r w:rsidR="00897636">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1A2B32B2"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2,500</w:t>
            </w:r>
          </w:p>
        </w:tc>
        <w:tc>
          <w:tcPr>
            <w:tcW w:w="840" w:type="dxa"/>
            <w:tcBorders>
              <w:top w:val="nil"/>
              <w:left w:val="nil"/>
              <w:bottom w:val="nil"/>
              <w:right w:val="nil"/>
              <w:tl2br w:val="nil"/>
              <w:tr2bl w:val="nil"/>
            </w:tcBorders>
            <w:noWrap/>
            <w:tcMar>
              <w:left w:w="40" w:type="dxa"/>
              <w:right w:w="40" w:type="dxa"/>
            </w:tcMar>
          </w:tcPr>
          <w:p w14:paraId="0644993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2,100</w:t>
            </w:r>
          </w:p>
        </w:tc>
        <w:tc>
          <w:tcPr>
            <w:tcW w:w="840" w:type="dxa"/>
            <w:tcBorders>
              <w:top w:val="nil"/>
              <w:left w:val="nil"/>
              <w:bottom w:val="nil"/>
              <w:right w:val="nil"/>
              <w:tl2br w:val="nil"/>
              <w:tr2bl w:val="nil"/>
            </w:tcBorders>
            <w:noWrap/>
            <w:tcMar>
              <w:left w:w="40" w:type="dxa"/>
              <w:right w:w="40" w:type="dxa"/>
            </w:tcMar>
          </w:tcPr>
          <w:p w14:paraId="10B61EC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35C6BB2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2407071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3CA6AB42"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2,100</w:t>
            </w:r>
          </w:p>
        </w:tc>
        <w:tc>
          <w:tcPr>
            <w:tcW w:w="1005" w:type="dxa"/>
            <w:tcBorders>
              <w:top w:val="nil"/>
              <w:left w:val="nil"/>
              <w:bottom w:val="nil"/>
              <w:right w:val="nil"/>
              <w:tl2br w:val="nil"/>
              <w:tr2bl w:val="nil"/>
            </w:tcBorders>
            <w:noWrap/>
            <w:tcMar>
              <w:left w:w="40" w:type="dxa"/>
              <w:right w:w="40" w:type="dxa"/>
            </w:tcMar>
          </w:tcPr>
          <w:p w14:paraId="6104D087"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r>
      <w:tr w:rsidR="00143C9C" w14:paraId="2B6F3A8E"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985" w:type="dxa"/>
            <w:tcBorders>
              <w:top w:val="nil"/>
              <w:left w:val="nil"/>
              <w:bottom w:val="nil"/>
              <w:right w:val="nil"/>
              <w:tl2br w:val="nil"/>
              <w:tr2bl w:val="nil"/>
            </w:tcBorders>
            <w:tcMar>
              <w:left w:w="40" w:type="dxa"/>
              <w:right w:w="40" w:type="dxa"/>
            </w:tcMar>
          </w:tcPr>
          <w:p w14:paraId="497F63E7" w14:textId="404E1FE8"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Supporting local sport – Stromlo District Playing Fields – Stage 1 Construction</w:t>
            </w:r>
          </w:p>
        </w:tc>
        <w:tc>
          <w:tcPr>
            <w:tcW w:w="840" w:type="dxa"/>
            <w:tcBorders>
              <w:top w:val="nil"/>
              <w:left w:val="nil"/>
              <w:bottom w:val="nil"/>
              <w:right w:val="nil"/>
              <w:tl2br w:val="nil"/>
              <w:tr2bl w:val="nil"/>
            </w:tcBorders>
            <w:noWrap/>
            <w:tcMar>
              <w:left w:w="40" w:type="dxa"/>
              <w:right w:w="40" w:type="dxa"/>
            </w:tcMar>
          </w:tcPr>
          <w:p w14:paraId="3728726E"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36,765</w:t>
            </w:r>
          </w:p>
        </w:tc>
        <w:tc>
          <w:tcPr>
            <w:tcW w:w="840" w:type="dxa"/>
            <w:tcBorders>
              <w:top w:val="nil"/>
              <w:left w:val="nil"/>
              <w:bottom w:val="nil"/>
              <w:right w:val="nil"/>
              <w:tl2br w:val="nil"/>
              <w:tr2bl w:val="nil"/>
            </w:tcBorders>
            <w:noWrap/>
            <w:tcMar>
              <w:left w:w="40" w:type="dxa"/>
              <w:right w:w="40" w:type="dxa"/>
            </w:tcMar>
          </w:tcPr>
          <w:p w14:paraId="25BAB3D0"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5,100</w:t>
            </w:r>
          </w:p>
        </w:tc>
        <w:tc>
          <w:tcPr>
            <w:tcW w:w="840" w:type="dxa"/>
            <w:tcBorders>
              <w:top w:val="nil"/>
              <w:left w:val="nil"/>
              <w:bottom w:val="nil"/>
              <w:right w:val="nil"/>
              <w:tl2br w:val="nil"/>
              <w:tr2bl w:val="nil"/>
            </w:tcBorders>
            <w:noWrap/>
            <w:tcMar>
              <w:left w:w="40" w:type="dxa"/>
              <w:right w:w="40" w:type="dxa"/>
            </w:tcMar>
          </w:tcPr>
          <w:p w14:paraId="069101D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22,467</w:t>
            </w:r>
          </w:p>
        </w:tc>
        <w:tc>
          <w:tcPr>
            <w:tcW w:w="840" w:type="dxa"/>
            <w:tcBorders>
              <w:top w:val="nil"/>
              <w:left w:val="nil"/>
              <w:bottom w:val="nil"/>
              <w:right w:val="nil"/>
              <w:tl2br w:val="nil"/>
              <w:tr2bl w:val="nil"/>
            </w:tcBorders>
            <w:noWrap/>
            <w:tcMar>
              <w:left w:w="40" w:type="dxa"/>
              <w:right w:w="40" w:type="dxa"/>
            </w:tcMar>
          </w:tcPr>
          <w:p w14:paraId="04004F54"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6,342</w:t>
            </w:r>
          </w:p>
        </w:tc>
        <w:tc>
          <w:tcPr>
            <w:tcW w:w="840" w:type="dxa"/>
            <w:tcBorders>
              <w:top w:val="nil"/>
              <w:left w:val="nil"/>
              <w:bottom w:val="nil"/>
              <w:right w:val="nil"/>
              <w:tl2br w:val="nil"/>
              <w:tr2bl w:val="nil"/>
            </w:tcBorders>
            <w:noWrap/>
            <w:tcMar>
              <w:left w:w="40" w:type="dxa"/>
              <w:right w:w="40" w:type="dxa"/>
            </w:tcMar>
          </w:tcPr>
          <w:p w14:paraId="1AF0022A"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048FC50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33,909</w:t>
            </w:r>
          </w:p>
        </w:tc>
        <w:tc>
          <w:tcPr>
            <w:tcW w:w="1005" w:type="dxa"/>
            <w:tcBorders>
              <w:top w:val="nil"/>
              <w:left w:val="nil"/>
              <w:bottom w:val="nil"/>
              <w:right w:val="nil"/>
              <w:tl2br w:val="nil"/>
              <w:tr2bl w:val="nil"/>
            </w:tcBorders>
            <w:noWrap/>
            <w:tcMar>
              <w:left w:w="40" w:type="dxa"/>
              <w:right w:w="40" w:type="dxa"/>
            </w:tcMar>
          </w:tcPr>
          <w:p w14:paraId="1A8640C3"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Oct-28</w:t>
            </w:r>
          </w:p>
        </w:tc>
      </w:tr>
      <w:tr w:rsidR="00143C9C" w14:paraId="26348A2A"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985" w:type="dxa"/>
            <w:tcBorders>
              <w:top w:val="nil"/>
              <w:left w:val="nil"/>
              <w:bottom w:val="nil"/>
              <w:right w:val="nil"/>
              <w:tl2br w:val="nil"/>
              <w:tr2bl w:val="nil"/>
            </w:tcBorders>
            <w:tcMar>
              <w:left w:w="40" w:type="dxa"/>
              <w:right w:w="40" w:type="dxa"/>
            </w:tcMar>
          </w:tcPr>
          <w:p w14:paraId="65261886" w14:textId="6A9D87E3"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Throsby District Playing Field</w:t>
            </w:r>
            <w:r w:rsidR="00897636">
              <w:rPr>
                <w:rFonts w:ascii="Calibri" w:eastAsia="Calibri" w:hAnsi="Calibri" w:cs="Calibri"/>
                <w:color w:val="000000"/>
                <w:sz w:val="18"/>
                <w:vertAlign w:val="superscript"/>
                <w:lang w:eastAsia="en-US"/>
              </w:rPr>
              <w:t>4</w:t>
            </w:r>
          </w:p>
        </w:tc>
        <w:tc>
          <w:tcPr>
            <w:tcW w:w="840" w:type="dxa"/>
            <w:tcBorders>
              <w:top w:val="nil"/>
              <w:left w:val="nil"/>
              <w:bottom w:val="nil"/>
              <w:right w:val="nil"/>
              <w:tl2br w:val="nil"/>
              <w:tr2bl w:val="nil"/>
            </w:tcBorders>
            <w:noWrap/>
            <w:tcMar>
              <w:left w:w="40" w:type="dxa"/>
              <w:right w:w="40" w:type="dxa"/>
            </w:tcMar>
          </w:tcPr>
          <w:p w14:paraId="0187BCB4"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25,500</w:t>
            </w:r>
          </w:p>
        </w:tc>
        <w:tc>
          <w:tcPr>
            <w:tcW w:w="840" w:type="dxa"/>
            <w:tcBorders>
              <w:top w:val="nil"/>
              <w:left w:val="nil"/>
              <w:bottom w:val="nil"/>
              <w:right w:val="nil"/>
              <w:tl2br w:val="nil"/>
              <w:tr2bl w:val="nil"/>
            </w:tcBorders>
            <w:noWrap/>
            <w:tcMar>
              <w:left w:w="40" w:type="dxa"/>
              <w:right w:w="40" w:type="dxa"/>
            </w:tcMar>
          </w:tcPr>
          <w:p w14:paraId="4F5EE7B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06EBEBF1"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23C72BAF"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7,000</w:t>
            </w:r>
          </w:p>
        </w:tc>
        <w:tc>
          <w:tcPr>
            <w:tcW w:w="840" w:type="dxa"/>
            <w:tcBorders>
              <w:top w:val="nil"/>
              <w:left w:val="nil"/>
              <w:bottom w:val="nil"/>
              <w:right w:val="nil"/>
              <w:tl2br w:val="nil"/>
              <w:tr2bl w:val="nil"/>
            </w:tcBorders>
            <w:noWrap/>
            <w:tcMar>
              <w:left w:w="40" w:type="dxa"/>
              <w:right w:w="40" w:type="dxa"/>
            </w:tcMar>
          </w:tcPr>
          <w:p w14:paraId="2AE395B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15,680</w:t>
            </w:r>
          </w:p>
        </w:tc>
        <w:tc>
          <w:tcPr>
            <w:tcW w:w="945" w:type="dxa"/>
            <w:tcBorders>
              <w:top w:val="nil"/>
              <w:left w:val="nil"/>
              <w:bottom w:val="nil"/>
              <w:right w:val="nil"/>
              <w:tl2br w:val="nil"/>
              <w:tr2bl w:val="nil"/>
            </w:tcBorders>
            <w:noWrap/>
            <w:tcMar>
              <w:left w:w="40" w:type="dxa"/>
              <w:right w:w="40" w:type="dxa"/>
            </w:tcMar>
          </w:tcPr>
          <w:p w14:paraId="77F36FB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22,680</w:t>
            </w:r>
          </w:p>
        </w:tc>
        <w:tc>
          <w:tcPr>
            <w:tcW w:w="1005" w:type="dxa"/>
            <w:tcBorders>
              <w:top w:val="nil"/>
              <w:left w:val="nil"/>
              <w:bottom w:val="nil"/>
              <w:right w:val="nil"/>
              <w:tl2br w:val="nil"/>
              <w:tr2bl w:val="nil"/>
            </w:tcBorders>
            <w:noWrap/>
            <w:tcMar>
              <w:left w:w="40" w:type="dxa"/>
              <w:right w:w="40" w:type="dxa"/>
            </w:tcMar>
          </w:tcPr>
          <w:p w14:paraId="511177FA"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TBD</w:t>
            </w:r>
          </w:p>
        </w:tc>
      </w:tr>
      <w:tr w:rsidR="00143C9C" w14:paraId="1023F743"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985" w:type="dxa"/>
            <w:tcBorders>
              <w:top w:val="nil"/>
              <w:left w:val="nil"/>
              <w:bottom w:val="nil"/>
              <w:right w:val="nil"/>
              <w:tl2br w:val="nil"/>
              <w:tr2bl w:val="nil"/>
            </w:tcBorders>
            <w:tcMar>
              <w:left w:w="40" w:type="dxa"/>
              <w:right w:w="40" w:type="dxa"/>
            </w:tcMar>
          </w:tcPr>
          <w:p w14:paraId="48A526A7" w14:textId="30F9271F" w:rsidR="00143C9C" w:rsidRDefault="009B5C32" w:rsidP="005D4B41">
            <w:pPr>
              <w:pBdr>
                <w:top w:val="nil"/>
                <w:left w:val="nil"/>
                <w:bottom w:val="nil"/>
                <w:right w:val="nil"/>
                <w:between w:val="nil"/>
                <w:bar w:val="nil"/>
              </w:pBdr>
              <w:ind w:left="170" w:hanging="170"/>
              <w:rPr>
                <w:rFonts w:eastAsia="Calibri" w:cs="Calibri"/>
                <w:color w:val="000000"/>
              </w:rPr>
            </w:pPr>
            <w:r>
              <w:rPr>
                <w:rFonts w:ascii="Calibri" w:eastAsia="Calibri" w:hAnsi="Calibri" w:cs="Calibri"/>
                <w:color w:val="000000"/>
                <w:sz w:val="18"/>
                <w:lang w:eastAsia="en-US"/>
              </w:rPr>
              <w:t>Well-prepared emergency services – Molonglo Station and Casey Station</w:t>
            </w:r>
            <w:r w:rsidR="00897636">
              <w:rPr>
                <w:rFonts w:ascii="Calibri" w:eastAsia="Calibri" w:hAnsi="Calibri" w:cs="Calibri"/>
                <w:color w:val="000000"/>
                <w:sz w:val="18"/>
                <w:vertAlign w:val="superscript"/>
                <w:lang w:eastAsia="en-US"/>
              </w:rPr>
              <w:t>5</w:t>
            </w:r>
          </w:p>
        </w:tc>
        <w:tc>
          <w:tcPr>
            <w:tcW w:w="840" w:type="dxa"/>
            <w:tcBorders>
              <w:top w:val="nil"/>
              <w:left w:val="nil"/>
              <w:bottom w:val="nil"/>
              <w:right w:val="nil"/>
              <w:tl2br w:val="nil"/>
              <w:tr2bl w:val="nil"/>
            </w:tcBorders>
            <w:noWrap/>
            <w:tcMar>
              <w:left w:w="40" w:type="dxa"/>
              <w:right w:w="40" w:type="dxa"/>
            </w:tcMar>
          </w:tcPr>
          <w:p w14:paraId="02C8B3C2"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53,394</w:t>
            </w:r>
          </w:p>
        </w:tc>
        <w:tc>
          <w:tcPr>
            <w:tcW w:w="840" w:type="dxa"/>
            <w:tcBorders>
              <w:top w:val="nil"/>
              <w:left w:val="nil"/>
              <w:bottom w:val="nil"/>
              <w:right w:val="nil"/>
              <w:tl2br w:val="nil"/>
              <w:tr2bl w:val="nil"/>
            </w:tcBorders>
            <w:noWrap/>
            <w:tcMar>
              <w:left w:w="40" w:type="dxa"/>
              <w:right w:w="40" w:type="dxa"/>
            </w:tcMar>
          </w:tcPr>
          <w:p w14:paraId="68A4B9D8"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999</w:t>
            </w:r>
          </w:p>
        </w:tc>
        <w:tc>
          <w:tcPr>
            <w:tcW w:w="840" w:type="dxa"/>
            <w:tcBorders>
              <w:top w:val="nil"/>
              <w:left w:val="nil"/>
              <w:bottom w:val="nil"/>
              <w:right w:val="nil"/>
              <w:tl2br w:val="nil"/>
              <w:tr2bl w:val="nil"/>
            </w:tcBorders>
            <w:noWrap/>
            <w:tcMar>
              <w:left w:w="40" w:type="dxa"/>
              <w:right w:w="40" w:type="dxa"/>
            </w:tcMar>
          </w:tcPr>
          <w:p w14:paraId="127A7F4C"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00723957"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840" w:type="dxa"/>
            <w:tcBorders>
              <w:top w:val="nil"/>
              <w:left w:val="nil"/>
              <w:bottom w:val="nil"/>
              <w:right w:val="nil"/>
              <w:tl2br w:val="nil"/>
              <w:tr2bl w:val="nil"/>
            </w:tcBorders>
            <w:noWrap/>
            <w:tcMar>
              <w:left w:w="40" w:type="dxa"/>
              <w:right w:w="40" w:type="dxa"/>
            </w:tcMar>
          </w:tcPr>
          <w:p w14:paraId="390E70F5"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945" w:type="dxa"/>
            <w:tcBorders>
              <w:top w:val="nil"/>
              <w:left w:val="nil"/>
              <w:bottom w:val="nil"/>
              <w:right w:val="nil"/>
              <w:tl2br w:val="nil"/>
              <w:tr2bl w:val="nil"/>
            </w:tcBorders>
            <w:noWrap/>
            <w:tcMar>
              <w:left w:w="40" w:type="dxa"/>
              <w:right w:w="40" w:type="dxa"/>
            </w:tcMar>
          </w:tcPr>
          <w:p w14:paraId="7A10433D" w14:textId="77777777" w:rsidR="00143C9C" w:rsidRDefault="009B5C32">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999</w:t>
            </w:r>
          </w:p>
        </w:tc>
        <w:tc>
          <w:tcPr>
            <w:tcW w:w="1005" w:type="dxa"/>
            <w:tcBorders>
              <w:top w:val="nil"/>
              <w:left w:val="nil"/>
              <w:bottom w:val="nil"/>
              <w:right w:val="nil"/>
              <w:tl2br w:val="nil"/>
              <w:tr2bl w:val="nil"/>
            </w:tcBorders>
            <w:noWrap/>
            <w:tcMar>
              <w:left w:w="40" w:type="dxa"/>
              <w:right w:w="40" w:type="dxa"/>
            </w:tcMar>
          </w:tcPr>
          <w:p w14:paraId="5CF07777" w14:textId="77777777" w:rsidR="00143C9C" w:rsidRDefault="009B5C32">
            <w:pPr>
              <w:pBdr>
                <w:top w:val="nil"/>
                <w:left w:val="nil"/>
                <w:bottom w:val="nil"/>
                <w:right w:val="nil"/>
                <w:between w:val="nil"/>
                <w:bar w:val="nil"/>
              </w:pBdr>
              <w:jc w:val="center"/>
              <w:rPr>
                <w:rFonts w:eastAsia="Calibri" w:cs="Calibri"/>
                <w:b/>
                <w:color w:val="000000"/>
              </w:rPr>
            </w:pPr>
            <w:r>
              <w:rPr>
                <w:rFonts w:ascii="Calibri" w:eastAsia="Calibri" w:hAnsi="Calibri" w:cs="Calibri"/>
                <w:b/>
                <w:color w:val="000000"/>
                <w:sz w:val="18"/>
                <w:lang w:eastAsia="en-US"/>
              </w:rPr>
              <w:t>DLP</w:t>
            </w:r>
          </w:p>
        </w:tc>
      </w:tr>
      <w:tr w:rsidR="00143C9C" w14:paraId="2804E32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85" w:type="dxa"/>
            <w:tcBorders>
              <w:top w:val="nil"/>
              <w:left w:val="nil"/>
              <w:bottom w:val="single" w:sz="12" w:space="0" w:color="000000"/>
              <w:right w:val="nil"/>
              <w:tl2br w:val="nil"/>
              <w:tr2bl w:val="nil"/>
            </w:tcBorders>
            <w:tcMar>
              <w:left w:w="40" w:type="dxa"/>
              <w:right w:w="40" w:type="dxa"/>
            </w:tcMar>
          </w:tcPr>
          <w:p w14:paraId="4ED16F73"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Total Works in progress</w:t>
            </w:r>
          </w:p>
        </w:tc>
        <w:tc>
          <w:tcPr>
            <w:tcW w:w="840" w:type="dxa"/>
            <w:tcBorders>
              <w:top w:val="nil"/>
              <w:left w:val="nil"/>
              <w:bottom w:val="single" w:sz="12" w:space="0" w:color="000000"/>
              <w:right w:val="nil"/>
              <w:tl2br w:val="nil"/>
              <w:tr2bl w:val="nil"/>
            </w:tcBorders>
            <w:tcMar>
              <w:left w:w="0" w:type="dxa"/>
              <w:right w:w="0" w:type="dxa"/>
            </w:tcMar>
          </w:tcPr>
          <w:p w14:paraId="53AD6BC3" w14:textId="77777777" w:rsidR="00143C9C" w:rsidRDefault="00143C9C">
            <w:pPr>
              <w:jc w:val="right"/>
              <w:rPr>
                <w:rFonts w:eastAsia="Calibri" w:cs="Calibri"/>
                <w:b/>
                <w:color w:val="000000"/>
              </w:rPr>
            </w:pPr>
          </w:p>
        </w:tc>
        <w:tc>
          <w:tcPr>
            <w:tcW w:w="840" w:type="dxa"/>
            <w:tcBorders>
              <w:top w:val="nil"/>
              <w:left w:val="nil"/>
              <w:bottom w:val="single" w:sz="12" w:space="0" w:color="000000"/>
              <w:right w:val="nil"/>
              <w:tl2br w:val="nil"/>
              <w:tr2bl w:val="nil"/>
            </w:tcBorders>
            <w:noWrap/>
            <w:tcMar>
              <w:left w:w="40" w:type="dxa"/>
              <w:right w:w="40" w:type="dxa"/>
            </w:tcMar>
          </w:tcPr>
          <w:p w14:paraId="3F0C01A4" w14:textId="21CE136A"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909,</w:t>
            </w:r>
            <w:r w:rsidR="00CC7595">
              <w:rPr>
                <w:rFonts w:ascii="Calibri" w:eastAsia="Calibri" w:hAnsi="Calibri" w:cs="Calibri"/>
                <w:b/>
                <w:color w:val="000000"/>
                <w:sz w:val="18"/>
                <w:lang w:eastAsia="en-US"/>
              </w:rPr>
              <w:t>393</w:t>
            </w:r>
          </w:p>
        </w:tc>
        <w:tc>
          <w:tcPr>
            <w:tcW w:w="840" w:type="dxa"/>
            <w:tcBorders>
              <w:top w:val="nil"/>
              <w:left w:val="nil"/>
              <w:bottom w:val="single" w:sz="12" w:space="0" w:color="000000"/>
              <w:right w:val="nil"/>
              <w:tl2br w:val="nil"/>
              <w:tr2bl w:val="nil"/>
            </w:tcBorders>
            <w:noWrap/>
            <w:tcMar>
              <w:left w:w="40" w:type="dxa"/>
              <w:right w:w="40" w:type="dxa"/>
            </w:tcMar>
          </w:tcPr>
          <w:p w14:paraId="4AA7B656"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1,043,076</w:t>
            </w:r>
          </w:p>
        </w:tc>
        <w:tc>
          <w:tcPr>
            <w:tcW w:w="840" w:type="dxa"/>
            <w:tcBorders>
              <w:top w:val="nil"/>
              <w:left w:val="nil"/>
              <w:bottom w:val="single" w:sz="12" w:space="0" w:color="000000"/>
              <w:right w:val="nil"/>
              <w:tl2br w:val="nil"/>
              <w:tr2bl w:val="nil"/>
            </w:tcBorders>
            <w:noWrap/>
            <w:tcMar>
              <w:left w:w="40" w:type="dxa"/>
              <w:right w:w="40" w:type="dxa"/>
            </w:tcMar>
          </w:tcPr>
          <w:p w14:paraId="1F0ADF34"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313,561</w:t>
            </w:r>
          </w:p>
        </w:tc>
        <w:tc>
          <w:tcPr>
            <w:tcW w:w="840" w:type="dxa"/>
            <w:tcBorders>
              <w:top w:val="nil"/>
              <w:left w:val="nil"/>
              <w:bottom w:val="single" w:sz="12" w:space="0" w:color="000000"/>
              <w:right w:val="nil"/>
              <w:tl2br w:val="nil"/>
              <w:tr2bl w:val="nil"/>
            </w:tcBorders>
            <w:noWrap/>
            <w:tcMar>
              <w:left w:w="40" w:type="dxa"/>
              <w:right w:w="40" w:type="dxa"/>
            </w:tcMar>
          </w:tcPr>
          <w:p w14:paraId="7F219F2F"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319,649</w:t>
            </w:r>
          </w:p>
        </w:tc>
        <w:tc>
          <w:tcPr>
            <w:tcW w:w="945" w:type="dxa"/>
            <w:tcBorders>
              <w:top w:val="nil"/>
              <w:left w:val="nil"/>
              <w:bottom w:val="single" w:sz="12" w:space="0" w:color="000000"/>
              <w:right w:val="nil"/>
              <w:tl2br w:val="nil"/>
              <w:tr2bl w:val="nil"/>
            </w:tcBorders>
            <w:noWrap/>
            <w:tcMar>
              <w:left w:w="40" w:type="dxa"/>
              <w:right w:w="40" w:type="dxa"/>
            </w:tcMar>
          </w:tcPr>
          <w:p w14:paraId="47E4D159" w14:textId="66B81E34"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2,585,</w:t>
            </w:r>
            <w:r w:rsidR="00F82BFD">
              <w:rPr>
                <w:rFonts w:ascii="Calibri" w:eastAsia="Calibri" w:hAnsi="Calibri" w:cs="Calibri"/>
                <w:b/>
                <w:color w:val="000000"/>
                <w:sz w:val="18"/>
                <w:lang w:eastAsia="en-US"/>
              </w:rPr>
              <w:t>679</w:t>
            </w:r>
          </w:p>
        </w:tc>
        <w:tc>
          <w:tcPr>
            <w:tcW w:w="1005" w:type="dxa"/>
            <w:tcBorders>
              <w:top w:val="nil"/>
              <w:left w:val="nil"/>
              <w:bottom w:val="single" w:sz="12" w:space="0" w:color="000000"/>
              <w:right w:val="nil"/>
              <w:tl2br w:val="nil"/>
              <w:tr2bl w:val="nil"/>
            </w:tcBorders>
            <w:noWrap/>
            <w:tcMar>
              <w:left w:w="0" w:type="dxa"/>
              <w:right w:w="0" w:type="dxa"/>
            </w:tcMar>
          </w:tcPr>
          <w:p w14:paraId="3040262A" w14:textId="77777777" w:rsidR="00143C9C" w:rsidRDefault="00143C9C">
            <w:pPr>
              <w:jc w:val="center"/>
              <w:rPr>
                <w:rFonts w:eastAsia="Calibri" w:cs="Calibri"/>
                <w:b/>
                <w:color w:val="000000"/>
              </w:rPr>
            </w:pPr>
          </w:p>
        </w:tc>
      </w:tr>
      <w:tr w:rsidR="00143C9C" w14:paraId="28D1BE9F"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2985" w:type="dxa"/>
            <w:tcBorders>
              <w:top w:val="single" w:sz="12" w:space="0" w:color="000000"/>
              <w:left w:val="nil"/>
              <w:bottom w:val="single" w:sz="12" w:space="0" w:color="000000"/>
              <w:right w:val="nil"/>
              <w:tl2br w:val="nil"/>
              <w:tr2bl w:val="nil"/>
            </w:tcBorders>
            <w:tcMar>
              <w:left w:w="40" w:type="dxa"/>
              <w:right w:w="40" w:type="dxa"/>
            </w:tcMar>
          </w:tcPr>
          <w:p w14:paraId="5E8A934C" w14:textId="77777777" w:rsidR="00143C9C" w:rsidRDefault="009B5C32" w:rsidP="005D4B41">
            <w:pPr>
              <w:pBdr>
                <w:top w:val="nil"/>
                <w:left w:val="nil"/>
                <w:bottom w:val="nil"/>
                <w:right w:val="nil"/>
                <w:between w:val="nil"/>
                <w:bar w:val="nil"/>
              </w:pBdr>
              <w:ind w:left="170" w:hanging="170"/>
              <w:rPr>
                <w:rFonts w:eastAsia="Calibri" w:cs="Calibri"/>
                <w:b/>
                <w:color w:val="000000"/>
              </w:rPr>
            </w:pPr>
            <w:r>
              <w:rPr>
                <w:rFonts w:ascii="Calibri" w:eastAsia="Calibri" w:hAnsi="Calibri" w:cs="Calibri"/>
                <w:b/>
                <w:color w:val="000000"/>
                <w:sz w:val="18"/>
                <w:lang w:eastAsia="en-US"/>
              </w:rPr>
              <w:t>Total Capital Program</w:t>
            </w:r>
          </w:p>
        </w:tc>
        <w:tc>
          <w:tcPr>
            <w:tcW w:w="840" w:type="dxa"/>
            <w:tcBorders>
              <w:top w:val="single" w:sz="12" w:space="0" w:color="000000"/>
              <w:left w:val="nil"/>
              <w:bottom w:val="single" w:sz="12" w:space="0" w:color="000000"/>
              <w:right w:val="nil"/>
              <w:tl2br w:val="nil"/>
              <w:tr2bl w:val="nil"/>
            </w:tcBorders>
            <w:noWrap/>
            <w:tcMar>
              <w:left w:w="0" w:type="dxa"/>
              <w:right w:w="0" w:type="dxa"/>
            </w:tcMar>
          </w:tcPr>
          <w:p w14:paraId="0541C5CC" w14:textId="77777777" w:rsidR="00143C9C" w:rsidRDefault="00143C9C">
            <w:pPr>
              <w:rPr>
                <w:rFonts w:eastAsia="Calibri" w:cs="Calibri"/>
                <w:b/>
                <w:color w:val="000000"/>
              </w:rPr>
            </w:pPr>
          </w:p>
        </w:tc>
        <w:tc>
          <w:tcPr>
            <w:tcW w:w="840" w:type="dxa"/>
            <w:tcBorders>
              <w:top w:val="single" w:sz="12" w:space="0" w:color="000000"/>
              <w:left w:val="nil"/>
              <w:bottom w:val="single" w:sz="12" w:space="0" w:color="000000"/>
              <w:right w:val="nil"/>
              <w:tl2br w:val="nil"/>
              <w:tr2bl w:val="nil"/>
            </w:tcBorders>
            <w:noWrap/>
            <w:tcMar>
              <w:left w:w="40" w:type="dxa"/>
              <w:right w:w="40" w:type="dxa"/>
            </w:tcMar>
          </w:tcPr>
          <w:p w14:paraId="474DC7E6" w14:textId="382D5053"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9</w:t>
            </w:r>
            <w:r w:rsidR="00A326D7">
              <w:rPr>
                <w:rFonts w:ascii="Calibri" w:eastAsia="Calibri" w:hAnsi="Calibri" w:cs="Calibri"/>
                <w:b/>
                <w:color w:val="000000"/>
                <w:sz w:val="18"/>
                <w:lang w:eastAsia="en-US"/>
              </w:rPr>
              <w:t>29</w:t>
            </w:r>
            <w:r>
              <w:rPr>
                <w:rFonts w:ascii="Calibri" w:eastAsia="Calibri" w:hAnsi="Calibri" w:cs="Calibri"/>
                <w:b/>
                <w:color w:val="000000"/>
                <w:sz w:val="18"/>
                <w:lang w:eastAsia="en-US"/>
              </w:rPr>
              <w:t>,</w:t>
            </w:r>
            <w:r w:rsidR="00A326D7">
              <w:rPr>
                <w:rFonts w:ascii="Calibri" w:eastAsia="Calibri" w:hAnsi="Calibri" w:cs="Calibri"/>
                <w:b/>
                <w:color w:val="000000"/>
                <w:sz w:val="18"/>
                <w:lang w:eastAsia="en-US"/>
              </w:rPr>
              <w:t>85</w:t>
            </w:r>
            <w:r>
              <w:rPr>
                <w:rFonts w:ascii="Calibri" w:eastAsia="Calibri" w:hAnsi="Calibri" w:cs="Calibri"/>
                <w:b/>
                <w:color w:val="000000"/>
                <w:sz w:val="18"/>
                <w:lang w:eastAsia="en-US"/>
              </w:rPr>
              <w:t>0</w:t>
            </w:r>
          </w:p>
        </w:tc>
        <w:tc>
          <w:tcPr>
            <w:tcW w:w="840" w:type="dxa"/>
            <w:tcBorders>
              <w:top w:val="single" w:sz="12" w:space="0" w:color="000000"/>
              <w:left w:val="nil"/>
              <w:bottom w:val="single" w:sz="12" w:space="0" w:color="000000"/>
              <w:right w:val="nil"/>
              <w:tl2br w:val="nil"/>
              <w:tr2bl w:val="nil"/>
            </w:tcBorders>
            <w:noWrap/>
            <w:tcMar>
              <w:left w:w="40" w:type="dxa"/>
              <w:right w:w="40" w:type="dxa"/>
            </w:tcMar>
          </w:tcPr>
          <w:p w14:paraId="0DFAA384"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1,049,564</w:t>
            </w:r>
          </w:p>
        </w:tc>
        <w:tc>
          <w:tcPr>
            <w:tcW w:w="840" w:type="dxa"/>
            <w:tcBorders>
              <w:top w:val="single" w:sz="12" w:space="0" w:color="000000"/>
              <w:left w:val="nil"/>
              <w:bottom w:val="single" w:sz="12" w:space="0" w:color="000000"/>
              <w:right w:val="nil"/>
              <w:tl2br w:val="nil"/>
              <w:tr2bl w:val="nil"/>
            </w:tcBorders>
            <w:noWrap/>
            <w:tcMar>
              <w:left w:w="40" w:type="dxa"/>
              <w:right w:w="40" w:type="dxa"/>
            </w:tcMar>
          </w:tcPr>
          <w:p w14:paraId="635FB413"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322,100</w:t>
            </w:r>
          </w:p>
        </w:tc>
        <w:tc>
          <w:tcPr>
            <w:tcW w:w="840" w:type="dxa"/>
            <w:tcBorders>
              <w:top w:val="single" w:sz="12" w:space="0" w:color="000000"/>
              <w:left w:val="nil"/>
              <w:bottom w:val="single" w:sz="12" w:space="0" w:color="000000"/>
              <w:right w:val="nil"/>
              <w:tl2br w:val="nil"/>
              <w:tr2bl w:val="nil"/>
            </w:tcBorders>
            <w:noWrap/>
            <w:tcMar>
              <w:left w:w="40" w:type="dxa"/>
              <w:right w:w="40" w:type="dxa"/>
            </w:tcMar>
          </w:tcPr>
          <w:p w14:paraId="698C34C9" w14:textId="7777777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326,034</w:t>
            </w:r>
          </w:p>
        </w:tc>
        <w:tc>
          <w:tcPr>
            <w:tcW w:w="945" w:type="dxa"/>
            <w:tcBorders>
              <w:top w:val="single" w:sz="12" w:space="0" w:color="000000"/>
              <w:left w:val="nil"/>
              <w:bottom w:val="single" w:sz="12" w:space="0" w:color="000000"/>
              <w:right w:val="nil"/>
              <w:tl2br w:val="nil"/>
              <w:tr2bl w:val="nil"/>
            </w:tcBorders>
            <w:noWrap/>
            <w:tcMar>
              <w:left w:w="40" w:type="dxa"/>
              <w:right w:w="40" w:type="dxa"/>
            </w:tcMar>
          </w:tcPr>
          <w:p w14:paraId="42D1F4D6" w14:textId="495391D7" w:rsidR="00143C9C" w:rsidRDefault="009B5C32">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2,627,</w:t>
            </w:r>
            <w:r w:rsidR="00030360">
              <w:rPr>
                <w:rFonts w:ascii="Calibri" w:eastAsia="Calibri" w:hAnsi="Calibri" w:cs="Calibri"/>
                <w:b/>
                <w:color w:val="000000"/>
                <w:sz w:val="18"/>
                <w:lang w:eastAsia="en-US"/>
              </w:rPr>
              <w:t>548</w:t>
            </w:r>
          </w:p>
        </w:tc>
        <w:tc>
          <w:tcPr>
            <w:tcW w:w="1005" w:type="dxa"/>
            <w:tcBorders>
              <w:top w:val="single" w:sz="12" w:space="0" w:color="000000"/>
              <w:left w:val="nil"/>
              <w:bottom w:val="single" w:sz="12" w:space="0" w:color="000000"/>
              <w:right w:val="nil"/>
              <w:tl2br w:val="nil"/>
              <w:tr2bl w:val="nil"/>
            </w:tcBorders>
            <w:noWrap/>
            <w:tcMar>
              <w:left w:w="0" w:type="dxa"/>
              <w:right w:w="0" w:type="dxa"/>
            </w:tcMar>
          </w:tcPr>
          <w:p w14:paraId="0BAA8C37" w14:textId="77777777" w:rsidR="00143C9C" w:rsidRDefault="00143C9C">
            <w:pPr>
              <w:rPr>
                <w:rFonts w:eastAsia="Calibri" w:cs="Calibri"/>
                <w:b/>
                <w:color w:val="000000"/>
              </w:rPr>
            </w:pPr>
          </w:p>
        </w:tc>
      </w:tr>
    </w:tbl>
    <w:p w14:paraId="118AACC9" w14:textId="77777777" w:rsidR="006E7477" w:rsidRDefault="006E7477">
      <w:pPr>
        <w:pBdr>
          <w:top w:val="nil"/>
          <w:left w:val="nil"/>
          <w:bottom w:val="nil"/>
          <w:right w:val="nil"/>
          <w:between w:val="nil"/>
          <w:bar w:val="nil"/>
        </w:pBdr>
        <w:spacing w:after="0" w:line="240" w:lineRule="auto"/>
        <w:rPr>
          <w:rFonts w:eastAsia="Times New Roman" w:cs="Times New Roman"/>
          <w:szCs w:val="20"/>
          <w:lang w:val="en-AU"/>
        </w:rPr>
      </w:pPr>
    </w:p>
    <w:p w14:paraId="10135864" w14:textId="77777777" w:rsidR="004E72CB" w:rsidRDefault="009B5C32" w:rsidP="004E72CB">
      <w:pPr>
        <w:pStyle w:val="BNote"/>
        <w:pBdr>
          <w:top w:val="nil"/>
          <w:left w:val="nil"/>
          <w:bottom w:val="nil"/>
          <w:right w:val="nil"/>
          <w:between w:val="nil"/>
          <w:bar w:val="nil"/>
        </w:pBdr>
        <w:rPr>
          <w:b/>
          <w:bCs/>
        </w:rPr>
      </w:pPr>
      <w:r>
        <w:rPr>
          <w:b/>
          <w:bCs/>
        </w:rPr>
        <w:t>Note(s):</w:t>
      </w:r>
    </w:p>
    <w:p w14:paraId="51329EBD" w14:textId="77777777" w:rsidR="004E72CB" w:rsidRDefault="009B5C32" w:rsidP="004E72CB">
      <w:pPr>
        <w:pStyle w:val="BNotelist"/>
        <w:numPr>
          <w:ilvl w:val="0"/>
          <w:numId w:val="21"/>
        </w:numPr>
        <w:pBdr>
          <w:top w:val="nil"/>
          <w:left w:val="nil"/>
          <w:bottom w:val="nil"/>
          <w:right w:val="nil"/>
          <w:between w:val="nil"/>
          <w:bar w:val="nil"/>
        </w:pBdr>
        <w:rPr>
          <w:szCs w:val="20"/>
        </w:rPr>
      </w:pPr>
      <w:r>
        <w:rPr>
          <w:szCs w:val="20"/>
          <w:lang w:eastAsia="en-AU"/>
        </w:rPr>
        <w:t xml:space="preserve">The table above includes capital projects that are funded from Controlled Recurrent Payments.  </w:t>
      </w:r>
    </w:p>
    <w:p w14:paraId="1E008B29" w14:textId="3FE2D892" w:rsidR="00A26D68" w:rsidRDefault="009B5C32" w:rsidP="005D01C5">
      <w:pPr>
        <w:pStyle w:val="BNotelist"/>
        <w:numPr>
          <w:ilvl w:val="0"/>
          <w:numId w:val="21"/>
        </w:numPr>
        <w:pBdr>
          <w:top w:val="nil"/>
          <w:left w:val="nil"/>
          <w:bottom w:val="nil"/>
          <w:right w:val="nil"/>
          <w:between w:val="nil"/>
          <w:bar w:val="nil"/>
        </w:pBdr>
        <w:rPr>
          <w:szCs w:val="20"/>
        </w:rPr>
      </w:pPr>
      <w:r w:rsidRPr="00A26D68">
        <w:rPr>
          <w:szCs w:val="20"/>
          <w:lang w:eastAsia="en-AU"/>
        </w:rPr>
        <w:t xml:space="preserve">The project value includes </w:t>
      </w:r>
      <w:r w:rsidR="00CA3A39">
        <w:rPr>
          <w:szCs w:val="20"/>
          <w:lang w:eastAsia="en-AU"/>
        </w:rPr>
        <w:t>enabling services</w:t>
      </w:r>
      <w:r w:rsidRPr="00A26D68">
        <w:rPr>
          <w:szCs w:val="20"/>
          <w:lang w:eastAsia="en-AU"/>
        </w:rPr>
        <w:t xml:space="preserve"> </w:t>
      </w:r>
      <w:r w:rsidR="003535D4">
        <w:rPr>
          <w:szCs w:val="20"/>
          <w:lang w:eastAsia="en-AU"/>
        </w:rPr>
        <w:t xml:space="preserve">contributions </w:t>
      </w:r>
      <w:r w:rsidRPr="00A26D68">
        <w:rPr>
          <w:szCs w:val="20"/>
          <w:lang w:eastAsia="en-AU"/>
        </w:rPr>
        <w:t>associated with the iCBR Financial Sustainability initiative.</w:t>
      </w:r>
    </w:p>
    <w:p w14:paraId="6B53F8AC" w14:textId="403F78E6" w:rsidR="00646013" w:rsidRDefault="009B5C32" w:rsidP="00703338">
      <w:pPr>
        <w:pStyle w:val="BNotelist"/>
        <w:numPr>
          <w:ilvl w:val="0"/>
          <w:numId w:val="21"/>
        </w:numPr>
        <w:pBdr>
          <w:top w:val="nil"/>
          <w:left w:val="nil"/>
          <w:bottom w:val="nil"/>
          <w:right w:val="nil"/>
          <w:between w:val="nil"/>
          <w:bar w:val="nil"/>
        </w:pBdr>
        <w:rPr>
          <w:szCs w:val="20"/>
        </w:rPr>
      </w:pPr>
      <w:r w:rsidRPr="00646013">
        <w:rPr>
          <w:szCs w:val="20"/>
          <w:lang w:eastAsia="en-AU"/>
        </w:rPr>
        <w:t>The variance between the funding availability date and the physical completion date is primarily attributable to timing differences in financial completion processes. While physical works may be completed, additional time is required to finalise financial matters, including the assessment and settlement of final claims, as well as addressing obligations during the defect liability period. These activities extend beyond practical completion and result in the observed timing difference</w:t>
      </w:r>
      <w:r>
        <w:rPr>
          <w:szCs w:val="20"/>
          <w:lang w:eastAsia="en-AU"/>
        </w:rPr>
        <w:t>.</w:t>
      </w:r>
    </w:p>
    <w:p w14:paraId="0F77C79D" w14:textId="77777777" w:rsidR="00E315D5" w:rsidRPr="00E315D5" w:rsidRDefault="009B5C32" w:rsidP="00E315D5">
      <w:pPr>
        <w:pStyle w:val="BNotelist"/>
        <w:numPr>
          <w:ilvl w:val="0"/>
          <w:numId w:val="21"/>
        </w:numPr>
        <w:pBdr>
          <w:top w:val="nil"/>
          <w:left w:val="nil"/>
          <w:bottom w:val="nil"/>
          <w:right w:val="nil"/>
          <w:between w:val="nil"/>
          <w:bar w:val="nil"/>
        </w:pBdr>
        <w:rPr>
          <w:szCs w:val="20"/>
        </w:rPr>
      </w:pPr>
      <w:r w:rsidRPr="00E315D5">
        <w:rPr>
          <w:szCs w:val="20"/>
          <w:lang w:eastAsia="en-AU"/>
        </w:rPr>
        <w:t>The physical completion date for this program is yet to be determined (TBD).</w:t>
      </w:r>
    </w:p>
    <w:p w14:paraId="01317F85" w14:textId="77777777" w:rsidR="00E315D5" w:rsidRPr="00703338" w:rsidRDefault="009B5C32" w:rsidP="00E315D5">
      <w:pPr>
        <w:pStyle w:val="BNotelist"/>
        <w:numPr>
          <w:ilvl w:val="0"/>
          <w:numId w:val="21"/>
        </w:numPr>
        <w:pBdr>
          <w:top w:val="nil"/>
          <w:left w:val="nil"/>
          <w:bottom w:val="nil"/>
          <w:right w:val="nil"/>
          <w:between w:val="nil"/>
          <w:bar w:val="nil"/>
        </w:pBdr>
        <w:rPr>
          <w:szCs w:val="20"/>
        </w:rPr>
      </w:pPr>
      <w:r w:rsidRPr="00E315D5">
        <w:rPr>
          <w:szCs w:val="20"/>
          <w:lang w:eastAsia="en-AU"/>
        </w:rPr>
        <w:t>The program has reached physical completion and is currently within the defect liability period</w:t>
      </w:r>
      <w:r>
        <w:rPr>
          <w:szCs w:val="20"/>
          <w:lang w:eastAsia="en-AU"/>
        </w:rPr>
        <w:t xml:space="preserve"> (DLP)</w:t>
      </w:r>
      <w:r w:rsidRPr="00E315D5">
        <w:rPr>
          <w:szCs w:val="20"/>
          <w:lang w:eastAsia="en-AU"/>
        </w:rPr>
        <w:t>.</w:t>
      </w:r>
    </w:p>
    <w:p w14:paraId="62F5CE9B" w14:textId="77777777" w:rsidR="00FE62CF" w:rsidRDefault="009B5C32" w:rsidP="007F475C">
      <w:pPr>
        <w:pStyle w:val="Heading2"/>
        <w:pageBreakBefore/>
        <w:pBdr>
          <w:top w:val="nil"/>
          <w:left w:val="nil"/>
          <w:bottom w:val="nil"/>
          <w:right w:val="nil"/>
          <w:between w:val="nil"/>
          <w:bar w:val="nil"/>
        </w:pBdr>
        <w:ind w:left="-426" w:firstLine="426"/>
      </w:pPr>
      <w:bookmarkStart w:id="28" w:name="RG_MARKER_56746"/>
      <w:bookmarkStart w:id="29" w:name="RG_MARKER_56744"/>
      <w:bookmarkStart w:id="30" w:name="RG_MARKER_56745"/>
      <w:bookmarkStart w:id="31" w:name="_Toc452467803"/>
      <w:bookmarkStart w:id="32" w:name="_Toc231374046"/>
      <w:r>
        <w:lastRenderedPageBreak/>
        <w:t>Financial Statements</w:t>
      </w:r>
      <w:bookmarkEnd w:id="28"/>
      <w:bookmarkEnd w:id="29"/>
      <w:bookmarkEnd w:id="30"/>
      <w:bookmarkEnd w:id="31"/>
      <w:bookmarkEnd w:id="32"/>
    </w:p>
    <w:p w14:paraId="0B04007B" w14:textId="6867B66C" w:rsidR="00FE62CF" w:rsidRDefault="009B5C32" w:rsidP="007F475C">
      <w:pPr>
        <w:pStyle w:val="Caption"/>
        <w:keepLines/>
        <w:pBdr>
          <w:top w:val="nil"/>
          <w:left w:val="nil"/>
          <w:bottom w:val="nil"/>
          <w:right w:val="nil"/>
          <w:between w:val="nil"/>
          <w:bar w:val="nil"/>
        </w:pBdr>
      </w:pPr>
      <w:r>
        <w:t>Table 1</w:t>
      </w:r>
      <w:r w:rsidR="00633F76">
        <w:t>0</w:t>
      </w:r>
      <w:r>
        <w:t>: Infrastructure Canberra: Operating Statement ($’000)</w:t>
      </w:r>
    </w:p>
    <w:tbl>
      <w:tblPr>
        <w:tblStyle w:val="CDMRange1"/>
        <w:tblW w:w="9225" w:type="dxa"/>
        <w:tblLayout w:type="fixed"/>
        <w:tblLook w:val="0620" w:firstRow="1" w:lastRow="0" w:firstColumn="0" w:lastColumn="0" w:noHBand="1" w:noVBand="1"/>
      </w:tblPr>
      <w:tblGrid>
        <w:gridCol w:w="2385"/>
        <w:gridCol w:w="1035"/>
        <w:gridCol w:w="1065"/>
        <w:gridCol w:w="1035"/>
        <w:gridCol w:w="600"/>
        <w:gridCol w:w="1035"/>
        <w:gridCol w:w="1035"/>
        <w:gridCol w:w="1035"/>
      </w:tblGrid>
      <w:tr w:rsidR="00143C9C" w14:paraId="593336FD" w14:textId="77777777" w:rsidTr="00BE2852">
        <w:trPr>
          <w:trHeight w:val="825"/>
          <w:tblHeader/>
        </w:trPr>
        <w:tc>
          <w:tcPr>
            <w:tcW w:w="2385" w:type="dxa"/>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33932A67" w14:textId="77777777" w:rsidR="00143C9C" w:rsidRDefault="00143C9C">
            <w:pPr>
              <w:rPr>
                <w:rFonts w:eastAsia="Calibri" w:cs="Calibri"/>
                <w:b/>
                <w:color w:val="000000"/>
                <w:lang w:eastAsia="en-US"/>
              </w:rPr>
            </w:pP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FCE8258"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2025­26 Budget</w:t>
            </w:r>
          </w:p>
        </w:tc>
        <w:tc>
          <w:tcPr>
            <w:tcW w:w="106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06B240A" w14:textId="165770EE"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2025-26 Estimated Outcome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95264B4"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2026-27 Budget</w:t>
            </w:r>
          </w:p>
        </w:tc>
        <w:tc>
          <w:tcPr>
            <w:tcW w:w="60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8EE3BC2"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Var</w:t>
            </w:r>
          </w:p>
          <w:p w14:paraId="667770AB"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F2A3F3E"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2027­28 Estimate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2C8EF4F"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2028­29 Estimate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19195F8"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2029­30 Estimate</w:t>
            </w:r>
          </w:p>
        </w:tc>
      </w:tr>
      <w:tr w:rsidR="00143C9C" w14:paraId="3905779A"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single" w:sz="12" w:space="0" w:color="000000"/>
              <w:left w:val="nil"/>
              <w:bottom w:val="nil"/>
              <w:right w:val="nil"/>
              <w:tl2br w:val="nil"/>
              <w:tr2bl w:val="nil"/>
            </w:tcBorders>
            <w:shd w:val="clear" w:color="FFFFFF" w:fill="FFFFFF"/>
            <w:noWrap/>
            <w:tcMar>
              <w:left w:w="40" w:type="dxa"/>
              <w:right w:w="40" w:type="dxa"/>
            </w:tcMar>
            <w:vAlign w:val="bottom"/>
          </w:tcPr>
          <w:p w14:paraId="1CD17755" w14:textId="77777777" w:rsidR="00143C9C" w:rsidRDefault="009B5C32" w:rsidP="005D4B41">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Income</w:t>
            </w:r>
          </w:p>
        </w:tc>
        <w:tc>
          <w:tcPr>
            <w:tcW w:w="1035"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2ADBAF2D" w14:textId="77777777" w:rsidR="00143C9C" w:rsidRDefault="00143C9C">
            <w:pPr>
              <w:jc w:val="right"/>
              <w:rPr>
                <w:rFonts w:eastAsia="Calibri" w:cs="Calibri"/>
                <w:b/>
                <w:i/>
                <w:color w:val="000000"/>
                <w:lang w:eastAsia="en-US"/>
              </w:rPr>
            </w:pPr>
          </w:p>
        </w:tc>
        <w:tc>
          <w:tcPr>
            <w:tcW w:w="1065"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48DC2D22" w14:textId="77777777" w:rsidR="00143C9C" w:rsidRDefault="00143C9C">
            <w:pPr>
              <w:jc w:val="right"/>
              <w:rPr>
                <w:rFonts w:eastAsia="Calibri" w:cs="Calibri"/>
                <w:b/>
                <w:i/>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41BC5EBF" w14:textId="77777777" w:rsidR="00143C9C" w:rsidRDefault="00143C9C">
            <w:pPr>
              <w:jc w:val="right"/>
              <w:rPr>
                <w:rFonts w:eastAsia="Calibri" w:cs="Calibri"/>
                <w:b/>
                <w:i/>
                <w:color w:val="000000"/>
                <w:lang w:eastAsia="en-US"/>
              </w:rPr>
            </w:pPr>
          </w:p>
        </w:tc>
        <w:tc>
          <w:tcPr>
            <w:tcW w:w="600"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728BA6B7" w14:textId="77777777" w:rsidR="00143C9C" w:rsidRDefault="00143C9C">
            <w:pPr>
              <w:jc w:val="right"/>
              <w:rPr>
                <w:rFonts w:eastAsia="Calibri" w:cs="Calibri"/>
                <w:b/>
                <w:i/>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7287B8CF" w14:textId="77777777" w:rsidR="00143C9C" w:rsidRDefault="00143C9C">
            <w:pPr>
              <w:jc w:val="right"/>
              <w:rPr>
                <w:rFonts w:eastAsia="Calibri" w:cs="Calibri"/>
                <w:b/>
                <w:i/>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5BC9C0A1" w14:textId="77777777" w:rsidR="00143C9C" w:rsidRDefault="00143C9C">
            <w:pPr>
              <w:jc w:val="right"/>
              <w:rPr>
                <w:rFonts w:eastAsia="Calibri" w:cs="Calibri"/>
                <w:b/>
                <w:i/>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65EFBBD3" w14:textId="77777777" w:rsidR="00143C9C" w:rsidRDefault="00143C9C">
            <w:pPr>
              <w:jc w:val="right"/>
              <w:rPr>
                <w:rFonts w:eastAsia="Calibri" w:cs="Calibri"/>
                <w:b/>
                <w:i/>
                <w:color w:val="000000"/>
                <w:lang w:eastAsia="en-US"/>
              </w:rPr>
            </w:pPr>
          </w:p>
        </w:tc>
      </w:tr>
      <w:tr w:rsidR="00143C9C" w14:paraId="77B76769"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tcMar>
              <w:left w:w="40" w:type="dxa"/>
              <w:right w:w="40" w:type="dxa"/>
            </w:tcMar>
          </w:tcPr>
          <w:p w14:paraId="21CA22A4" w14:textId="77777777" w:rsidR="00143C9C" w:rsidRDefault="009B5C32" w:rsidP="005D4B41">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Controlled Recurrent Payments</w:t>
            </w:r>
          </w:p>
        </w:tc>
        <w:tc>
          <w:tcPr>
            <w:tcW w:w="1035" w:type="dxa"/>
            <w:tcBorders>
              <w:top w:val="nil"/>
              <w:left w:val="nil"/>
              <w:bottom w:val="nil"/>
              <w:right w:val="nil"/>
              <w:tl2br w:val="nil"/>
              <w:tr2bl w:val="nil"/>
            </w:tcBorders>
            <w:shd w:val="clear" w:color="FFFFFF" w:fill="FFFFFF"/>
            <w:noWrap/>
            <w:tcMar>
              <w:left w:w="40" w:type="dxa"/>
              <w:right w:w="40" w:type="dxa"/>
            </w:tcMar>
          </w:tcPr>
          <w:p w14:paraId="629FC34B"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156,955</w:t>
            </w:r>
          </w:p>
        </w:tc>
        <w:tc>
          <w:tcPr>
            <w:tcW w:w="1065" w:type="dxa"/>
            <w:tcBorders>
              <w:top w:val="nil"/>
              <w:left w:val="nil"/>
              <w:bottom w:val="nil"/>
              <w:right w:val="nil"/>
              <w:tl2br w:val="nil"/>
              <w:tr2bl w:val="nil"/>
            </w:tcBorders>
            <w:shd w:val="clear" w:color="FFFFFF" w:fill="FFFFFF"/>
            <w:noWrap/>
            <w:tcMar>
              <w:left w:w="40" w:type="dxa"/>
              <w:right w:w="40" w:type="dxa"/>
            </w:tcMar>
          </w:tcPr>
          <w:p w14:paraId="26140CA8"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138,987</w:t>
            </w:r>
          </w:p>
        </w:tc>
        <w:tc>
          <w:tcPr>
            <w:tcW w:w="1035" w:type="dxa"/>
            <w:tcBorders>
              <w:top w:val="nil"/>
              <w:left w:val="nil"/>
              <w:bottom w:val="nil"/>
              <w:right w:val="nil"/>
              <w:tl2br w:val="nil"/>
              <w:tr2bl w:val="nil"/>
            </w:tcBorders>
            <w:shd w:val="clear" w:color="FFFFFF" w:fill="FFFFFF"/>
            <w:noWrap/>
            <w:tcMar>
              <w:left w:w="40" w:type="dxa"/>
              <w:right w:w="40" w:type="dxa"/>
            </w:tcMar>
          </w:tcPr>
          <w:p w14:paraId="6A365EE6"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148,036</w:t>
            </w:r>
          </w:p>
        </w:tc>
        <w:tc>
          <w:tcPr>
            <w:tcW w:w="600" w:type="dxa"/>
            <w:tcBorders>
              <w:top w:val="nil"/>
              <w:left w:val="nil"/>
              <w:bottom w:val="nil"/>
              <w:right w:val="nil"/>
              <w:tl2br w:val="nil"/>
              <w:tr2bl w:val="nil"/>
            </w:tcBorders>
            <w:shd w:val="clear" w:color="FFFFFF" w:fill="FFFFFF"/>
            <w:tcMar>
              <w:left w:w="40" w:type="dxa"/>
              <w:right w:w="40" w:type="dxa"/>
            </w:tcMar>
          </w:tcPr>
          <w:p w14:paraId="42E37D8A"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7 </w:t>
            </w:r>
          </w:p>
        </w:tc>
        <w:tc>
          <w:tcPr>
            <w:tcW w:w="1035" w:type="dxa"/>
            <w:tcBorders>
              <w:top w:val="nil"/>
              <w:left w:val="nil"/>
              <w:bottom w:val="nil"/>
              <w:right w:val="nil"/>
              <w:tl2br w:val="nil"/>
              <w:tr2bl w:val="nil"/>
            </w:tcBorders>
            <w:shd w:val="clear" w:color="FFFFFF" w:fill="FFFFFF"/>
            <w:noWrap/>
            <w:tcMar>
              <w:left w:w="40" w:type="dxa"/>
              <w:right w:w="40" w:type="dxa"/>
            </w:tcMar>
          </w:tcPr>
          <w:p w14:paraId="2C53E4C3"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154,557</w:t>
            </w:r>
          </w:p>
        </w:tc>
        <w:tc>
          <w:tcPr>
            <w:tcW w:w="1035" w:type="dxa"/>
            <w:tcBorders>
              <w:top w:val="nil"/>
              <w:left w:val="nil"/>
              <w:bottom w:val="nil"/>
              <w:right w:val="nil"/>
              <w:tl2br w:val="nil"/>
              <w:tr2bl w:val="nil"/>
            </w:tcBorders>
            <w:shd w:val="clear" w:color="FFFFFF" w:fill="FFFFFF"/>
            <w:noWrap/>
            <w:tcMar>
              <w:left w:w="40" w:type="dxa"/>
              <w:right w:w="40" w:type="dxa"/>
            </w:tcMar>
          </w:tcPr>
          <w:p w14:paraId="297BC736"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144,237</w:t>
            </w:r>
          </w:p>
        </w:tc>
        <w:tc>
          <w:tcPr>
            <w:tcW w:w="1035" w:type="dxa"/>
            <w:tcBorders>
              <w:top w:val="nil"/>
              <w:left w:val="nil"/>
              <w:bottom w:val="nil"/>
              <w:right w:val="nil"/>
              <w:tl2br w:val="nil"/>
              <w:tr2bl w:val="nil"/>
            </w:tcBorders>
            <w:shd w:val="clear" w:color="FFFFFF" w:fill="FFFFFF"/>
            <w:noWrap/>
            <w:tcMar>
              <w:left w:w="40" w:type="dxa"/>
              <w:right w:w="40" w:type="dxa"/>
            </w:tcMar>
          </w:tcPr>
          <w:p w14:paraId="0C962934"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143,117</w:t>
            </w:r>
          </w:p>
        </w:tc>
      </w:tr>
      <w:tr w:rsidR="00143C9C" w14:paraId="6A4A78A1"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85" w:type="dxa"/>
            <w:tcBorders>
              <w:top w:val="nil"/>
              <w:left w:val="nil"/>
              <w:bottom w:val="nil"/>
              <w:right w:val="nil"/>
              <w:tl2br w:val="nil"/>
              <w:tr2bl w:val="nil"/>
            </w:tcBorders>
            <w:tcMar>
              <w:left w:w="40" w:type="dxa"/>
              <w:right w:w="40" w:type="dxa"/>
            </w:tcMar>
          </w:tcPr>
          <w:p w14:paraId="520717D6" w14:textId="77777777" w:rsidR="00143C9C" w:rsidRDefault="009B5C32" w:rsidP="005D4B41">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Sale of Goods and Services from Contracts with Customers</w:t>
            </w:r>
          </w:p>
        </w:tc>
        <w:tc>
          <w:tcPr>
            <w:tcW w:w="1035" w:type="dxa"/>
            <w:tcBorders>
              <w:top w:val="nil"/>
              <w:left w:val="nil"/>
              <w:bottom w:val="nil"/>
              <w:right w:val="nil"/>
              <w:tl2br w:val="nil"/>
              <w:tr2bl w:val="nil"/>
            </w:tcBorders>
            <w:shd w:val="clear" w:color="FFFFFF" w:fill="FFFFFF"/>
            <w:tcMar>
              <w:left w:w="40" w:type="dxa"/>
              <w:right w:w="40" w:type="dxa"/>
            </w:tcMar>
          </w:tcPr>
          <w:p w14:paraId="752A4DC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77,481</w:t>
            </w:r>
          </w:p>
        </w:tc>
        <w:tc>
          <w:tcPr>
            <w:tcW w:w="1065" w:type="dxa"/>
            <w:tcBorders>
              <w:top w:val="nil"/>
              <w:left w:val="nil"/>
              <w:bottom w:val="nil"/>
              <w:right w:val="nil"/>
              <w:tl2br w:val="nil"/>
              <w:tr2bl w:val="nil"/>
            </w:tcBorders>
            <w:shd w:val="clear" w:color="FFFFFF" w:fill="FFFFFF"/>
            <w:tcMar>
              <w:left w:w="40" w:type="dxa"/>
              <w:right w:w="40" w:type="dxa"/>
            </w:tcMar>
          </w:tcPr>
          <w:p w14:paraId="72F6876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78,635</w:t>
            </w:r>
          </w:p>
        </w:tc>
        <w:tc>
          <w:tcPr>
            <w:tcW w:w="1035" w:type="dxa"/>
            <w:tcBorders>
              <w:top w:val="nil"/>
              <w:left w:val="nil"/>
              <w:bottom w:val="nil"/>
              <w:right w:val="nil"/>
              <w:tl2br w:val="nil"/>
              <w:tr2bl w:val="nil"/>
            </w:tcBorders>
            <w:shd w:val="clear" w:color="FFFFFF" w:fill="FFFFFF"/>
            <w:tcMar>
              <w:left w:w="40" w:type="dxa"/>
              <w:right w:w="40" w:type="dxa"/>
            </w:tcMar>
          </w:tcPr>
          <w:p w14:paraId="76B4AE83"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71,894</w:t>
            </w:r>
          </w:p>
        </w:tc>
        <w:tc>
          <w:tcPr>
            <w:tcW w:w="600" w:type="dxa"/>
            <w:tcBorders>
              <w:top w:val="nil"/>
              <w:left w:val="nil"/>
              <w:bottom w:val="nil"/>
              <w:right w:val="nil"/>
              <w:tl2br w:val="nil"/>
              <w:tr2bl w:val="nil"/>
            </w:tcBorders>
            <w:shd w:val="clear" w:color="FFFFFF" w:fill="FFFFFF"/>
            <w:tcMar>
              <w:left w:w="40" w:type="dxa"/>
              <w:right w:w="40" w:type="dxa"/>
            </w:tcMar>
          </w:tcPr>
          <w:p w14:paraId="0C97D7CC"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-9 </w:t>
            </w:r>
          </w:p>
        </w:tc>
        <w:tc>
          <w:tcPr>
            <w:tcW w:w="1035" w:type="dxa"/>
            <w:tcBorders>
              <w:top w:val="nil"/>
              <w:left w:val="nil"/>
              <w:bottom w:val="nil"/>
              <w:right w:val="nil"/>
              <w:tl2br w:val="nil"/>
              <w:tr2bl w:val="nil"/>
            </w:tcBorders>
            <w:shd w:val="clear" w:color="FFFFFF" w:fill="FFFFFF"/>
            <w:tcMar>
              <w:left w:w="40" w:type="dxa"/>
              <w:right w:w="40" w:type="dxa"/>
            </w:tcMar>
          </w:tcPr>
          <w:p w14:paraId="383E587E"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74,290</w:t>
            </w:r>
          </w:p>
        </w:tc>
        <w:tc>
          <w:tcPr>
            <w:tcW w:w="1035" w:type="dxa"/>
            <w:tcBorders>
              <w:top w:val="nil"/>
              <w:left w:val="nil"/>
              <w:bottom w:val="nil"/>
              <w:right w:val="nil"/>
              <w:tl2br w:val="nil"/>
              <w:tr2bl w:val="nil"/>
            </w:tcBorders>
            <w:shd w:val="clear" w:color="FFFFFF" w:fill="FFFFFF"/>
            <w:tcMar>
              <w:left w:w="40" w:type="dxa"/>
              <w:right w:w="40" w:type="dxa"/>
            </w:tcMar>
          </w:tcPr>
          <w:p w14:paraId="4AD5BA2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76,398</w:t>
            </w:r>
          </w:p>
        </w:tc>
        <w:tc>
          <w:tcPr>
            <w:tcW w:w="1035" w:type="dxa"/>
            <w:tcBorders>
              <w:top w:val="nil"/>
              <w:left w:val="nil"/>
              <w:bottom w:val="nil"/>
              <w:right w:val="nil"/>
              <w:tl2br w:val="nil"/>
              <w:tr2bl w:val="nil"/>
            </w:tcBorders>
            <w:shd w:val="clear" w:color="FFFFFF" w:fill="FFFFFF"/>
            <w:tcMar>
              <w:left w:w="40" w:type="dxa"/>
              <w:right w:w="40" w:type="dxa"/>
            </w:tcMar>
          </w:tcPr>
          <w:p w14:paraId="04527476"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78,718</w:t>
            </w:r>
          </w:p>
        </w:tc>
      </w:tr>
      <w:tr w:rsidR="00143C9C" w14:paraId="1A5B054B"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85" w:type="dxa"/>
            <w:tcBorders>
              <w:top w:val="nil"/>
              <w:left w:val="nil"/>
              <w:bottom w:val="nil"/>
              <w:right w:val="nil"/>
              <w:tl2br w:val="nil"/>
              <w:tr2bl w:val="nil"/>
            </w:tcBorders>
            <w:tcMar>
              <w:left w:w="40" w:type="dxa"/>
              <w:right w:w="40" w:type="dxa"/>
            </w:tcMar>
          </w:tcPr>
          <w:p w14:paraId="4602A74F" w14:textId="77777777" w:rsidR="00143C9C" w:rsidRDefault="009B5C32" w:rsidP="005D4B41">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Grants and Contributions Income</w:t>
            </w:r>
          </w:p>
        </w:tc>
        <w:tc>
          <w:tcPr>
            <w:tcW w:w="1035" w:type="dxa"/>
            <w:tcBorders>
              <w:top w:val="nil"/>
              <w:left w:val="nil"/>
              <w:bottom w:val="nil"/>
              <w:right w:val="nil"/>
              <w:tl2br w:val="nil"/>
              <w:tr2bl w:val="nil"/>
            </w:tcBorders>
            <w:shd w:val="clear" w:color="FFFFFF" w:fill="FFFFFF"/>
            <w:tcMar>
              <w:left w:w="40" w:type="dxa"/>
              <w:right w:w="40" w:type="dxa"/>
            </w:tcMar>
          </w:tcPr>
          <w:p w14:paraId="6ED94DF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919</w:t>
            </w:r>
          </w:p>
        </w:tc>
        <w:tc>
          <w:tcPr>
            <w:tcW w:w="1065" w:type="dxa"/>
            <w:tcBorders>
              <w:top w:val="nil"/>
              <w:left w:val="nil"/>
              <w:bottom w:val="nil"/>
              <w:right w:val="nil"/>
              <w:tl2br w:val="nil"/>
              <w:tr2bl w:val="nil"/>
            </w:tcBorders>
            <w:shd w:val="clear" w:color="FFFFFF" w:fill="FFFFFF"/>
            <w:tcMar>
              <w:left w:w="40" w:type="dxa"/>
              <w:right w:w="40" w:type="dxa"/>
            </w:tcMar>
          </w:tcPr>
          <w:p w14:paraId="21914637"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919</w:t>
            </w:r>
          </w:p>
        </w:tc>
        <w:tc>
          <w:tcPr>
            <w:tcW w:w="1035" w:type="dxa"/>
            <w:tcBorders>
              <w:top w:val="nil"/>
              <w:left w:val="nil"/>
              <w:bottom w:val="nil"/>
              <w:right w:val="nil"/>
              <w:tl2br w:val="nil"/>
              <w:tr2bl w:val="nil"/>
            </w:tcBorders>
            <w:shd w:val="clear" w:color="FFFFFF" w:fill="FFFFFF"/>
            <w:tcMar>
              <w:left w:w="40" w:type="dxa"/>
              <w:right w:w="40" w:type="dxa"/>
            </w:tcMar>
          </w:tcPr>
          <w:p w14:paraId="5D3F7017"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896</w:t>
            </w:r>
          </w:p>
        </w:tc>
        <w:tc>
          <w:tcPr>
            <w:tcW w:w="600" w:type="dxa"/>
            <w:tcBorders>
              <w:top w:val="nil"/>
              <w:left w:val="nil"/>
              <w:bottom w:val="nil"/>
              <w:right w:val="nil"/>
              <w:tl2br w:val="nil"/>
              <w:tr2bl w:val="nil"/>
            </w:tcBorders>
            <w:shd w:val="clear" w:color="FFFFFF" w:fill="FFFFFF"/>
            <w:tcMar>
              <w:left w:w="40" w:type="dxa"/>
              <w:right w:w="40" w:type="dxa"/>
            </w:tcMar>
          </w:tcPr>
          <w:p w14:paraId="65BC0077"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786AB476"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891</w:t>
            </w:r>
          </w:p>
        </w:tc>
        <w:tc>
          <w:tcPr>
            <w:tcW w:w="1035" w:type="dxa"/>
            <w:tcBorders>
              <w:top w:val="nil"/>
              <w:left w:val="nil"/>
              <w:bottom w:val="nil"/>
              <w:right w:val="nil"/>
              <w:tl2br w:val="nil"/>
              <w:tr2bl w:val="nil"/>
            </w:tcBorders>
            <w:shd w:val="clear" w:color="FFFFFF" w:fill="FFFFFF"/>
            <w:tcMar>
              <w:left w:w="40" w:type="dxa"/>
              <w:right w:w="40" w:type="dxa"/>
            </w:tcMar>
          </w:tcPr>
          <w:p w14:paraId="309A0DE7"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891</w:t>
            </w:r>
          </w:p>
        </w:tc>
        <w:tc>
          <w:tcPr>
            <w:tcW w:w="1035" w:type="dxa"/>
            <w:tcBorders>
              <w:top w:val="nil"/>
              <w:left w:val="nil"/>
              <w:bottom w:val="nil"/>
              <w:right w:val="nil"/>
              <w:tl2br w:val="nil"/>
              <w:tr2bl w:val="nil"/>
            </w:tcBorders>
            <w:shd w:val="clear" w:color="FFFFFF" w:fill="FFFFFF"/>
            <w:tcMar>
              <w:left w:w="40" w:type="dxa"/>
              <w:right w:w="40" w:type="dxa"/>
            </w:tcMar>
          </w:tcPr>
          <w:p w14:paraId="2114144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891</w:t>
            </w:r>
          </w:p>
        </w:tc>
      </w:tr>
      <w:tr w:rsidR="00143C9C" w14:paraId="092B521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tcMar>
              <w:left w:w="40" w:type="dxa"/>
              <w:right w:w="40" w:type="dxa"/>
            </w:tcMar>
          </w:tcPr>
          <w:p w14:paraId="30E6E0BE" w14:textId="77777777" w:rsidR="00143C9C" w:rsidRDefault="009B5C32" w:rsidP="005D4B41">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 xml:space="preserve">Interest Revenue </w:t>
            </w:r>
          </w:p>
        </w:tc>
        <w:tc>
          <w:tcPr>
            <w:tcW w:w="1035" w:type="dxa"/>
            <w:tcBorders>
              <w:top w:val="nil"/>
              <w:left w:val="nil"/>
              <w:bottom w:val="nil"/>
              <w:right w:val="nil"/>
              <w:tl2br w:val="nil"/>
              <w:tr2bl w:val="nil"/>
            </w:tcBorders>
            <w:shd w:val="clear" w:color="FFFFFF" w:fill="FFFFFF"/>
            <w:tcMar>
              <w:left w:w="40" w:type="dxa"/>
              <w:right w:w="40" w:type="dxa"/>
            </w:tcMar>
          </w:tcPr>
          <w:p w14:paraId="2448B257"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7,317</w:t>
            </w:r>
          </w:p>
        </w:tc>
        <w:tc>
          <w:tcPr>
            <w:tcW w:w="1065" w:type="dxa"/>
            <w:tcBorders>
              <w:top w:val="nil"/>
              <w:left w:val="nil"/>
              <w:bottom w:val="nil"/>
              <w:right w:val="nil"/>
              <w:tl2br w:val="nil"/>
              <w:tr2bl w:val="nil"/>
            </w:tcBorders>
            <w:shd w:val="clear" w:color="FFFFFF" w:fill="FFFFFF"/>
            <w:tcMar>
              <w:left w:w="40" w:type="dxa"/>
              <w:right w:w="40" w:type="dxa"/>
            </w:tcMar>
          </w:tcPr>
          <w:p w14:paraId="13EE7ADE"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5,076</w:t>
            </w:r>
          </w:p>
        </w:tc>
        <w:tc>
          <w:tcPr>
            <w:tcW w:w="1035" w:type="dxa"/>
            <w:tcBorders>
              <w:top w:val="nil"/>
              <w:left w:val="nil"/>
              <w:bottom w:val="nil"/>
              <w:right w:val="nil"/>
              <w:tl2br w:val="nil"/>
              <w:tr2bl w:val="nil"/>
            </w:tcBorders>
            <w:shd w:val="clear" w:color="FFFFFF" w:fill="FFFFFF"/>
            <w:tcMar>
              <w:left w:w="40" w:type="dxa"/>
              <w:right w:w="40" w:type="dxa"/>
            </w:tcMar>
          </w:tcPr>
          <w:p w14:paraId="3EEC402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5,576</w:t>
            </w:r>
          </w:p>
        </w:tc>
        <w:tc>
          <w:tcPr>
            <w:tcW w:w="600" w:type="dxa"/>
            <w:tcBorders>
              <w:top w:val="nil"/>
              <w:left w:val="nil"/>
              <w:bottom w:val="nil"/>
              <w:right w:val="nil"/>
              <w:tl2br w:val="nil"/>
              <w:tr2bl w:val="nil"/>
            </w:tcBorders>
            <w:shd w:val="clear" w:color="FFFFFF" w:fill="FFFFFF"/>
            <w:tcMar>
              <w:left w:w="40" w:type="dxa"/>
              <w:right w:w="40" w:type="dxa"/>
            </w:tcMar>
          </w:tcPr>
          <w:p w14:paraId="08663080"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14:paraId="535F5C8A"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5,465</w:t>
            </w:r>
          </w:p>
        </w:tc>
        <w:tc>
          <w:tcPr>
            <w:tcW w:w="1035" w:type="dxa"/>
            <w:tcBorders>
              <w:top w:val="nil"/>
              <w:left w:val="nil"/>
              <w:bottom w:val="nil"/>
              <w:right w:val="nil"/>
              <w:tl2br w:val="nil"/>
              <w:tr2bl w:val="nil"/>
            </w:tcBorders>
            <w:shd w:val="clear" w:color="FFFFFF" w:fill="FFFFFF"/>
            <w:tcMar>
              <w:left w:w="40" w:type="dxa"/>
              <w:right w:w="40" w:type="dxa"/>
            </w:tcMar>
          </w:tcPr>
          <w:p w14:paraId="0C6E0343"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5,209</w:t>
            </w:r>
          </w:p>
        </w:tc>
        <w:tc>
          <w:tcPr>
            <w:tcW w:w="1035" w:type="dxa"/>
            <w:tcBorders>
              <w:top w:val="nil"/>
              <w:left w:val="nil"/>
              <w:bottom w:val="nil"/>
              <w:right w:val="nil"/>
              <w:tl2br w:val="nil"/>
              <w:tr2bl w:val="nil"/>
            </w:tcBorders>
            <w:shd w:val="clear" w:color="FFFFFF" w:fill="FFFFFF"/>
            <w:tcMar>
              <w:left w:w="40" w:type="dxa"/>
              <w:right w:w="40" w:type="dxa"/>
            </w:tcMar>
          </w:tcPr>
          <w:p w14:paraId="737FCEBE"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4,332</w:t>
            </w:r>
          </w:p>
        </w:tc>
      </w:tr>
      <w:tr w:rsidR="00143C9C" w14:paraId="0E087C83"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tcMar>
              <w:left w:w="40" w:type="dxa"/>
              <w:right w:w="40" w:type="dxa"/>
            </w:tcMar>
          </w:tcPr>
          <w:p w14:paraId="5DF870E7" w14:textId="77777777" w:rsidR="00143C9C" w:rsidRDefault="009B5C32" w:rsidP="005D4B41">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Other Income</w:t>
            </w:r>
          </w:p>
        </w:tc>
        <w:tc>
          <w:tcPr>
            <w:tcW w:w="1035" w:type="dxa"/>
            <w:tcBorders>
              <w:top w:val="nil"/>
              <w:left w:val="nil"/>
              <w:bottom w:val="nil"/>
              <w:right w:val="nil"/>
              <w:tl2br w:val="nil"/>
              <w:tr2bl w:val="nil"/>
            </w:tcBorders>
            <w:shd w:val="clear" w:color="FFFFFF" w:fill="FFFFFF"/>
            <w:tcMar>
              <w:left w:w="40" w:type="dxa"/>
              <w:right w:w="40" w:type="dxa"/>
            </w:tcMar>
          </w:tcPr>
          <w:p w14:paraId="1F102B2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78</w:t>
            </w:r>
          </w:p>
        </w:tc>
        <w:tc>
          <w:tcPr>
            <w:tcW w:w="1065" w:type="dxa"/>
            <w:tcBorders>
              <w:top w:val="nil"/>
              <w:left w:val="nil"/>
              <w:bottom w:val="nil"/>
              <w:right w:val="nil"/>
              <w:tl2br w:val="nil"/>
              <w:tr2bl w:val="nil"/>
            </w:tcBorders>
            <w:shd w:val="clear" w:color="FFFFFF" w:fill="FFFFFF"/>
            <w:tcMar>
              <w:left w:w="40" w:type="dxa"/>
              <w:right w:w="40" w:type="dxa"/>
            </w:tcMar>
          </w:tcPr>
          <w:p w14:paraId="4A536954"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2,987</w:t>
            </w:r>
          </w:p>
        </w:tc>
        <w:tc>
          <w:tcPr>
            <w:tcW w:w="1035" w:type="dxa"/>
            <w:tcBorders>
              <w:top w:val="nil"/>
              <w:left w:val="nil"/>
              <w:bottom w:val="nil"/>
              <w:right w:val="nil"/>
              <w:tl2br w:val="nil"/>
              <w:tr2bl w:val="nil"/>
            </w:tcBorders>
            <w:shd w:val="clear" w:color="FFFFFF" w:fill="FFFFFF"/>
            <w:tcMar>
              <w:left w:w="40" w:type="dxa"/>
              <w:right w:w="40" w:type="dxa"/>
            </w:tcMar>
          </w:tcPr>
          <w:p w14:paraId="7CFC9B4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w:t>
            </w:r>
          </w:p>
        </w:tc>
        <w:tc>
          <w:tcPr>
            <w:tcW w:w="600" w:type="dxa"/>
            <w:tcBorders>
              <w:top w:val="nil"/>
              <w:left w:val="nil"/>
              <w:bottom w:val="nil"/>
              <w:right w:val="nil"/>
              <w:tl2br w:val="nil"/>
              <w:tr2bl w:val="nil"/>
            </w:tcBorders>
            <w:shd w:val="clear" w:color="FFFFFF" w:fill="FFFFFF"/>
            <w:tcMar>
              <w:left w:w="40" w:type="dxa"/>
              <w:right w:w="40" w:type="dxa"/>
            </w:tcMar>
          </w:tcPr>
          <w:p w14:paraId="01DDAB8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3009ADC3"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w:t>
            </w:r>
          </w:p>
        </w:tc>
        <w:tc>
          <w:tcPr>
            <w:tcW w:w="1035" w:type="dxa"/>
            <w:tcBorders>
              <w:top w:val="nil"/>
              <w:left w:val="nil"/>
              <w:bottom w:val="nil"/>
              <w:right w:val="nil"/>
              <w:tl2br w:val="nil"/>
              <w:tr2bl w:val="nil"/>
            </w:tcBorders>
            <w:shd w:val="clear" w:color="FFFFFF" w:fill="FFFFFF"/>
            <w:tcMar>
              <w:left w:w="40" w:type="dxa"/>
              <w:right w:w="40" w:type="dxa"/>
            </w:tcMar>
          </w:tcPr>
          <w:p w14:paraId="7E5BDE44"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w:t>
            </w:r>
          </w:p>
        </w:tc>
        <w:tc>
          <w:tcPr>
            <w:tcW w:w="1035" w:type="dxa"/>
            <w:tcBorders>
              <w:top w:val="nil"/>
              <w:left w:val="nil"/>
              <w:bottom w:val="nil"/>
              <w:right w:val="nil"/>
              <w:tl2br w:val="nil"/>
              <w:tr2bl w:val="nil"/>
            </w:tcBorders>
            <w:shd w:val="clear" w:color="FFFFFF" w:fill="FFFFFF"/>
            <w:tcMar>
              <w:left w:w="40" w:type="dxa"/>
              <w:right w:w="40" w:type="dxa"/>
            </w:tcMar>
          </w:tcPr>
          <w:p w14:paraId="256AD20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w:t>
            </w:r>
          </w:p>
        </w:tc>
      </w:tr>
      <w:tr w:rsidR="00143C9C" w14:paraId="5FF667B2"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769D6DE0" w14:textId="77777777" w:rsidR="00143C9C" w:rsidRDefault="009B5C32" w:rsidP="005D4B41">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Total Income</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08D24BC"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242,750</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11C70B9A"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226,604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C14DB7A"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226,408</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734AA90"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A804EF2"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235,209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76184B0"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226,741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32C278E"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227,064</w:t>
            </w:r>
          </w:p>
        </w:tc>
      </w:tr>
      <w:tr w:rsidR="00143C9C" w14:paraId="2CA54285"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0AF51433" w14:textId="77777777" w:rsidR="00143C9C" w:rsidRDefault="009B5C32" w:rsidP="005D4B41">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71497A7" w14:textId="77777777" w:rsidR="00143C9C" w:rsidRDefault="00143C9C">
            <w:pPr>
              <w:rPr>
                <w:rFonts w:eastAsia="Calibri" w:cs="Calibr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vAlign w:val="bottom"/>
          </w:tcPr>
          <w:p w14:paraId="6C0AEB89" w14:textId="77777777" w:rsidR="00143C9C" w:rsidRDefault="00143C9C">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9FAC8FF" w14:textId="77777777" w:rsidR="00143C9C" w:rsidRDefault="00143C9C">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24FDE3F0" w14:textId="77777777" w:rsidR="00143C9C" w:rsidRDefault="00143C9C">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B1E270F" w14:textId="77777777" w:rsidR="00143C9C" w:rsidRDefault="00143C9C">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ECD3F1F" w14:textId="77777777" w:rsidR="00143C9C" w:rsidRDefault="00143C9C">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2FB457A" w14:textId="77777777" w:rsidR="00143C9C" w:rsidRDefault="00143C9C">
            <w:pPr>
              <w:rPr>
                <w:rFonts w:eastAsia="Calibri" w:cs="Calibri"/>
                <w:color w:val="000000"/>
                <w:lang w:eastAsia="en-US"/>
              </w:rPr>
            </w:pPr>
          </w:p>
        </w:tc>
      </w:tr>
      <w:tr w:rsidR="00143C9C" w14:paraId="73EA8C15"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5AF5C30E" w14:textId="77777777" w:rsidR="00143C9C" w:rsidRDefault="009B5C32" w:rsidP="005D4B41">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Employee Expenses</w:t>
            </w:r>
          </w:p>
        </w:tc>
        <w:tc>
          <w:tcPr>
            <w:tcW w:w="1035" w:type="dxa"/>
            <w:tcBorders>
              <w:top w:val="nil"/>
              <w:left w:val="nil"/>
              <w:bottom w:val="nil"/>
              <w:right w:val="nil"/>
              <w:tl2br w:val="nil"/>
              <w:tr2bl w:val="nil"/>
            </w:tcBorders>
            <w:shd w:val="clear" w:color="FFFFFF" w:fill="FFFFFF"/>
            <w:tcMar>
              <w:left w:w="40" w:type="dxa"/>
              <w:right w:w="40" w:type="dxa"/>
            </w:tcMar>
          </w:tcPr>
          <w:p w14:paraId="2148C8A7"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58,544</w:t>
            </w:r>
          </w:p>
        </w:tc>
        <w:tc>
          <w:tcPr>
            <w:tcW w:w="1065" w:type="dxa"/>
            <w:tcBorders>
              <w:top w:val="nil"/>
              <w:left w:val="nil"/>
              <w:bottom w:val="nil"/>
              <w:right w:val="nil"/>
              <w:tl2br w:val="nil"/>
              <w:tr2bl w:val="nil"/>
            </w:tcBorders>
            <w:shd w:val="clear" w:color="FFFFFF" w:fill="FFFFFF"/>
            <w:tcMar>
              <w:left w:w="40" w:type="dxa"/>
              <w:right w:w="40" w:type="dxa"/>
            </w:tcMar>
          </w:tcPr>
          <w:p w14:paraId="00467CF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68,350</w:t>
            </w:r>
          </w:p>
        </w:tc>
        <w:tc>
          <w:tcPr>
            <w:tcW w:w="1035" w:type="dxa"/>
            <w:tcBorders>
              <w:top w:val="nil"/>
              <w:left w:val="nil"/>
              <w:bottom w:val="nil"/>
              <w:right w:val="nil"/>
              <w:tl2br w:val="nil"/>
              <w:tr2bl w:val="nil"/>
            </w:tcBorders>
            <w:shd w:val="clear" w:color="FFFFFF" w:fill="FFFFFF"/>
            <w:tcMar>
              <w:left w:w="40" w:type="dxa"/>
              <w:right w:w="40" w:type="dxa"/>
            </w:tcMar>
          </w:tcPr>
          <w:p w14:paraId="2B3508D1"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67,621</w:t>
            </w:r>
          </w:p>
        </w:tc>
        <w:tc>
          <w:tcPr>
            <w:tcW w:w="600" w:type="dxa"/>
            <w:tcBorders>
              <w:top w:val="nil"/>
              <w:left w:val="nil"/>
              <w:bottom w:val="nil"/>
              <w:right w:val="nil"/>
              <w:tl2br w:val="nil"/>
              <w:tr2bl w:val="nil"/>
            </w:tcBorders>
            <w:shd w:val="clear" w:color="FFFFFF" w:fill="FFFFFF"/>
            <w:tcMar>
              <w:left w:w="40" w:type="dxa"/>
              <w:right w:w="40" w:type="dxa"/>
            </w:tcMar>
          </w:tcPr>
          <w:p w14:paraId="2CA001C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1171454D"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57,783</w:t>
            </w:r>
          </w:p>
        </w:tc>
        <w:tc>
          <w:tcPr>
            <w:tcW w:w="1035" w:type="dxa"/>
            <w:tcBorders>
              <w:top w:val="nil"/>
              <w:left w:val="nil"/>
              <w:bottom w:val="nil"/>
              <w:right w:val="nil"/>
              <w:tl2br w:val="nil"/>
              <w:tr2bl w:val="nil"/>
            </w:tcBorders>
            <w:shd w:val="clear" w:color="FFFFFF" w:fill="FFFFFF"/>
            <w:tcMar>
              <w:left w:w="40" w:type="dxa"/>
              <w:right w:w="40" w:type="dxa"/>
            </w:tcMar>
          </w:tcPr>
          <w:p w14:paraId="417C672D"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75,674</w:t>
            </w:r>
          </w:p>
        </w:tc>
        <w:tc>
          <w:tcPr>
            <w:tcW w:w="1035" w:type="dxa"/>
            <w:tcBorders>
              <w:top w:val="nil"/>
              <w:left w:val="nil"/>
              <w:bottom w:val="nil"/>
              <w:right w:val="nil"/>
              <w:tl2br w:val="nil"/>
              <w:tr2bl w:val="nil"/>
            </w:tcBorders>
            <w:shd w:val="clear" w:color="FFFFFF" w:fill="FFFFFF"/>
            <w:tcMar>
              <w:left w:w="40" w:type="dxa"/>
              <w:right w:w="40" w:type="dxa"/>
            </w:tcMar>
          </w:tcPr>
          <w:p w14:paraId="5C8EF8C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76,971</w:t>
            </w:r>
          </w:p>
        </w:tc>
      </w:tr>
      <w:tr w:rsidR="00143C9C" w14:paraId="2FE7720F"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080CFEC3" w14:textId="77777777" w:rsidR="00143C9C" w:rsidRDefault="009B5C32" w:rsidP="005D4B41">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75963F80"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111,015</w:t>
            </w:r>
          </w:p>
        </w:tc>
        <w:tc>
          <w:tcPr>
            <w:tcW w:w="1065" w:type="dxa"/>
            <w:tcBorders>
              <w:top w:val="nil"/>
              <w:left w:val="nil"/>
              <w:bottom w:val="nil"/>
              <w:right w:val="nil"/>
              <w:tl2br w:val="nil"/>
              <w:tr2bl w:val="nil"/>
            </w:tcBorders>
            <w:shd w:val="clear" w:color="FFFFFF" w:fill="FFFFFF"/>
            <w:tcMar>
              <w:left w:w="40" w:type="dxa"/>
              <w:right w:w="40" w:type="dxa"/>
            </w:tcMar>
          </w:tcPr>
          <w:p w14:paraId="200F0857"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87,606</w:t>
            </w:r>
          </w:p>
        </w:tc>
        <w:tc>
          <w:tcPr>
            <w:tcW w:w="1035" w:type="dxa"/>
            <w:tcBorders>
              <w:top w:val="nil"/>
              <w:left w:val="nil"/>
              <w:bottom w:val="nil"/>
              <w:right w:val="nil"/>
              <w:tl2br w:val="nil"/>
              <w:tr2bl w:val="nil"/>
            </w:tcBorders>
            <w:shd w:val="clear" w:color="FFFFFF" w:fill="FFFFFF"/>
            <w:tcMar>
              <w:left w:w="40" w:type="dxa"/>
              <w:right w:w="40" w:type="dxa"/>
            </w:tcMar>
          </w:tcPr>
          <w:p w14:paraId="7BBFA860"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85,352</w:t>
            </w:r>
          </w:p>
        </w:tc>
        <w:tc>
          <w:tcPr>
            <w:tcW w:w="600" w:type="dxa"/>
            <w:tcBorders>
              <w:top w:val="nil"/>
              <w:left w:val="nil"/>
              <w:bottom w:val="nil"/>
              <w:right w:val="nil"/>
              <w:tl2br w:val="nil"/>
              <w:tr2bl w:val="nil"/>
            </w:tcBorders>
            <w:shd w:val="clear" w:color="FFFFFF" w:fill="FFFFFF"/>
            <w:tcMar>
              <w:left w:w="40" w:type="dxa"/>
              <w:right w:w="40" w:type="dxa"/>
            </w:tcMar>
          </w:tcPr>
          <w:p w14:paraId="02AB629D"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03F2DEB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76,270</w:t>
            </w:r>
          </w:p>
        </w:tc>
        <w:tc>
          <w:tcPr>
            <w:tcW w:w="1035" w:type="dxa"/>
            <w:tcBorders>
              <w:top w:val="nil"/>
              <w:left w:val="nil"/>
              <w:bottom w:val="nil"/>
              <w:right w:val="nil"/>
              <w:tl2br w:val="nil"/>
              <w:tr2bl w:val="nil"/>
            </w:tcBorders>
            <w:shd w:val="clear" w:color="FFFFFF" w:fill="FFFFFF"/>
            <w:tcMar>
              <w:left w:w="40" w:type="dxa"/>
              <w:right w:w="40" w:type="dxa"/>
            </w:tcMar>
          </w:tcPr>
          <w:p w14:paraId="175665AE"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72,487</w:t>
            </w:r>
          </w:p>
        </w:tc>
        <w:tc>
          <w:tcPr>
            <w:tcW w:w="1035" w:type="dxa"/>
            <w:tcBorders>
              <w:top w:val="nil"/>
              <w:left w:val="nil"/>
              <w:bottom w:val="nil"/>
              <w:right w:val="nil"/>
              <w:tl2br w:val="nil"/>
              <w:tr2bl w:val="nil"/>
            </w:tcBorders>
            <w:shd w:val="clear" w:color="FFFFFF" w:fill="FFFFFF"/>
            <w:tcMar>
              <w:left w:w="40" w:type="dxa"/>
              <w:right w:w="40" w:type="dxa"/>
            </w:tcMar>
          </w:tcPr>
          <w:p w14:paraId="688776DA"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74,228</w:t>
            </w:r>
          </w:p>
        </w:tc>
      </w:tr>
      <w:tr w:rsidR="00143C9C" w14:paraId="05F236EE"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5D0F77F9" w14:textId="77777777" w:rsidR="00143C9C" w:rsidRDefault="009B5C32" w:rsidP="005D4B41">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Depreciation and Amortisation</w:t>
            </w:r>
          </w:p>
        </w:tc>
        <w:tc>
          <w:tcPr>
            <w:tcW w:w="1035" w:type="dxa"/>
            <w:tcBorders>
              <w:top w:val="nil"/>
              <w:left w:val="nil"/>
              <w:bottom w:val="nil"/>
              <w:right w:val="nil"/>
              <w:tl2br w:val="nil"/>
              <w:tr2bl w:val="nil"/>
            </w:tcBorders>
            <w:shd w:val="clear" w:color="FFFFFF" w:fill="FFFFFF"/>
            <w:tcMar>
              <w:left w:w="40" w:type="dxa"/>
              <w:right w:w="40" w:type="dxa"/>
            </w:tcMar>
          </w:tcPr>
          <w:p w14:paraId="357A731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73,237</w:t>
            </w:r>
          </w:p>
        </w:tc>
        <w:tc>
          <w:tcPr>
            <w:tcW w:w="1065" w:type="dxa"/>
            <w:tcBorders>
              <w:top w:val="nil"/>
              <w:left w:val="nil"/>
              <w:bottom w:val="nil"/>
              <w:right w:val="nil"/>
              <w:tl2br w:val="nil"/>
              <w:tr2bl w:val="nil"/>
            </w:tcBorders>
            <w:shd w:val="clear" w:color="FFFFFF" w:fill="FFFFFF"/>
            <w:tcMar>
              <w:left w:w="40" w:type="dxa"/>
              <w:right w:w="40" w:type="dxa"/>
            </w:tcMar>
          </w:tcPr>
          <w:p w14:paraId="359DCE7C"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85,436</w:t>
            </w:r>
          </w:p>
        </w:tc>
        <w:tc>
          <w:tcPr>
            <w:tcW w:w="1035" w:type="dxa"/>
            <w:tcBorders>
              <w:top w:val="nil"/>
              <w:left w:val="nil"/>
              <w:bottom w:val="nil"/>
              <w:right w:val="nil"/>
              <w:tl2br w:val="nil"/>
              <w:tr2bl w:val="nil"/>
            </w:tcBorders>
            <w:shd w:val="clear" w:color="FFFFFF" w:fill="FFFFFF"/>
            <w:tcMar>
              <w:left w:w="40" w:type="dxa"/>
              <w:right w:w="40" w:type="dxa"/>
            </w:tcMar>
          </w:tcPr>
          <w:p w14:paraId="02074D6F"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83,305</w:t>
            </w:r>
          </w:p>
        </w:tc>
        <w:tc>
          <w:tcPr>
            <w:tcW w:w="600" w:type="dxa"/>
            <w:tcBorders>
              <w:top w:val="nil"/>
              <w:left w:val="nil"/>
              <w:bottom w:val="nil"/>
              <w:right w:val="nil"/>
              <w:tl2br w:val="nil"/>
              <w:tr2bl w:val="nil"/>
            </w:tcBorders>
            <w:shd w:val="clear" w:color="FFFFFF" w:fill="FFFFFF"/>
            <w:tcMar>
              <w:left w:w="40" w:type="dxa"/>
              <w:right w:w="40" w:type="dxa"/>
            </w:tcMar>
          </w:tcPr>
          <w:p w14:paraId="6D323B64"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3B1D61A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81,584</w:t>
            </w:r>
          </w:p>
        </w:tc>
        <w:tc>
          <w:tcPr>
            <w:tcW w:w="1035" w:type="dxa"/>
            <w:tcBorders>
              <w:top w:val="nil"/>
              <w:left w:val="nil"/>
              <w:bottom w:val="nil"/>
              <w:right w:val="nil"/>
              <w:tl2br w:val="nil"/>
              <w:tr2bl w:val="nil"/>
            </w:tcBorders>
            <w:shd w:val="clear" w:color="FFFFFF" w:fill="FFFFFF"/>
            <w:tcMar>
              <w:left w:w="40" w:type="dxa"/>
              <w:right w:w="40" w:type="dxa"/>
            </w:tcMar>
          </w:tcPr>
          <w:p w14:paraId="7137BA26"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81,520</w:t>
            </w:r>
          </w:p>
        </w:tc>
        <w:tc>
          <w:tcPr>
            <w:tcW w:w="1035" w:type="dxa"/>
            <w:tcBorders>
              <w:top w:val="nil"/>
              <w:left w:val="nil"/>
              <w:bottom w:val="nil"/>
              <w:right w:val="nil"/>
              <w:tl2br w:val="nil"/>
              <w:tr2bl w:val="nil"/>
            </w:tcBorders>
            <w:shd w:val="clear" w:color="FFFFFF" w:fill="FFFFFF"/>
            <w:tcMar>
              <w:left w:w="40" w:type="dxa"/>
              <w:right w:w="40" w:type="dxa"/>
            </w:tcMar>
          </w:tcPr>
          <w:p w14:paraId="01ED4163"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81,567</w:t>
            </w:r>
          </w:p>
        </w:tc>
      </w:tr>
      <w:tr w:rsidR="00143C9C" w14:paraId="3CF6A670"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3831F246" w14:textId="77777777" w:rsidR="00143C9C" w:rsidRDefault="009B5C32" w:rsidP="005D4B41">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Grants and Purchased Services</w:t>
            </w:r>
          </w:p>
        </w:tc>
        <w:tc>
          <w:tcPr>
            <w:tcW w:w="1035" w:type="dxa"/>
            <w:tcBorders>
              <w:top w:val="nil"/>
              <w:left w:val="nil"/>
              <w:bottom w:val="nil"/>
              <w:right w:val="nil"/>
              <w:tl2br w:val="nil"/>
              <w:tr2bl w:val="nil"/>
            </w:tcBorders>
            <w:shd w:val="clear" w:color="FFFFFF" w:fill="FFFFFF"/>
            <w:tcMar>
              <w:left w:w="40" w:type="dxa"/>
              <w:right w:w="40" w:type="dxa"/>
            </w:tcMar>
          </w:tcPr>
          <w:p w14:paraId="6F283F8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19,322</w:t>
            </w:r>
          </w:p>
        </w:tc>
        <w:tc>
          <w:tcPr>
            <w:tcW w:w="1065" w:type="dxa"/>
            <w:tcBorders>
              <w:top w:val="nil"/>
              <w:left w:val="nil"/>
              <w:bottom w:val="nil"/>
              <w:right w:val="nil"/>
              <w:tl2br w:val="nil"/>
              <w:tr2bl w:val="nil"/>
            </w:tcBorders>
            <w:shd w:val="clear" w:color="FFFFFF" w:fill="FFFFFF"/>
            <w:tcMar>
              <w:left w:w="40" w:type="dxa"/>
              <w:right w:w="40" w:type="dxa"/>
            </w:tcMar>
          </w:tcPr>
          <w:p w14:paraId="761A4CB3"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14,014</w:t>
            </w:r>
          </w:p>
        </w:tc>
        <w:tc>
          <w:tcPr>
            <w:tcW w:w="1035" w:type="dxa"/>
            <w:tcBorders>
              <w:top w:val="nil"/>
              <w:left w:val="nil"/>
              <w:bottom w:val="nil"/>
              <w:right w:val="nil"/>
              <w:tl2br w:val="nil"/>
              <w:tr2bl w:val="nil"/>
            </w:tcBorders>
            <w:shd w:val="clear" w:color="FFFFFF" w:fill="FFFFFF"/>
            <w:tcMar>
              <w:left w:w="40" w:type="dxa"/>
              <w:right w:w="40" w:type="dxa"/>
            </w:tcMar>
          </w:tcPr>
          <w:p w14:paraId="69FD5873"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19,569</w:t>
            </w:r>
          </w:p>
        </w:tc>
        <w:tc>
          <w:tcPr>
            <w:tcW w:w="600" w:type="dxa"/>
            <w:tcBorders>
              <w:top w:val="nil"/>
              <w:left w:val="nil"/>
              <w:bottom w:val="nil"/>
              <w:right w:val="nil"/>
              <w:tl2br w:val="nil"/>
              <w:tr2bl w:val="nil"/>
            </w:tcBorders>
            <w:shd w:val="clear" w:color="FFFFFF" w:fill="FFFFFF"/>
            <w:tcMar>
              <w:left w:w="40" w:type="dxa"/>
              <w:right w:w="40" w:type="dxa"/>
            </w:tcMar>
          </w:tcPr>
          <w:p w14:paraId="3737237F"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40 </w:t>
            </w:r>
          </w:p>
        </w:tc>
        <w:tc>
          <w:tcPr>
            <w:tcW w:w="1035" w:type="dxa"/>
            <w:tcBorders>
              <w:top w:val="nil"/>
              <w:left w:val="nil"/>
              <w:bottom w:val="nil"/>
              <w:right w:val="nil"/>
              <w:tl2br w:val="nil"/>
              <w:tr2bl w:val="nil"/>
            </w:tcBorders>
            <w:shd w:val="clear" w:color="FFFFFF" w:fill="FFFFFF"/>
            <w:tcMar>
              <w:left w:w="40" w:type="dxa"/>
              <w:right w:w="40" w:type="dxa"/>
            </w:tcMar>
          </w:tcPr>
          <w:p w14:paraId="5959924E"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23,436</w:t>
            </w:r>
          </w:p>
        </w:tc>
        <w:tc>
          <w:tcPr>
            <w:tcW w:w="1035" w:type="dxa"/>
            <w:tcBorders>
              <w:top w:val="nil"/>
              <w:left w:val="nil"/>
              <w:bottom w:val="nil"/>
              <w:right w:val="nil"/>
              <w:tl2br w:val="nil"/>
              <w:tr2bl w:val="nil"/>
            </w:tcBorders>
            <w:shd w:val="clear" w:color="FFFFFF" w:fill="FFFFFF"/>
            <w:tcMar>
              <w:left w:w="40" w:type="dxa"/>
              <w:right w:w="40" w:type="dxa"/>
            </w:tcMar>
          </w:tcPr>
          <w:p w14:paraId="5C4EAC00"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24,082</w:t>
            </w:r>
          </w:p>
        </w:tc>
        <w:tc>
          <w:tcPr>
            <w:tcW w:w="1035" w:type="dxa"/>
            <w:tcBorders>
              <w:top w:val="nil"/>
              <w:left w:val="nil"/>
              <w:bottom w:val="nil"/>
              <w:right w:val="nil"/>
              <w:tl2br w:val="nil"/>
              <w:tr2bl w:val="nil"/>
            </w:tcBorders>
            <w:shd w:val="clear" w:color="FFFFFF" w:fill="FFFFFF"/>
            <w:tcMar>
              <w:left w:w="40" w:type="dxa"/>
              <w:right w:w="40" w:type="dxa"/>
            </w:tcMar>
          </w:tcPr>
          <w:p w14:paraId="51296AE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22,277</w:t>
            </w:r>
          </w:p>
        </w:tc>
      </w:tr>
      <w:tr w:rsidR="00143C9C" w14:paraId="13175EC1"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5D5BE8F5" w14:textId="77777777" w:rsidR="00143C9C" w:rsidRDefault="009B5C32" w:rsidP="005D4B41">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Borrowing Costs</w:t>
            </w:r>
          </w:p>
        </w:tc>
        <w:tc>
          <w:tcPr>
            <w:tcW w:w="1035" w:type="dxa"/>
            <w:tcBorders>
              <w:top w:val="nil"/>
              <w:left w:val="nil"/>
              <w:bottom w:val="nil"/>
              <w:right w:val="nil"/>
              <w:tl2br w:val="nil"/>
              <w:tr2bl w:val="nil"/>
            </w:tcBorders>
            <w:shd w:val="clear" w:color="FFFFFF" w:fill="FFFFFF"/>
            <w:tcMar>
              <w:left w:w="40" w:type="dxa"/>
              <w:right w:w="40" w:type="dxa"/>
            </w:tcMar>
          </w:tcPr>
          <w:p w14:paraId="2A04E9C7"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47,626</w:t>
            </w:r>
          </w:p>
        </w:tc>
        <w:tc>
          <w:tcPr>
            <w:tcW w:w="1065" w:type="dxa"/>
            <w:tcBorders>
              <w:top w:val="nil"/>
              <w:left w:val="nil"/>
              <w:bottom w:val="nil"/>
              <w:right w:val="nil"/>
              <w:tl2br w:val="nil"/>
              <w:tr2bl w:val="nil"/>
            </w:tcBorders>
            <w:shd w:val="clear" w:color="FFFFFF" w:fill="FFFFFF"/>
            <w:tcMar>
              <w:left w:w="40" w:type="dxa"/>
              <w:right w:w="40" w:type="dxa"/>
            </w:tcMar>
          </w:tcPr>
          <w:p w14:paraId="19894AEA"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36,626</w:t>
            </w:r>
          </w:p>
        </w:tc>
        <w:tc>
          <w:tcPr>
            <w:tcW w:w="1035" w:type="dxa"/>
            <w:tcBorders>
              <w:top w:val="nil"/>
              <w:left w:val="nil"/>
              <w:bottom w:val="nil"/>
              <w:right w:val="nil"/>
              <w:tl2br w:val="nil"/>
              <w:tr2bl w:val="nil"/>
            </w:tcBorders>
            <w:shd w:val="clear" w:color="FFFFFF" w:fill="FFFFFF"/>
            <w:tcMar>
              <w:left w:w="40" w:type="dxa"/>
              <w:right w:w="40" w:type="dxa"/>
            </w:tcMar>
          </w:tcPr>
          <w:p w14:paraId="430BC1C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50,394</w:t>
            </w:r>
          </w:p>
        </w:tc>
        <w:tc>
          <w:tcPr>
            <w:tcW w:w="600" w:type="dxa"/>
            <w:tcBorders>
              <w:top w:val="nil"/>
              <w:left w:val="nil"/>
              <w:bottom w:val="nil"/>
              <w:right w:val="nil"/>
              <w:tl2br w:val="nil"/>
              <w:tr2bl w:val="nil"/>
            </w:tcBorders>
            <w:shd w:val="clear" w:color="FFFFFF" w:fill="FFFFFF"/>
            <w:tcMar>
              <w:left w:w="40" w:type="dxa"/>
              <w:right w:w="40" w:type="dxa"/>
            </w:tcMar>
          </w:tcPr>
          <w:p w14:paraId="351505A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38 </w:t>
            </w:r>
          </w:p>
        </w:tc>
        <w:tc>
          <w:tcPr>
            <w:tcW w:w="1035" w:type="dxa"/>
            <w:tcBorders>
              <w:top w:val="nil"/>
              <w:left w:val="nil"/>
              <w:bottom w:val="nil"/>
              <w:right w:val="nil"/>
              <w:tl2br w:val="nil"/>
              <w:tr2bl w:val="nil"/>
            </w:tcBorders>
            <w:shd w:val="clear" w:color="FFFFFF" w:fill="FFFFFF"/>
            <w:tcMar>
              <w:left w:w="40" w:type="dxa"/>
              <w:right w:w="40" w:type="dxa"/>
            </w:tcMar>
          </w:tcPr>
          <w:p w14:paraId="02866070"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38,278</w:t>
            </w:r>
          </w:p>
        </w:tc>
        <w:tc>
          <w:tcPr>
            <w:tcW w:w="1035" w:type="dxa"/>
            <w:tcBorders>
              <w:top w:val="nil"/>
              <w:left w:val="nil"/>
              <w:bottom w:val="nil"/>
              <w:right w:val="nil"/>
              <w:tl2br w:val="nil"/>
              <w:tr2bl w:val="nil"/>
            </w:tcBorders>
            <w:shd w:val="clear" w:color="FFFFFF" w:fill="FFFFFF"/>
            <w:tcMar>
              <w:left w:w="40" w:type="dxa"/>
              <w:right w:w="40" w:type="dxa"/>
            </w:tcMar>
          </w:tcPr>
          <w:p w14:paraId="782E65D3"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13,783</w:t>
            </w:r>
          </w:p>
        </w:tc>
        <w:tc>
          <w:tcPr>
            <w:tcW w:w="1035" w:type="dxa"/>
            <w:tcBorders>
              <w:top w:val="nil"/>
              <w:left w:val="nil"/>
              <w:bottom w:val="nil"/>
              <w:right w:val="nil"/>
              <w:tl2br w:val="nil"/>
              <w:tr2bl w:val="nil"/>
            </w:tcBorders>
            <w:shd w:val="clear" w:color="FFFFFF" w:fill="FFFFFF"/>
            <w:tcMar>
              <w:left w:w="40" w:type="dxa"/>
              <w:right w:w="40" w:type="dxa"/>
            </w:tcMar>
          </w:tcPr>
          <w:p w14:paraId="27055840"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12,796</w:t>
            </w:r>
          </w:p>
        </w:tc>
      </w:tr>
      <w:tr w:rsidR="00143C9C" w14:paraId="6A590A3B"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029ABAE1" w14:textId="77777777" w:rsidR="00143C9C" w:rsidRDefault="009B5C32" w:rsidP="005D4B41">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Other Expenses</w:t>
            </w:r>
          </w:p>
        </w:tc>
        <w:tc>
          <w:tcPr>
            <w:tcW w:w="1035" w:type="dxa"/>
            <w:tcBorders>
              <w:top w:val="nil"/>
              <w:left w:val="nil"/>
              <w:bottom w:val="nil"/>
              <w:right w:val="nil"/>
              <w:tl2br w:val="nil"/>
              <w:tr2bl w:val="nil"/>
            </w:tcBorders>
            <w:shd w:val="clear" w:color="FFFFFF" w:fill="FFFFFF"/>
            <w:tcMar>
              <w:left w:w="40" w:type="dxa"/>
              <w:right w:w="40" w:type="dxa"/>
            </w:tcMar>
          </w:tcPr>
          <w:p w14:paraId="04FFF606"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639</w:t>
            </w:r>
          </w:p>
        </w:tc>
        <w:tc>
          <w:tcPr>
            <w:tcW w:w="1065" w:type="dxa"/>
            <w:tcBorders>
              <w:top w:val="nil"/>
              <w:left w:val="nil"/>
              <w:bottom w:val="nil"/>
              <w:right w:val="nil"/>
              <w:tl2br w:val="nil"/>
              <w:tr2bl w:val="nil"/>
            </w:tcBorders>
            <w:shd w:val="clear" w:color="FFFFFF" w:fill="FFFFFF"/>
            <w:tcMar>
              <w:left w:w="40" w:type="dxa"/>
              <w:right w:w="40" w:type="dxa"/>
            </w:tcMar>
          </w:tcPr>
          <w:p w14:paraId="6A8E0511"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7,750</w:t>
            </w:r>
          </w:p>
        </w:tc>
        <w:tc>
          <w:tcPr>
            <w:tcW w:w="1035" w:type="dxa"/>
            <w:tcBorders>
              <w:top w:val="nil"/>
              <w:left w:val="nil"/>
              <w:bottom w:val="nil"/>
              <w:right w:val="nil"/>
              <w:tl2br w:val="nil"/>
              <w:tr2bl w:val="nil"/>
            </w:tcBorders>
            <w:shd w:val="clear" w:color="FFFFFF" w:fill="FFFFFF"/>
            <w:tcMar>
              <w:left w:w="40" w:type="dxa"/>
              <w:right w:w="40" w:type="dxa"/>
            </w:tcMar>
          </w:tcPr>
          <w:p w14:paraId="6565598C"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2,776</w:t>
            </w:r>
          </w:p>
        </w:tc>
        <w:tc>
          <w:tcPr>
            <w:tcW w:w="600" w:type="dxa"/>
            <w:tcBorders>
              <w:top w:val="nil"/>
              <w:left w:val="nil"/>
              <w:bottom w:val="nil"/>
              <w:right w:val="nil"/>
              <w:tl2br w:val="nil"/>
              <w:tr2bl w:val="nil"/>
            </w:tcBorders>
            <w:shd w:val="clear" w:color="FFFFFF" w:fill="FFFFFF"/>
            <w:tcMar>
              <w:left w:w="40" w:type="dxa"/>
              <w:right w:w="40" w:type="dxa"/>
            </w:tcMar>
          </w:tcPr>
          <w:p w14:paraId="7C292E7E"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-64 </w:t>
            </w:r>
          </w:p>
        </w:tc>
        <w:tc>
          <w:tcPr>
            <w:tcW w:w="1035" w:type="dxa"/>
            <w:tcBorders>
              <w:top w:val="nil"/>
              <w:left w:val="nil"/>
              <w:bottom w:val="nil"/>
              <w:right w:val="nil"/>
              <w:tl2br w:val="nil"/>
              <w:tr2bl w:val="nil"/>
            </w:tcBorders>
            <w:shd w:val="clear" w:color="FFFFFF" w:fill="FFFFFF"/>
            <w:tcMar>
              <w:left w:w="40" w:type="dxa"/>
              <w:right w:w="40" w:type="dxa"/>
            </w:tcMar>
          </w:tcPr>
          <w:p w14:paraId="52E9816C"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525</w:t>
            </w:r>
          </w:p>
        </w:tc>
        <w:tc>
          <w:tcPr>
            <w:tcW w:w="1035" w:type="dxa"/>
            <w:tcBorders>
              <w:top w:val="nil"/>
              <w:left w:val="nil"/>
              <w:bottom w:val="nil"/>
              <w:right w:val="nil"/>
              <w:tl2br w:val="nil"/>
              <w:tr2bl w:val="nil"/>
            </w:tcBorders>
            <w:shd w:val="clear" w:color="FFFFFF" w:fill="FFFFFF"/>
            <w:tcMar>
              <w:left w:w="40" w:type="dxa"/>
              <w:right w:w="40" w:type="dxa"/>
            </w:tcMar>
          </w:tcPr>
          <w:p w14:paraId="6316EA91"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530</w:t>
            </w:r>
          </w:p>
        </w:tc>
        <w:tc>
          <w:tcPr>
            <w:tcW w:w="1035" w:type="dxa"/>
            <w:tcBorders>
              <w:top w:val="nil"/>
              <w:left w:val="nil"/>
              <w:bottom w:val="nil"/>
              <w:right w:val="nil"/>
              <w:tl2br w:val="nil"/>
              <w:tr2bl w:val="nil"/>
            </w:tcBorders>
            <w:shd w:val="clear" w:color="FFFFFF" w:fill="FFFFFF"/>
            <w:tcMar>
              <w:left w:w="40" w:type="dxa"/>
              <w:right w:w="40" w:type="dxa"/>
            </w:tcMar>
          </w:tcPr>
          <w:p w14:paraId="0131B0D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535</w:t>
            </w:r>
          </w:p>
        </w:tc>
      </w:tr>
      <w:tr w:rsidR="00143C9C" w14:paraId="41FEB55E"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tcPr>
          <w:p w14:paraId="74EA5E23" w14:textId="77777777" w:rsidR="00143C9C" w:rsidRDefault="009B5C32" w:rsidP="005D4B41">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Transfer Payments to Government</w:t>
            </w:r>
          </w:p>
        </w:tc>
        <w:tc>
          <w:tcPr>
            <w:tcW w:w="1035" w:type="dxa"/>
            <w:tcBorders>
              <w:top w:val="nil"/>
              <w:left w:val="nil"/>
              <w:bottom w:val="nil"/>
              <w:right w:val="nil"/>
              <w:tl2br w:val="nil"/>
              <w:tr2bl w:val="nil"/>
            </w:tcBorders>
            <w:shd w:val="clear" w:color="FFFFFF" w:fill="FFFFFF"/>
            <w:tcMar>
              <w:left w:w="40" w:type="dxa"/>
              <w:right w:w="40" w:type="dxa"/>
            </w:tcMar>
          </w:tcPr>
          <w:p w14:paraId="5E2A4ED0"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65" w:type="dxa"/>
            <w:tcBorders>
              <w:top w:val="nil"/>
              <w:left w:val="nil"/>
              <w:bottom w:val="nil"/>
              <w:right w:val="nil"/>
              <w:tl2br w:val="nil"/>
              <w:tr2bl w:val="nil"/>
            </w:tcBorders>
            <w:shd w:val="clear" w:color="FFFFFF" w:fill="FFFFFF"/>
            <w:tcMar>
              <w:left w:w="40" w:type="dxa"/>
              <w:right w:w="40" w:type="dxa"/>
            </w:tcMar>
          </w:tcPr>
          <w:p w14:paraId="181E633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3,550</w:t>
            </w:r>
          </w:p>
        </w:tc>
        <w:tc>
          <w:tcPr>
            <w:tcW w:w="1035" w:type="dxa"/>
            <w:tcBorders>
              <w:top w:val="nil"/>
              <w:left w:val="nil"/>
              <w:bottom w:val="nil"/>
              <w:right w:val="nil"/>
              <w:tl2br w:val="nil"/>
              <w:tr2bl w:val="nil"/>
            </w:tcBorders>
            <w:shd w:val="clear" w:color="FFFFFF" w:fill="FFFFFF"/>
            <w:tcMar>
              <w:left w:w="40" w:type="dxa"/>
              <w:right w:w="40" w:type="dxa"/>
            </w:tcMar>
          </w:tcPr>
          <w:p w14:paraId="60D042A3"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3,995</w:t>
            </w:r>
          </w:p>
        </w:tc>
        <w:tc>
          <w:tcPr>
            <w:tcW w:w="600" w:type="dxa"/>
            <w:tcBorders>
              <w:top w:val="nil"/>
              <w:left w:val="nil"/>
              <w:bottom w:val="nil"/>
              <w:right w:val="nil"/>
              <w:tl2br w:val="nil"/>
              <w:tr2bl w:val="nil"/>
            </w:tcBorders>
            <w:shd w:val="clear" w:color="FFFFFF" w:fill="FFFFFF"/>
            <w:tcMar>
              <w:left w:w="40" w:type="dxa"/>
              <w:right w:w="40" w:type="dxa"/>
            </w:tcMar>
          </w:tcPr>
          <w:p w14:paraId="30996060"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13 </w:t>
            </w:r>
          </w:p>
        </w:tc>
        <w:tc>
          <w:tcPr>
            <w:tcW w:w="1035" w:type="dxa"/>
            <w:tcBorders>
              <w:top w:val="nil"/>
              <w:left w:val="nil"/>
              <w:bottom w:val="nil"/>
              <w:right w:val="nil"/>
              <w:tl2br w:val="nil"/>
              <w:tr2bl w:val="nil"/>
            </w:tcBorders>
            <w:shd w:val="clear" w:color="FFFFFF" w:fill="FFFFFF"/>
            <w:tcMar>
              <w:left w:w="40" w:type="dxa"/>
              <w:right w:w="40" w:type="dxa"/>
            </w:tcMar>
          </w:tcPr>
          <w:p w14:paraId="071311B4"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4,421</w:t>
            </w:r>
          </w:p>
        </w:tc>
        <w:tc>
          <w:tcPr>
            <w:tcW w:w="1035" w:type="dxa"/>
            <w:tcBorders>
              <w:top w:val="nil"/>
              <w:left w:val="nil"/>
              <w:bottom w:val="nil"/>
              <w:right w:val="nil"/>
              <w:tl2br w:val="nil"/>
              <w:tr2bl w:val="nil"/>
            </w:tcBorders>
            <w:shd w:val="clear" w:color="FFFFFF" w:fill="FFFFFF"/>
            <w:tcMar>
              <w:left w:w="40" w:type="dxa"/>
              <w:right w:w="40" w:type="dxa"/>
            </w:tcMar>
          </w:tcPr>
          <w:p w14:paraId="019ADD2B"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4,257</w:t>
            </w:r>
          </w:p>
        </w:tc>
        <w:tc>
          <w:tcPr>
            <w:tcW w:w="1035" w:type="dxa"/>
            <w:tcBorders>
              <w:top w:val="nil"/>
              <w:left w:val="nil"/>
              <w:bottom w:val="nil"/>
              <w:right w:val="nil"/>
              <w:tl2br w:val="nil"/>
              <w:tr2bl w:val="nil"/>
            </w:tcBorders>
            <w:shd w:val="clear" w:color="FFFFFF" w:fill="FFFFFF"/>
            <w:tcMar>
              <w:left w:w="40" w:type="dxa"/>
              <w:right w:w="40" w:type="dxa"/>
            </w:tcMar>
          </w:tcPr>
          <w:p w14:paraId="2D2365A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3,482</w:t>
            </w:r>
          </w:p>
        </w:tc>
      </w:tr>
      <w:tr w:rsidR="00143C9C" w14:paraId="2806D7E7"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6380C15C" w14:textId="77777777" w:rsidR="00143C9C" w:rsidRDefault="009B5C32" w:rsidP="005D4B41">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Total Expenses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D86BF49"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310,383</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15653DB2"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303,332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7FC97E6"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313,012</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05C4245"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3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E674A99"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282,297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BA5C13F"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272,333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0F37CC8"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271,856</w:t>
            </w:r>
          </w:p>
        </w:tc>
      </w:tr>
      <w:tr w:rsidR="00143C9C" w14:paraId="2FBB16DA"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29958B31" w14:textId="77777777" w:rsidR="00143C9C" w:rsidRDefault="009B5C32" w:rsidP="005D4B41">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Operating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9099B35"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-67,633</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30943A3D"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-76,728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18B04E9"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-86,604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D4834D1"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61EE50F"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-47,088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A462D98"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-45,592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14FDC16"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-44,792</w:t>
            </w:r>
          </w:p>
        </w:tc>
      </w:tr>
      <w:tr w:rsidR="00143C9C" w14:paraId="0FBBB446"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2385" w:type="dxa"/>
            <w:tcBorders>
              <w:top w:val="nil"/>
              <w:left w:val="nil"/>
              <w:bottom w:val="nil"/>
              <w:right w:val="nil"/>
              <w:tl2br w:val="nil"/>
              <w:tr2bl w:val="nil"/>
            </w:tcBorders>
            <w:noWrap/>
            <w:tcMar>
              <w:left w:w="40" w:type="dxa"/>
              <w:right w:w="40" w:type="dxa"/>
            </w:tcMar>
            <w:vAlign w:val="bottom"/>
          </w:tcPr>
          <w:p w14:paraId="37688163" w14:textId="77777777" w:rsidR="00143C9C" w:rsidRDefault="009B5C32" w:rsidP="005D4B41">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Other Comprehensive Income</w:t>
            </w:r>
          </w:p>
        </w:tc>
        <w:tc>
          <w:tcPr>
            <w:tcW w:w="1035" w:type="dxa"/>
            <w:tcBorders>
              <w:top w:val="nil"/>
              <w:left w:val="nil"/>
              <w:bottom w:val="nil"/>
              <w:right w:val="nil"/>
              <w:tl2br w:val="nil"/>
              <w:tr2bl w:val="nil"/>
            </w:tcBorders>
            <w:tcMar>
              <w:left w:w="40" w:type="dxa"/>
              <w:right w:w="40" w:type="dxa"/>
            </w:tcMar>
            <w:vAlign w:val="bottom"/>
          </w:tcPr>
          <w:p w14:paraId="3F3884C9" w14:textId="00F19F15" w:rsidR="00143C9C" w:rsidRPr="000B55B1" w:rsidRDefault="00143C9C">
            <w:pPr>
              <w:pBdr>
                <w:top w:val="nil"/>
                <w:left w:val="nil"/>
                <w:bottom w:val="nil"/>
                <w:right w:val="nil"/>
                <w:between w:val="nil"/>
                <w:bar w:val="nil"/>
              </w:pBdr>
              <w:jc w:val="right"/>
              <w:rPr>
                <w:rFonts w:eastAsia="Calibri" w:cs="Calibri"/>
                <w:b/>
                <w:bCs/>
                <w:color w:val="000000" w:themeColor="text1"/>
                <w:lang w:eastAsia="en-US"/>
              </w:rPr>
            </w:pPr>
          </w:p>
        </w:tc>
        <w:tc>
          <w:tcPr>
            <w:tcW w:w="1065" w:type="dxa"/>
            <w:tcBorders>
              <w:top w:val="nil"/>
              <w:left w:val="nil"/>
              <w:bottom w:val="nil"/>
              <w:right w:val="nil"/>
              <w:tl2br w:val="nil"/>
              <w:tr2bl w:val="nil"/>
            </w:tcBorders>
            <w:noWrap/>
            <w:tcMar>
              <w:left w:w="0" w:type="dxa"/>
              <w:right w:w="0" w:type="dxa"/>
            </w:tcMar>
            <w:vAlign w:val="bottom"/>
          </w:tcPr>
          <w:p w14:paraId="764AFA58" w14:textId="77777777" w:rsidR="00143C9C" w:rsidRPr="000B55B1" w:rsidRDefault="00143C9C">
            <w:pPr>
              <w:rPr>
                <w:rFonts w:eastAsia="Calibri" w:cs="Calibri"/>
                <w:b/>
                <w:bCs/>
                <w:color w:val="000000" w:themeColor="text1"/>
                <w:lang w:eastAsia="en-US"/>
              </w:rPr>
            </w:pPr>
          </w:p>
        </w:tc>
        <w:tc>
          <w:tcPr>
            <w:tcW w:w="1035" w:type="dxa"/>
            <w:tcBorders>
              <w:top w:val="nil"/>
              <w:left w:val="nil"/>
              <w:bottom w:val="nil"/>
              <w:right w:val="nil"/>
              <w:tl2br w:val="nil"/>
              <w:tr2bl w:val="nil"/>
            </w:tcBorders>
            <w:tcMar>
              <w:left w:w="40" w:type="dxa"/>
              <w:right w:w="40" w:type="dxa"/>
            </w:tcMar>
            <w:vAlign w:val="bottom"/>
          </w:tcPr>
          <w:p w14:paraId="3572EE51" w14:textId="4F5ED030" w:rsidR="00143C9C" w:rsidRPr="000B55B1" w:rsidRDefault="00143C9C">
            <w:pPr>
              <w:pBdr>
                <w:top w:val="nil"/>
                <w:left w:val="nil"/>
                <w:bottom w:val="nil"/>
                <w:right w:val="nil"/>
                <w:between w:val="nil"/>
                <w:bar w:val="nil"/>
              </w:pBdr>
              <w:jc w:val="right"/>
              <w:rPr>
                <w:rFonts w:eastAsia="Calibri" w:cs="Calibri"/>
                <w:b/>
                <w:bCs/>
                <w:color w:val="000000" w:themeColor="text1"/>
                <w:lang w:eastAsia="en-US"/>
              </w:rPr>
            </w:pPr>
          </w:p>
        </w:tc>
        <w:tc>
          <w:tcPr>
            <w:tcW w:w="600" w:type="dxa"/>
            <w:tcBorders>
              <w:top w:val="nil"/>
              <w:left w:val="nil"/>
              <w:bottom w:val="nil"/>
              <w:right w:val="nil"/>
              <w:tl2br w:val="nil"/>
              <w:tr2bl w:val="nil"/>
            </w:tcBorders>
            <w:tcMar>
              <w:left w:w="0" w:type="dxa"/>
              <w:right w:w="0" w:type="dxa"/>
            </w:tcMar>
            <w:vAlign w:val="bottom"/>
          </w:tcPr>
          <w:p w14:paraId="152D6615" w14:textId="77777777" w:rsidR="00143C9C" w:rsidRPr="000B55B1" w:rsidRDefault="00143C9C">
            <w:pPr>
              <w:rPr>
                <w:rFonts w:eastAsia="Calibri" w:cs="Calibri"/>
                <w:b/>
                <w:bCs/>
                <w:color w:val="000000" w:themeColor="text1"/>
                <w:lang w:eastAsia="en-US"/>
              </w:rPr>
            </w:pPr>
          </w:p>
        </w:tc>
        <w:tc>
          <w:tcPr>
            <w:tcW w:w="1035" w:type="dxa"/>
            <w:tcBorders>
              <w:top w:val="nil"/>
              <w:left w:val="nil"/>
              <w:bottom w:val="nil"/>
              <w:right w:val="nil"/>
              <w:tl2br w:val="nil"/>
              <w:tr2bl w:val="nil"/>
            </w:tcBorders>
            <w:tcMar>
              <w:left w:w="40" w:type="dxa"/>
              <w:right w:w="40" w:type="dxa"/>
            </w:tcMar>
            <w:vAlign w:val="bottom"/>
          </w:tcPr>
          <w:p w14:paraId="09B1E024" w14:textId="5C9E533F" w:rsidR="00143C9C" w:rsidRPr="000B55B1" w:rsidRDefault="00143C9C">
            <w:pPr>
              <w:pBdr>
                <w:top w:val="nil"/>
                <w:left w:val="nil"/>
                <w:bottom w:val="nil"/>
                <w:right w:val="nil"/>
                <w:between w:val="nil"/>
                <w:bar w:val="nil"/>
              </w:pBdr>
              <w:jc w:val="right"/>
              <w:rPr>
                <w:rFonts w:eastAsia="Calibri" w:cs="Calibri"/>
                <w:b/>
                <w:bCs/>
                <w:color w:val="000000" w:themeColor="text1"/>
                <w:lang w:eastAsia="en-US"/>
              </w:rPr>
            </w:pPr>
          </w:p>
        </w:tc>
        <w:tc>
          <w:tcPr>
            <w:tcW w:w="1035" w:type="dxa"/>
            <w:tcBorders>
              <w:top w:val="nil"/>
              <w:left w:val="nil"/>
              <w:bottom w:val="nil"/>
              <w:right w:val="nil"/>
              <w:tl2br w:val="nil"/>
              <w:tr2bl w:val="nil"/>
            </w:tcBorders>
            <w:tcMar>
              <w:left w:w="40" w:type="dxa"/>
              <w:right w:w="40" w:type="dxa"/>
            </w:tcMar>
            <w:vAlign w:val="bottom"/>
          </w:tcPr>
          <w:p w14:paraId="07F07483" w14:textId="604BD2D1" w:rsidR="00143C9C" w:rsidRPr="000B55B1" w:rsidRDefault="00143C9C">
            <w:pPr>
              <w:pBdr>
                <w:top w:val="nil"/>
                <w:left w:val="nil"/>
                <w:bottom w:val="nil"/>
                <w:right w:val="nil"/>
                <w:between w:val="nil"/>
                <w:bar w:val="nil"/>
              </w:pBdr>
              <w:jc w:val="right"/>
              <w:rPr>
                <w:rFonts w:eastAsia="Calibri" w:cs="Calibri"/>
                <w:b/>
                <w:bCs/>
                <w:color w:val="000000" w:themeColor="text1"/>
                <w:lang w:eastAsia="en-US"/>
              </w:rPr>
            </w:pPr>
          </w:p>
        </w:tc>
        <w:tc>
          <w:tcPr>
            <w:tcW w:w="1035" w:type="dxa"/>
            <w:tcBorders>
              <w:top w:val="nil"/>
              <w:left w:val="nil"/>
              <w:bottom w:val="nil"/>
              <w:right w:val="nil"/>
              <w:tl2br w:val="nil"/>
              <w:tr2bl w:val="nil"/>
            </w:tcBorders>
            <w:tcMar>
              <w:left w:w="40" w:type="dxa"/>
              <w:right w:w="40" w:type="dxa"/>
            </w:tcMar>
            <w:vAlign w:val="bottom"/>
          </w:tcPr>
          <w:p w14:paraId="2EB2783E" w14:textId="1B2C6C47" w:rsidR="00143C9C" w:rsidRPr="000B55B1" w:rsidRDefault="00143C9C">
            <w:pPr>
              <w:pBdr>
                <w:top w:val="nil"/>
                <w:left w:val="nil"/>
                <w:bottom w:val="nil"/>
                <w:right w:val="nil"/>
                <w:between w:val="nil"/>
                <w:bar w:val="nil"/>
              </w:pBdr>
              <w:jc w:val="right"/>
              <w:rPr>
                <w:rFonts w:eastAsia="Calibri" w:cs="Calibri"/>
                <w:b/>
                <w:bCs/>
                <w:color w:val="000000" w:themeColor="text1"/>
                <w:lang w:eastAsia="en-US"/>
              </w:rPr>
            </w:pPr>
          </w:p>
        </w:tc>
      </w:tr>
      <w:tr w:rsidR="00143C9C" w14:paraId="46A542D1"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0" w:type="dxa"/>
              <w:right w:w="0" w:type="dxa"/>
            </w:tcMar>
          </w:tcPr>
          <w:p w14:paraId="2EFF9B6D" w14:textId="77777777" w:rsidR="00143C9C" w:rsidRDefault="00143C9C" w:rsidP="005D4B41">
            <w:pPr>
              <w:ind w:left="170" w:hanging="170"/>
              <w:rPr>
                <w:rFonts w:eastAsia="Calibri" w:cs="Calibri"/>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EFA6EB4" w14:textId="77777777" w:rsidR="00143C9C" w:rsidRDefault="00143C9C">
            <w:pPr>
              <w:rPr>
                <w:rFonts w:eastAsia="Calibri" w:cs="Calibri"/>
                <w: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0875BB86" w14:textId="77777777" w:rsidR="00143C9C" w:rsidRDefault="00143C9C">
            <w:pPr>
              <w:rPr>
                <w:rFonts w:eastAsia="Calibri" w:cs="Calibri"/>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7A7A5C6" w14:textId="77777777" w:rsidR="00143C9C" w:rsidRDefault="00143C9C">
            <w:pPr>
              <w:rPr>
                <w:rFonts w:eastAsia="Calibri" w:cs="Calibri"/>
                <w: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658F6934" w14:textId="77777777" w:rsidR="00143C9C" w:rsidRDefault="00143C9C">
            <w:pPr>
              <w:rPr>
                <w:rFonts w:eastAsia="Calibri" w:cs="Calibri"/>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9C3ECA5" w14:textId="77777777" w:rsidR="00143C9C" w:rsidRDefault="00143C9C">
            <w:pPr>
              <w:rPr>
                <w:rFonts w:eastAsia="Calibri" w:cs="Calibri"/>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C5A6056" w14:textId="77777777" w:rsidR="00143C9C" w:rsidRDefault="00143C9C">
            <w:pPr>
              <w:rPr>
                <w:rFonts w:eastAsia="Calibri" w:cs="Calibri"/>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22EC0C0" w14:textId="77777777" w:rsidR="00143C9C" w:rsidRDefault="00143C9C">
            <w:pPr>
              <w:rPr>
                <w:rFonts w:eastAsia="Calibri" w:cs="Calibri"/>
                <w:i/>
                <w:color w:val="000000"/>
                <w:lang w:eastAsia="en-US"/>
              </w:rPr>
            </w:pPr>
          </w:p>
        </w:tc>
      </w:tr>
      <w:tr w:rsidR="00143C9C" w14:paraId="6DF05CBD"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85" w:type="dxa"/>
            <w:tcBorders>
              <w:top w:val="nil"/>
              <w:left w:val="nil"/>
              <w:bottom w:val="nil"/>
              <w:right w:val="nil"/>
              <w:tl2br w:val="nil"/>
              <w:tr2bl w:val="nil"/>
            </w:tcBorders>
            <w:shd w:val="clear" w:color="FFFFFF" w:fill="FFFFFF"/>
            <w:tcMar>
              <w:left w:w="40" w:type="dxa"/>
              <w:right w:w="40" w:type="dxa"/>
            </w:tcMar>
          </w:tcPr>
          <w:p w14:paraId="4D012730" w14:textId="77777777" w:rsidR="00143C9C" w:rsidRDefault="009B5C32" w:rsidP="005D4B41">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Increase/(Decrease) in Asset Revaluation Surplus</w:t>
            </w:r>
          </w:p>
        </w:tc>
        <w:tc>
          <w:tcPr>
            <w:tcW w:w="1035" w:type="dxa"/>
            <w:tcBorders>
              <w:top w:val="nil"/>
              <w:left w:val="nil"/>
              <w:bottom w:val="nil"/>
              <w:right w:val="nil"/>
              <w:tl2br w:val="nil"/>
              <w:tr2bl w:val="nil"/>
            </w:tcBorders>
            <w:shd w:val="clear" w:color="FFFFFF" w:fill="FFFFFF"/>
            <w:tcMar>
              <w:left w:w="40" w:type="dxa"/>
              <w:right w:w="40" w:type="dxa"/>
            </w:tcMar>
          </w:tcPr>
          <w:p w14:paraId="40493F6B"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65" w:type="dxa"/>
            <w:tcBorders>
              <w:top w:val="nil"/>
              <w:left w:val="nil"/>
              <w:bottom w:val="nil"/>
              <w:right w:val="nil"/>
              <w:tl2br w:val="nil"/>
              <w:tr2bl w:val="nil"/>
            </w:tcBorders>
            <w:shd w:val="clear" w:color="FFFFFF" w:fill="FFFFFF"/>
            <w:tcMar>
              <w:left w:w="40" w:type="dxa"/>
              <w:right w:w="40" w:type="dxa"/>
            </w:tcMar>
          </w:tcPr>
          <w:p w14:paraId="5512C3B0"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35</w:t>
            </w:r>
          </w:p>
        </w:tc>
        <w:tc>
          <w:tcPr>
            <w:tcW w:w="1035" w:type="dxa"/>
            <w:tcBorders>
              <w:top w:val="nil"/>
              <w:left w:val="nil"/>
              <w:bottom w:val="nil"/>
              <w:right w:val="nil"/>
              <w:tl2br w:val="nil"/>
              <w:tr2bl w:val="nil"/>
            </w:tcBorders>
            <w:shd w:val="clear" w:color="FFFFFF" w:fill="FFFFFF"/>
            <w:tcMar>
              <w:left w:w="40" w:type="dxa"/>
              <w:right w:w="40" w:type="dxa"/>
            </w:tcMar>
          </w:tcPr>
          <w:p w14:paraId="4BEA0C48"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6CE5FBB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4DF6D2AE"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89,468</w:t>
            </w:r>
          </w:p>
        </w:tc>
        <w:tc>
          <w:tcPr>
            <w:tcW w:w="1035" w:type="dxa"/>
            <w:tcBorders>
              <w:top w:val="nil"/>
              <w:left w:val="nil"/>
              <w:bottom w:val="nil"/>
              <w:right w:val="nil"/>
              <w:tl2br w:val="nil"/>
              <w:tr2bl w:val="nil"/>
            </w:tcBorders>
            <w:shd w:val="clear" w:color="FFFFFF" w:fill="FFFFFF"/>
            <w:tcMar>
              <w:left w:w="40" w:type="dxa"/>
              <w:right w:w="40" w:type="dxa"/>
            </w:tcMar>
          </w:tcPr>
          <w:p w14:paraId="10FD3B66"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DDC77E4"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143C9C" w14:paraId="38E0308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85" w:type="dxa"/>
            <w:tcBorders>
              <w:top w:val="nil"/>
              <w:left w:val="nil"/>
              <w:bottom w:val="nil"/>
              <w:right w:val="nil"/>
              <w:tl2br w:val="nil"/>
              <w:tr2bl w:val="nil"/>
            </w:tcBorders>
            <w:tcMar>
              <w:left w:w="40" w:type="dxa"/>
              <w:right w:w="40" w:type="dxa"/>
            </w:tcMar>
          </w:tcPr>
          <w:p w14:paraId="3922A29E" w14:textId="77777777" w:rsidR="00143C9C" w:rsidRDefault="009B5C32" w:rsidP="005D4B41">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Total Other Comprehensive Result</w:t>
            </w:r>
          </w:p>
        </w:tc>
        <w:tc>
          <w:tcPr>
            <w:tcW w:w="1035" w:type="dxa"/>
            <w:tcBorders>
              <w:top w:val="nil"/>
              <w:left w:val="nil"/>
              <w:bottom w:val="nil"/>
              <w:right w:val="nil"/>
              <w:tl2br w:val="nil"/>
              <w:tr2bl w:val="nil"/>
            </w:tcBorders>
            <w:shd w:val="clear" w:color="FFFFFF" w:fill="FFFFFF"/>
            <w:tcMar>
              <w:left w:w="40" w:type="dxa"/>
              <w:right w:w="40" w:type="dxa"/>
            </w:tcMar>
          </w:tcPr>
          <w:p w14:paraId="00C546DE"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65" w:type="dxa"/>
            <w:tcBorders>
              <w:top w:val="nil"/>
              <w:left w:val="nil"/>
              <w:bottom w:val="nil"/>
              <w:right w:val="nil"/>
              <w:tl2br w:val="nil"/>
              <w:tr2bl w:val="nil"/>
            </w:tcBorders>
            <w:shd w:val="clear" w:color="FFFFFF" w:fill="FFFFFF"/>
            <w:tcMar>
              <w:left w:w="40" w:type="dxa"/>
              <w:right w:w="40" w:type="dxa"/>
            </w:tcMar>
          </w:tcPr>
          <w:p w14:paraId="2B3C605B"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35</w:t>
            </w:r>
          </w:p>
        </w:tc>
        <w:tc>
          <w:tcPr>
            <w:tcW w:w="1035" w:type="dxa"/>
            <w:tcBorders>
              <w:top w:val="nil"/>
              <w:left w:val="nil"/>
              <w:bottom w:val="nil"/>
              <w:right w:val="nil"/>
              <w:tl2br w:val="nil"/>
              <w:tr2bl w:val="nil"/>
            </w:tcBorders>
            <w:shd w:val="clear" w:color="FFFFFF" w:fill="FFFFFF"/>
            <w:tcMar>
              <w:left w:w="40" w:type="dxa"/>
              <w:right w:w="40" w:type="dxa"/>
            </w:tcMar>
          </w:tcPr>
          <w:p w14:paraId="46495542"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06588DEC"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-100</w:t>
            </w:r>
          </w:p>
        </w:tc>
        <w:tc>
          <w:tcPr>
            <w:tcW w:w="1035" w:type="dxa"/>
            <w:tcBorders>
              <w:top w:val="nil"/>
              <w:left w:val="nil"/>
              <w:bottom w:val="nil"/>
              <w:right w:val="nil"/>
              <w:tl2br w:val="nil"/>
              <w:tr2bl w:val="nil"/>
            </w:tcBorders>
            <w:shd w:val="clear" w:color="FFFFFF" w:fill="FFFFFF"/>
            <w:tcMar>
              <w:left w:w="40" w:type="dxa"/>
              <w:right w:w="40" w:type="dxa"/>
            </w:tcMar>
          </w:tcPr>
          <w:p w14:paraId="0E4956BA"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89,468</w:t>
            </w:r>
          </w:p>
        </w:tc>
        <w:tc>
          <w:tcPr>
            <w:tcW w:w="1035" w:type="dxa"/>
            <w:tcBorders>
              <w:top w:val="nil"/>
              <w:left w:val="nil"/>
              <w:bottom w:val="nil"/>
              <w:right w:val="nil"/>
              <w:tl2br w:val="nil"/>
              <w:tr2bl w:val="nil"/>
            </w:tcBorders>
            <w:shd w:val="clear" w:color="FFFFFF" w:fill="FFFFFF"/>
            <w:tcMar>
              <w:left w:w="40" w:type="dxa"/>
              <w:right w:w="40" w:type="dxa"/>
            </w:tcMar>
          </w:tcPr>
          <w:p w14:paraId="2E90D5B1"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0562C304"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143C9C" w14:paraId="700DEAD9"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8"/>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0BB21D69" w14:textId="77777777" w:rsidR="00143C9C" w:rsidRDefault="009B5C32" w:rsidP="005D4B41">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Total Comprehensive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B1EF65F"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-67,633</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7DDE814F"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-76,693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C13BBFE"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-86,604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C1FE8B2"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-13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F2EE44E"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42,380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4F9770C"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-45,592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1590B29"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-44,792</w:t>
            </w:r>
          </w:p>
        </w:tc>
      </w:tr>
      <w:tr w:rsidR="00143C9C" w14:paraId="0D710283"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385" w:type="dxa"/>
            <w:tcBorders>
              <w:top w:val="nil"/>
              <w:left w:val="nil"/>
              <w:bottom w:val="single" w:sz="12" w:space="0" w:color="000000"/>
              <w:right w:val="nil"/>
              <w:tl2br w:val="nil"/>
              <w:tr2bl w:val="nil"/>
            </w:tcBorders>
            <w:shd w:val="clear" w:color="FFFFFF" w:fill="FFFFFF"/>
            <w:tcMar>
              <w:left w:w="0" w:type="dxa"/>
              <w:right w:w="0" w:type="dxa"/>
            </w:tcMar>
          </w:tcPr>
          <w:p w14:paraId="60F7878F" w14:textId="77777777" w:rsidR="00143C9C" w:rsidRDefault="00143C9C" w:rsidP="005D4B41">
            <w:pPr>
              <w:ind w:left="170" w:hanging="170"/>
              <w:rPr>
                <w:rFonts w:eastAsia="Calibri" w:cs="Calibri"/>
                <w:color w:val="000000"/>
                <w:lang w:eastAsia="en-US"/>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13185530" w14:textId="77777777" w:rsidR="00143C9C" w:rsidRDefault="00143C9C">
            <w:pPr>
              <w:rPr>
                <w:rFonts w:eastAsia="Calibri" w:cs="Calibri"/>
                <w:color w:val="000000"/>
                <w:lang w:eastAsia="en-US"/>
              </w:rPr>
            </w:pPr>
          </w:p>
        </w:tc>
        <w:tc>
          <w:tcPr>
            <w:tcW w:w="1065" w:type="dxa"/>
            <w:tcBorders>
              <w:top w:val="nil"/>
              <w:left w:val="nil"/>
              <w:bottom w:val="single" w:sz="12" w:space="0" w:color="000000"/>
              <w:right w:val="nil"/>
              <w:tl2br w:val="nil"/>
              <w:tr2bl w:val="nil"/>
            </w:tcBorders>
            <w:shd w:val="clear" w:color="FFFFFF" w:fill="FFFFFF"/>
            <w:tcMar>
              <w:left w:w="0" w:type="dxa"/>
              <w:right w:w="0" w:type="dxa"/>
            </w:tcMar>
          </w:tcPr>
          <w:p w14:paraId="2788DCEB" w14:textId="77777777" w:rsidR="00143C9C" w:rsidRDefault="00143C9C">
            <w:pPr>
              <w:rPr>
                <w:rFonts w:eastAsia="Calibri" w:cs="Calibri"/>
                <w:color w:val="000000"/>
                <w:lang w:eastAsia="en-US"/>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488FEBFA" w14:textId="77777777" w:rsidR="00143C9C" w:rsidRDefault="00143C9C">
            <w:pPr>
              <w:rPr>
                <w:rFonts w:eastAsia="Calibri" w:cs="Calibri"/>
                <w:color w:val="000000"/>
                <w:lang w:eastAsia="en-US"/>
              </w:rPr>
            </w:pPr>
          </w:p>
        </w:tc>
        <w:tc>
          <w:tcPr>
            <w:tcW w:w="600" w:type="dxa"/>
            <w:tcBorders>
              <w:top w:val="nil"/>
              <w:left w:val="nil"/>
              <w:bottom w:val="single" w:sz="12" w:space="0" w:color="000000"/>
              <w:right w:val="nil"/>
              <w:tl2br w:val="nil"/>
              <w:tr2bl w:val="nil"/>
            </w:tcBorders>
            <w:shd w:val="clear" w:color="FFFFFF" w:fill="FFFFFF"/>
            <w:tcMar>
              <w:left w:w="0" w:type="dxa"/>
              <w:right w:w="0" w:type="dxa"/>
            </w:tcMar>
          </w:tcPr>
          <w:p w14:paraId="545CB008" w14:textId="77777777" w:rsidR="00143C9C" w:rsidRDefault="00143C9C">
            <w:pPr>
              <w:rPr>
                <w:rFonts w:eastAsia="Calibri" w:cs="Calibri"/>
                <w:color w:val="000000"/>
                <w:lang w:eastAsia="en-US"/>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02DA176C" w14:textId="77777777" w:rsidR="00143C9C" w:rsidRDefault="00143C9C">
            <w:pPr>
              <w:rPr>
                <w:rFonts w:eastAsia="Calibri" w:cs="Calibri"/>
                <w:color w:val="000000"/>
                <w:lang w:eastAsia="en-US"/>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03C14F06" w14:textId="77777777" w:rsidR="00143C9C" w:rsidRDefault="00143C9C">
            <w:pPr>
              <w:rPr>
                <w:rFonts w:eastAsia="Calibri" w:cs="Calibri"/>
                <w:color w:val="000000"/>
                <w:lang w:eastAsia="en-US"/>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2A0142EB" w14:textId="77777777" w:rsidR="00143C9C" w:rsidRDefault="00143C9C">
            <w:pPr>
              <w:rPr>
                <w:rFonts w:eastAsia="Calibri" w:cs="Calibri"/>
                <w:color w:val="000000"/>
                <w:lang w:eastAsia="en-US"/>
              </w:rPr>
            </w:pPr>
          </w:p>
        </w:tc>
      </w:tr>
    </w:tbl>
    <w:p w14:paraId="437A1B51" w14:textId="77777777" w:rsidR="00407542" w:rsidRDefault="009B5C32">
      <w:pPr>
        <w:pBdr>
          <w:top w:val="nil"/>
          <w:left w:val="nil"/>
          <w:bottom w:val="nil"/>
          <w:right w:val="nil"/>
          <w:between w:val="nil"/>
          <w:bar w:val="nil"/>
        </w:pBdr>
        <w:spacing w:after="160" w:line="259" w:lineRule="auto"/>
        <w:rPr>
          <w:rFonts w:eastAsia="Calibri"/>
          <w:b/>
          <w:iCs/>
          <w:szCs w:val="18"/>
          <w:lang w:val="en-AU"/>
        </w:rPr>
      </w:pPr>
      <w:r>
        <w:rPr>
          <w:rFonts w:ascii="Calibri" w:eastAsia="Times New Roman" w:hAnsi="Calibri" w:cs="Times New Roman"/>
          <w:sz w:val="18"/>
          <w:szCs w:val="20"/>
          <w:lang w:val="en-AU"/>
        </w:rPr>
        <w:br w:type="page"/>
      </w:r>
    </w:p>
    <w:p w14:paraId="3E76CBB4" w14:textId="1A95405E" w:rsidR="00FE62CF" w:rsidRDefault="009B5C32" w:rsidP="00D86C4F">
      <w:pPr>
        <w:pStyle w:val="Caption"/>
        <w:pBdr>
          <w:top w:val="nil"/>
          <w:left w:val="nil"/>
          <w:bottom w:val="nil"/>
          <w:right w:val="nil"/>
          <w:between w:val="nil"/>
          <w:bar w:val="nil"/>
        </w:pBdr>
      </w:pPr>
      <w:r>
        <w:lastRenderedPageBreak/>
        <w:t>Table 1</w:t>
      </w:r>
      <w:r w:rsidR="00633F76">
        <w:t>1</w:t>
      </w:r>
      <w:r>
        <w:t>: Infrastructure Canberra: Balance Sheet ($’000)</w:t>
      </w:r>
    </w:p>
    <w:tbl>
      <w:tblPr>
        <w:tblStyle w:val="CDMRange2"/>
        <w:tblW w:w="9195" w:type="dxa"/>
        <w:tblLayout w:type="fixed"/>
        <w:tblLook w:val="0620" w:firstRow="1" w:lastRow="0" w:firstColumn="0" w:lastColumn="0" w:noHBand="1" w:noVBand="1"/>
      </w:tblPr>
      <w:tblGrid>
        <w:gridCol w:w="2175"/>
        <w:gridCol w:w="1035"/>
        <w:gridCol w:w="1245"/>
        <w:gridCol w:w="1035"/>
        <w:gridCol w:w="600"/>
        <w:gridCol w:w="1035"/>
        <w:gridCol w:w="1035"/>
        <w:gridCol w:w="1035"/>
      </w:tblGrid>
      <w:tr w:rsidR="00143C9C" w14:paraId="251ABAFC" w14:textId="77777777" w:rsidTr="00BE2852">
        <w:trPr>
          <w:trHeight w:val="825"/>
          <w:tblHeader/>
        </w:trPr>
        <w:tc>
          <w:tcPr>
            <w:tcW w:w="2175" w:type="dxa"/>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6E718F4E" w14:textId="77777777" w:rsidR="00143C9C" w:rsidRDefault="00143C9C">
            <w:pPr>
              <w:spacing w:after="0" w:line="240" w:lineRule="auto"/>
              <w:rPr>
                <w:rFonts w:cs="Calibri"/>
                <w:b/>
                <w:color w:val="000000"/>
              </w:rPr>
            </w:pP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5939827"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Budget </w:t>
            </w:r>
          </w:p>
          <w:p w14:paraId="5A40CA89"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at                30/6/26</w:t>
            </w:r>
          </w:p>
        </w:tc>
        <w:tc>
          <w:tcPr>
            <w:tcW w:w="124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2A6D6B8" w14:textId="4CE63FFB"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Estimated Outcome at 30/6/202</w:t>
            </w:r>
            <w:r w:rsidR="009F0F63">
              <w:rPr>
                <w:rFonts w:cs="Calibri"/>
                <w:b/>
                <w:color w:val="000000"/>
                <w:sz w:val="18"/>
                <w:szCs w:val="20"/>
              </w:rPr>
              <w:t>6</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588085D"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Budget </w:t>
            </w:r>
          </w:p>
          <w:p w14:paraId="5EB5C87A"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at                30/6/27</w:t>
            </w:r>
          </w:p>
        </w:tc>
        <w:tc>
          <w:tcPr>
            <w:tcW w:w="60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ED8E85A"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Var</w:t>
            </w:r>
          </w:p>
          <w:p w14:paraId="6256C472"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35BB3E14"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Estimate </w:t>
            </w:r>
          </w:p>
          <w:p w14:paraId="6B4957FC"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at        30/6/28</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7C14CC3"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Estimate </w:t>
            </w:r>
          </w:p>
          <w:p w14:paraId="4DAADC89"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at        30/6/29</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EDB4BD0"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Estimate </w:t>
            </w:r>
          </w:p>
          <w:p w14:paraId="2DF82E73"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at        30/6/30</w:t>
            </w:r>
          </w:p>
        </w:tc>
      </w:tr>
      <w:tr w:rsidR="00143C9C" w14:paraId="40C83F49"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single" w:sz="12" w:space="0" w:color="000000"/>
              <w:left w:val="nil"/>
              <w:bottom w:val="nil"/>
              <w:right w:val="nil"/>
              <w:tl2br w:val="nil"/>
              <w:tr2bl w:val="nil"/>
            </w:tcBorders>
            <w:shd w:val="clear" w:color="FFFFFF" w:fill="FFFFFF"/>
            <w:tcMar>
              <w:left w:w="40" w:type="dxa"/>
              <w:right w:w="40" w:type="dxa"/>
            </w:tcMar>
            <w:vAlign w:val="bottom"/>
          </w:tcPr>
          <w:p w14:paraId="0D841AC9" w14:textId="77777777" w:rsidR="00143C9C" w:rsidRDefault="009B5C32" w:rsidP="00D03A22">
            <w:pPr>
              <w:pBdr>
                <w:top w:val="nil"/>
                <w:left w:val="nil"/>
                <w:bottom w:val="nil"/>
                <w:right w:val="nil"/>
                <w:between w:val="nil"/>
                <w:bar w:val="nil"/>
              </w:pBdr>
              <w:spacing w:after="0" w:line="240" w:lineRule="auto"/>
              <w:ind w:left="244" w:hanging="244"/>
              <w:rPr>
                <w:rFonts w:cs="Calibri"/>
                <w:b/>
                <w:color w:val="000000"/>
              </w:rPr>
            </w:pPr>
            <w:r>
              <w:rPr>
                <w:rFonts w:cs="Calibri"/>
                <w:b/>
                <w:color w:val="000000"/>
                <w:sz w:val="18"/>
                <w:szCs w:val="20"/>
              </w:rPr>
              <w:t>Current Assets</w:t>
            </w:r>
          </w:p>
        </w:tc>
        <w:tc>
          <w:tcPr>
            <w:tcW w:w="1035"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20043E34" w14:textId="77777777" w:rsidR="00143C9C" w:rsidRDefault="00143C9C">
            <w:pPr>
              <w:spacing w:after="0" w:line="240" w:lineRule="auto"/>
              <w:rPr>
                <w:rFonts w:cs="Calibri"/>
                <w:color w:val="000000"/>
              </w:rPr>
            </w:pPr>
          </w:p>
        </w:tc>
        <w:tc>
          <w:tcPr>
            <w:tcW w:w="1245"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5DD318AC" w14:textId="77777777" w:rsidR="00143C9C" w:rsidRDefault="00143C9C">
            <w:pPr>
              <w:spacing w:after="0" w:line="240" w:lineRule="auto"/>
              <w:rPr>
                <w:rFonts w:cs="Calibri"/>
                <w:color w:val="000000"/>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066658C7" w14:textId="77777777" w:rsidR="00143C9C" w:rsidRDefault="00143C9C">
            <w:pPr>
              <w:spacing w:after="0" w:line="240" w:lineRule="auto"/>
              <w:rPr>
                <w:rFonts w:cs="Calibri"/>
                <w:color w:val="000000"/>
              </w:rPr>
            </w:pPr>
          </w:p>
        </w:tc>
        <w:tc>
          <w:tcPr>
            <w:tcW w:w="600"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1F68790D" w14:textId="77777777" w:rsidR="00143C9C" w:rsidRDefault="00143C9C">
            <w:pPr>
              <w:spacing w:after="0" w:line="240" w:lineRule="auto"/>
              <w:rPr>
                <w:rFonts w:cs="Calibri"/>
                <w:color w:val="000000"/>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05F8A864" w14:textId="77777777" w:rsidR="00143C9C" w:rsidRDefault="00143C9C">
            <w:pPr>
              <w:spacing w:after="0" w:line="240" w:lineRule="auto"/>
              <w:rPr>
                <w:rFonts w:cs="Calibri"/>
                <w:color w:val="000000"/>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2F60AE70" w14:textId="77777777" w:rsidR="00143C9C" w:rsidRDefault="00143C9C">
            <w:pPr>
              <w:spacing w:after="0" w:line="240" w:lineRule="auto"/>
              <w:rPr>
                <w:rFonts w:cs="Calibri"/>
                <w:color w:val="000000"/>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vAlign w:val="bottom"/>
          </w:tcPr>
          <w:p w14:paraId="2B10DBAD" w14:textId="77777777" w:rsidR="00143C9C" w:rsidRDefault="00143C9C">
            <w:pPr>
              <w:spacing w:after="0" w:line="240" w:lineRule="auto"/>
              <w:rPr>
                <w:rFonts w:cs="Calibri"/>
                <w:color w:val="000000"/>
              </w:rPr>
            </w:pPr>
          </w:p>
        </w:tc>
      </w:tr>
      <w:tr w:rsidR="00143C9C" w14:paraId="06F529AC"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5D309947"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2C7516C1"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19,060</w:t>
            </w:r>
          </w:p>
        </w:tc>
        <w:tc>
          <w:tcPr>
            <w:tcW w:w="1245" w:type="dxa"/>
            <w:tcBorders>
              <w:top w:val="nil"/>
              <w:left w:val="nil"/>
              <w:bottom w:val="nil"/>
              <w:right w:val="nil"/>
              <w:tl2br w:val="nil"/>
              <w:tr2bl w:val="nil"/>
            </w:tcBorders>
            <w:shd w:val="clear" w:color="FFFFFF" w:fill="FFFFFF"/>
            <w:tcMar>
              <w:left w:w="40" w:type="dxa"/>
              <w:right w:w="40" w:type="dxa"/>
            </w:tcMar>
          </w:tcPr>
          <w:p w14:paraId="22F6BB6A"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26,695</w:t>
            </w:r>
          </w:p>
        </w:tc>
        <w:tc>
          <w:tcPr>
            <w:tcW w:w="1035" w:type="dxa"/>
            <w:tcBorders>
              <w:top w:val="nil"/>
              <w:left w:val="nil"/>
              <w:bottom w:val="nil"/>
              <w:right w:val="nil"/>
              <w:tl2br w:val="nil"/>
              <w:tr2bl w:val="nil"/>
            </w:tcBorders>
            <w:shd w:val="clear" w:color="FFFFFF" w:fill="FFFFFF"/>
            <w:tcMar>
              <w:left w:w="40" w:type="dxa"/>
              <w:right w:w="40" w:type="dxa"/>
            </w:tcMar>
          </w:tcPr>
          <w:p w14:paraId="6E80880E"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14,109</w:t>
            </w:r>
          </w:p>
        </w:tc>
        <w:tc>
          <w:tcPr>
            <w:tcW w:w="600" w:type="dxa"/>
            <w:tcBorders>
              <w:top w:val="nil"/>
              <w:left w:val="nil"/>
              <w:bottom w:val="nil"/>
              <w:right w:val="nil"/>
              <w:tl2br w:val="nil"/>
              <w:tr2bl w:val="nil"/>
            </w:tcBorders>
            <w:shd w:val="clear" w:color="FFFFFF" w:fill="FFFFFF"/>
            <w:tcMar>
              <w:left w:w="40" w:type="dxa"/>
              <w:right w:w="40" w:type="dxa"/>
            </w:tcMar>
          </w:tcPr>
          <w:p w14:paraId="53F063EA"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-47 </w:t>
            </w:r>
          </w:p>
        </w:tc>
        <w:tc>
          <w:tcPr>
            <w:tcW w:w="1035" w:type="dxa"/>
            <w:tcBorders>
              <w:top w:val="nil"/>
              <w:left w:val="nil"/>
              <w:bottom w:val="nil"/>
              <w:right w:val="nil"/>
              <w:tl2br w:val="nil"/>
              <w:tr2bl w:val="nil"/>
            </w:tcBorders>
            <w:shd w:val="clear" w:color="FFFFFF" w:fill="FFFFFF"/>
            <w:tcMar>
              <w:left w:w="40" w:type="dxa"/>
              <w:right w:w="40" w:type="dxa"/>
            </w:tcMar>
          </w:tcPr>
          <w:p w14:paraId="4835F853"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14,535</w:t>
            </w:r>
          </w:p>
        </w:tc>
        <w:tc>
          <w:tcPr>
            <w:tcW w:w="1035" w:type="dxa"/>
            <w:tcBorders>
              <w:top w:val="nil"/>
              <w:left w:val="nil"/>
              <w:bottom w:val="nil"/>
              <w:right w:val="nil"/>
              <w:tl2br w:val="nil"/>
              <w:tr2bl w:val="nil"/>
            </w:tcBorders>
            <w:shd w:val="clear" w:color="FFFFFF" w:fill="FFFFFF"/>
            <w:tcMar>
              <w:left w:w="40" w:type="dxa"/>
              <w:right w:w="40" w:type="dxa"/>
            </w:tcMar>
          </w:tcPr>
          <w:p w14:paraId="59846CB4"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15,056</w:t>
            </w:r>
          </w:p>
        </w:tc>
        <w:tc>
          <w:tcPr>
            <w:tcW w:w="1035" w:type="dxa"/>
            <w:tcBorders>
              <w:top w:val="nil"/>
              <w:left w:val="nil"/>
              <w:bottom w:val="nil"/>
              <w:right w:val="nil"/>
              <w:tl2br w:val="nil"/>
              <w:tr2bl w:val="nil"/>
            </w:tcBorders>
            <w:shd w:val="clear" w:color="FFFFFF" w:fill="FFFFFF"/>
            <w:tcMar>
              <w:left w:w="40" w:type="dxa"/>
              <w:right w:w="40" w:type="dxa"/>
            </w:tcMar>
          </w:tcPr>
          <w:p w14:paraId="484B2C74"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15,663</w:t>
            </w:r>
          </w:p>
        </w:tc>
      </w:tr>
      <w:tr w:rsidR="00143C9C" w14:paraId="3323236F"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064C628F"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Receivables</w:t>
            </w:r>
          </w:p>
        </w:tc>
        <w:tc>
          <w:tcPr>
            <w:tcW w:w="1035" w:type="dxa"/>
            <w:tcBorders>
              <w:top w:val="nil"/>
              <w:left w:val="nil"/>
              <w:bottom w:val="nil"/>
              <w:right w:val="nil"/>
              <w:tl2br w:val="nil"/>
              <w:tr2bl w:val="nil"/>
            </w:tcBorders>
            <w:shd w:val="clear" w:color="FFFFFF" w:fill="FFFFFF"/>
            <w:tcMar>
              <w:left w:w="40" w:type="dxa"/>
              <w:right w:w="40" w:type="dxa"/>
            </w:tcMar>
          </w:tcPr>
          <w:p w14:paraId="3B6DCED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26,190</w:t>
            </w:r>
          </w:p>
        </w:tc>
        <w:tc>
          <w:tcPr>
            <w:tcW w:w="1245" w:type="dxa"/>
            <w:tcBorders>
              <w:top w:val="nil"/>
              <w:left w:val="nil"/>
              <w:bottom w:val="nil"/>
              <w:right w:val="nil"/>
              <w:tl2br w:val="nil"/>
              <w:tr2bl w:val="nil"/>
            </w:tcBorders>
            <w:shd w:val="clear" w:color="FFFFFF" w:fill="FFFFFF"/>
            <w:tcMar>
              <w:left w:w="40" w:type="dxa"/>
              <w:right w:w="40" w:type="dxa"/>
            </w:tcMar>
          </w:tcPr>
          <w:p w14:paraId="7EA494C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20,172</w:t>
            </w:r>
          </w:p>
        </w:tc>
        <w:tc>
          <w:tcPr>
            <w:tcW w:w="1035" w:type="dxa"/>
            <w:tcBorders>
              <w:top w:val="nil"/>
              <w:left w:val="nil"/>
              <w:bottom w:val="nil"/>
              <w:right w:val="nil"/>
              <w:tl2br w:val="nil"/>
              <w:tr2bl w:val="nil"/>
            </w:tcBorders>
            <w:shd w:val="clear" w:color="FFFFFF" w:fill="FFFFFF"/>
            <w:tcMar>
              <w:left w:w="40" w:type="dxa"/>
              <w:right w:w="40" w:type="dxa"/>
            </w:tcMar>
          </w:tcPr>
          <w:p w14:paraId="0AEC5024"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20,484</w:t>
            </w:r>
          </w:p>
        </w:tc>
        <w:tc>
          <w:tcPr>
            <w:tcW w:w="600" w:type="dxa"/>
            <w:tcBorders>
              <w:top w:val="nil"/>
              <w:left w:val="nil"/>
              <w:bottom w:val="nil"/>
              <w:right w:val="nil"/>
              <w:tl2br w:val="nil"/>
              <w:tr2bl w:val="nil"/>
            </w:tcBorders>
            <w:shd w:val="clear" w:color="FFFFFF" w:fill="FFFFFF"/>
            <w:tcMar>
              <w:left w:w="40" w:type="dxa"/>
              <w:right w:w="40" w:type="dxa"/>
            </w:tcMar>
          </w:tcPr>
          <w:p w14:paraId="26CB313F"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5C2D1241"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20,376</w:t>
            </w:r>
          </w:p>
        </w:tc>
        <w:tc>
          <w:tcPr>
            <w:tcW w:w="1035" w:type="dxa"/>
            <w:tcBorders>
              <w:top w:val="nil"/>
              <w:left w:val="nil"/>
              <w:bottom w:val="nil"/>
              <w:right w:val="nil"/>
              <w:tl2br w:val="nil"/>
              <w:tr2bl w:val="nil"/>
            </w:tcBorders>
            <w:shd w:val="clear" w:color="FFFFFF" w:fill="FFFFFF"/>
            <w:tcMar>
              <w:left w:w="40" w:type="dxa"/>
              <w:right w:w="40" w:type="dxa"/>
            </w:tcMar>
          </w:tcPr>
          <w:p w14:paraId="482235AF"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22,124</w:t>
            </w:r>
          </w:p>
        </w:tc>
        <w:tc>
          <w:tcPr>
            <w:tcW w:w="1035" w:type="dxa"/>
            <w:tcBorders>
              <w:top w:val="nil"/>
              <w:left w:val="nil"/>
              <w:bottom w:val="nil"/>
              <w:right w:val="nil"/>
              <w:tl2br w:val="nil"/>
              <w:tr2bl w:val="nil"/>
            </w:tcBorders>
            <w:shd w:val="clear" w:color="FFFFFF" w:fill="FFFFFF"/>
            <w:tcMar>
              <w:left w:w="40" w:type="dxa"/>
              <w:right w:w="40" w:type="dxa"/>
            </w:tcMar>
          </w:tcPr>
          <w:p w14:paraId="63724DE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21,381</w:t>
            </w:r>
          </w:p>
        </w:tc>
      </w:tr>
      <w:tr w:rsidR="00143C9C" w14:paraId="3F2548C7"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6613199C"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Contract Assets</w:t>
            </w:r>
          </w:p>
        </w:tc>
        <w:tc>
          <w:tcPr>
            <w:tcW w:w="1035" w:type="dxa"/>
            <w:tcBorders>
              <w:top w:val="nil"/>
              <w:left w:val="nil"/>
              <w:bottom w:val="nil"/>
              <w:right w:val="nil"/>
              <w:tl2br w:val="nil"/>
              <w:tr2bl w:val="nil"/>
            </w:tcBorders>
            <w:shd w:val="clear" w:color="FFFFFF" w:fill="FFFFFF"/>
            <w:tcMar>
              <w:left w:w="40" w:type="dxa"/>
              <w:right w:w="40" w:type="dxa"/>
            </w:tcMar>
          </w:tcPr>
          <w:p w14:paraId="05CA7009"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c>
          <w:tcPr>
            <w:tcW w:w="1245" w:type="dxa"/>
            <w:tcBorders>
              <w:top w:val="nil"/>
              <w:left w:val="nil"/>
              <w:bottom w:val="nil"/>
              <w:right w:val="nil"/>
              <w:tl2br w:val="nil"/>
              <w:tr2bl w:val="nil"/>
            </w:tcBorders>
            <w:shd w:val="clear" w:color="FFFFFF" w:fill="FFFFFF"/>
            <w:tcMar>
              <w:left w:w="40" w:type="dxa"/>
              <w:right w:w="40" w:type="dxa"/>
            </w:tcMar>
          </w:tcPr>
          <w:p w14:paraId="4238AE22"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2,973</w:t>
            </w:r>
          </w:p>
        </w:tc>
        <w:tc>
          <w:tcPr>
            <w:tcW w:w="1035" w:type="dxa"/>
            <w:tcBorders>
              <w:top w:val="nil"/>
              <w:left w:val="nil"/>
              <w:bottom w:val="nil"/>
              <w:right w:val="nil"/>
              <w:tl2br w:val="nil"/>
              <w:tr2bl w:val="nil"/>
            </w:tcBorders>
            <w:shd w:val="clear" w:color="FFFFFF" w:fill="FFFFFF"/>
            <w:tcMar>
              <w:left w:w="40" w:type="dxa"/>
              <w:right w:w="40" w:type="dxa"/>
            </w:tcMar>
          </w:tcPr>
          <w:p w14:paraId="137D3648"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2,973</w:t>
            </w:r>
          </w:p>
        </w:tc>
        <w:tc>
          <w:tcPr>
            <w:tcW w:w="600" w:type="dxa"/>
            <w:tcBorders>
              <w:top w:val="nil"/>
              <w:left w:val="nil"/>
              <w:bottom w:val="nil"/>
              <w:right w:val="nil"/>
              <w:tl2br w:val="nil"/>
              <w:tr2bl w:val="nil"/>
            </w:tcBorders>
            <w:shd w:val="clear" w:color="FFFFFF" w:fill="FFFFFF"/>
            <w:tcMar>
              <w:left w:w="40" w:type="dxa"/>
              <w:right w:w="40" w:type="dxa"/>
            </w:tcMar>
          </w:tcPr>
          <w:p w14:paraId="45981929"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70A0BCA"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2,973</w:t>
            </w:r>
          </w:p>
        </w:tc>
        <w:tc>
          <w:tcPr>
            <w:tcW w:w="1035" w:type="dxa"/>
            <w:tcBorders>
              <w:top w:val="nil"/>
              <w:left w:val="nil"/>
              <w:bottom w:val="nil"/>
              <w:right w:val="nil"/>
              <w:tl2br w:val="nil"/>
              <w:tr2bl w:val="nil"/>
            </w:tcBorders>
            <w:shd w:val="clear" w:color="FFFFFF" w:fill="FFFFFF"/>
            <w:tcMar>
              <w:left w:w="40" w:type="dxa"/>
              <w:right w:w="40" w:type="dxa"/>
            </w:tcMar>
          </w:tcPr>
          <w:p w14:paraId="577332AD"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2,973</w:t>
            </w:r>
          </w:p>
        </w:tc>
        <w:tc>
          <w:tcPr>
            <w:tcW w:w="1035" w:type="dxa"/>
            <w:tcBorders>
              <w:top w:val="nil"/>
              <w:left w:val="nil"/>
              <w:bottom w:val="nil"/>
              <w:right w:val="nil"/>
              <w:tl2br w:val="nil"/>
              <w:tr2bl w:val="nil"/>
            </w:tcBorders>
            <w:shd w:val="clear" w:color="FFFFFF" w:fill="FFFFFF"/>
            <w:tcMar>
              <w:left w:w="40" w:type="dxa"/>
              <w:right w:w="40" w:type="dxa"/>
            </w:tcMar>
          </w:tcPr>
          <w:p w14:paraId="796BFF12"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2,973</w:t>
            </w:r>
          </w:p>
        </w:tc>
      </w:tr>
      <w:tr w:rsidR="00143C9C" w14:paraId="6F1C9FCC"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1465E239"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Inventories</w:t>
            </w:r>
          </w:p>
        </w:tc>
        <w:tc>
          <w:tcPr>
            <w:tcW w:w="1035" w:type="dxa"/>
            <w:tcBorders>
              <w:top w:val="nil"/>
              <w:left w:val="nil"/>
              <w:bottom w:val="nil"/>
              <w:right w:val="nil"/>
              <w:tl2br w:val="nil"/>
              <w:tr2bl w:val="nil"/>
            </w:tcBorders>
            <w:shd w:val="clear" w:color="FFFFFF" w:fill="FFFFFF"/>
            <w:tcMar>
              <w:left w:w="40" w:type="dxa"/>
              <w:right w:w="40" w:type="dxa"/>
            </w:tcMar>
          </w:tcPr>
          <w:p w14:paraId="23A455B6"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182</w:t>
            </w:r>
          </w:p>
        </w:tc>
        <w:tc>
          <w:tcPr>
            <w:tcW w:w="1245" w:type="dxa"/>
            <w:tcBorders>
              <w:top w:val="nil"/>
              <w:left w:val="nil"/>
              <w:bottom w:val="nil"/>
              <w:right w:val="nil"/>
              <w:tl2br w:val="nil"/>
              <w:tr2bl w:val="nil"/>
            </w:tcBorders>
            <w:shd w:val="clear" w:color="FFFFFF" w:fill="FFFFFF"/>
            <w:tcMar>
              <w:left w:w="40" w:type="dxa"/>
              <w:right w:w="40" w:type="dxa"/>
            </w:tcMar>
          </w:tcPr>
          <w:p w14:paraId="7278F903"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73</w:t>
            </w:r>
          </w:p>
        </w:tc>
        <w:tc>
          <w:tcPr>
            <w:tcW w:w="1035" w:type="dxa"/>
            <w:tcBorders>
              <w:top w:val="nil"/>
              <w:left w:val="nil"/>
              <w:bottom w:val="nil"/>
              <w:right w:val="nil"/>
              <w:tl2br w:val="nil"/>
              <w:tr2bl w:val="nil"/>
            </w:tcBorders>
            <w:shd w:val="clear" w:color="FFFFFF" w:fill="FFFFFF"/>
            <w:tcMar>
              <w:left w:w="40" w:type="dxa"/>
              <w:right w:w="40" w:type="dxa"/>
            </w:tcMar>
          </w:tcPr>
          <w:p w14:paraId="25F5D663"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73</w:t>
            </w:r>
          </w:p>
        </w:tc>
        <w:tc>
          <w:tcPr>
            <w:tcW w:w="600" w:type="dxa"/>
            <w:tcBorders>
              <w:top w:val="nil"/>
              <w:left w:val="nil"/>
              <w:bottom w:val="nil"/>
              <w:right w:val="nil"/>
              <w:tl2br w:val="nil"/>
              <w:tr2bl w:val="nil"/>
            </w:tcBorders>
            <w:shd w:val="clear" w:color="FFFFFF" w:fill="FFFFFF"/>
            <w:tcMar>
              <w:left w:w="40" w:type="dxa"/>
              <w:right w:w="40" w:type="dxa"/>
            </w:tcMar>
          </w:tcPr>
          <w:p w14:paraId="632E55D3"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39F72E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73</w:t>
            </w:r>
          </w:p>
        </w:tc>
        <w:tc>
          <w:tcPr>
            <w:tcW w:w="1035" w:type="dxa"/>
            <w:tcBorders>
              <w:top w:val="nil"/>
              <w:left w:val="nil"/>
              <w:bottom w:val="nil"/>
              <w:right w:val="nil"/>
              <w:tl2br w:val="nil"/>
              <w:tr2bl w:val="nil"/>
            </w:tcBorders>
            <w:shd w:val="clear" w:color="FFFFFF" w:fill="FFFFFF"/>
            <w:tcMar>
              <w:left w:w="40" w:type="dxa"/>
              <w:right w:w="40" w:type="dxa"/>
            </w:tcMar>
          </w:tcPr>
          <w:p w14:paraId="17077C9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73</w:t>
            </w:r>
          </w:p>
        </w:tc>
        <w:tc>
          <w:tcPr>
            <w:tcW w:w="1035" w:type="dxa"/>
            <w:tcBorders>
              <w:top w:val="nil"/>
              <w:left w:val="nil"/>
              <w:bottom w:val="nil"/>
              <w:right w:val="nil"/>
              <w:tl2br w:val="nil"/>
              <w:tr2bl w:val="nil"/>
            </w:tcBorders>
            <w:shd w:val="clear" w:color="FFFFFF" w:fill="FFFFFF"/>
            <w:tcMar>
              <w:left w:w="40" w:type="dxa"/>
              <w:right w:w="40" w:type="dxa"/>
            </w:tcMar>
          </w:tcPr>
          <w:p w14:paraId="15440FBE"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73</w:t>
            </w:r>
          </w:p>
        </w:tc>
      </w:tr>
      <w:tr w:rsidR="00143C9C" w14:paraId="5D1B240A"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382B42A8"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Other Assets</w:t>
            </w:r>
          </w:p>
        </w:tc>
        <w:tc>
          <w:tcPr>
            <w:tcW w:w="1035" w:type="dxa"/>
            <w:tcBorders>
              <w:top w:val="nil"/>
              <w:left w:val="nil"/>
              <w:bottom w:val="nil"/>
              <w:right w:val="nil"/>
              <w:tl2br w:val="nil"/>
              <w:tr2bl w:val="nil"/>
            </w:tcBorders>
            <w:shd w:val="clear" w:color="FFFFFF" w:fill="FFFFFF"/>
            <w:tcMar>
              <w:left w:w="40" w:type="dxa"/>
              <w:right w:w="40" w:type="dxa"/>
            </w:tcMar>
          </w:tcPr>
          <w:p w14:paraId="6EA8F01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1,269</w:t>
            </w:r>
          </w:p>
        </w:tc>
        <w:tc>
          <w:tcPr>
            <w:tcW w:w="1245" w:type="dxa"/>
            <w:tcBorders>
              <w:top w:val="nil"/>
              <w:left w:val="nil"/>
              <w:bottom w:val="nil"/>
              <w:right w:val="nil"/>
              <w:tl2br w:val="nil"/>
              <w:tr2bl w:val="nil"/>
            </w:tcBorders>
            <w:tcMar>
              <w:left w:w="40" w:type="dxa"/>
              <w:right w:w="40" w:type="dxa"/>
            </w:tcMar>
          </w:tcPr>
          <w:p w14:paraId="620F59A7"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1,707</w:t>
            </w:r>
          </w:p>
        </w:tc>
        <w:tc>
          <w:tcPr>
            <w:tcW w:w="1035" w:type="dxa"/>
            <w:tcBorders>
              <w:top w:val="nil"/>
              <w:left w:val="nil"/>
              <w:bottom w:val="nil"/>
              <w:right w:val="nil"/>
              <w:tl2br w:val="nil"/>
              <w:tr2bl w:val="nil"/>
            </w:tcBorders>
            <w:tcMar>
              <w:left w:w="40" w:type="dxa"/>
              <w:right w:w="40" w:type="dxa"/>
            </w:tcMar>
          </w:tcPr>
          <w:p w14:paraId="01EF379C"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1,707</w:t>
            </w:r>
          </w:p>
        </w:tc>
        <w:tc>
          <w:tcPr>
            <w:tcW w:w="600" w:type="dxa"/>
            <w:tcBorders>
              <w:top w:val="nil"/>
              <w:left w:val="nil"/>
              <w:bottom w:val="nil"/>
              <w:right w:val="nil"/>
              <w:tl2br w:val="nil"/>
              <w:tr2bl w:val="nil"/>
            </w:tcBorders>
            <w:tcMar>
              <w:left w:w="40" w:type="dxa"/>
              <w:right w:w="40" w:type="dxa"/>
            </w:tcMar>
          </w:tcPr>
          <w:p w14:paraId="51350A47"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tcBorders>
              <w:top w:val="nil"/>
              <w:left w:val="nil"/>
              <w:bottom w:val="nil"/>
              <w:right w:val="nil"/>
              <w:tl2br w:val="nil"/>
              <w:tr2bl w:val="nil"/>
            </w:tcBorders>
            <w:tcMar>
              <w:left w:w="40" w:type="dxa"/>
              <w:right w:w="40" w:type="dxa"/>
            </w:tcMar>
          </w:tcPr>
          <w:p w14:paraId="7AD81EE2"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1,707</w:t>
            </w:r>
          </w:p>
        </w:tc>
        <w:tc>
          <w:tcPr>
            <w:tcW w:w="1035" w:type="dxa"/>
            <w:tcBorders>
              <w:top w:val="nil"/>
              <w:left w:val="nil"/>
              <w:bottom w:val="nil"/>
              <w:right w:val="nil"/>
              <w:tl2br w:val="nil"/>
              <w:tr2bl w:val="nil"/>
            </w:tcBorders>
            <w:tcMar>
              <w:left w:w="40" w:type="dxa"/>
              <w:right w:w="40" w:type="dxa"/>
            </w:tcMar>
          </w:tcPr>
          <w:p w14:paraId="5025B3D2"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1,707</w:t>
            </w:r>
          </w:p>
        </w:tc>
        <w:tc>
          <w:tcPr>
            <w:tcW w:w="1035" w:type="dxa"/>
            <w:tcBorders>
              <w:top w:val="nil"/>
              <w:left w:val="nil"/>
              <w:bottom w:val="nil"/>
              <w:right w:val="nil"/>
              <w:tl2br w:val="nil"/>
              <w:tr2bl w:val="nil"/>
            </w:tcBorders>
            <w:tcMar>
              <w:left w:w="40" w:type="dxa"/>
              <w:right w:w="40" w:type="dxa"/>
            </w:tcMar>
          </w:tcPr>
          <w:p w14:paraId="51705289"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1,707</w:t>
            </w:r>
          </w:p>
        </w:tc>
      </w:tr>
      <w:tr w:rsidR="00143C9C" w14:paraId="714393D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75427E67" w14:textId="77777777" w:rsidR="00143C9C" w:rsidRDefault="009B5C32" w:rsidP="00D03A22">
            <w:pPr>
              <w:pBdr>
                <w:top w:val="nil"/>
                <w:left w:val="nil"/>
                <w:bottom w:val="nil"/>
                <w:right w:val="nil"/>
                <w:between w:val="nil"/>
                <w:bar w:val="nil"/>
              </w:pBdr>
              <w:spacing w:after="0" w:line="240" w:lineRule="auto"/>
              <w:ind w:left="244" w:hanging="244"/>
              <w:rPr>
                <w:rFonts w:cs="Calibri"/>
                <w:b/>
                <w:color w:val="000000"/>
              </w:rPr>
            </w:pPr>
            <w:r>
              <w:rPr>
                <w:rFonts w:cs="Calibri"/>
                <w:b/>
                <w:color w:val="000000"/>
                <w:sz w:val="18"/>
                <w:szCs w:val="20"/>
              </w:rPr>
              <w:t>Total 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2F82F68"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46,701</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563F512B"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51,620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619B4CA"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39,346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3397EE1"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-24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FC53AE1"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39,664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C70ABF9"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41,933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98227F4"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41,797</w:t>
            </w:r>
          </w:p>
        </w:tc>
      </w:tr>
      <w:tr w:rsidR="00143C9C" w14:paraId="61CB3150"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488B2433" w14:textId="77777777" w:rsidR="00143C9C" w:rsidRDefault="009B5C32" w:rsidP="00D03A22">
            <w:pPr>
              <w:pBdr>
                <w:top w:val="nil"/>
                <w:left w:val="nil"/>
                <w:bottom w:val="nil"/>
                <w:right w:val="nil"/>
                <w:between w:val="nil"/>
                <w:bar w:val="nil"/>
              </w:pBdr>
              <w:spacing w:after="0" w:line="240" w:lineRule="auto"/>
              <w:ind w:left="244" w:hanging="244"/>
              <w:rPr>
                <w:rFonts w:cs="Calibri"/>
                <w:b/>
                <w:color w:val="000000"/>
              </w:rPr>
            </w:pPr>
            <w:r>
              <w:rPr>
                <w:rFonts w:cs="Calibri"/>
                <w:b/>
                <w:color w:val="000000"/>
                <w:sz w:val="18"/>
                <w:szCs w:val="20"/>
              </w:rPr>
              <w:t>Non-Current Assets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CF89FDB" w14:textId="77777777" w:rsidR="00143C9C" w:rsidRDefault="00143C9C">
            <w:pPr>
              <w:spacing w:after="0" w:line="240" w:lineRule="auto"/>
              <w:rPr>
                <w:rFonts w:cs="Calibri"/>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09195A8C" w14:textId="77777777" w:rsidR="00143C9C" w:rsidRDefault="00143C9C">
            <w:pPr>
              <w:spacing w:after="0" w:line="240" w:lineRule="auto"/>
              <w:rPr>
                <w:rFonts w:cs="Calibr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CB35300" w14:textId="77777777" w:rsidR="00143C9C" w:rsidRDefault="00143C9C">
            <w:pPr>
              <w:spacing w:after="0" w:line="240" w:lineRule="auto"/>
              <w:rPr>
                <w:rFonts w:cs="Calibr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683EBEE" w14:textId="77777777" w:rsidR="00143C9C" w:rsidRDefault="00143C9C">
            <w:pPr>
              <w:spacing w:after="0" w:line="240" w:lineRule="auto"/>
              <w:rPr>
                <w:rFonts w:cs="Calibr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DFF0DDC" w14:textId="77777777" w:rsidR="00143C9C" w:rsidRDefault="00143C9C">
            <w:pPr>
              <w:spacing w:after="0" w:line="240" w:lineRule="auto"/>
              <w:rPr>
                <w:rFonts w:cs="Calibr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CC38942" w14:textId="77777777" w:rsidR="00143C9C" w:rsidRDefault="00143C9C">
            <w:pPr>
              <w:spacing w:after="0" w:line="240" w:lineRule="auto"/>
              <w:rPr>
                <w:rFonts w:cs="Calibr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475AF18" w14:textId="77777777" w:rsidR="00143C9C" w:rsidRDefault="00143C9C">
            <w:pPr>
              <w:spacing w:after="0" w:line="240" w:lineRule="auto"/>
              <w:rPr>
                <w:rFonts w:cs="Calibri"/>
                <w:color w:val="000000"/>
              </w:rPr>
            </w:pPr>
          </w:p>
        </w:tc>
      </w:tr>
      <w:tr w:rsidR="00143C9C" w14:paraId="119B9539"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4B2FC52B"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Receivables</w:t>
            </w:r>
          </w:p>
        </w:tc>
        <w:tc>
          <w:tcPr>
            <w:tcW w:w="1035" w:type="dxa"/>
            <w:tcBorders>
              <w:top w:val="nil"/>
              <w:left w:val="nil"/>
              <w:bottom w:val="nil"/>
              <w:right w:val="nil"/>
              <w:tl2br w:val="nil"/>
              <w:tr2bl w:val="nil"/>
            </w:tcBorders>
            <w:shd w:val="clear" w:color="FFFFFF" w:fill="FFFFFF"/>
            <w:tcMar>
              <w:left w:w="40" w:type="dxa"/>
              <w:right w:w="40" w:type="dxa"/>
            </w:tcMar>
          </w:tcPr>
          <w:p w14:paraId="02ABED2C"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43,496</w:t>
            </w:r>
          </w:p>
        </w:tc>
        <w:tc>
          <w:tcPr>
            <w:tcW w:w="1245" w:type="dxa"/>
            <w:tcBorders>
              <w:top w:val="nil"/>
              <w:left w:val="nil"/>
              <w:bottom w:val="nil"/>
              <w:right w:val="nil"/>
              <w:tl2br w:val="nil"/>
              <w:tr2bl w:val="nil"/>
            </w:tcBorders>
            <w:shd w:val="clear" w:color="FFFFFF" w:fill="FFFFFF"/>
            <w:tcMar>
              <w:left w:w="40" w:type="dxa"/>
              <w:right w:w="40" w:type="dxa"/>
            </w:tcMar>
          </w:tcPr>
          <w:p w14:paraId="18B66FB4"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50,620</w:t>
            </w:r>
          </w:p>
        </w:tc>
        <w:tc>
          <w:tcPr>
            <w:tcW w:w="1035" w:type="dxa"/>
            <w:tcBorders>
              <w:top w:val="nil"/>
              <w:left w:val="nil"/>
              <w:bottom w:val="nil"/>
              <w:right w:val="nil"/>
              <w:tl2br w:val="nil"/>
              <w:tr2bl w:val="nil"/>
            </w:tcBorders>
            <w:shd w:val="clear" w:color="FFFFFF" w:fill="FFFFFF"/>
            <w:tcMar>
              <w:left w:w="40" w:type="dxa"/>
              <w:right w:w="40" w:type="dxa"/>
            </w:tcMar>
          </w:tcPr>
          <w:p w14:paraId="29E8012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58,229</w:t>
            </w:r>
          </w:p>
        </w:tc>
        <w:tc>
          <w:tcPr>
            <w:tcW w:w="600" w:type="dxa"/>
            <w:tcBorders>
              <w:top w:val="nil"/>
              <w:left w:val="nil"/>
              <w:bottom w:val="nil"/>
              <w:right w:val="nil"/>
              <w:tl2br w:val="nil"/>
              <w:tr2bl w:val="nil"/>
            </w:tcBorders>
            <w:shd w:val="clear" w:color="FFFFFF" w:fill="FFFFFF"/>
            <w:tcMar>
              <w:left w:w="40" w:type="dxa"/>
              <w:right w:w="40" w:type="dxa"/>
            </w:tcMar>
          </w:tcPr>
          <w:p w14:paraId="4480AE20"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15 </w:t>
            </w:r>
          </w:p>
        </w:tc>
        <w:tc>
          <w:tcPr>
            <w:tcW w:w="1035" w:type="dxa"/>
            <w:tcBorders>
              <w:top w:val="nil"/>
              <w:left w:val="nil"/>
              <w:bottom w:val="nil"/>
              <w:right w:val="nil"/>
              <w:tl2br w:val="nil"/>
              <w:tr2bl w:val="nil"/>
            </w:tcBorders>
            <w:shd w:val="clear" w:color="FFFFFF" w:fill="FFFFFF"/>
            <w:tcMar>
              <w:left w:w="40" w:type="dxa"/>
              <w:right w:w="40" w:type="dxa"/>
            </w:tcMar>
          </w:tcPr>
          <w:p w14:paraId="17A4D89F"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62,519</w:t>
            </w:r>
          </w:p>
        </w:tc>
        <w:tc>
          <w:tcPr>
            <w:tcW w:w="1035" w:type="dxa"/>
            <w:tcBorders>
              <w:top w:val="nil"/>
              <w:left w:val="nil"/>
              <w:bottom w:val="nil"/>
              <w:right w:val="nil"/>
              <w:tl2br w:val="nil"/>
              <w:tr2bl w:val="nil"/>
            </w:tcBorders>
            <w:shd w:val="clear" w:color="FFFFFF" w:fill="FFFFFF"/>
            <w:tcMar>
              <w:left w:w="40" w:type="dxa"/>
              <w:right w:w="40" w:type="dxa"/>
            </w:tcMar>
          </w:tcPr>
          <w:p w14:paraId="2A16FAD1"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58,410</w:t>
            </w:r>
          </w:p>
        </w:tc>
        <w:tc>
          <w:tcPr>
            <w:tcW w:w="1035" w:type="dxa"/>
            <w:tcBorders>
              <w:top w:val="nil"/>
              <w:left w:val="nil"/>
              <w:bottom w:val="nil"/>
              <w:right w:val="nil"/>
              <w:tl2br w:val="nil"/>
              <w:tr2bl w:val="nil"/>
            </w:tcBorders>
            <w:shd w:val="clear" w:color="FFFFFF" w:fill="FFFFFF"/>
            <w:tcMar>
              <w:left w:w="40" w:type="dxa"/>
              <w:right w:w="40" w:type="dxa"/>
            </w:tcMar>
          </w:tcPr>
          <w:p w14:paraId="4EA10076"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51,244</w:t>
            </w:r>
          </w:p>
        </w:tc>
      </w:tr>
      <w:tr w:rsidR="00143C9C" w14:paraId="56B3F629"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tcPr>
          <w:p w14:paraId="18B863D5" w14:textId="77777777" w:rsidR="00143C9C" w:rsidRDefault="009B5C32" w:rsidP="00627D90">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14:paraId="74DA97BA"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3,193,262</w:t>
            </w:r>
          </w:p>
        </w:tc>
        <w:tc>
          <w:tcPr>
            <w:tcW w:w="1245" w:type="dxa"/>
            <w:tcBorders>
              <w:top w:val="nil"/>
              <w:left w:val="nil"/>
              <w:bottom w:val="nil"/>
              <w:right w:val="nil"/>
              <w:tl2br w:val="nil"/>
              <w:tr2bl w:val="nil"/>
            </w:tcBorders>
            <w:shd w:val="clear" w:color="FFFFFF" w:fill="FFFFFF"/>
            <w:tcMar>
              <w:left w:w="40" w:type="dxa"/>
              <w:right w:w="40" w:type="dxa"/>
            </w:tcMar>
          </w:tcPr>
          <w:p w14:paraId="00FBA100"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3,519,370</w:t>
            </w:r>
          </w:p>
        </w:tc>
        <w:tc>
          <w:tcPr>
            <w:tcW w:w="1035" w:type="dxa"/>
            <w:tcBorders>
              <w:top w:val="nil"/>
              <w:left w:val="nil"/>
              <w:bottom w:val="nil"/>
              <w:right w:val="nil"/>
              <w:tl2br w:val="nil"/>
              <w:tr2bl w:val="nil"/>
            </w:tcBorders>
            <w:shd w:val="clear" w:color="FFFFFF" w:fill="FFFFFF"/>
            <w:tcMar>
              <w:left w:w="40" w:type="dxa"/>
              <w:right w:w="40" w:type="dxa"/>
            </w:tcMar>
          </w:tcPr>
          <w:p w14:paraId="505C3C2A"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4,454,494</w:t>
            </w:r>
          </w:p>
        </w:tc>
        <w:tc>
          <w:tcPr>
            <w:tcW w:w="600" w:type="dxa"/>
            <w:tcBorders>
              <w:top w:val="nil"/>
              <w:left w:val="nil"/>
              <w:bottom w:val="nil"/>
              <w:right w:val="nil"/>
              <w:tl2br w:val="nil"/>
              <w:tr2bl w:val="nil"/>
            </w:tcBorders>
            <w:shd w:val="clear" w:color="FFFFFF" w:fill="FFFFFF"/>
            <w:tcMar>
              <w:left w:w="40" w:type="dxa"/>
              <w:right w:w="40" w:type="dxa"/>
            </w:tcMar>
          </w:tcPr>
          <w:p w14:paraId="7D7CF5D1"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27 </w:t>
            </w:r>
          </w:p>
        </w:tc>
        <w:tc>
          <w:tcPr>
            <w:tcW w:w="1035" w:type="dxa"/>
            <w:tcBorders>
              <w:top w:val="nil"/>
              <w:left w:val="nil"/>
              <w:bottom w:val="nil"/>
              <w:right w:val="nil"/>
              <w:tl2br w:val="nil"/>
              <w:tr2bl w:val="nil"/>
            </w:tcBorders>
            <w:shd w:val="clear" w:color="FFFFFF" w:fill="FFFFFF"/>
            <w:tcMar>
              <w:left w:w="40" w:type="dxa"/>
              <w:right w:w="40" w:type="dxa"/>
            </w:tcMar>
          </w:tcPr>
          <w:p w14:paraId="3DEF4112"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3,971,735</w:t>
            </w:r>
          </w:p>
        </w:tc>
        <w:tc>
          <w:tcPr>
            <w:tcW w:w="1035" w:type="dxa"/>
            <w:tcBorders>
              <w:top w:val="nil"/>
              <w:left w:val="nil"/>
              <w:bottom w:val="nil"/>
              <w:right w:val="nil"/>
              <w:tl2br w:val="nil"/>
              <w:tr2bl w:val="nil"/>
            </w:tcBorders>
            <w:shd w:val="clear" w:color="FFFFFF" w:fill="FFFFFF"/>
            <w:tcMar>
              <w:left w:w="40" w:type="dxa"/>
              <w:right w:w="40" w:type="dxa"/>
            </w:tcMar>
          </w:tcPr>
          <w:p w14:paraId="1EA029F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4,156,501</w:t>
            </w:r>
          </w:p>
        </w:tc>
        <w:tc>
          <w:tcPr>
            <w:tcW w:w="1035" w:type="dxa"/>
            <w:tcBorders>
              <w:top w:val="nil"/>
              <w:left w:val="nil"/>
              <w:bottom w:val="nil"/>
              <w:right w:val="nil"/>
              <w:tl2br w:val="nil"/>
              <w:tr2bl w:val="nil"/>
            </w:tcBorders>
            <w:shd w:val="clear" w:color="FFFFFF" w:fill="FFFFFF"/>
            <w:tcMar>
              <w:left w:w="40" w:type="dxa"/>
              <w:right w:w="40" w:type="dxa"/>
            </w:tcMar>
          </w:tcPr>
          <w:p w14:paraId="01773EE1"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4,397,848</w:t>
            </w:r>
          </w:p>
        </w:tc>
      </w:tr>
      <w:tr w:rsidR="00143C9C" w14:paraId="7BD9D52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50F7541E"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Intangible Assets</w:t>
            </w:r>
          </w:p>
        </w:tc>
        <w:tc>
          <w:tcPr>
            <w:tcW w:w="1035" w:type="dxa"/>
            <w:tcBorders>
              <w:top w:val="nil"/>
              <w:left w:val="nil"/>
              <w:bottom w:val="nil"/>
              <w:right w:val="nil"/>
              <w:tl2br w:val="nil"/>
              <w:tr2bl w:val="nil"/>
            </w:tcBorders>
            <w:shd w:val="clear" w:color="FFFFFF" w:fill="FFFFFF"/>
            <w:tcMar>
              <w:left w:w="40" w:type="dxa"/>
              <w:right w:w="40" w:type="dxa"/>
            </w:tcMar>
          </w:tcPr>
          <w:p w14:paraId="3B62E44E"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w:t>
            </w:r>
          </w:p>
        </w:tc>
        <w:tc>
          <w:tcPr>
            <w:tcW w:w="1245" w:type="dxa"/>
            <w:tcBorders>
              <w:top w:val="nil"/>
              <w:left w:val="nil"/>
              <w:bottom w:val="nil"/>
              <w:right w:val="nil"/>
              <w:tl2br w:val="nil"/>
              <w:tr2bl w:val="nil"/>
            </w:tcBorders>
            <w:shd w:val="clear" w:color="FFFFFF" w:fill="FFFFFF"/>
            <w:tcMar>
              <w:left w:w="40" w:type="dxa"/>
              <w:right w:w="40" w:type="dxa"/>
            </w:tcMar>
          </w:tcPr>
          <w:p w14:paraId="5BDD634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214</w:t>
            </w:r>
          </w:p>
        </w:tc>
        <w:tc>
          <w:tcPr>
            <w:tcW w:w="1035" w:type="dxa"/>
            <w:tcBorders>
              <w:top w:val="nil"/>
              <w:left w:val="nil"/>
              <w:bottom w:val="nil"/>
              <w:right w:val="nil"/>
              <w:tl2br w:val="nil"/>
              <w:tr2bl w:val="nil"/>
            </w:tcBorders>
            <w:shd w:val="clear" w:color="FFFFFF" w:fill="FFFFFF"/>
            <w:tcMar>
              <w:left w:w="40" w:type="dxa"/>
              <w:right w:w="40" w:type="dxa"/>
            </w:tcMar>
          </w:tcPr>
          <w:p w14:paraId="57362D39"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142</w:t>
            </w:r>
          </w:p>
        </w:tc>
        <w:tc>
          <w:tcPr>
            <w:tcW w:w="600" w:type="dxa"/>
            <w:tcBorders>
              <w:top w:val="nil"/>
              <w:left w:val="nil"/>
              <w:bottom w:val="nil"/>
              <w:right w:val="nil"/>
              <w:tl2br w:val="nil"/>
              <w:tr2bl w:val="nil"/>
            </w:tcBorders>
            <w:shd w:val="clear" w:color="FFFFFF" w:fill="FFFFFF"/>
            <w:tcMar>
              <w:left w:w="40" w:type="dxa"/>
              <w:right w:w="40" w:type="dxa"/>
            </w:tcMar>
          </w:tcPr>
          <w:p w14:paraId="5471D7C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-34 </w:t>
            </w:r>
          </w:p>
        </w:tc>
        <w:tc>
          <w:tcPr>
            <w:tcW w:w="1035" w:type="dxa"/>
            <w:tcBorders>
              <w:top w:val="nil"/>
              <w:left w:val="nil"/>
              <w:bottom w:val="nil"/>
              <w:right w:val="nil"/>
              <w:tl2br w:val="nil"/>
              <w:tr2bl w:val="nil"/>
            </w:tcBorders>
            <w:shd w:val="clear" w:color="FFFFFF" w:fill="FFFFFF"/>
            <w:tcMar>
              <w:left w:w="40" w:type="dxa"/>
              <w:right w:w="40" w:type="dxa"/>
            </w:tcMar>
          </w:tcPr>
          <w:p w14:paraId="2E6F884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70</w:t>
            </w:r>
          </w:p>
        </w:tc>
        <w:tc>
          <w:tcPr>
            <w:tcW w:w="1035" w:type="dxa"/>
            <w:tcBorders>
              <w:top w:val="nil"/>
              <w:left w:val="nil"/>
              <w:bottom w:val="nil"/>
              <w:right w:val="nil"/>
              <w:tl2br w:val="nil"/>
              <w:tr2bl w:val="nil"/>
            </w:tcBorders>
            <w:shd w:val="clear" w:color="FFFFFF" w:fill="FFFFFF"/>
            <w:tcMar>
              <w:left w:w="40" w:type="dxa"/>
              <w:right w:w="40" w:type="dxa"/>
            </w:tcMar>
          </w:tcPr>
          <w:p w14:paraId="07CB8188"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w:t>
            </w:r>
          </w:p>
        </w:tc>
        <w:tc>
          <w:tcPr>
            <w:tcW w:w="1035" w:type="dxa"/>
            <w:tcBorders>
              <w:top w:val="nil"/>
              <w:left w:val="nil"/>
              <w:bottom w:val="nil"/>
              <w:right w:val="nil"/>
              <w:tl2br w:val="nil"/>
              <w:tr2bl w:val="nil"/>
            </w:tcBorders>
            <w:shd w:val="clear" w:color="FFFFFF" w:fill="FFFFFF"/>
            <w:tcMar>
              <w:left w:w="40" w:type="dxa"/>
              <w:right w:w="40" w:type="dxa"/>
            </w:tcMar>
          </w:tcPr>
          <w:p w14:paraId="2534F64E"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-74</w:t>
            </w:r>
          </w:p>
        </w:tc>
      </w:tr>
      <w:tr w:rsidR="00143C9C" w14:paraId="110E4A0D"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6ED2B8DE"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Other Assets</w:t>
            </w:r>
          </w:p>
        </w:tc>
        <w:tc>
          <w:tcPr>
            <w:tcW w:w="1035" w:type="dxa"/>
            <w:tcBorders>
              <w:top w:val="nil"/>
              <w:left w:val="nil"/>
              <w:bottom w:val="nil"/>
              <w:right w:val="nil"/>
              <w:tl2br w:val="nil"/>
              <w:tr2bl w:val="nil"/>
            </w:tcBorders>
            <w:shd w:val="clear" w:color="FFFFFF" w:fill="FFFFFF"/>
            <w:tcMar>
              <w:left w:w="40" w:type="dxa"/>
              <w:right w:w="40" w:type="dxa"/>
            </w:tcMar>
          </w:tcPr>
          <w:p w14:paraId="250B00F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7,340</w:t>
            </w:r>
          </w:p>
        </w:tc>
        <w:tc>
          <w:tcPr>
            <w:tcW w:w="1245" w:type="dxa"/>
            <w:tcBorders>
              <w:top w:val="nil"/>
              <w:left w:val="nil"/>
              <w:bottom w:val="nil"/>
              <w:right w:val="nil"/>
              <w:tl2br w:val="nil"/>
              <w:tr2bl w:val="nil"/>
            </w:tcBorders>
            <w:shd w:val="clear" w:color="FFFFFF" w:fill="FFFFFF"/>
            <w:tcMar>
              <w:left w:w="40" w:type="dxa"/>
              <w:right w:w="40" w:type="dxa"/>
            </w:tcMar>
          </w:tcPr>
          <w:p w14:paraId="3231590D"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6,013</w:t>
            </w:r>
          </w:p>
        </w:tc>
        <w:tc>
          <w:tcPr>
            <w:tcW w:w="1035" w:type="dxa"/>
            <w:tcBorders>
              <w:top w:val="nil"/>
              <w:left w:val="nil"/>
              <w:bottom w:val="nil"/>
              <w:right w:val="nil"/>
              <w:tl2br w:val="nil"/>
              <w:tr2bl w:val="nil"/>
            </w:tcBorders>
            <w:shd w:val="clear" w:color="FFFFFF" w:fill="FFFFFF"/>
            <w:tcMar>
              <w:left w:w="40" w:type="dxa"/>
              <w:right w:w="40" w:type="dxa"/>
            </w:tcMar>
          </w:tcPr>
          <w:p w14:paraId="2A32269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6,013</w:t>
            </w:r>
          </w:p>
        </w:tc>
        <w:tc>
          <w:tcPr>
            <w:tcW w:w="600" w:type="dxa"/>
            <w:tcBorders>
              <w:top w:val="nil"/>
              <w:left w:val="nil"/>
              <w:bottom w:val="nil"/>
              <w:right w:val="nil"/>
              <w:tl2br w:val="nil"/>
              <w:tr2bl w:val="nil"/>
            </w:tcBorders>
            <w:shd w:val="clear" w:color="FFFFFF" w:fill="FFFFFF"/>
            <w:tcMar>
              <w:left w:w="40" w:type="dxa"/>
              <w:right w:w="40" w:type="dxa"/>
            </w:tcMar>
          </w:tcPr>
          <w:p w14:paraId="60FEFA51"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30D5ED9D"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6,013</w:t>
            </w:r>
          </w:p>
        </w:tc>
        <w:tc>
          <w:tcPr>
            <w:tcW w:w="1035" w:type="dxa"/>
            <w:tcBorders>
              <w:top w:val="nil"/>
              <w:left w:val="nil"/>
              <w:bottom w:val="nil"/>
              <w:right w:val="nil"/>
              <w:tl2br w:val="nil"/>
              <w:tr2bl w:val="nil"/>
            </w:tcBorders>
            <w:shd w:val="clear" w:color="FFFFFF" w:fill="FFFFFF"/>
            <w:tcMar>
              <w:left w:w="40" w:type="dxa"/>
              <w:right w:w="40" w:type="dxa"/>
            </w:tcMar>
          </w:tcPr>
          <w:p w14:paraId="1A096100"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6,013</w:t>
            </w:r>
          </w:p>
        </w:tc>
        <w:tc>
          <w:tcPr>
            <w:tcW w:w="1035" w:type="dxa"/>
            <w:tcBorders>
              <w:top w:val="nil"/>
              <w:left w:val="nil"/>
              <w:bottom w:val="nil"/>
              <w:right w:val="nil"/>
              <w:tl2br w:val="nil"/>
              <w:tr2bl w:val="nil"/>
            </w:tcBorders>
            <w:shd w:val="clear" w:color="FFFFFF" w:fill="FFFFFF"/>
            <w:tcMar>
              <w:left w:w="40" w:type="dxa"/>
              <w:right w:w="40" w:type="dxa"/>
            </w:tcMar>
          </w:tcPr>
          <w:p w14:paraId="74DB02F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6,013</w:t>
            </w:r>
          </w:p>
        </w:tc>
      </w:tr>
      <w:tr w:rsidR="00143C9C" w14:paraId="060E6111"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6C3B99BB" w14:textId="77777777" w:rsidR="00143C9C" w:rsidRDefault="009B5C32" w:rsidP="00D03A22">
            <w:pPr>
              <w:pBdr>
                <w:top w:val="nil"/>
                <w:left w:val="nil"/>
                <w:bottom w:val="nil"/>
                <w:right w:val="nil"/>
                <w:between w:val="nil"/>
                <w:bar w:val="nil"/>
              </w:pBdr>
              <w:spacing w:after="0" w:line="240" w:lineRule="auto"/>
              <w:ind w:left="244" w:hanging="244"/>
              <w:rPr>
                <w:rFonts w:cs="Calibri"/>
                <w:b/>
                <w:color w:val="000000"/>
              </w:rPr>
            </w:pPr>
            <w:r>
              <w:rPr>
                <w:rFonts w:cs="Calibri"/>
                <w:b/>
                <w:color w:val="000000"/>
                <w:sz w:val="18"/>
                <w:szCs w:val="20"/>
              </w:rPr>
              <w:t>Total Non-Current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5857FF0"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3,244,100</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2D89EE55"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3,576,217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F890C0C"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4,518,878</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79FE1AD"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26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BA1A853"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4,040,337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3C3695F"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4,220,922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AAE26AB"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4,455,031</w:t>
            </w:r>
          </w:p>
        </w:tc>
      </w:tr>
      <w:tr w:rsidR="00143C9C" w14:paraId="3E1413C2"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70AE6EDD" w14:textId="77777777" w:rsidR="00143C9C" w:rsidRDefault="009B5C32" w:rsidP="00D03A22">
            <w:pPr>
              <w:pBdr>
                <w:top w:val="nil"/>
                <w:left w:val="nil"/>
                <w:bottom w:val="nil"/>
                <w:right w:val="nil"/>
                <w:between w:val="nil"/>
                <w:bar w:val="nil"/>
              </w:pBdr>
              <w:spacing w:after="0" w:line="240" w:lineRule="auto"/>
              <w:ind w:left="244" w:hanging="244"/>
              <w:rPr>
                <w:rFonts w:cs="Calibri"/>
                <w:b/>
                <w:color w:val="000000"/>
              </w:rPr>
            </w:pPr>
            <w:r>
              <w:rPr>
                <w:rFonts w:cs="Calibri"/>
                <w:b/>
                <w:color w:val="000000"/>
                <w:sz w:val="18"/>
                <w:szCs w:val="20"/>
              </w:rPr>
              <w:t>TOTAL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EDFFC22"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3,290,801</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21D89B44"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3,627,837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DC93D5F"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4,558,224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C442BCB"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26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E50F31F"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4,080,001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28BC726"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4,262,855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763E34F"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4,496,828</w:t>
            </w:r>
          </w:p>
        </w:tc>
      </w:tr>
      <w:tr w:rsidR="00143C9C" w14:paraId="15D38CEC"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2346CCF3" w14:textId="77777777" w:rsidR="00143C9C" w:rsidRDefault="009B5C32" w:rsidP="00D03A22">
            <w:pPr>
              <w:pBdr>
                <w:top w:val="nil"/>
                <w:left w:val="nil"/>
                <w:bottom w:val="nil"/>
                <w:right w:val="nil"/>
                <w:between w:val="nil"/>
                <w:bar w:val="nil"/>
              </w:pBdr>
              <w:spacing w:after="0" w:line="240" w:lineRule="auto"/>
              <w:ind w:left="244" w:hanging="244"/>
              <w:rPr>
                <w:rFonts w:cs="Calibri"/>
                <w:b/>
                <w:color w:val="000000"/>
              </w:rPr>
            </w:pPr>
            <w:r>
              <w:rPr>
                <w:rFonts w:cs="Calibri"/>
                <w:b/>
                <w:color w:val="000000"/>
                <w:sz w:val="18"/>
                <w:szCs w:val="20"/>
              </w:rPr>
              <w:t>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E314716" w14:textId="77777777" w:rsidR="00143C9C" w:rsidRDefault="00143C9C">
            <w:pPr>
              <w:spacing w:after="0" w:line="240" w:lineRule="auto"/>
              <w:rPr>
                <w:rFonts w:cs="Calibri"/>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73811BC3" w14:textId="77777777" w:rsidR="00143C9C" w:rsidRDefault="00143C9C">
            <w:pPr>
              <w:spacing w:after="0" w:line="240" w:lineRule="auto"/>
              <w:rPr>
                <w:rFonts w:cs="Calibr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B1302F3" w14:textId="77777777" w:rsidR="00143C9C" w:rsidRDefault="00143C9C">
            <w:pPr>
              <w:spacing w:after="0" w:line="240" w:lineRule="auto"/>
              <w:rPr>
                <w:rFonts w:cs="Calibr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6364E889" w14:textId="77777777" w:rsidR="00143C9C" w:rsidRDefault="00143C9C">
            <w:pPr>
              <w:spacing w:after="0" w:line="240" w:lineRule="auto"/>
              <w:rPr>
                <w:rFonts w:cs="Calibr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139BBD1" w14:textId="77777777" w:rsidR="00143C9C" w:rsidRDefault="00143C9C">
            <w:pPr>
              <w:spacing w:after="0" w:line="240" w:lineRule="auto"/>
              <w:rPr>
                <w:rFonts w:cs="Calibr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EE717EC" w14:textId="77777777" w:rsidR="00143C9C" w:rsidRDefault="00143C9C">
            <w:pPr>
              <w:spacing w:after="0" w:line="240" w:lineRule="auto"/>
              <w:rPr>
                <w:rFonts w:cs="Calibr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28D67CA" w14:textId="77777777" w:rsidR="00143C9C" w:rsidRDefault="00143C9C">
            <w:pPr>
              <w:spacing w:after="0" w:line="240" w:lineRule="auto"/>
              <w:rPr>
                <w:rFonts w:cs="Calibri"/>
                <w:color w:val="000000"/>
              </w:rPr>
            </w:pPr>
          </w:p>
        </w:tc>
      </w:tr>
      <w:tr w:rsidR="00143C9C" w14:paraId="1F37FF90"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6FD1F9B8"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Payables</w:t>
            </w:r>
          </w:p>
        </w:tc>
        <w:tc>
          <w:tcPr>
            <w:tcW w:w="1035" w:type="dxa"/>
            <w:tcBorders>
              <w:top w:val="nil"/>
              <w:left w:val="nil"/>
              <w:bottom w:val="nil"/>
              <w:right w:val="nil"/>
              <w:tl2br w:val="nil"/>
              <w:tr2bl w:val="nil"/>
            </w:tcBorders>
            <w:shd w:val="clear" w:color="FFFFFF" w:fill="FFFFFF"/>
            <w:tcMar>
              <w:left w:w="40" w:type="dxa"/>
              <w:right w:w="40" w:type="dxa"/>
            </w:tcMar>
          </w:tcPr>
          <w:p w14:paraId="65660CB1"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52,354</w:t>
            </w:r>
          </w:p>
        </w:tc>
        <w:tc>
          <w:tcPr>
            <w:tcW w:w="1245" w:type="dxa"/>
            <w:tcBorders>
              <w:top w:val="nil"/>
              <w:left w:val="nil"/>
              <w:bottom w:val="nil"/>
              <w:right w:val="nil"/>
              <w:tl2br w:val="nil"/>
              <w:tr2bl w:val="nil"/>
            </w:tcBorders>
            <w:shd w:val="clear" w:color="FFFFFF" w:fill="FFFFFF"/>
            <w:tcMar>
              <w:left w:w="40" w:type="dxa"/>
              <w:right w:w="40" w:type="dxa"/>
            </w:tcMar>
          </w:tcPr>
          <w:p w14:paraId="1701BE17"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77,609</w:t>
            </w:r>
          </w:p>
        </w:tc>
        <w:tc>
          <w:tcPr>
            <w:tcW w:w="1035" w:type="dxa"/>
            <w:tcBorders>
              <w:top w:val="nil"/>
              <w:left w:val="nil"/>
              <w:bottom w:val="nil"/>
              <w:right w:val="nil"/>
              <w:tl2br w:val="nil"/>
              <w:tr2bl w:val="nil"/>
            </w:tcBorders>
            <w:shd w:val="clear" w:color="FFFFFF" w:fill="FFFFFF"/>
            <w:tcMar>
              <w:left w:w="40" w:type="dxa"/>
              <w:right w:w="40" w:type="dxa"/>
            </w:tcMar>
          </w:tcPr>
          <w:p w14:paraId="38E63F63"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72,824</w:t>
            </w:r>
          </w:p>
        </w:tc>
        <w:tc>
          <w:tcPr>
            <w:tcW w:w="600" w:type="dxa"/>
            <w:tcBorders>
              <w:top w:val="nil"/>
              <w:left w:val="nil"/>
              <w:bottom w:val="nil"/>
              <w:right w:val="nil"/>
              <w:tl2br w:val="nil"/>
              <w:tr2bl w:val="nil"/>
            </w:tcBorders>
            <w:shd w:val="clear" w:color="FFFFFF" w:fill="FFFFFF"/>
            <w:tcMar>
              <w:left w:w="40" w:type="dxa"/>
              <w:right w:w="40" w:type="dxa"/>
            </w:tcMar>
          </w:tcPr>
          <w:p w14:paraId="741A9A4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3B9E2D93"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75,974</w:t>
            </w:r>
          </w:p>
        </w:tc>
        <w:tc>
          <w:tcPr>
            <w:tcW w:w="1035" w:type="dxa"/>
            <w:tcBorders>
              <w:top w:val="nil"/>
              <w:left w:val="nil"/>
              <w:bottom w:val="nil"/>
              <w:right w:val="nil"/>
              <w:tl2br w:val="nil"/>
              <w:tr2bl w:val="nil"/>
            </w:tcBorders>
            <w:shd w:val="clear" w:color="FFFFFF" w:fill="FFFFFF"/>
            <w:tcMar>
              <w:left w:w="40" w:type="dxa"/>
              <w:right w:w="40" w:type="dxa"/>
            </w:tcMar>
          </w:tcPr>
          <w:p w14:paraId="3E4743D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81,093</w:t>
            </w:r>
          </w:p>
        </w:tc>
        <w:tc>
          <w:tcPr>
            <w:tcW w:w="1035" w:type="dxa"/>
            <w:tcBorders>
              <w:top w:val="nil"/>
              <w:left w:val="nil"/>
              <w:bottom w:val="nil"/>
              <w:right w:val="nil"/>
              <w:tl2br w:val="nil"/>
              <w:tr2bl w:val="nil"/>
            </w:tcBorders>
            <w:shd w:val="clear" w:color="FFFFFF" w:fill="FFFFFF"/>
            <w:tcMar>
              <w:left w:w="40" w:type="dxa"/>
              <w:right w:w="40" w:type="dxa"/>
            </w:tcMar>
          </w:tcPr>
          <w:p w14:paraId="4F021DA4"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87,453</w:t>
            </w:r>
          </w:p>
        </w:tc>
      </w:tr>
      <w:tr w:rsidR="00143C9C" w14:paraId="7759A0EB"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4253E8C4"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Contract Liabilities</w:t>
            </w:r>
          </w:p>
        </w:tc>
        <w:tc>
          <w:tcPr>
            <w:tcW w:w="1035" w:type="dxa"/>
            <w:tcBorders>
              <w:top w:val="nil"/>
              <w:left w:val="nil"/>
              <w:bottom w:val="nil"/>
              <w:right w:val="nil"/>
              <w:tl2br w:val="nil"/>
              <w:tr2bl w:val="nil"/>
            </w:tcBorders>
            <w:shd w:val="clear" w:color="FFFFFF" w:fill="FFFFFF"/>
            <w:tcMar>
              <w:left w:w="40" w:type="dxa"/>
              <w:right w:w="40" w:type="dxa"/>
            </w:tcMar>
          </w:tcPr>
          <w:p w14:paraId="28157C8C"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c>
          <w:tcPr>
            <w:tcW w:w="1245" w:type="dxa"/>
            <w:tcBorders>
              <w:top w:val="nil"/>
              <w:left w:val="nil"/>
              <w:bottom w:val="nil"/>
              <w:right w:val="nil"/>
              <w:tl2br w:val="nil"/>
              <w:tr2bl w:val="nil"/>
            </w:tcBorders>
            <w:shd w:val="clear" w:color="FFFFFF" w:fill="FFFFFF"/>
            <w:tcMar>
              <w:left w:w="40" w:type="dxa"/>
              <w:right w:w="40" w:type="dxa"/>
            </w:tcMar>
          </w:tcPr>
          <w:p w14:paraId="5B57DC6D"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368</w:t>
            </w:r>
          </w:p>
        </w:tc>
        <w:tc>
          <w:tcPr>
            <w:tcW w:w="1035" w:type="dxa"/>
            <w:tcBorders>
              <w:top w:val="nil"/>
              <w:left w:val="nil"/>
              <w:bottom w:val="nil"/>
              <w:right w:val="nil"/>
              <w:tl2br w:val="nil"/>
              <w:tr2bl w:val="nil"/>
            </w:tcBorders>
            <w:shd w:val="clear" w:color="FFFFFF" w:fill="FFFFFF"/>
            <w:tcMar>
              <w:left w:w="40" w:type="dxa"/>
              <w:right w:w="40" w:type="dxa"/>
            </w:tcMar>
          </w:tcPr>
          <w:p w14:paraId="54B02C12"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368</w:t>
            </w:r>
          </w:p>
        </w:tc>
        <w:tc>
          <w:tcPr>
            <w:tcW w:w="600" w:type="dxa"/>
            <w:tcBorders>
              <w:top w:val="nil"/>
              <w:left w:val="nil"/>
              <w:bottom w:val="nil"/>
              <w:right w:val="nil"/>
              <w:tl2br w:val="nil"/>
              <w:tr2bl w:val="nil"/>
            </w:tcBorders>
            <w:shd w:val="clear" w:color="FFFFFF" w:fill="FFFFFF"/>
            <w:tcMar>
              <w:left w:w="40" w:type="dxa"/>
              <w:right w:w="40" w:type="dxa"/>
            </w:tcMar>
          </w:tcPr>
          <w:p w14:paraId="05978CA7"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1FB9B8A"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368</w:t>
            </w:r>
          </w:p>
        </w:tc>
        <w:tc>
          <w:tcPr>
            <w:tcW w:w="1035" w:type="dxa"/>
            <w:tcBorders>
              <w:top w:val="nil"/>
              <w:left w:val="nil"/>
              <w:bottom w:val="nil"/>
              <w:right w:val="nil"/>
              <w:tl2br w:val="nil"/>
              <w:tr2bl w:val="nil"/>
            </w:tcBorders>
            <w:shd w:val="clear" w:color="FFFFFF" w:fill="FFFFFF"/>
            <w:tcMar>
              <w:left w:w="40" w:type="dxa"/>
              <w:right w:w="40" w:type="dxa"/>
            </w:tcMar>
          </w:tcPr>
          <w:p w14:paraId="4C8AD1CD"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368</w:t>
            </w:r>
          </w:p>
        </w:tc>
        <w:tc>
          <w:tcPr>
            <w:tcW w:w="1035" w:type="dxa"/>
            <w:tcBorders>
              <w:top w:val="nil"/>
              <w:left w:val="nil"/>
              <w:bottom w:val="nil"/>
              <w:right w:val="nil"/>
              <w:tl2br w:val="nil"/>
              <w:tr2bl w:val="nil"/>
            </w:tcBorders>
            <w:shd w:val="clear" w:color="FFFFFF" w:fill="FFFFFF"/>
            <w:tcMar>
              <w:left w:w="40" w:type="dxa"/>
              <w:right w:w="40" w:type="dxa"/>
            </w:tcMar>
          </w:tcPr>
          <w:p w14:paraId="049F890E"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368</w:t>
            </w:r>
          </w:p>
        </w:tc>
      </w:tr>
      <w:tr w:rsidR="00143C9C" w14:paraId="170E809F"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447F5879"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Borrowings</w:t>
            </w:r>
          </w:p>
        </w:tc>
        <w:tc>
          <w:tcPr>
            <w:tcW w:w="1035" w:type="dxa"/>
            <w:tcBorders>
              <w:top w:val="nil"/>
              <w:left w:val="nil"/>
              <w:bottom w:val="nil"/>
              <w:right w:val="nil"/>
              <w:tl2br w:val="nil"/>
              <w:tr2bl w:val="nil"/>
            </w:tcBorders>
            <w:shd w:val="clear" w:color="FFFFFF" w:fill="FFFFFF"/>
            <w:tcMar>
              <w:left w:w="40" w:type="dxa"/>
              <w:right w:w="40" w:type="dxa"/>
            </w:tcMar>
          </w:tcPr>
          <w:p w14:paraId="6471F298"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40</w:t>
            </w:r>
          </w:p>
        </w:tc>
        <w:tc>
          <w:tcPr>
            <w:tcW w:w="1245" w:type="dxa"/>
            <w:tcBorders>
              <w:top w:val="nil"/>
              <w:left w:val="nil"/>
              <w:bottom w:val="nil"/>
              <w:right w:val="nil"/>
              <w:tl2br w:val="nil"/>
              <w:tr2bl w:val="nil"/>
            </w:tcBorders>
            <w:shd w:val="clear" w:color="FFFFFF" w:fill="FFFFFF"/>
            <w:tcMar>
              <w:left w:w="40" w:type="dxa"/>
              <w:right w:w="40" w:type="dxa"/>
            </w:tcMar>
          </w:tcPr>
          <w:p w14:paraId="0274ACD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90</w:t>
            </w:r>
          </w:p>
        </w:tc>
        <w:tc>
          <w:tcPr>
            <w:tcW w:w="1035" w:type="dxa"/>
            <w:tcBorders>
              <w:top w:val="nil"/>
              <w:left w:val="nil"/>
              <w:bottom w:val="nil"/>
              <w:right w:val="nil"/>
              <w:tl2br w:val="nil"/>
              <w:tr2bl w:val="nil"/>
            </w:tcBorders>
            <w:shd w:val="clear" w:color="FFFFFF" w:fill="FFFFFF"/>
            <w:tcMar>
              <w:left w:w="40" w:type="dxa"/>
              <w:right w:w="40" w:type="dxa"/>
            </w:tcMar>
          </w:tcPr>
          <w:p w14:paraId="5117F5C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90</w:t>
            </w:r>
          </w:p>
        </w:tc>
        <w:tc>
          <w:tcPr>
            <w:tcW w:w="600" w:type="dxa"/>
            <w:tcBorders>
              <w:top w:val="nil"/>
              <w:left w:val="nil"/>
              <w:bottom w:val="nil"/>
              <w:right w:val="nil"/>
              <w:tl2br w:val="nil"/>
              <w:tr2bl w:val="nil"/>
            </w:tcBorders>
            <w:shd w:val="clear" w:color="FFFFFF" w:fill="FFFFFF"/>
            <w:tcMar>
              <w:left w:w="40" w:type="dxa"/>
              <w:right w:w="40" w:type="dxa"/>
            </w:tcMar>
          </w:tcPr>
          <w:p w14:paraId="1F3D5B58"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FE60D59"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90</w:t>
            </w:r>
          </w:p>
        </w:tc>
        <w:tc>
          <w:tcPr>
            <w:tcW w:w="1035" w:type="dxa"/>
            <w:tcBorders>
              <w:top w:val="nil"/>
              <w:left w:val="nil"/>
              <w:bottom w:val="nil"/>
              <w:right w:val="nil"/>
              <w:tl2br w:val="nil"/>
              <w:tr2bl w:val="nil"/>
            </w:tcBorders>
            <w:shd w:val="clear" w:color="FFFFFF" w:fill="FFFFFF"/>
            <w:tcMar>
              <w:left w:w="40" w:type="dxa"/>
              <w:right w:w="40" w:type="dxa"/>
            </w:tcMar>
          </w:tcPr>
          <w:p w14:paraId="079AC2A9"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90</w:t>
            </w:r>
          </w:p>
        </w:tc>
        <w:tc>
          <w:tcPr>
            <w:tcW w:w="1035" w:type="dxa"/>
            <w:tcBorders>
              <w:top w:val="nil"/>
              <w:left w:val="nil"/>
              <w:bottom w:val="nil"/>
              <w:right w:val="nil"/>
              <w:tl2br w:val="nil"/>
              <w:tr2bl w:val="nil"/>
            </w:tcBorders>
            <w:shd w:val="clear" w:color="FFFFFF" w:fill="FFFFFF"/>
            <w:tcMar>
              <w:left w:w="40" w:type="dxa"/>
              <w:right w:w="40" w:type="dxa"/>
            </w:tcMar>
          </w:tcPr>
          <w:p w14:paraId="572A9121"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90</w:t>
            </w:r>
          </w:p>
        </w:tc>
      </w:tr>
      <w:tr w:rsidR="00143C9C" w14:paraId="23F51D02"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2269213D"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Lease Liabilities</w:t>
            </w:r>
          </w:p>
        </w:tc>
        <w:tc>
          <w:tcPr>
            <w:tcW w:w="1035" w:type="dxa"/>
            <w:tcBorders>
              <w:top w:val="nil"/>
              <w:left w:val="nil"/>
              <w:bottom w:val="nil"/>
              <w:right w:val="nil"/>
              <w:tl2br w:val="nil"/>
              <w:tr2bl w:val="nil"/>
            </w:tcBorders>
            <w:shd w:val="clear" w:color="FFFFFF" w:fill="FFFFFF"/>
            <w:tcMar>
              <w:left w:w="40" w:type="dxa"/>
              <w:right w:w="40" w:type="dxa"/>
            </w:tcMar>
          </w:tcPr>
          <w:p w14:paraId="362CF3F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51,542</w:t>
            </w:r>
          </w:p>
        </w:tc>
        <w:tc>
          <w:tcPr>
            <w:tcW w:w="1245" w:type="dxa"/>
            <w:tcBorders>
              <w:top w:val="nil"/>
              <w:left w:val="nil"/>
              <w:bottom w:val="nil"/>
              <w:right w:val="nil"/>
              <w:tl2br w:val="nil"/>
              <w:tr2bl w:val="nil"/>
            </w:tcBorders>
            <w:shd w:val="clear" w:color="FFFFFF" w:fill="FFFFFF"/>
            <w:tcMar>
              <w:left w:w="40" w:type="dxa"/>
              <w:right w:w="40" w:type="dxa"/>
            </w:tcMar>
          </w:tcPr>
          <w:p w14:paraId="7597CCD3"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39,541</w:t>
            </w:r>
          </w:p>
        </w:tc>
        <w:tc>
          <w:tcPr>
            <w:tcW w:w="1035" w:type="dxa"/>
            <w:tcBorders>
              <w:top w:val="nil"/>
              <w:left w:val="nil"/>
              <w:bottom w:val="nil"/>
              <w:right w:val="nil"/>
              <w:tl2br w:val="nil"/>
              <w:tr2bl w:val="nil"/>
            </w:tcBorders>
            <w:shd w:val="clear" w:color="FFFFFF" w:fill="FFFFFF"/>
            <w:tcMar>
              <w:left w:w="40" w:type="dxa"/>
              <w:right w:w="40" w:type="dxa"/>
            </w:tcMar>
          </w:tcPr>
          <w:p w14:paraId="5B99BE26"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39,559</w:t>
            </w:r>
          </w:p>
        </w:tc>
        <w:tc>
          <w:tcPr>
            <w:tcW w:w="600" w:type="dxa"/>
            <w:tcBorders>
              <w:top w:val="nil"/>
              <w:left w:val="nil"/>
              <w:bottom w:val="nil"/>
              <w:right w:val="nil"/>
              <w:tl2br w:val="nil"/>
              <w:tr2bl w:val="nil"/>
            </w:tcBorders>
            <w:shd w:val="clear" w:color="FFFFFF" w:fill="FFFFFF"/>
            <w:tcMar>
              <w:left w:w="40" w:type="dxa"/>
              <w:right w:w="40" w:type="dxa"/>
            </w:tcMar>
          </w:tcPr>
          <w:p w14:paraId="3420AF9E"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64FE04E2"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41,770</w:t>
            </w:r>
          </w:p>
        </w:tc>
        <w:tc>
          <w:tcPr>
            <w:tcW w:w="1035" w:type="dxa"/>
            <w:tcBorders>
              <w:top w:val="nil"/>
              <w:left w:val="nil"/>
              <w:bottom w:val="nil"/>
              <w:right w:val="nil"/>
              <w:tl2br w:val="nil"/>
              <w:tr2bl w:val="nil"/>
            </w:tcBorders>
            <w:shd w:val="clear" w:color="FFFFFF" w:fill="FFFFFF"/>
            <w:tcMar>
              <w:left w:w="40" w:type="dxa"/>
              <w:right w:w="40" w:type="dxa"/>
            </w:tcMar>
          </w:tcPr>
          <w:p w14:paraId="000E2CB2"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44,122</w:t>
            </w:r>
          </w:p>
        </w:tc>
        <w:tc>
          <w:tcPr>
            <w:tcW w:w="1035" w:type="dxa"/>
            <w:tcBorders>
              <w:top w:val="nil"/>
              <w:left w:val="nil"/>
              <w:bottom w:val="nil"/>
              <w:right w:val="nil"/>
              <w:tl2br w:val="nil"/>
              <w:tr2bl w:val="nil"/>
            </w:tcBorders>
            <w:shd w:val="clear" w:color="FFFFFF" w:fill="FFFFFF"/>
            <w:tcMar>
              <w:left w:w="40" w:type="dxa"/>
              <w:right w:w="40" w:type="dxa"/>
            </w:tcMar>
          </w:tcPr>
          <w:p w14:paraId="3AD54CEE"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44,122</w:t>
            </w:r>
          </w:p>
        </w:tc>
      </w:tr>
      <w:tr w:rsidR="00143C9C" w14:paraId="2096767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0D668EFA"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3287B79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19,227</w:t>
            </w:r>
          </w:p>
        </w:tc>
        <w:tc>
          <w:tcPr>
            <w:tcW w:w="1245" w:type="dxa"/>
            <w:tcBorders>
              <w:top w:val="nil"/>
              <w:left w:val="nil"/>
              <w:bottom w:val="nil"/>
              <w:right w:val="nil"/>
              <w:tl2br w:val="nil"/>
              <w:tr2bl w:val="nil"/>
            </w:tcBorders>
            <w:shd w:val="clear" w:color="FFFFFF" w:fill="FFFFFF"/>
            <w:tcMar>
              <w:left w:w="40" w:type="dxa"/>
              <w:right w:w="40" w:type="dxa"/>
            </w:tcMar>
          </w:tcPr>
          <w:p w14:paraId="1B9B8449"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24,753</w:t>
            </w:r>
          </w:p>
        </w:tc>
        <w:tc>
          <w:tcPr>
            <w:tcW w:w="1035" w:type="dxa"/>
            <w:tcBorders>
              <w:top w:val="nil"/>
              <w:left w:val="nil"/>
              <w:bottom w:val="nil"/>
              <w:right w:val="nil"/>
              <w:tl2br w:val="nil"/>
              <w:tr2bl w:val="nil"/>
            </w:tcBorders>
            <w:shd w:val="clear" w:color="FFFFFF" w:fill="FFFFFF"/>
            <w:tcMar>
              <w:left w:w="40" w:type="dxa"/>
              <w:right w:w="40" w:type="dxa"/>
            </w:tcMar>
          </w:tcPr>
          <w:p w14:paraId="382EA93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23,888</w:t>
            </w:r>
          </w:p>
        </w:tc>
        <w:tc>
          <w:tcPr>
            <w:tcW w:w="600" w:type="dxa"/>
            <w:tcBorders>
              <w:top w:val="nil"/>
              <w:left w:val="nil"/>
              <w:bottom w:val="nil"/>
              <w:right w:val="nil"/>
              <w:tl2br w:val="nil"/>
              <w:tr2bl w:val="nil"/>
            </w:tcBorders>
            <w:shd w:val="clear" w:color="FFFFFF" w:fill="FFFFFF"/>
            <w:tcMar>
              <w:left w:w="40" w:type="dxa"/>
              <w:right w:w="40" w:type="dxa"/>
            </w:tcMar>
          </w:tcPr>
          <w:p w14:paraId="711F0590"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4E2549F1"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24,229</w:t>
            </w:r>
          </w:p>
        </w:tc>
        <w:tc>
          <w:tcPr>
            <w:tcW w:w="1035" w:type="dxa"/>
            <w:tcBorders>
              <w:top w:val="nil"/>
              <w:left w:val="nil"/>
              <w:bottom w:val="nil"/>
              <w:right w:val="nil"/>
              <w:tl2br w:val="nil"/>
              <w:tr2bl w:val="nil"/>
            </w:tcBorders>
            <w:shd w:val="clear" w:color="FFFFFF" w:fill="FFFFFF"/>
            <w:tcMar>
              <w:left w:w="40" w:type="dxa"/>
              <w:right w:w="40" w:type="dxa"/>
            </w:tcMar>
          </w:tcPr>
          <w:p w14:paraId="07927A4C"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24,616</w:t>
            </w:r>
          </w:p>
        </w:tc>
        <w:tc>
          <w:tcPr>
            <w:tcW w:w="1035" w:type="dxa"/>
            <w:tcBorders>
              <w:top w:val="nil"/>
              <w:left w:val="nil"/>
              <w:bottom w:val="nil"/>
              <w:right w:val="nil"/>
              <w:tl2br w:val="nil"/>
              <w:tr2bl w:val="nil"/>
            </w:tcBorders>
            <w:shd w:val="clear" w:color="FFFFFF" w:fill="FFFFFF"/>
            <w:tcMar>
              <w:left w:w="40" w:type="dxa"/>
              <w:right w:w="40" w:type="dxa"/>
            </w:tcMar>
          </w:tcPr>
          <w:p w14:paraId="196A5DA0"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25,051</w:t>
            </w:r>
          </w:p>
        </w:tc>
      </w:tr>
      <w:tr w:rsidR="00143C9C" w14:paraId="030BCC2A"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474B03E0"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Other Liabilities</w:t>
            </w:r>
          </w:p>
        </w:tc>
        <w:tc>
          <w:tcPr>
            <w:tcW w:w="1035" w:type="dxa"/>
            <w:tcBorders>
              <w:top w:val="nil"/>
              <w:left w:val="nil"/>
              <w:bottom w:val="nil"/>
              <w:right w:val="nil"/>
              <w:tl2br w:val="nil"/>
              <w:tr2bl w:val="nil"/>
            </w:tcBorders>
            <w:shd w:val="clear" w:color="FFFFFF" w:fill="FFFFFF"/>
            <w:tcMar>
              <w:left w:w="40" w:type="dxa"/>
              <w:right w:w="40" w:type="dxa"/>
            </w:tcMar>
          </w:tcPr>
          <w:p w14:paraId="23E08A02"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1,081</w:t>
            </w:r>
          </w:p>
        </w:tc>
        <w:tc>
          <w:tcPr>
            <w:tcW w:w="1245" w:type="dxa"/>
            <w:tcBorders>
              <w:top w:val="nil"/>
              <w:left w:val="nil"/>
              <w:bottom w:val="nil"/>
              <w:right w:val="nil"/>
              <w:tl2br w:val="nil"/>
              <w:tr2bl w:val="nil"/>
            </w:tcBorders>
            <w:shd w:val="clear" w:color="FFFFFF" w:fill="FFFFFF"/>
            <w:tcMar>
              <w:left w:w="40" w:type="dxa"/>
              <w:right w:w="40" w:type="dxa"/>
            </w:tcMar>
          </w:tcPr>
          <w:p w14:paraId="781B3C33"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434</w:t>
            </w:r>
          </w:p>
        </w:tc>
        <w:tc>
          <w:tcPr>
            <w:tcW w:w="1035" w:type="dxa"/>
            <w:tcBorders>
              <w:top w:val="nil"/>
              <w:left w:val="nil"/>
              <w:bottom w:val="nil"/>
              <w:right w:val="nil"/>
              <w:tl2br w:val="nil"/>
              <w:tr2bl w:val="nil"/>
            </w:tcBorders>
            <w:shd w:val="clear" w:color="FFFFFF" w:fill="FFFFFF"/>
            <w:tcMar>
              <w:left w:w="40" w:type="dxa"/>
              <w:right w:w="40" w:type="dxa"/>
            </w:tcMar>
          </w:tcPr>
          <w:p w14:paraId="47E169B0"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10,110</w:t>
            </w:r>
          </w:p>
        </w:tc>
        <w:tc>
          <w:tcPr>
            <w:tcW w:w="600" w:type="dxa"/>
            <w:tcBorders>
              <w:top w:val="nil"/>
              <w:left w:val="nil"/>
              <w:bottom w:val="nil"/>
              <w:right w:val="nil"/>
              <w:tl2br w:val="nil"/>
              <w:tr2bl w:val="nil"/>
            </w:tcBorders>
            <w:shd w:val="clear" w:color="FFFFFF" w:fill="FFFFFF"/>
            <w:tcMar>
              <w:left w:w="40" w:type="dxa"/>
              <w:right w:w="40" w:type="dxa"/>
            </w:tcMar>
          </w:tcPr>
          <w:p w14:paraId="2DA053D7"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ABD1CD8"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466</w:t>
            </w:r>
          </w:p>
        </w:tc>
        <w:tc>
          <w:tcPr>
            <w:tcW w:w="1035" w:type="dxa"/>
            <w:tcBorders>
              <w:top w:val="nil"/>
              <w:left w:val="nil"/>
              <w:bottom w:val="nil"/>
              <w:right w:val="nil"/>
              <w:tl2br w:val="nil"/>
              <w:tr2bl w:val="nil"/>
            </w:tcBorders>
            <w:shd w:val="clear" w:color="FFFFFF" w:fill="FFFFFF"/>
            <w:tcMar>
              <w:left w:w="40" w:type="dxa"/>
              <w:right w:w="40" w:type="dxa"/>
            </w:tcMar>
          </w:tcPr>
          <w:p w14:paraId="44087E1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482</w:t>
            </w:r>
          </w:p>
        </w:tc>
        <w:tc>
          <w:tcPr>
            <w:tcW w:w="1035" w:type="dxa"/>
            <w:tcBorders>
              <w:top w:val="nil"/>
              <w:left w:val="nil"/>
              <w:bottom w:val="nil"/>
              <w:right w:val="nil"/>
              <w:tl2br w:val="nil"/>
              <w:tr2bl w:val="nil"/>
            </w:tcBorders>
            <w:shd w:val="clear" w:color="FFFFFF" w:fill="FFFFFF"/>
            <w:tcMar>
              <w:left w:w="40" w:type="dxa"/>
              <w:right w:w="40" w:type="dxa"/>
            </w:tcMar>
          </w:tcPr>
          <w:p w14:paraId="14D9CFF6"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498</w:t>
            </w:r>
          </w:p>
        </w:tc>
      </w:tr>
      <w:tr w:rsidR="00143C9C" w14:paraId="2CB20D7D"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76A418C8" w14:textId="77777777" w:rsidR="00143C9C" w:rsidRDefault="009B5C32" w:rsidP="00D03A22">
            <w:pPr>
              <w:pBdr>
                <w:top w:val="nil"/>
                <w:left w:val="nil"/>
                <w:bottom w:val="nil"/>
                <w:right w:val="nil"/>
                <w:between w:val="nil"/>
                <w:bar w:val="nil"/>
              </w:pBdr>
              <w:spacing w:after="0" w:line="240" w:lineRule="auto"/>
              <w:ind w:left="244" w:hanging="244"/>
              <w:rPr>
                <w:rFonts w:cs="Calibri"/>
                <w:b/>
                <w:color w:val="000000"/>
              </w:rPr>
            </w:pPr>
            <w:r>
              <w:rPr>
                <w:rFonts w:cs="Calibri"/>
                <w:b/>
                <w:color w:val="000000"/>
                <w:sz w:val="18"/>
                <w:szCs w:val="20"/>
              </w:rPr>
              <w:t>Total 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057B356"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124,244</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0F87AC68"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142,795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2EDD42A"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146,839</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58F14CE9"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3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C2077F0"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142,897</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4A5FE3D"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150,771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F175203"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157,582</w:t>
            </w:r>
          </w:p>
        </w:tc>
      </w:tr>
      <w:tr w:rsidR="00143C9C" w14:paraId="453C32FC"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45BC4A6E" w14:textId="77777777" w:rsidR="00143C9C" w:rsidRDefault="009B5C32" w:rsidP="00D03A22">
            <w:pPr>
              <w:pBdr>
                <w:top w:val="nil"/>
                <w:left w:val="nil"/>
                <w:bottom w:val="nil"/>
                <w:right w:val="nil"/>
                <w:between w:val="nil"/>
                <w:bar w:val="nil"/>
              </w:pBdr>
              <w:spacing w:after="0" w:line="240" w:lineRule="auto"/>
              <w:ind w:left="244" w:hanging="244"/>
              <w:rPr>
                <w:rFonts w:cs="Calibri"/>
                <w:b/>
                <w:color w:val="000000"/>
              </w:rPr>
            </w:pPr>
            <w:r>
              <w:rPr>
                <w:rFonts w:cs="Calibri"/>
                <w:b/>
                <w:color w:val="000000"/>
                <w:sz w:val="18"/>
                <w:szCs w:val="20"/>
              </w:rPr>
              <w:t>Non-Current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3802584" w14:textId="77777777" w:rsidR="00143C9C" w:rsidRDefault="00143C9C">
            <w:pPr>
              <w:spacing w:after="0" w:line="240" w:lineRule="auto"/>
              <w:rPr>
                <w:rFonts w:cs="Calibri"/>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462C24B3" w14:textId="77777777" w:rsidR="00143C9C" w:rsidRDefault="00143C9C">
            <w:pPr>
              <w:spacing w:after="0" w:line="240" w:lineRule="auto"/>
              <w:rPr>
                <w:rFonts w:cs="Calibr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688C883" w14:textId="77777777" w:rsidR="00143C9C" w:rsidRDefault="00143C9C">
            <w:pPr>
              <w:spacing w:after="0" w:line="240" w:lineRule="auto"/>
              <w:rPr>
                <w:rFonts w:cs="Calibr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68810920" w14:textId="77777777" w:rsidR="00143C9C" w:rsidRDefault="00143C9C">
            <w:pPr>
              <w:spacing w:after="0" w:line="240" w:lineRule="auto"/>
              <w:jc w:val="right"/>
              <w:rPr>
                <w:rFonts w:cs="Calibr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9481207" w14:textId="77777777" w:rsidR="00143C9C" w:rsidRDefault="00143C9C">
            <w:pPr>
              <w:spacing w:after="0" w:line="240" w:lineRule="auto"/>
              <w:rPr>
                <w:rFonts w:cs="Calibr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CE8649F" w14:textId="77777777" w:rsidR="00143C9C" w:rsidRDefault="00143C9C">
            <w:pPr>
              <w:spacing w:after="0" w:line="240" w:lineRule="auto"/>
              <w:rPr>
                <w:rFonts w:cs="Calibr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A68E595" w14:textId="77777777" w:rsidR="00143C9C" w:rsidRDefault="00143C9C">
            <w:pPr>
              <w:spacing w:after="0" w:line="240" w:lineRule="auto"/>
              <w:rPr>
                <w:rFonts w:cs="Calibri"/>
                <w:color w:val="000000"/>
              </w:rPr>
            </w:pPr>
          </w:p>
        </w:tc>
      </w:tr>
      <w:tr w:rsidR="00143C9C" w14:paraId="22A618B5"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317CCDAE"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Borrowings</w:t>
            </w:r>
          </w:p>
        </w:tc>
        <w:tc>
          <w:tcPr>
            <w:tcW w:w="1035" w:type="dxa"/>
            <w:tcBorders>
              <w:top w:val="nil"/>
              <w:left w:val="nil"/>
              <w:bottom w:val="nil"/>
              <w:right w:val="nil"/>
              <w:tl2br w:val="nil"/>
              <w:tr2bl w:val="nil"/>
            </w:tcBorders>
            <w:shd w:val="clear" w:color="FFFFFF" w:fill="FFFFFF"/>
            <w:tcMar>
              <w:left w:w="40" w:type="dxa"/>
              <w:right w:w="40" w:type="dxa"/>
            </w:tcMar>
          </w:tcPr>
          <w:p w14:paraId="1BEB67C7"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421,937</w:t>
            </w:r>
          </w:p>
        </w:tc>
        <w:tc>
          <w:tcPr>
            <w:tcW w:w="1245" w:type="dxa"/>
            <w:tcBorders>
              <w:top w:val="nil"/>
              <w:left w:val="nil"/>
              <w:bottom w:val="nil"/>
              <w:right w:val="nil"/>
              <w:tl2br w:val="nil"/>
              <w:tr2bl w:val="nil"/>
            </w:tcBorders>
            <w:shd w:val="clear" w:color="FFFFFF" w:fill="FFFFFF"/>
            <w:tcMar>
              <w:left w:w="40" w:type="dxa"/>
              <w:right w:w="40" w:type="dxa"/>
            </w:tcMar>
          </w:tcPr>
          <w:p w14:paraId="30F8EF6C"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460,527</w:t>
            </w:r>
          </w:p>
        </w:tc>
        <w:tc>
          <w:tcPr>
            <w:tcW w:w="1035" w:type="dxa"/>
            <w:tcBorders>
              <w:top w:val="nil"/>
              <w:left w:val="nil"/>
              <w:bottom w:val="nil"/>
              <w:right w:val="nil"/>
              <w:tl2br w:val="nil"/>
              <w:tr2bl w:val="nil"/>
            </w:tcBorders>
            <w:shd w:val="clear" w:color="FFFFFF" w:fill="FFFFFF"/>
            <w:tcMar>
              <w:left w:w="40" w:type="dxa"/>
              <w:right w:w="40" w:type="dxa"/>
            </w:tcMar>
          </w:tcPr>
          <w:p w14:paraId="5905C991"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651,414</w:t>
            </w:r>
          </w:p>
        </w:tc>
        <w:tc>
          <w:tcPr>
            <w:tcW w:w="600" w:type="dxa"/>
            <w:tcBorders>
              <w:top w:val="nil"/>
              <w:left w:val="nil"/>
              <w:bottom w:val="nil"/>
              <w:right w:val="nil"/>
              <w:tl2br w:val="nil"/>
              <w:tr2bl w:val="nil"/>
            </w:tcBorders>
            <w:shd w:val="clear" w:color="FFFFFF" w:fill="FFFFFF"/>
            <w:tcMar>
              <w:left w:w="40" w:type="dxa"/>
              <w:right w:w="40" w:type="dxa"/>
            </w:tcMar>
          </w:tcPr>
          <w:p w14:paraId="4E129684"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41 </w:t>
            </w:r>
          </w:p>
        </w:tc>
        <w:tc>
          <w:tcPr>
            <w:tcW w:w="1035" w:type="dxa"/>
            <w:tcBorders>
              <w:top w:val="nil"/>
              <w:left w:val="nil"/>
              <w:bottom w:val="nil"/>
              <w:right w:val="nil"/>
              <w:tl2br w:val="nil"/>
              <w:tr2bl w:val="nil"/>
            </w:tcBorders>
            <w:shd w:val="clear" w:color="FFFFFF" w:fill="FFFFFF"/>
            <w:tcMar>
              <w:left w:w="40" w:type="dxa"/>
              <w:right w:w="40" w:type="dxa"/>
            </w:tcMar>
          </w:tcPr>
          <w:p w14:paraId="3A2533CC"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187</w:t>
            </w:r>
          </w:p>
        </w:tc>
        <w:tc>
          <w:tcPr>
            <w:tcW w:w="1035" w:type="dxa"/>
            <w:tcBorders>
              <w:top w:val="nil"/>
              <w:left w:val="nil"/>
              <w:bottom w:val="nil"/>
              <w:right w:val="nil"/>
              <w:tl2br w:val="nil"/>
              <w:tr2bl w:val="nil"/>
            </w:tcBorders>
            <w:shd w:val="clear" w:color="FFFFFF" w:fill="FFFFFF"/>
            <w:tcMar>
              <w:left w:w="40" w:type="dxa"/>
              <w:right w:w="40" w:type="dxa"/>
            </w:tcMar>
          </w:tcPr>
          <w:p w14:paraId="4040FDE3"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187</w:t>
            </w:r>
          </w:p>
        </w:tc>
        <w:tc>
          <w:tcPr>
            <w:tcW w:w="1035" w:type="dxa"/>
            <w:tcBorders>
              <w:top w:val="nil"/>
              <w:left w:val="nil"/>
              <w:bottom w:val="nil"/>
              <w:right w:val="nil"/>
              <w:tl2br w:val="nil"/>
              <w:tr2bl w:val="nil"/>
            </w:tcBorders>
            <w:shd w:val="clear" w:color="FFFFFF" w:fill="FFFFFF"/>
            <w:tcMar>
              <w:left w:w="40" w:type="dxa"/>
              <w:right w:w="40" w:type="dxa"/>
            </w:tcMar>
          </w:tcPr>
          <w:p w14:paraId="1858D312"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187</w:t>
            </w:r>
          </w:p>
        </w:tc>
      </w:tr>
      <w:tr w:rsidR="00143C9C" w14:paraId="4109A9CB"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590E8FF3"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Lease Liabilities</w:t>
            </w:r>
          </w:p>
        </w:tc>
        <w:tc>
          <w:tcPr>
            <w:tcW w:w="1035" w:type="dxa"/>
            <w:tcBorders>
              <w:top w:val="nil"/>
              <w:left w:val="nil"/>
              <w:bottom w:val="nil"/>
              <w:right w:val="nil"/>
              <w:tl2br w:val="nil"/>
              <w:tr2bl w:val="nil"/>
            </w:tcBorders>
            <w:shd w:val="clear" w:color="FFFFFF" w:fill="FFFFFF"/>
            <w:tcMar>
              <w:left w:w="40" w:type="dxa"/>
              <w:right w:w="40" w:type="dxa"/>
            </w:tcMar>
          </w:tcPr>
          <w:p w14:paraId="1EB53FF6"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719,462</w:t>
            </w:r>
          </w:p>
        </w:tc>
        <w:tc>
          <w:tcPr>
            <w:tcW w:w="1245" w:type="dxa"/>
            <w:tcBorders>
              <w:top w:val="nil"/>
              <w:left w:val="nil"/>
              <w:bottom w:val="nil"/>
              <w:right w:val="nil"/>
              <w:tl2br w:val="nil"/>
              <w:tr2bl w:val="nil"/>
            </w:tcBorders>
            <w:shd w:val="clear" w:color="FFFFFF" w:fill="FFFFFF"/>
            <w:tcMar>
              <w:left w:w="40" w:type="dxa"/>
              <w:right w:w="40" w:type="dxa"/>
            </w:tcMar>
          </w:tcPr>
          <w:p w14:paraId="2A637C50"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750,860</w:t>
            </w:r>
          </w:p>
        </w:tc>
        <w:tc>
          <w:tcPr>
            <w:tcW w:w="1035" w:type="dxa"/>
            <w:tcBorders>
              <w:top w:val="nil"/>
              <w:left w:val="nil"/>
              <w:bottom w:val="nil"/>
              <w:right w:val="nil"/>
              <w:tl2br w:val="nil"/>
              <w:tr2bl w:val="nil"/>
            </w:tcBorders>
            <w:shd w:val="clear" w:color="FFFFFF" w:fill="FFFFFF"/>
            <w:tcMar>
              <w:left w:w="40" w:type="dxa"/>
              <w:right w:w="40" w:type="dxa"/>
            </w:tcMar>
          </w:tcPr>
          <w:p w14:paraId="45A4C887"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711,087</w:t>
            </w:r>
          </w:p>
        </w:tc>
        <w:tc>
          <w:tcPr>
            <w:tcW w:w="600" w:type="dxa"/>
            <w:tcBorders>
              <w:top w:val="nil"/>
              <w:left w:val="nil"/>
              <w:bottom w:val="nil"/>
              <w:right w:val="nil"/>
              <w:tl2br w:val="nil"/>
              <w:tr2bl w:val="nil"/>
            </w:tcBorders>
            <w:shd w:val="clear" w:color="FFFFFF" w:fill="FFFFFF"/>
            <w:tcMar>
              <w:left w:w="40" w:type="dxa"/>
              <w:right w:w="40" w:type="dxa"/>
            </w:tcMar>
          </w:tcPr>
          <w:p w14:paraId="5DADB71C"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6C56A5B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678,798</w:t>
            </w:r>
          </w:p>
        </w:tc>
        <w:tc>
          <w:tcPr>
            <w:tcW w:w="1035" w:type="dxa"/>
            <w:tcBorders>
              <w:top w:val="nil"/>
              <w:left w:val="nil"/>
              <w:bottom w:val="nil"/>
              <w:right w:val="nil"/>
              <w:tl2br w:val="nil"/>
              <w:tr2bl w:val="nil"/>
            </w:tcBorders>
            <w:shd w:val="clear" w:color="FFFFFF" w:fill="FFFFFF"/>
            <w:tcMar>
              <w:left w:w="40" w:type="dxa"/>
              <w:right w:w="40" w:type="dxa"/>
            </w:tcMar>
          </w:tcPr>
          <w:p w14:paraId="5320DABD"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634,591</w:t>
            </w:r>
          </w:p>
        </w:tc>
        <w:tc>
          <w:tcPr>
            <w:tcW w:w="1035" w:type="dxa"/>
            <w:tcBorders>
              <w:top w:val="nil"/>
              <w:left w:val="nil"/>
              <w:bottom w:val="nil"/>
              <w:right w:val="nil"/>
              <w:tl2br w:val="nil"/>
              <w:tr2bl w:val="nil"/>
            </w:tcBorders>
            <w:shd w:val="clear" w:color="FFFFFF" w:fill="FFFFFF"/>
            <w:tcMar>
              <w:left w:w="40" w:type="dxa"/>
              <w:right w:w="40" w:type="dxa"/>
            </w:tcMar>
          </w:tcPr>
          <w:p w14:paraId="2E745C67"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590,462</w:t>
            </w:r>
          </w:p>
        </w:tc>
      </w:tr>
      <w:tr w:rsidR="00143C9C" w14:paraId="3273D12A"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2AC3AA70"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2F6E4E6D"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1,169</w:t>
            </w:r>
          </w:p>
        </w:tc>
        <w:tc>
          <w:tcPr>
            <w:tcW w:w="1245" w:type="dxa"/>
            <w:tcBorders>
              <w:top w:val="nil"/>
              <w:left w:val="nil"/>
              <w:bottom w:val="nil"/>
              <w:right w:val="nil"/>
              <w:tl2br w:val="nil"/>
              <w:tr2bl w:val="nil"/>
            </w:tcBorders>
            <w:shd w:val="clear" w:color="FFFFFF" w:fill="FFFFFF"/>
            <w:tcMar>
              <w:left w:w="40" w:type="dxa"/>
              <w:right w:w="40" w:type="dxa"/>
            </w:tcMar>
          </w:tcPr>
          <w:p w14:paraId="35C366DE"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1,802</w:t>
            </w:r>
          </w:p>
        </w:tc>
        <w:tc>
          <w:tcPr>
            <w:tcW w:w="1035" w:type="dxa"/>
            <w:tcBorders>
              <w:top w:val="nil"/>
              <w:left w:val="nil"/>
              <w:bottom w:val="nil"/>
              <w:right w:val="nil"/>
              <w:tl2br w:val="nil"/>
              <w:tr2bl w:val="nil"/>
            </w:tcBorders>
            <w:shd w:val="clear" w:color="FFFFFF" w:fill="FFFFFF"/>
            <w:tcMar>
              <w:left w:w="40" w:type="dxa"/>
              <w:right w:w="40" w:type="dxa"/>
            </w:tcMar>
          </w:tcPr>
          <w:p w14:paraId="244E2020"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1,817</w:t>
            </w:r>
          </w:p>
        </w:tc>
        <w:tc>
          <w:tcPr>
            <w:tcW w:w="600" w:type="dxa"/>
            <w:tcBorders>
              <w:top w:val="nil"/>
              <w:left w:val="nil"/>
              <w:bottom w:val="nil"/>
              <w:right w:val="nil"/>
              <w:tl2br w:val="nil"/>
              <w:tr2bl w:val="nil"/>
            </w:tcBorders>
            <w:shd w:val="clear" w:color="FFFFFF" w:fill="FFFFFF"/>
            <w:tcMar>
              <w:left w:w="40" w:type="dxa"/>
              <w:right w:w="40" w:type="dxa"/>
            </w:tcMar>
          </w:tcPr>
          <w:p w14:paraId="64333E6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1CEE8410"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1,832</w:t>
            </w:r>
          </w:p>
        </w:tc>
        <w:tc>
          <w:tcPr>
            <w:tcW w:w="1035" w:type="dxa"/>
            <w:tcBorders>
              <w:top w:val="nil"/>
              <w:left w:val="nil"/>
              <w:bottom w:val="nil"/>
              <w:right w:val="nil"/>
              <w:tl2br w:val="nil"/>
              <w:tr2bl w:val="nil"/>
            </w:tcBorders>
            <w:shd w:val="clear" w:color="FFFFFF" w:fill="FFFFFF"/>
            <w:tcMar>
              <w:left w:w="40" w:type="dxa"/>
              <w:right w:w="40" w:type="dxa"/>
            </w:tcMar>
          </w:tcPr>
          <w:p w14:paraId="054D1097"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1,847</w:t>
            </w:r>
          </w:p>
        </w:tc>
        <w:tc>
          <w:tcPr>
            <w:tcW w:w="1035" w:type="dxa"/>
            <w:tcBorders>
              <w:top w:val="nil"/>
              <w:left w:val="nil"/>
              <w:bottom w:val="nil"/>
              <w:right w:val="nil"/>
              <w:tl2br w:val="nil"/>
              <w:tr2bl w:val="nil"/>
            </w:tcBorders>
            <w:shd w:val="clear" w:color="FFFFFF" w:fill="FFFFFF"/>
            <w:tcMar>
              <w:left w:w="40" w:type="dxa"/>
              <w:right w:w="40" w:type="dxa"/>
            </w:tcMar>
          </w:tcPr>
          <w:p w14:paraId="78821BDC"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1,862</w:t>
            </w:r>
          </w:p>
        </w:tc>
      </w:tr>
      <w:tr w:rsidR="00143C9C" w14:paraId="72AB7CCD"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202C170B"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Other Provisions</w:t>
            </w:r>
          </w:p>
        </w:tc>
        <w:tc>
          <w:tcPr>
            <w:tcW w:w="1035" w:type="dxa"/>
            <w:tcBorders>
              <w:top w:val="nil"/>
              <w:left w:val="nil"/>
              <w:bottom w:val="nil"/>
              <w:right w:val="nil"/>
              <w:tl2br w:val="nil"/>
              <w:tr2bl w:val="nil"/>
            </w:tcBorders>
            <w:shd w:val="clear" w:color="FFFFFF" w:fill="FFFFFF"/>
            <w:tcMar>
              <w:left w:w="40" w:type="dxa"/>
              <w:right w:w="40" w:type="dxa"/>
            </w:tcMar>
          </w:tcPr>
          <w:p w14:paraId="567CD238"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316</w:t>
            </w:r>
          </w:p>
        </w:tc>
        <w:tc>
          <w:tcPr>
            <w:tcW w:w="1245" w:type="dxa"/>
            <w:tcBorders>
              <w:top w:val="nil"/>
              <w:left w:val="nil"/>
              <w:bottom w:val="nil"/>
              <w:right w:val="nil"/>
              <w:tl2br w:val="nil"/>
              <w:tr2bl w:val="nil"/>
            </w:tcBorders>
            <w:shd w:val="clear" w:color="FFFFFF" w:fill="FFFFFF"/>
            <w:tcMar>
              <w:left w:w="40" w:type="dxa"/>
              <w:right w:w="40" w:type="dxa"/>
            </w:tcMar>
          </w:tcPr>
          <w:p w14:paraId="0D99844A"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42,036</w:t>
            </w:r>
          </w:p>
        </w:tc>
        <w:tc>
          <w:tcPr>
            <w:tcW w:w="1035" w:type="dxa"/>
            <w:tcBorders>
              <w:top w:val="nil"/>
              <w:left w:val="nil"/>
              <w:bottom w:val="nil"/>
              <w:right w:val="nil"/>
              <w:tl2br w:val="nil"/>
              <w:tr2bl w:val="nil"/>
            </w:tcBorders>
            <w:shd w:val="clear" w:color="FFFFFF" w:fill="FFFFFF"/>
            <w:tcMar>
              <w:left w:w="40" w:type="dxa"/>
              <w:right w:w="40" w:type="dxa"/>
            </w:tcMar>
          </w:tcPr>
          <w:p w14:paraId="5574CB78"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42,036</w:t>
            </w:r>
          </w:p>
        </w:tc>
        <w:tc>
          <w:tcPr>
            <w:tcW w:w="600" w:type="dxa"/>
            <w:tcBorders>
              <w:top w:val="nil"/>
              <w:left w:val="nil"/>
              <w:bottom w:val="nil"/>
              <w:right w:val="nil"/>
              <w:tl2br w:val="nil"/>
              <w:tr2bl w:val="nil"/>
            </w:tcBorders>
            <w:shd w:val="clear" w:color="FFFFFF" w:fill="FFFFFF"/>
            <w:tcMar>
              <w:left w:w="40" w:type="dxa"/>
              <w:right w:w="40" w:type="dxa"/>
            </w:tcMar>
          </w:tcPr>
          <w:p w14:paraId="7CAEAA75"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3CE51F9"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42,036</w:t>
            </w:r>
          </w:p>
        </w:tc>
        <w:tc>
          <w:tcPr>
            <w:tcW w:w="1035" w:type="dxa"/>
            <w:tcBorders>
              <w:top w:val="nil"/>
              <w:left w:val="nil"/>
              <w:bottom w:val="nil"/>
              <w:right w:val="nil"/>
              <w:tl2br w:val="nil"/>
              <w:tr2bl w:val="nil"/>
            </w:tcBorders>
            <w:shd w:val="clear" w:color="FFFFFF" w:fill="FFFFFF"/>
            <w:tcMar>
              <w:left w:w="40" w:type="dxa"/>
              <w:right w:w="40" w:type="dxa"/>
            </w:tcMar>
          </w:tcPr>
          <w:p w14:paraId="2D2BA6E2"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42,036</w:t>
            </w:r>
          </w:p>
        </w:tc>
        <w:tc>
          <w:tcPr>
            <w:tcW w:w="1035" w:type="dxa"/>
            <w:tcBorders>
              <w:top w:val="nil"/>
              <w:left w:val="nil"/>
              <w:bottom w:val="nil"/>
              <w:right w:val="nil"/>
              <w:tl2br w:val="nil"/>
              <w:tr2bl w:val="nil"/>
            </w:tcBorders>
            <w:shd w:val="clear" w:color="FFFFFF" w:fill="FFFFFF"/>
            <w:tcMar>
              <w:left w:w="40" w:type="dxa"/>
              <w:right w:w="40" w:type="dxa"/>
            </w:tcMar>
          </w:tcPr>
          <w:p w14:paraId="7EADF561"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42,036</w:t>
            </w:r>
          </w:p>
        </w:tc>
      </w:tr>
      <w:tr w:rsidR="00143C9C" w14:paraId="5BD83A0C"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37DFBA56"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Other Liabilities</w:t>
            </w:r>
          </w:p>
        </w:tc>
        <w:tc>
          <w:tcPr>
            <w:tcW w:w="1035" w:type="dxa"/>
            <w:tcBorders>
              <w:top w:val="nil"/>
              <w:left w:val="nil"/>
              <w:bottom w:val="nil"/>
              <w:right w:val="nil"/>
              <w:tl2br w:val="nil"/>
              <w:tr2bl w:val="nil"/>
            </w:tcBorders>
            <w:shd w:val="clear" w:color="FFFFFF" w:fill="FFFFFF"/>
            <w:tcMar>
              <w:left w:w="40" w:type="dxa"/>
              <w:right w:w="40" w:type="dxa"/>
            </w:tcMar>
          </w:tcPr>
          <w:p w14:paraId="1CFC4472"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22</w:t>
            </w:r>
          </w:p>
        </w:tc>
        <w:tc>
          <w:tcPr>
            <w:tcW w:w="1245" w:type="dxa"/>
            <w:tcBorders>
              <w:top w:val="nil"/>
              <w:left w:val="nil"/>
              <w:bottom w:val="nil"/>
              <w:right w:val="nil"/>
              <w:tl2br w:val="nil"/>
              <w:tr2bl w:val="nil"/>
            </w:tcBorders>
            <w:shd w:val="clear" w:color="FFFFFF" w:fill="FFFFFF"/>
            <w:tcMar>
              <w:left w:w="40" w:type="dxa"/>
              <w:right w:w="40" w:type="dxa"/>
            </w:tcMar>
          </w:tcPr>
          <w:p w14:paraId="14DA7CA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5,318</w:t>
            </w:r>
          </w:p>
        </w:tc>
        <w:tc>
          <w:tcPr>
            <w:tcW w:w="1035" w:type="dxa"/>
            <w:tcBorders>
              <w:top w:val="nil"/>
              <w:left w:val="nil"/>
              <w:bottom w:val="nil"/>
              <w:right w:val="nil"/>
              <w:tl2br w:val="nil"/>
              <w:tr2bl w:val="nil"/>
            </w:tcBorders>
            <w:shd w:val="clear" w:color="FFFFFF" w:fill="FFFFFF"/>
            <w:tcMar>
              <w:left w:w="40" w:type="dxa"/>
              <w:right w:w="40" w:type="dxa"/>
            </w:tcMar>
          </w:tcPr>
          <w:p w14:paraId="1CED68E4"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2,877</w:t>
            </w:r>
          </w:p>
        </w:tc>
        <w:tc>
          <w:tcPr>
            <w:tcW w:w="600" w:type="dxa"/>
            <w:tcBorders>
              <w:top w:val="nil"/>
              <w:left w:val="nil"/>
              <w:bottom w:val="nil"/>
              <w:right w:val="nil"/>
              <w:tl2br w:val="nil"/>
              <w:tr2bl w:val="nil"/>
            </w:tcBorders>
            <w:shd w:val="clear" w:color="FFFFFF" w:fill="FFFFFF"/>
            <w:tcMar>
              <w:left w:w="40" w:type="dxa"/>
              <w:right w:w="40" w:type="dxa"/>
            </w:tcMar>
          </w:tcPr>
          <w:p w14:paraId="5ADDB237"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-46 </w:t>
            </w:r>
          </w:p>
        </w:tc>
        <w:tc>
          <w:tcPr>
            <w:tcW w:w="1035" w:type="dxa"/>
            <w:tcBorders>
              <w:top w:val="nil"/>
              <w:left w:val="nil"/>
              <w:bottom w:val="nil"/>
              <w:right w:val="nil"/>
              <w:tl2br w:val="nil"/>
              <w:tr2bl w:val="nil"/>
            </w:tcBorders>
            <w:shd w:val="clear" w:color="FFFFFF" w:fill="FFFFFF"/>
            <w:tcMar>
              <w:left w:w="40" w:type="dxa"/>
              <w:right w:w="40" w:type="dxa"/>
            </w:tcMar>
          </w:tcPr>
          <w:p w14:paraId="060ADB73"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891</w:t>
            </w:r>
          </w:p>
        </w:tc>
        <w:tc>
          <w:tcPr>
            <w:tcW w:w="1035" w:type="dxa"/>
            <w:tcBorders>
              <w:top w:val="nil"/>
              <w:left w:val="nil"/>
              <w:bottom w:val="nil"/>
              <w:right w:val="nil"/>
              <w:tl2br w:val="nil"/>
              <w:tr2bl w:val="nil"/>
            </w:tcBorders>
            <w:shd w:val="clear" w:color="FFFFFF" w:fill="FFFFFF"/>
            <w:tcMar>
              <w:left w:w="40" w:type="dxa"/>
              <w:right w:w="40" w:type="dxa"/>
            </w:tcMar>
          </w:tcPr>
          <w:p w14:paraId="69917AB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201</w:t>
            </w:r>
          </w:p>
        </w:tc>
        <w:tc>
          <w:tcPr>
            <w:tcW w:w="1035" w:type="dxa"/>
            <w:tcBorders>
              <w:top w:val="nil"/>
              <w:left w:val="nil"/>
              <w:bottom w:val="nil"/>
              <w:right w:val="nil"/>
              <w:tl2br w:val="nil"/>
              <w:tr2bl w:val="nil"/>
            </w:tcBorders>
            <w:shd w:val="clear" w:color="FFFFFF" w:fill="FFFFFF"/>
            <w:tcMar>
              <w:left w:w="40" w:type="dxa"/>
              <w:right w:w="40" w:type="dxa"/>
            </w:tcMar>
          </w:tcPr>
          <w:p w14:paraId="0D1E3B5E"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201</w:t>
            </w:r>
          </w:p>
        </w:tc>
      </w:tr>
      <w:tr w:rsidR="00143C9C" w14:paraId="290F26DA"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1137C158" w14:textId="77777777" w:rsidR="00143C9C" w:rsidRDefault="009B5C32" w:rsidP="00627D90">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Total Non-Current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300FE6C"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1,142,906</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782D4A93"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1,260,543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C92E555"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1,409,231</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A74D881"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12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FA2929F"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723,744</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ADFBBB8"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678,862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4317980"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634,748</w:t>
            </w:r>
          </w:p>
        </w:tc>
      </w:tr>
      <w:tr w:rsidR="00143C9C" w14:paraId="5E44583D"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45523CB5" w14:textId="77777777" w:rsidR="00143C9C" w:rsidRDefault="009B5C32" w:rsidP="00D03A22">
            <w:pPr>
              <w:pBdr>
                <w:top w:val="nil"/>
                <w:left w:val="nil"/>
                <w:bottom w:val="nil"/>
                <w:right w:val="nil"/>
                <w:between w:val="nil"/>
                <w:bar w:val="nil"/>
              </w:pBdr>
              <w:spacing w:after="0" w:line="240" w:lineRule="auto"/>
              <w:ind w:left="244" w:hanging="244"/>
              <w:rPr>
                <w:rFonts w:cs="Calibri"/>
                <w:b/>
                <w:color w:val="000000"/>
              </w:rPr>
            </w:pPr>
            <w:r>
              <w:rPr>
                <w:rFonts w:cs="Calibri"/>
                <w:b/>
                <w:color w:val="000000"/>
                <w:sz w:val="18"/>
                <w:szCs w:val="20"/>
              </w:rPr>
              <w:t>TOTAL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EEFB87A"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1,267,150</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4D852086"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1,403,338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73D866E"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1,556,070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5E5AE3F4"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11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FE7F81B"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866,641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126164C"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829,633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D32506F"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792,330</w:t>
            </w:r>
          </w:p>
        </w:tc>
      </w:tr>
      <w:tr w:rsidR="00143C9C" w14:paraId="561D2FB9"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7EF9F28D" w14:textId="77777777" w:rsidR="00143C9C" w:rsidRDefault="009B5C32" w:rsidP="00D03A22">
            <w:pPr>
              <w:pBdr>
                <w:top w:val="nil"/>
                <w:left w:val="nil"/>
                <w:bottom w:val="nil"/>
                <w:right w:val="nil"/>
                <w:between w:val="nil"/>
                <w:bar w:val="nil"/>
              </w:pBdr>
              <w:spacing w:after="0" w:line="240" w:lineRule="auto"/>
              <w:ind w:left="244" w:hanging="244"/>
              <w:rPr>
                <w:rFonts w:cs="Calibri"/>
                <w:b/>
                <w:color w:val="000000"/>
              </w:rPr>
            </w:pPr>
            <w:r>
              <w:rPr>
                <w:rFonts w:cs="Calibri"/>
                <w:b/>
                <w:color w:val="000000"/>
                <w:sz w:val="18"/>
                <w:szCs w:val="20"/>
              </w:rPr>
              <w:t>NET ASSETS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5DAF59F"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2,023,651</w:t>
            </w:r>
          </w:p>
        </w:tc>
        <w:tc>
          <w:tcPr>
            <w:tcW w:w="1245" w:type="dxa"/>
            <w:tcBorders>
              <w:top w:val="nil"/>
              <w:left w:val="nil"/>
              <w:bottom w:val="nil"/>
              <w:right w:val="nil"/>
              <w:tl2br w:val="nil"/>
              <w:tr2bl w:val="nil"/>
            </w:tcBorders>
            <w:noWrap/>
            <w:tcMar>
              <w:left w:w="40" w:type="dxa"/>
              <w:right w:w="40" w:type="dxa"/>
            </w:tcMar>
            <w:vAlign w:val="bottom"/>
          </w:tcPr>
          <w:p w14:paraId="4C0DABE7"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2,224,499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388A046"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3,002,154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B7971B9"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35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D0CAD4F"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3,213,360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A618724"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3,433,222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A8A48F1"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3,704,498</w:t>
            </w:r>
          </w:p>
        </w:tc>
      </w:tr>
      <w:tr w:rsidR="00143C9C" w14:paraId="36722825"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8BCB4CF" w14:textId="77777777" w:rsidR="00143C9C" w:rsidRDefault="009B5C32" w:rsidP="00D03A22">
            <w:pPr>
              <w:pBdr>
                <w:top w:val="nil"/>
                <w:left w:val="nil"/>
                <w:bottom w:val="nil"/>
                <w:right w:val="nil"/>
                <w:between w:val="nil"/>
                <w:bar w:val="nil"/>
              </w:pBdr>
              <w:spacing w:after="0" w:line="240" w:lineRule="auto"/>
              <w:ind w:left="244" w:hanging="244"/>
              <w:rPr>
                <w:rFonts w:cs="Calibri"/>
                <w:b/>
                <w:color w:val="000000"/>
              </w:rPr>
            </w:pPr>
            <w:r>
              <w:rPr>
                <w:rFonts w:cs="Calibri"/>
                <w:b/>
                <w:color w:val="000000"/>
                <w:sz w:val="18"/>
                <w:szCs w:val="20"/>
              </w:rPr>
              <w:t>Equity</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A71328E" w14:textId="77777777" w:rsidR="00143C9C" w:rsidRDefault="00143C9C">
            <w:pPr>
              <w:spacing w:after="0" w:line="240" w:lineRule="auto"/>
              <w:rPr>
                <w:rFonts w:cs="Calibri"/>
                <w:color w:val="000000"/>
              </w:rPr>
            </w:pPr>
          </w:p>
        </w:tc>
        <w:tc>
          <w:tcPr>
            <w:tcW w:w="1245" w:type="dxa"/>
            <w:tcBorders>
              <w:top w:val="nil"/>
              <w:left w:val="nil"/>
              <w:bottom w:val="nil"/>
              <w:right w:val="nil"/>
              <w:tl2br w:val="nil"/>
              <w:tr2bl w:val="nil"/>
            </w:tcBorders>
            <w:shd w:val="clear" w:color="FFFFFF" w:fill="FFFFFF"/>
            <w:noWrap/>
            <w:tcMar>
              <w:left w:w="0" w:type="dxa"/>
              <w:right w:w="0" w:type="dxa"/>
            </w:tcMar>
            <w:vAlign w:val="bottom"/>
          </w:tcPr>
          <w:p w14:paraId="23AD44C2" w14:textId="77777777" w:rsidR="00143C9C" w:rsidRDefault="00143C9C">
            <w:pPr>
              <w:spacing w:after="0" w:line="240" w:lineRule="auto"/>
              <w:rPr>
                <w:rFonts w:cs="Calibri"/>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493391C7" w14:textId="77777777" w:rsidR="00143C9C" w:rsidRDefault="00143C9C">
            <w:pPr>
              <w:spacing w:after="0" w:line="240" w:lineRule="auto"/>
              <w:rPr>
                <w:rFonts w:cs="Calibri"/>
                <w:b/>
                <w:color w:val="000000"/>
              </w:rPr>
            </w:pPr>
          </w:p>
        </w:tc>
        <w:tc>
          <w:tcPr>
            <w:tcW w:w="600" w:type="dxa"/>
            <w:tcBorders>
              <w:top w:val="nil"/>
              <w:left w:val="nil"/>
              <w:bottom w:val="nil"/>
              <w:right w:val="nil"/>
              <w:tl2br w:val="nil"/>
              <w:tr2bl w:val="nil"/>
            </w:tcBorders>
            <w:shd w:val="clear" w:color="FFFFFF" w:fill="FFFFFF"/>
            <w:noWrap/>
            <w:tcMar>
              <w:left w:w="0" w:type="dxa"/>
              <w:right w:w="0" w:type="dxa"/>
            </w:tcMar>
            <w:vAlign w:val="bottom"/>
          </w:tcPr>
          <w:p w14:paraId="5A6C6E30" w14:textId="77777777" w:rsidR="00143C9C" w:rsidRDefault="00143C9C">
            <w:pPr>
              <w:spacing w:after="0" w:line="240" w:lineRule="auto"/>
              <w:rPr>
                <w:rFonts w:cs="Calibri"/>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0CCBFAB0" w14:textId="77777777" w:rsidR="00143C9C" w:rsidRDefault="00143C9C">
            <w:pPr>
              <w:spacing w:after="0" w:line="240" w:lineRule="auto"/>
              <w:rPr>
                <w:rFonts w:cs="Calibri"/>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085CDDD9" w14:textId="77777777" w:rsidR="00143C9C" w:rsidRDefault="00143C9C">
            <w:pPr>
              <w:spacing w:after="0" w:line="240" w:lineRule="auto"/>
              <w:rPr>
                <w:rFonts w:cs="Calibri"/>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6DB7923D" w14:textId="77777777" w:rsidR="00143C9C" w:rsidRDefault="00143C9C">
            <w:pPr>
              <w:spacing w:after="0" w:line="240" w:lineRule="auto"/>
              <w:rPr>
                <w:rFonts w:cs="Calibri"/>
                <w:b/>
                <w:color w:val="000000"/>
              </w:rPr>
            </w:pPr>
          </w:p>
        </w:tc>
      </w:tr>
      <w:tr w:rsidR="00143C9C" w14:paraId="67E1E4A0"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547AE231"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Accumulated Funds</w:t>
            </w:r>
          </w:p>
        </w:tc>
        <w:tc>
          <w:tcPr>
            <w:tcW w:w="1035" w:type="dxa"/>
            <w:tcBorders>
              <w:top w:val="nil"/>
              <w:left w:val="nil"/>
              <w:bottom w:val="nil"/>
              <w:right w:val="nil"/>
              <w:tl2br w:val="nil"/>
              <w:tr2bl w:val="nil"/>
            </w:tcBorders>
            <w:shd w:val="clear" w:color="FFFFFF" w:fill="FFFFFF"/>
            <w:tcMar>
              <w:left w:w="40" w:type="dxa"/>
              <w:right w:w="40" w:type="dxa"/>
            </w:tcMar>
          </w:tcPr>
          <w:p w14:paraId="094447F9"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1,604,774</w:t>
            </w:r>
          </w:p>
        </w:tc>
        <w:tc>
          <w:tcPr>
            <w:tcW w:w="1245" w:type="dxa"/>
            <w:tcBorders>
              <w:top w:val="nil"/>
              <w:left w:val="nil"/>
              <w:bottom w:val="nil"/>
              <w:right w:val="nil"/>
              <w:tl2br w:val="nil"/>
              <w:tr2bl w:val="nil"/>
            </w:tcBorders>
            <w:shd w:val="clear" w:color="FFFFFF" w:fill="FFFFFF"/>
            <w:tcMar>
              <w:left w:w="40" w:type="dxa"/>
              <w:right w:w="40" w:type="dxa"/>
            </w:tcMar>
          </w:tcPr>
          <w:p w14:paraId="1B89CA97"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1,784,309</w:t>
            </w:r>
          </w:p>
        </w:tc>
        <w:tc>
          <w:tcPr>
            <w:tcW w:w="1035" w:type="dxa"/>
            <w:tcBorders>
              <w:top w:val="nil"/>
              <w:left w:val="nil"/>
              <w:bottom w:val="nil"/>
              <w:right w:val="nil"/>
              <w:tl2br w:val="nil"/>
              <w:tr2bl w:val="nil"/>
            </w:tcBorders>
            <w:shd w:val="clear" w:color="FFFFFF" w:fill="FFFFFF"/>
            <w:tcMar>
              <w:left w:w="40" w:type="dxa"/>
              <w:right w:w="40" w:type="dxa"/>
            </w:tcMar>
          </w:tcPr>
          <w:p w14:paraId="102DC000"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2,527,179</w:t>
            </w:r>
          </w:p>
        </w:tc>
        <w:tc>
          <w:tcPr>
            <w:tcW w:w="600" w:type="dxa"/>
            <w:tcBorders>
              <w:top w:val="nil"/>
              <w:left w:val="nil"/>
              <w:bottom w:val="nil"/>
              <w:right w:val="nil"/>
              <w:tl2br w:val="nil"/>
              <w:tr2bl w:val="nil"/>
            </w:tcBorders>
            <w:shd w:val="clear" w:color="FFFFFF" w:fill="FFFFFF"/>
            <w:tcMar>
              <w:left w:w="40" w:type="dxa"/>
              <w:right w:w="40" w:type="dxa"/>
            </w:tcMar>
          </w:tcPr>
          <w:p w14:paraId="462B7BDE"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42 </w:t>
            </w:r>
          </w:p>
        </w:tc>
        <w:tc>
          <w:tcPr>
            <w:tcW w:w="1035" w:type="dxa"/>
            <w:tcBorders>
              <w:top w:val="nil"/>
              <w:left w:val="nil"/>
              <w:bottom w:val="nil"/>
              <w:right w:val="nil"/>
              <w:tl2br w:val="nil"/>
              <w:tr2bl w:val="nil"/>
            </w:tcBorders>
            <w:shd w:val="clear" w:color="FFFFFF" w:fill="FFFFFF"/>
            <w:tcMar>
              <w:left w:w="40" w:type="dxa"/>
              <w:right w:w="40" w:type="dxa"/>
            </w:tcMar>
          </w:tcPr>
          <w:p w14:paraId="0D3BD283"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2,804,290</w:t>
            </w:r>
          </w:p>
        </w:tc>
        <w:tc>
          <w:tcPr>
            <w:tcW w:w="1035" w:type="dxa"/>
            <w:tcBorders>
              <w:top w:val="nil"/>
              <w:left w:val="nil"/>
              <w:bottom w:val="nil"/>
              <w:right w:val="nil"/>
              <w:tl2br w:val="nil"/>
              <w:tr2bl w:val="nil"/>
            </w:tcBorders>
            <w:shd w:val="clear" w:color="FFFFFF" w:fill="FFFFFF"/>
            <w:tcMar>
              <w:left w:w="40" w:type="dxa"/>
              <w:right w:w="40" w:type="dxa"/>
            </w:tcMar>
          </w:tcPr>
          <w:p w14:paraId="4B079D6B"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3,024,152</w:t>
            </w:r>
          </w:p>
        </w:tc>
        <w:tc>
          <w:tcPr>
            <w:tcW w:w="1035" w:type="dxa"/>
            <w:tcBorders>
              <w:top w:val="nil"/>
              <w:left w:val="nil"/>
              <w:bottom w:val="nil"/>
              <w:right w:val="nil"/>
              <w:tl2br w:val="nil"/>
              <w:tr2bl w:val="nil"/>
            </w:tcBorders>
            <w:shd w:val="clear" w:color="FFFFFF" w:fill="FFFFFF"/>
            <w:tcMar>
              <w:left w:w="40" w:type="dxa"/>
              <w:right w:w="40" w:type="dxa"/>
            </w:tcMar>
          </w:tcPr>
          <w:p w14:paraId="7E2EE3B0"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3,295,428</w:t>
            </w:r>
          </w:p>
        </w:tc>
      </w:tr>
      <w:tr w:rsidR="00143C9C" w14:paraId="6B966CA0"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600CBA8B" w14:textId="77777777" w:rsidR="00143C9C" w:rsidRDefault="009B5C32" w:rsidP="00D03A22">
            <w:pPr>
              <w:pBdr>
                <w:top w:val="nil"/>
                <w:left w:val="nil"/>
                <w:bottom w:val="nil"/>
                <w:right w:val="nil"/>
                <w:between w:val="nil"/>
                <w:bar w:val="nil"/>
              </w:pBdr>
              <w:spacing w:after="0" w:line="240" w:lineRule="auto"/>
              <w:ind w:left="244" w:hanging="244"/>
              <w:rPr>
                <w:rFonts w:cs="Calibri"/>
                <w:color w:val="000000"/>
              </w:rPr>
            </w:pPr>
            <w:r>
              <w:rPr>
                <w:rFonts w:cs="Calibri"/>
                <w:color w:val="000000"/>
                <w:sz w:val="18"/>
                <w:szCs w:val="20"/>
              </w:rPr>
              <w:t>Asset Revaluation Surplus</w:t>
            </w:r>
          </w:p>
        </w:tc>
        <w:tc>
          <w:tcPr>
            <w:tcW w:w="1035" w:type="dxa"/>
            <w:tcBorders>
              <w:top w:val="nil"/>
              <w:left w:val="nil"/>
              <w:bottom w:val="nil"/>
              <w:right w:val="nil"/>
              <w:tl2br w:val="nil"/>
              <w:tr2bl w:val="nil"/>
            </w:tcBorders>
            <w:shd w:val="clear" w:color="FFFFFF" w:fill="FFFFFF"/>
            <w:tcMar>
              <w:left w:w="40" w:type="dxa"/>
              <w:right w:w="40" w:type="dxa"/>
            </w:tcMar>
          </w:tcPr>
          <w:p w14:paraId="635D6054"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418,877</w:t>
            </w:r>
          </w:p>
        </w:tc>
        <w:tc>
          <w:tcPr>
            <w:tcW w:w="1245" w:type="dxa"/>
            <w:tcBorders>
              <w:top w:val="nil"/>
              <w:left w:val="nil"/>
              <w:bottom w:val="nil"/>
              <w:right w:val="nil"/>
              <w:tl2br w:val="nil"/>
              <w:tr2bl w:val="nil"/>
            </w:tcBorders>
            <w:shd w:val="clear" w:color="FFFFFF" w:fill="FFFFFF"/>
            <w:tcMar>
              <w:left w:w="40" w:type="dxa"/>
              <w:right w:w="40" w:type="dxa"/>
            </w:tcMar>
          </w:tcPr>
          <w:p w14:paraId="10455DB2"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440,190</w:t>
            </w:r>
          </w:p>
        </w:tc>
        <w:tc>
          <w:tcPr>
            <w:tcW w:w="1035" w:type="dxa"/>
            <w:tcBorders>
              <w:top w:val="nil"/>
              <w:left w:val="nil"/>
              <w:bottom w:val="nil"/>
              <w:right w:val="nil"/>
              <w:tl2br w:val="nil"/>
              <w:tr2bl w:val="nil"/>
            </w:tcBorders>
            <w:shd w:val="clear" w:color="FFFFFF" w:fill="FFFFFF"/>
            <w:tcMar>
              <w:left w:w="40" w:type="dxa"/>
              <w:right w:w="40" w:type="dxa"/>
            </w:tcMar>
          </w:tcPr>
          <w:p w14:paraId="50282DB6"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474,975</w:t>
            </w:r>
          </w:p>
        </w:tc>
        <w:tc>
          <w:tcPr>
            <w:tcW w:w="600" w:type="dxa"/>
            <w:tcBorders>
              <w:top w:val="nil"/>
              <w:left w:val="nil"/>
              <w:bottom w:val="nil"/>
              <w:right w:val="nil"/>
              <w:tl2br w:val="nil"/>
              <w:tr2bl w:val="nil"/>
            </w:tcBorders>
            <w:shd w:val="clear" w:color="FFFFFF" w:fill="FFFFFF"/>
            <w:tcMar>
              <w:left w:w="40" w:type="dxa"/>
              <w:right w:w="40" w:type="dxa"/>
            </w:tcMar>
          </w:tcPr>
          <w:p w14:paraId="306E73DD"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185FA979"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409,070</w:t>
            </w:r>
          </w:p>
        </w:tc>
        <w:tc>
          <w:tcPr>
            <w:tcW w:w="1035" w:type="dxa"/>
            <w:tcBorders>
              <w:top w:val="nil"/>
              <w:left w:val="nil"/>
              <w:bottom w:val="nil"/>
              <w:right w:val="nil"/>
              <w:tl2br w:val="nil"/>
              <w:tr2bl w:val="nil"/>
            </w:tcBorders>
            <w:shd w:val="clear" w:color="FFFFFF" w:fill="FFFFFF"/>
            <w:tcMar>
              <w:left w:w="40" w:type="dxa"/>
              <w:right w:w="40" w:type="dxa"/>
            </w:tcMar>
          </w:tcPr>
          <w:p w14:paraId="28F545AC"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409,070</w:t>
            </w:r>
          </w:p>
        </w:tc>
        <w:tc>
          <w:tcPr>
            <w:tcW w:w="1035" w:type="dxa"/>
            <w:tcBorders>
              <w:top w:val="nil"/>
              <w:left w:val="nil"/>
              <w:bottom w:val="nil"/>
              <w:right w:val="nil"/>
              <w:tl2br w:val="nil"/>
              <w:tr2bl w:val="nil"/>
            </w:tcBorders>
            <w:shd w:val="clear" w:color="FFFFFF" w:fill="FFFFFF"/>
            <w:tcMar>
              <w:left w:w="40" w:type="dxa"/>
              <w:right w:w="40" w:type="dxa"/>
            </w:tcMar>
          </w:tcPr>
          <w:p w14:paraId="647EB298" w14:textId="77777777" w:rsidR="00143C9C" w:rsidRDefault="009B5C32">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409,070</w:t>
            </w:r>
          </w:p>
        </w:tc>
      </w:tr>
      <w:tr w:rsidR="00143C9C" w14:paraId="25BC11D5"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04D21630" w14:textId="77777777" w:rsidR="00143C9C" w:rsidRDefault="009B5C32" w:rsidP="00D03A22">
            <w:pPr>
              <w:pBdr>
                <w:top w:val="nil"/>
                <w:left w:val="nil"/>
                <w:bottom w:val="nil"/>
                <w:right w:val="nil"/>
                <w:between w:val="nil"/>
                <w:bar w:val="nil"/>
              </w:pBdr>
              <w:spacing w:after="0" w:line="240" w:lineRule="auto"/>
              <w:ind w:left="244" w:hanging="244"/>
              <w:rPr>
                <w:rFonts w:cs="Calibri"/>
                <w:b/>
                <w:color w:val="000000"/>
              </w:rPr>
            </w:pPr>
            <w:r>
              <w:rPr>
                <w:rFonts w:cs="Calibri"/>
                <w:b/>
                <w:color w:val="000000"/>
                <w:sz w:val="18"/>
                <w:szCs w:val="20"/>
              </w:rPr>
              <w:t>TOTAL EQUITY</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AA9DDD2"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2,023,651</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31AF857A"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2,224,499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5A05809"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3,002,154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35E2C61"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ED980A6"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3,213,360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92919FF"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3,433,222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8D74698" w14:textId="77777777" w:rsidR="00143C9C" w:rsidRDefault="009B5C32">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3,704,498</w:t>
            </w:r>
          </w:p>
        </w:tc>
      </w:tr>
      <w:tr w:rsidR="00143C9C" w14:paraId="3A8C2497"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175" w:type="dxa"/>
            <w:tcBorders>
              <w:top w:val="nil"/>
              <w:left w:val="nil"/>
              <w:bottom w:val="single" w:sz="12" w:space="0" w:color="000000"/>
              <w:right w:val="nil"/>
              <w:tl2br w:val="nil"/>
              <w:tr2bl w:val="nil"/>
            </w:tcBorders>
            <w:shd w:val="clear" w:color="FFFFFF" w:fill="FFFFFF"/>
            <w:tcMar>
              <w:left w:w="0" w:type="dxa"/>
              <w:right w:w="0" w:type="dxa"/>
            </w:tcMar>
          </w:tcPr>
          <w:p w14:paraId="3B04DF56" w14:textId="77777777" w:rsidR="00143C9C" w:rsidRDefault="00143C9C">
            <w:pPr>
              <w:spacing w:after="0" w:line="240" w:lineRule="auto"/>
              <w:rPr>
                <w:rFonts w:cs="Calibri"/>
                <w:color w:val="000000"/>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44F8C09B" w14:textId="77777777" w:rsidR="00143C9C" w:rsidRDefault="00143C9C">
            <w:pPr>
              <w:spacing w:after="0" w:line="240" w:lineRule="auto"/>
              <w:rPr>
                <w:rFonts w:cs="Calibri"/>
                <w:color w:val="000000"/>
              </w:rPr>
            </w:pPr>
          </w:p>
        </w:tc>
        <w:tc>
          <w:tcPr>
            <w:tcW w:w="1245" w:type="dxa"/>
            <w:tcBorders>
              <w:top w:val="nil"/>
              <w:left w:val="nil"/>
              <w:bottom w:val="single" w:sz="12" w:space="0" w:color="000000"/>
              <w:right w:val="nil"/>
              <w:tl2br w:val="nil"/>
              <w:tr2bl w:val="nil"/>
            </w:tcBorders>
            <w:shd w:val="clear" w:color="FFFFFF" w:fill="FFFFFF"/>
            <w:tcMar>
              <w:left w:w="0" w:type="dxa"/>
              <w:right w:w="0" w:type="dxa"/>
            </w:tcMar>
          </w:tcPr>
          <w:p w14:paraId="1601D666" w14:textId="77777777" w:rsidR="00143C9C" w:rsidRDefault="00143C9C">
            <w:pPr>
              <w:spacing w:after="0" w:line="240" w:lineRule="auto"/>
              <w:rPr>
                <w:rFonts w:cs="Calibri"/>
                <w:color w:val="000000"/>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5F8AC398" w14:textId="77777777" w:rsidR="00143C9C" w:rsidRDefault="00143C9C">
            <w:pPr>
              <w:spacing w:after="0" w:line="240" w:lineRule="auto"/>
              <w:rPr>
                <w:rFonts w:cs="Calibri"/>
                <w:color w:val="000000"/>
              </w:rPr>
            </w:pPr>
          </w:p>
        </w:tc>
        <w:tc>
          <w:tcPr>
            <w:tcW w:w="600" w:type="dxa"/>
            <w:tcBorders>
              <w:top w:val="nil"/>
              <w:left w:val="nil"/>
              <w:bottom w:val="single" w:sz="12" w:space="0" w:color="000000"/>
              <w:right w:val="nil"/>
              <w:tl2br w:val="nil"/>
              <w:tr2bl w:val="nil"/>
            </w:tcBorders>
            <w:shd w:val="clear" w:color="FFFFFF" w:fill="FFFFFF"/>
            <w:tcMar>
              <w:left w:w="0" w:type="dxa"/>
              <w:right w:w="0" w:type="dxa"/>
            </w:tcMar>
          </w:tcPr>
          <w:p w14:paraId="697E956D" w14:textId="77777777" w:rsidR="00143C9C" w:rsidRDefault="00143C9C">
            <w:pPr>
              <w:spacing w:after="0" w:line="240" w:lineRule="auto"/>
              <w:rPr>
                <w:rFonts w:cs="Calibri"/>
                <w:color w:val="000000"/>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3837766D" w14:textId="77777777" w:rsidR="00143C9C" w:rsidRDefault="00143C9C">
            <w:pPr>
              <w:spacing w:after="0" w:line="240" w:lineRule="auto"/>
              <w:rPr>
                <w:rFonts w:cs="Calibri"/>
                <w:color w:val="000000"/>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42C708CB" w14:textId="77777777" w:rsidR="00143C9C" w:rsidRDefault="00143C9C">
            <w:pPr>
              <w:spacing w:after="0" w:line="240" w:lineRule="auto"/>
              <w:rPr>
                <w:rFonts w:cs="Calibri"/>
                <w:color w:val="000000"/>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68A91B60" w14:textId="77777777" w:rsidR="00143C9C" w:rsidRDefault="00143C9C">
            <w:pPr>
              <w:spacing w:after="0" w:line="240" w:lineRule="auto"/>
              <w:rPr>
                <w:rFonts w:cs="Calibri"/>
                <w:color w:val="000000"/>
              </w:rPr>
            </w:pPr>
          </w:p>
        </w:tc>
      </w:tr>
    </w:tbl>
    <w:p w14:paraId="2D649238" w14:textId="77777777" w:rsidR="00FE62CF" w:rsidRDefault="009B5C32">
      <w:pPr>
        <w:pBdr>
          <w:top w:val="nil"/>
          <w:left w:val="nil"/>
          <w:bottom w:val="nil"/>
          <w:right w:val="nil"/>
          <w:between w:val="nil"/>
          <w:bar w:val="nil"/>
        </w:pBdr>
        <w:spacing w:after="160" w:line="259" w:lineRule="auto"/>
        <w:rPr>
          <w:lang w:val="en-AU"/>
        </w:rPr>
      </w:pPr>
      <w:r>
        <w:rPr>
          <w:rFonts w:ascii="Calibri" w:eastAsia="Times New Roman" w:hAnsi="Calibri" w:cs="Times New Roman"/>
          <w:sz w:val="18"/>
          <w:szCs w:val="20"/>
          <w:lang w:val="en-AU"/>
        </w:rPr>
        <w:br w:type="page"/>
      </w:r>
    </w:p>
    <w:p w14:paraId="064A2E43" w14:textId="3F4CF7F7" w:rsidR="00FE62CF" w:rsidRDefault="009B5C32" w:rsidP="001F12F9">
      <w:pPr>
        <w:pStyle w:val="Caption"/>
        <w:pBdr>
          <w:top w:val="nil"/>
          <w:left w:val="nil"/>
          <w:bottom w:val="nil"/>
          <w:right w:val="nil"/>
          <w:between w:val="nil"/>
          <w:bar w:val="nil"/>
        </w:pBdr>
      </w:pPr>
      <w:r>
        <w:lastRenderedPageBreak/>
        <w:t>Table 1</w:t>
      </w:r>
      <w:r w:rsidR="00633F76">
        <w:t>2</w:t>
      </w:r>
      <w:r>
        <w:t>: Infrastructure Canberra: Statement of Changes in Equity ($’000)</w:t>
      </w:r>
    </w:p>
    <w:tbl>
      <w:tblPr>
        <w:tblStyle w:val="CDMRange1"/>
        <w:tblW w:w="9150" w:type="dxa"/>
        <w:tblLayout w:type="fixed"/>
        <w:tblLook w:val="0620" w:firstRow="1" w:lastRow="0" w:firstColumn="0" w:lastColumn="0" w:noHBand="1" w:noVBand="1"/>
      </w:tblPr>
      <w:tblGrid>
        <w:gridCol w:w="2370"/>
        <w:gridCol w:w="1035"/>
        <w:gridCol w:w="1005"/>
        <w:gridCol w:w="1035"/>
        <w:gridCol w:w="600"/>
        <w:gridCol w:w="1035"/>
        <w:gridCol w:w="1035"/>
        <w:gridCol w:w="1035"/>
      </w:tblGrid>
      <w:tr w:rsidR="00143C9C" w14:paraId="6D8F37EC" w14:textId="77777777" w:rsidTr="00BE2852">
        <w:trPr>
          <w:trHeight w:val="840"/>
          <w:tblHeader/>
        </w:trPr>
        <w:tc>
          <w:tcPr>
            <w:tcW w:w="2370" w:type="dxa"/>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66DD717E" w14:textId="77777777" w:rsidR="00143C9C" w:rsidRDefault="00143C9C">
            <w:pPr>
              <w:rPr>
                <w:rFonts w:eastAsia="Calibri" w:cs="Calibri"/>
                <w:b/>
                <w:color w:val="000000"/>
                <w:lang w:eastAsia="en-US"/>
              </w:rPr>
            </w:pP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857CE9B"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Budget </w:t>
            </w:r>
          </w:p>
          <w:p w14:paraId="3B9DF65D"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30/6/26</w:t>
            </w:r>
          </w:p>
        </w:tc>
        <w:tc>
          <w:tcPr>
            <w:tcW w:w="100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36011066" w14:textId="60B7732F"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Estimated Outcome at 30/6/2</w:t>
            </w:r>
            <w:r w:rsidR="00D973CF">
              <w:rPr>
                <w:rFonts w:ascii="Calibri" w:eastAsia="Calibri" w:hAnsi="Calibri" w:cs="Calibri"/>
                <w:b/>
                <w:color w:val="000000"/>
                <w:sz w:val="18"/>
                <w:lang w:eastAsia="en-US"/>
              </w:rPr>
              <w:t>6</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1DEDEE3"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Budget </w:t>
            </w:r>
          </w:p>
          <w:p w14:paraId="3E198F65"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30/6/27</w:t>
            </w:r>
          </w:p>
        </w:tc>
        <w:tc>
          <w:tcPr>
            <w:tcW w:w="60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59EE2DD"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Var</w:t>
            </w:r>
          </w:p>
          <w:p w14:paraId="6B723BEF"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8721F36"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Estimate</w:t>
            </w:r>
          </w:p>
          <w:p w14:paraId="6D2416EF"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30/6/28</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C90B122"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Estimate</w:t>
            </w:r>
          </w:p>
          <w:p w14:paraId="75E824D0"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30/6/29</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5D939FE"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Estimate</w:t>
            </w:r>
          </w:p>
          <w:p w14:paraId="5992BDFB"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30/6/30</w:t>
            </w:r>
          </w:p>
        </w:tc>
      </w:tr>
      <w:tr w:rsidR="00143C9C" w14:paraId="519BEA5A"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single" w:sz="12" w:space="0" w:color="000000"/>
              <w:left w:val="nil"/>
              <w:bottom w:val="nil"/>
              <w:right w:val="nil"/>
              <w:tl2br w:val="nil"/>
              <w:tr2bl w:val="nil"/>
            </w:tcBorders>
            <w:tcMar>
              <w:left w:w="40" w:type="dxa"/>
              <w:right w:w="40" w:type="dxa"/>
            </w:tcMar>
            <w:vAlign w:val="bottom"/>
          </w:tcPr>
          <w:p w14:paraId="2A614E99" w14:textId="77777777" w:rsidR="00143C9C" w:rsidRDefault="009B5C32" w:rsidP="00627D90">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Opening Equity</w:t>
            </w:r>
          </w:p>
        </w:tc>
        <w:tc>
          <w:tcPr>
            <w:tcW w:w="1035" w:type="dxa"/>
            <w:tcBorders>
              <w:top w:val="single" w:sz="12" w:space="0" w:color="000000"/>
              <w:left w:val="nil"/>
              <w:bottom w:val="nil"/>
              <w:right w:val="nil"/>
              <w:tl2br w:val="nil"/>
              <w:tr2bl w:val="nil"/>
            </w:tcBorders>
            <w:shd w:val="clear" w:color="FFFFFF" w:fill="FFFFFF"/>
            <w:noWrap/>
            <w:tcMar>
              <w:left w:w="0" w:type="dxa"/>
              <w:right w:w="0" w:type="dxa"/>
            </w:tcMar>
            <w:vAlign w:val="bottom"/>
          </w:tcPr>
          <w:p w14:paraId="721112C7" w14:textId="77777777" w:rsidR="00143C9C" w:rsidRDefault="00143C9C">
            <w:pPr>
              <w:jc w:val="right"/>
              <w:rPr>
                <w:rFonts w:eastAsia="Calibri" w:cs="Calibri"/>
                <w:b/>
                <w:i/>
                <w:color w:val="000000"/>
                <w:lang w:eastAsia="en-US"/>
              </w:rPr>
            </w:pPr>
          </w:p>
        </w:tc>
        <w:tc>
          <w:tcPr>
            <w:tcW w:w="1005" w:type="dxa"/>
            <w:tcBorders>
              <w:top w:val="single" w:sz="12" w:space="0" w:color="000000"/>
              <w:left w:val="nil"/>
              <w:bottom w:val="nil"/>
              <w:right w:val="nil"/>
              <w:tl2br w:val="nil"/>
              <w:tr2bl w:val="nil"/>
            </w:tcBorders>
            <w:shd w:val="clear" w:color="FFFFFF" w:fill="FFFFFF"/>
            <w:noWrap/>
            <w:tcMar>
              <w:left w:w="0" w:type="dxa"/>
              <w:right w:w="0" w:type="dxa"/>
            </w:tcMar>
            <w:vAlign w:val="bottom"/>
          </w:tcPr>
          <w:p w14:paraId="140A5C46" w14:textId="77777777" w:rsidR="00143C9C" w:rsidRDefault="00143C9C">
            <w:pPr>
              <w:jc w:val="right"/>
              <w:rPr>
                <w:rFonts w:eastAsia="Calibri" w:cs="Calibri"/>
                <w:b/>
                <w:i/>
                <w:color w:val="000000"/>
                <w:lang w:eastAsia="en-US"/>
              </w:rPr>
            </w:pPr>
          </w:p>
        </w:tc>
        <w:tc>
          <w:tcPr>
            <w:tcW w:w="1035" w:type="dxa"/>
            <w:tcBorders>
              <w:top w:val="single" w:sz="12" w:space="0" w:color="000000"/>
              <w:left w:val="nil"/>
              <w:bottom w:val="nil"/>
              <w:right w:val="nil"/>
              <w:tl2br w:val="nil"/>
              <w:tr2bl w:val="nil"/>
            </w:tcBorders>
            <w:shd w:val="clear" w:color="FFFFFF" w:fill="FFFFFF"/>
            <w:noWrap/>
            <w:tcMar>
              <w:left w:w="0" w:type="dxa"/>
              <w:right w:w="0" w:type="dxa"/>
            </w:tcMar>
            <w:vAlign w:val="bottom"/>
          </w:tcPr>
          <w:p w14:paraId="6C82A632" w14:textId="77777777" w:rsidR="00143C9C" w:rsidRDefault="00143C9C">
            <w:pPr>
              <w:jc w:val="right"/>
              <w:rPr>
                <w:rFonts w:eastAsia="Calibri" w:cs="Calibri"/>
                <w:b/>
                <w:i/>
                <w:color w:val="000000"/>
                <w:lang w:eastAsia="en-US"/>
              </w:rPr>
            </w:pPr>
          </w:p>
        </w:tc>
        <w:tc>
          <w:tcPr>
            <w:tcW w:w="600" w:type="dxa"/>
            <w:tcBorders>
              <w:top w:val="single" w:sz="12" w:space="0" w:color="000000"/>
              <w:left w:val="nil"/>
              <w:bottom w:val="nil"/>
              <w:right w:val="nil"/>
              <w:tl2br w:val="nil"/>
              <w:tr2bl w:val="nil"/>
            </w:tcBorders>
            <w:shd w:val="clear" w:color="FFFFFF" w:fill="FFFFFF"/>
            <w:noWrap/>
            <w:tcMar>
              <w:left w:w="0" w:type="dxa"/>
              <w:right w:w="0" w:type="dxa"/>
            </w:tcMar>
            <w:vAlign w:val="bottom"/>
          </w:tcPr>
          <w:p w14:paraId="6B2EB1EA" w14:textId="77777777" w:rsidR="00143C9C" w:rsidRDefault="00143C9C">
            <w:pPr>
              <w:jc w:val="right"/>
              <w:rPr>
                <w:rFonts w:eastAsia="Calibri" w:cs="Calibri"/>
                <w:b/>
                <w:i/>
                <w:color w:val="000000"/>
                <w:lang w:eastAsia="en-US"/>
              </w:rPr>
            </w:pPr>
          </w:p>
        </w:tc>
        <w:tc>
          <w:tcPr>
            <w:tcW w:w="1035" w:type="dxa"/>
            <w:tcBorders>
              <w:top w:val="single" w:sz="12" w:space="0" w:color="000000"/>
              <w:left w:val="nil"/>
              <w:bottom w:val="nil"/>
              <w:right w:val="nil"/>
              <w:tl2br w:val="nil"/>
              <w:tr2bl w:val="nil"/>
            </w:tcBorders>
            <w:shd w:val="clear" w:color="FFFFFF" w:fill="FFFFFF"/>
            <w:noWrap/>
            <w:tcMar>
              <w:left w:w="0" w:type="dxa"/>
              <w:right w:w="0" w:type="dxa"/>
            </w:tcMar>
            <w:vAlign w:val="bottom"/>
          </w:tcPr>
          <w:p w14:paraId="796C519E" w14:textId="77777777" w:rsidR="00143C9C" w:rsidRDefault="00143C9C">
            <w:pPr>
              <w:jc w:val="right"/>
              <w:rPr>
                <w:rFonts w:eastAsia="Calibri" w:cs="Calibri"/>
                <w:b/>
                <w:i/>
                <w:color w:val="000000"/>
                <w:lang w:eastAsia="en-US"/>
              </w:rPr>
            </w:pPr>
          </w:p>
        </w:tc>
        <w:tc>
          <w:tcPr>
            <w:tcW w:w="1035" w:type="dxa"/>
            <w:tcBorders>
              <w:top w:val="single" w:sz="12" w:space="0" w:color="000000"/>
              <w:left w:val="nil"/>
              <w:bottom w:val="nil"/>
              <w:right w:val="nil"/>
              <w:tl2br w:val="nil"/>
              <w:tr2bl w:val="nil"/>
            </w:tcBorders>
            <w:shd w:val="clear" w:color="FFFFFF" w:fill="FFFFFF"/>
            <w:noWrap/>
            <w:tcMar>
              <w:left w:w="0" w:type="dxa"/>
              <w:right w:w="0" w:type="dxa"/>
            </w:tcMar>
            <w:vAlign w:val="bottom"/>
          </w:tcPr>
          <w:p w14:paraId="4B842517" w14:textId="77777777" w:rsidR="00143C9C" w:rsidRDefault="00143C9C">
            <w:pPr>
              <w:jc w:val="right"/>
              <w:rPr>
                <w:rFonts w:eastAsia="Calibri" w:cs="Calibri"/>
                <w:b/>
                <w:i/>
                <w:color w:val="000000"/>
                <w:lang w:eastAsia="en-US"/>
              </w:rPr>
            </w:pPr>
          </w:p>
        </w:tc>
        <w:tc>
          <w:tcPr>
            <w:tcW w:w="1035" w:type="dxa"/>
            <w:tcBorders>
              <w:top w:val="single" w:sz="12" w:space="0" w:color="000000"/>
              <w:left w:val="nil"/>
              <w:bottom w:val="nil"/>
              <w:right w:val="nil"/>
              <w:tl2br w:val="nil"/>
              <w:tr2bl w:val="nil"/>
            </w:tcBorders>
            <w:shd w:val="clear" w:color="FFFFFF" w:fill="FFFFFF"/>
            <w:noWrap/>
            <w:tcMar>
              <w:left w:w="0" w:type="dxa"/>
              <w:right w:w="0" w:type="dxa"/>
            </w:tcMar>
            <w:vAlign w:val="bottom"/>
          </w:tcPr>
          <w:p w14:paraId="278FC597" w14:textId="77777777" w:rsidR="00143C9C" w:rsidRDefault="00143C9C">
            <w:pPr>
              <w:jc w:val="right"/>
              <w:rPr>
                <w:rFonts w:eastAsia="Calibri" w:cs="Calibri"/>
                <w:b/>
                <w:i/>
                <w:color w:val="000000"/>
                <w:lang w:eastAsia="en-US"/>
              </w:rPr>
            </w:pPr>
          </w:p>
        </w:tc>
      </w:tr>
      <w:tr w:rsidR="00143C9C" w14:paraId="7FC64776"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657A56E2" w14:textId="77777777" w:rsidR="00143C9C" w:rsidRDefault="009B5C32" w:rsidP="00627D90">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Opening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2164144A"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1,137,039</w:t>
            </w:r>
          </w:p>
        </w:tc>
        <w:tc>
          <w:tcPr>
            <w:tcW w:w="1005" w:type="dxa"/>
            <w:tcBorders>
              <w:top w:val="nil"/>
              <w:left w:val="nil"/>
              <w:bottom w:val="nil"/>
              <w:right w:val="nil"/>
              <w:tl2br w:val="nil"/>
              <w:tr2bl w:val="nil"/>
            </w:tcBorders>
            <w:shd w:val="clear" w:color="FFFFFF" w:fill="FFFFFF"/>
            <w:tcMar>
              <w:left w:w="40" w:type="dxa"/>
              <w:right w:w="40" w:type="dxa"/>
            </w:tcMar>
          </w:tcPr>
          <w:p w14:paraId="176B1BD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1,386,851</w:t>
            </w:r>
          </w:p>
        </w:tc>
        <w:tc>
          <w:tcPr>
            <w:tcW w:w="1035" w:type="dxa"/>
            <w:tcBorders>
              <w:top w:val="nil"/>
              <w:left w:val="nil"/>
              <w:bottom w:val="nil"/>
              <w:right w:val="nil"/>
              <w:tl2br w:val="nil"/>
              <w:tr2bl w:val="nil"/>
            </w:tcBorders>
            <w:shd w:val="clear" w:color="FFFFFF" w:fill="FFFFFF"/>
            <w:tcMar>
              <w:left w:w="40" w:type="dxa"/>
              <w:right w:w="40" w:type="dxa"/>
            </w:tcMar>
          </w:tcPr>
          <w:p w14:paraId="031819D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1,784,309</w:t>
            </w:r>
          </w:p>
        </w:tc>
        <w:tc>
          <w:tcPr>
            <w:tcW w:w="600" w:type="dxa"/>
            <w:tcBorders>
              <w:top w:val="nil"/>
              <w:left w:val="nil"/>
              <w:bottom w:val="nil"/>
              <w:right w:val="nil"/>
              <w:tl2br w:val="nil"/>
              <w:tr2bl w:val="nil"/>
            </w:tcBorders>
            <w:shd w:val="clear" w:color="FFFFFF" w:fill="FFFFFF"/>
            <w:tcMar>
              <w:left w:w="40" w:type="dxa"/>
              <w:right w:w="40" w:type="dxa"/>
            </w:tcMar>
          </w:tcPr>
          <w:p w14:paraId="4EA3336D"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29 </w:t>
            </w:r>
          </w:p>
        </w:tc>
        <w:tc>
          <w:tcPr>
            <w:tcW w:w="1035" w:type="dxa"/>
            <w:tcBorders>
              <w:top w:val="nil"/>
              <w:left w:val="nil"/>
              <w:bottom w:val="nil"/>
              <w:right w:val="nil"/>
              <w:tl2br w:val="nil"/>
              <w:tr2bl w:val="nil"/>
            </w:tcBorders>
            <w:shd w:val="clear" w:color="FFFFFF" w:fill="FFFFFF"/>
            <w:tcMar>
              <w:left w:w="40" w:type="dxa"/>
              <w:right w:w="40" w:type="dxa"/>
            </w:tcMar>
          </w:tcPr>
          <w:p w14:paraId="65F8C7E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2,527,179</w:t>
            </w:r>
          </w:p>
        </w:tc>
        <w:tc>
          <w:tcPr>
            <w:tcW w:w="1035" w:type="dxa"/>
            <w:tcBorders>
              <w:top w:val="nil"/>
              <w:left w:val="nil"/>
              <w:bottom w:val="nil"/>
              <w:right w:val="nil"/>
              <w:tl2br w:val="nil"/>
              <w:tr2bl w:val="nil"/>
            </w:tcBorders>
            <w:shd w:val="clear" w:color="FFFFFF" w:fill="FFFFFF"/>
            <w:tcMar>
              <w:left w:w="40" w:type="dxa"/>
              <w:right w:w="40" w:type="dxa"/>
            </w:tcMar>
          </w:tcPr>
          <w:p w14:paraId="1419913B"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2,804,290</w:t>
            </w:r>
          </w:p>
        </w:tc>
        <w:tc>
          <w:tcPr>
            <w:tcW w:w="1035" w:type="dxa"/>
            <w:tcBorders>
              <w:top w:val="nil"/>
              <w:left w:val="nil"/>
              <w:bottom w:val="nil"/>
              <w:right w:val="nil"/>
              <w:tl2br w:val="nil"/>
              <w:tr2bl w:val="nil"/>
            </w:tcBorders>
            <w:shd w:val="clear" w:color="FFFFFF" w:fill="FFFFFF"/>
            <w:tcMar>
              <w:left w:w="40" w:type="dxa"/>
              <w:right w:w="40" w:type="dxa"/>
            </w:tcMar>
          </w:tcPr>
          <w:p w14:paraId="33E553A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3,024,152</w:t>
            </w:r>
          </w:p>
        </w:tc>
      </w:tr>
      <w:tr w:rsidR="00143C9C" w14:paraId="6CB8C5F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tcMar>
              <w:left w:w="40" w:type="dxa"/>
              <w:right w:w="40" w:type="dxa"/>
            </w:tcMar>
          </w:tcPr>
          <w:p w14:paraId="74B0835C" w14:textId="77777777" w:rsidR="00143C9C" w:rsidRDefault="009B5C32" w:rsidP="00627D90">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Opening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32AC4640"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418,877</w:t>
            </w:r>
          </w:p>
        </w:tc>
        <w:tc>
          <w:tcPr>
            <w:tcW w:w="1005" w:type="dxa"/>
            <w:tcBorders>
              <w:top w:val="nil"/>
              <w:left w:val="nil"/>
              <w:bottom w:val="nil"/>
              <w:right w:val="nil"/>
              <w:tl2br w:val="nil"/>
              <w:tr2bl w:val="nil"/>
            </w:tcBorders>
            <w:shd w:val="clear" w:color="FFFFFF" w:fill="FFFFFF"/>
            <w:tcMar>
              <w:left w:w="40" w:type="dxa"/>
              <w:right w:w="40" w:type="dxa"/>
            </w:tcMar>
          </w:tcPr>
          <w:p w14:paraId="160FD966"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440,155</w:t>
            </w:r>
          </w:p>
        </w:tc>
        <w:tc>
          <w:tcPr>
            <w:tcW w:w="1035" w:type="dxa"/>
            <w:tcBorders>
              <w:top w:val="nil"/>
              <w:left w:val="nil"/>
              <w:bottom w:val="nil"/>
              <w:right w:val="nil"/>
              <w:tl2br w:val="nil"/>
              <w:tr2bl w:val="nil"/>
            </w:tcBorders>
            <w:shd w:val="clear" w:color="FFFFFF" w:fill="FFFFFF"/>
            <w:tcMar>
              <w:left w:w="40" w:type="dxa"/>
              <w:right w:w="40" w:type="dxa"/>
            </w:tcMar>
          </w:tcPr>
          <w:p w14:paraId="7913D0DA"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474,975</w:t>
            </w:r>
          </w:p>
        </w:tc>
        <w:tc>
          <w:tcPr>
            <w:tcW w:w="600" w:type="dxa"/>
            <w:tcBorders>
              <w:top w:val="nil"/>
              <w:left w:val="nil"/>
              <w:bottom w:val="nil"/>
              <w:right w:val="nil"/>
              <w:tl2br w:val="nil"/>
              <w:tr2bl w:val="nil"/>
            </w:tcBorders>
            <w:shd w:val="clear" w:color="FFFFFF" w:fill="FFFFFF"/>
            <w:tcMar>
              <w:left w:w="40" w:type="dxa"/>
              <w:right w:w="40" w:type="dxa"/>
            </w:tcMar>
          </w:tcPr>
          <w:p w14:paraId="0840413F"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2413BFB7"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409,070</w:t>
            </w:r>
          </w:p>
        </w:tc>
        <w:tc>
          <w:tcPr>
            <w:tcW w:w="1035" w:type="dxa"/>
            <w:tcBorders>
              <w:top w:val="nil"/>
              <w:left w:val="nil"/>
              <w:bottom w:val="nil"/>
              <w:right w:val="nil"/>
              <w:tl2br w:val="nil"/>
              <w:tr2bl w:val="nil"/>
            </w:tcBorders>
            <w:shd w:val="clear" w:color="FFFFFF" w:fill="FFFFFF"/>
            <w:tcMar>
              <w:left w:w="40" w:type="dxa"/>
              <w:right w:w="40" w:type="dxa"/>
            </w:tcMar>
          </w:tcPr>
          <w:p w14:paraId="24AEA14E"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409,070</w:t>
            </w:r>
          </w:p>
        </w:tc>
        <w:tc>
          <w:tcPr>
            <w:tcW w:w="1035" w:type="dxa"/>
            <w:tcBorders>
              <w:top w:val="nil"/>
              <w:left w:val="nil"/>
              <w:bottom w:val="nil"/>
              <w:right w:val="nil"/>
              <w:tl2br w:val="nil"/>
              <w:tr2bl w:val="nil"/>
            </w:tcBorders>
            <w:shd w:val="clear" w:color="FFFFFF" w:fill="FFFFFF"/>
            <w:tcMar>
              <w:left w:w="40" w:type="dxa"/>
              <w:right w:w="40" w:type="dxa"/>
            </w:tcMar>
          </w:tcPr>
          <w:p w14:paraId="5A6EEE4C"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409,070</w:t>
            </w:r>
          </w:p>
        </w:tc>
      </w:tr>
      <w:tr w:rsidR="00143C9C" w14:paraId="40C5E996"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2370" w:type="dxa"/>
            <w:tcBorders>
              <w:top w:val="nil"/>
              <w:left w:val="nil"/>
              <w:bottom w:val="nil"/>
              <w:right w:val="nil"/>
              <w:tl2br w:val="nil"/>
              <w:tr2bl w:val="nil"/>
            </w:tcBorders>
            <w:tcMar>
              <w:left w:w="40" w:type="dxa"/>
              <w:right w:w="40" w:type="dxa"/>
            </w:tcMar>
          </w:tcPr>
          <w:p w14:paraId="078F1482" w14:textId="77777777" w:rsidR="00143C9C" w:rsidRDefault="009B5C32" w:rsidP="00627D90">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Balance at the Start of the Reporting Period</w:t>
            </w:r>
          </w:p>
        </w:tc>
        <w:tc>
          <w:tcPr>
            <w:tcW w:w="1035" w:type="dxa"/>
            <w:tcBorders>
              <w:top w:val="nil"/>
              <w:left w:val="nil"/>
              <w:bottom w:val="nil"/>
              <w:right w:val="nil"/>
              <w:tl2br w:val="nil"/>
              <w:tr2bl w:val="nil"/>
            </w:tcBorders>
            <w:shd w:val="clear" w:color="FFFFFF" w:fill="FFFFFF"/>
            <w:noWrap/>
            <w:tcMar>
              <w:left w:w="40" w:type="dxa"/>
              <w:right w:w="40" w:type="dxa"/>
            </w:tcMar>
          </w:tcPr>
          <w:p w14:paraId="1712843D"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1,555,916</w:t>
            </w:r>
          </w:p>
        </w:tc>
        <w:tc>
          <w:tcPr>
            <w:tcW w:w="1005" w:type="dxa"/>
            <w:tcBorders>
              <w:top w:val="nil"/>
              <w:left w:val="nil"/>
              <w:bottom w:val="nil"/>
              <w:right w:val="nil"/>
              <w:tl2br w:val="nil"/>
              <w:tr2bl w:val="nil"/>
            </w:tcBorders>
            <w:shd w:val="clear" w:color="FFFFFF" w:fill="FFFFFF"/>
            <w:tcMar>
              <w:left w:w="40" w:type="dxa"/>
              <w:right w:w="40" w:type="dxa"/>
            </w:tcMar>
          </w:tcPr>
          <w:p w14:paraId="3C67D6CD"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1,827,006</w:t>
            </w:r>
          </w:p>
        </w:tc>
        <w:tc>
          <w:tcPr>
            <w:tcW w:w="1035" w:type="dxa"/>
            <w:tcBorders>
              <w:top w:val="nil"/>
              <w:left w:val="nil"/>
              <w:bottom w:val="nil"/>
              <w:right w:val="nil"/>
              <w:tl2br w:val="nil"/>
              <w:tr2bl w:val="nil"/>
            </w:tcBorders>
            <w:shd w:val="clear" w:color="FFFFFF" w:fill="FFFFFF"/>
            <w:tcMar>
              <w:left w:w="40" w:type="dxa"/>
              <w:right w:w="40" w:type="dxa"/>
            </w:tcMar>
          </w:tcPr>
          <w:p w14:paraId="76A84A9D"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2,259,284</w:t>
            </w:r>
          </w:p>
        </w:tc>
        <w:tc>
          <w:tcPr>
            <w:tcW w:w="600" w:type="dxa"/>
            <w:tcBorders>
              <w:top w:val="nil"/>
              <w:left w:val="nil"/>
              <w:bottom w:val="nil"/>
              <w:right w:val="nil"/>
              <w:tl2br w:val="nil"/>
              <w:tr2bl w:val="nil"/>
            </w:tcBorders>
            <w:shd w:val="clear" w:color="FFFFFF" w:fill="FFFFFF"/>
            <w:tcMar>
              <w:left w:w="40" w:type="dxa"/>
              <w:right w:w="40" w:type="dxa"/>
            </w:tcMar>
          </w:tcPr>
          <w:p w14:paraId="31436890"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24 </w:t>
            </w:r>
          </w:p>
        </w:tc>
        <w:tc>
          <w:tcPr>
            <w:tcW w:w="1035" w:type="dxa"/>
            <w:tcBorders>
              <w:top w:val="nil"/>
              <w:left w:val="nil"/>
              <w:bottom w:val="nil"/>
              <w:right w:val="nil"/>
              <w:tl2br w:val="nil"/>
              <w:tr2bl w:val="nil"/>
            </w:tcBorders>
            <w:shd w:val="clear" w:color="FFFFFF" w:fill="FFFFFF"/>
            <w:tcMar>
              <w:left w:w="40" w:type="dxa"/>
              <w:right w:w="40" w:type="dxa"/>
            </w:tcMar>
          </w:tcPr>
          <w:p w14:paraId="020F3C26"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2,936,249</w:t>
            </w:r>
          </w:p>
        </w:tc>
        <w:tc>
          <w:tcPr>
            <w:tcW w:w="1035" w:type="dxa"/>
            <w:tcBorders>
              <w:top w:val="nil"/>
              <w:left w:val="nil"/>
              <w:bottom w:val="nil"/>
              <w:right w:val="nil"/>
              <w:tl2br w:val="nil"/>
              <w:tr2bl w:val="nil"/>
            </w:tcBorders>
            <w:shd w:val="clear" w:color="FFFFFF" w:fill="FFFFFF"/>
            <w:tcMar>
              <w:left w:w="40" w:type="dxa"/>
              <w:right w:w="40" w:type="dxa"/>
            </w:tcMar>
          </w:tcPr>
          <w:p w14:paraId="1D833D7F"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3,213,360</w:t>
            </w:r>
          </w:p>
        </w:tc>
        <w:tc>
          <w:tcPr>
            <w:tcW w:w="1035" w:type="dxa"/>
            <w:tcBorders>
              <w:top w:val="nil"/>
              <w:left w:val="nil"/>
              <w:bottom w:val="nil"/>
              <w:right w:val="nil"/>
              <w:tl2br w:val="nil"/>
              <w:tr2bl w:val="nil"/>
            </w:tcBorders>
            <w:shd w:val="clear" w:color="FFFFFF" w:fill="FFFFFF"/>
            <w:tcMar>
              <w:left w:w="40" w:type="dxa"/>
              <w:right w:w="40" w:type="dxa"/>
            </w:tcMar>
          </w:tcPr>
          <w:p w14:paraId="4EDAF3C0"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3,433,222</w:t>
            </w:r>
          </w:p>
        </w:tc>
      </w:tr>
      <w:tr w:rsidR="00143C9C" w14:paraId="695727E7"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039EFB5C" w14:textId="77777777" w:rsidR="00143C9C" w:rsidRDefault="009B5C32" w:rsidP="00627D90">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051DA010" w14:textId="77777777" w:rsidR="00143C9C" w:rsidRDefault="00143C9C">
            <w:pPr>
              <w:rPr>
                <w:rFonts w:eastAsia="Calibri" w:cs="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5C923CA9" w14:textId="77777777" w:rsidR="00143C9C" w:rsidRDefault="00143C9C">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12DF7BB" w14:textId="77777777" w:rsidR="00143C9C" w:rsidRDefault="00143C9C">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0B85C70F" w14:textId="77777777" w:rsidR="00143C9C" w:rsidRDefault="00143C9C">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6324352" w14:textId="77777777" w:rsidR="00143C9C" w:rsidRDefault="00143C9C">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14D7575" w14:textId="77777777" w:rsidR="00143C9C" w:rsidRDefault="00143C9C">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39FED15" w14:textId="77777777" w:rsidR="00143C9C" w:rsidRDefault="00143C9C">
            <w:pPr>
              <w:rPr>
                <w:rFonts w:eastAsia="Calibri" w:cs="Calibri"/>
                <w:color w:val="000000"/>
                <w:lang w:eastAsia="en-US"/>
              </w:rPr>
            </w:pPr>
          </w:p>
        </w:tc>
      </w:tr>
      <w:tr w:rsidR="00143C9C" w14:paraId="4E331134"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4FA2AAA0" w14:textId="77777777" w:rsidR="00143C9C" w:rsidRDefault="009B5C32" w:rsidP="00627D90">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Operating Result</w:t>
            </w:r>
          </w:p>
        </w:tc>
        <w:tc>
          <w:tcPr>
            <w:tcW w:w="1035" w:type="dxa"/>
            <w:tcBorders>
              <w:top w:val="nil"/>
              <w:left w:val="nil"/>
              <w:bottom w:val="nil"/>
              <w:right w:val="nil"/>
              <w:tl2br w:val="nil"/>
              <w:tr2bl w:val="nil"/>
            </w:tcBorders>
            <w:shd w:val="clear" w:color="FFFFFF" w:fill="FFFFFF"/>
            <w:noWrap/>
            <w:tcMar>
              <w:left w:w="40" w:type="dxa"/>
              <w:right w:w="40" w:type="dxa"/>
            </w:tcMar>
          </w:tcPr>
          <w:p w14:paraId="2E78909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-67,633</w:t>
            </w:r>
          </w:p>
        </w:tc>
        <w:tc>
          <w:tcPr>
            <w:tcW w:w="1005" w:type="dxa"/>
            <w:tcBorders>
              <w:top w:val="nil"/>
              <w:left w:val="nil"/>
              <w:bottom w:val="nil"/>
              <w:right w:val="nil"/>
              <w:tl2br w:val="nil"/>
              <w:tr2bl w:val="nil"/>
            </w:tcBorders>
            <w:shd w:val="clear" w:color="FFFFFF" w:fill="FFFFFF"/>
            <w:tcMar>
              <w:left w:w="40" w:type="dxa"/>
              <w:right w:w="40" w:type="dxa"/>
            </w:tcMar>
          </w:tcPr>
          <w:p w14:paraId="624EFFB6"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-76,728</w:t>
            </w:r>
          </w:p>
        </w:tc>
        <w:tc>
          <w:tcPr>
            <w:tcW w:w="1035" w:type="dxa"/>
            <w:tcBorders>
              <w:top w:val="nil"/>
              <w:left w:val="nil"/>
              <w:bottom w:val="nil"/>
              <w:right w:val="nil"/>
              <w:tl2br w:val="nil"/>
              <w:tr2bl w:val="nil"/>
            </w:tcBorders>
            <w:shd w:val="clear" w:color="FFFFFF" w:fill="FFFFFF"/>
            <w:tcMar>
              <w:left w:w="40" w:type="dxa"/>
              <w:right w:w="40" w:type="dxa"/>
            </w:tcMar>
          </w:tcPr>
          <w:p w14:paraId="0BB4DEAF"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-86,604</w:t>
            </w:r>
          </w:p>
        </w:tc>
        <w:tc>
          <w:tcPr>
            <w:tcW w:w="600" w:type="dxa"/>
            <w:tcBorders>
              <w:top w:val="nil"/>
              <w:left w:val="nil"/>
              <w:bottom w:val="nil"/>
              <w:right w:val="nil"/>
              <w:tl2br w:val="nil"/>
              <w:tr2bl w:val="nil"/>
            </w:tcBorders>
            <w:shd w:val="clear" w:color="FFFFFF" w:fill="FFFFFF"/>
            <w:tcMar>
              <w:left w:w="40" w:type="dxa"/>
              <w:right w:w="40" w:type="dxa"/>
            </w:tcMar>
          </w:tcPr>
          <w:p w14:paraId="34CF92D4"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-13 </w:t>
            </w:r>
          </w:p>
        </w:tc>
        <w:tc>
          <w:tcPr>
            <w:tcW w:w="1035" w:type="dxa"/>
            <w:tcBorders>
              <w:top w:val="nil"/>
              <w:left w:val="nil"/>
              <w:bottom w:val="nil"/>
              <w:right w:val="nil"/>
              <w:tl2br w:val="nil"/>
              <w:tr2bl w:val="nil"/>
            </w:tcBorders>
            <w:shd w:val="clear" w:color="FFFFFF" w:fill="FFFFFF"/>
            <w:tcMar>
              <w:left w:w="40" w:type="dxa"/>
              <w:right w:w="40" w:type="dxa"/>
            </w:tcMar>
          </w:tcPr>
          <w:p w14:paraId="1A408BC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-47,088</w:t>
            </w:r>
          </w:p>
        </w:tc>
        <w:tc>
          <w:tcPr>
            <w:tcW w:w="1035" w:type="dxa"/>
            <w:tcBorders>
              <w:top w:val="nil"/>
              <w:left w:val="nil"/>
              <w:bottom w:val="nil"/>
              <w:right w:val="nil"/>
              <w:tl2br w:val="nil"/>
              <w:tr2bl w:val="nil"/>
            </w:tcBorders>
            <w:shd w:val="clear" w:color="FFFFFF" w:fill="FFFFFF"/>
            <w:tcMar>
              <w:left w:w="40" w:type="dxa"/>
              <w:right w:w="40" w:type="dxa"/>
            </w:tcMar>
          </w:tcPr>
          <w:p w14:paraId="393F5D6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-45,592</w:t>
            </w:r>
          </w:p>
        </w:tc>
        <w:tc>
          <w:tcPr>
            <w:tcW w:w="1035" w:type="dxa"/>
            <w:tcBorders>
              <w:top w:val="nil"/>
              <w:left w:val="nil"/>
              <w:bottom w:val="nil"/>
              <w:right w:val="nil"/>
              <w:tl2br w:val="nil"/>
              <w:tr2bl w:val="nil"/>
            </w:tcBorders>
            <w:shd w:val="clear" w:color="FFFFFF" w:fill="FFFFFF"/>
            <w:tcMar>
              <w:left w:w="40" w:type="dxa"/>
              <w:right w:w="40" w:type="dxa"/>
            </w:tcMar>
          </w:tcPr>
          <w:p w14:paraId="4EEF523F"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-44,792</w:t>
            </w:r>
          </w:p>
        </w:tc>
      </w:tr>
      <w:tr w:rsidR="00143C9C" w14:paraId="75815926"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tcMar>
              <w:left w:w="40" w:type="dxa"/>
              <w:right w:w="40" w:type="dxa"/>
            </w:tcMar>
          </w:tcPr>
          <w:p w14:paraId="1827DB53" w14:textId="77777777" w:rsidR="00143C9C" w:rsidRDefault="009B5C32" w:rsidP="00627D90">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Increase/(Decrease) in the Asset Revaluation Reserve Surpluses</w:t>
            </w:r>
          </w:p>
        </w:tc>
        <w:tc>
          <w:tcPr>
            <w:tcW w:w="1035" w:type="dxa"/>
            <w:tcBorders>
              <w:top w:val="nil"/>
              <w:left w:val="nil"/>
              <w:bottom w:val="nil"/>
              <w:right w:val="nil"/>
              <w:tl2br w:val="nil"/>
              <w:tr2bl w:val="nil"/>
            </w:tcBorders>
            <w:shd w:val="clear" w:color="FFFFFF" w:fill="FFFFFF"/>
            <w:noWrap/>
            <w:tcMar>
              <w:left w:w="40" w:type="dxa"/>
              <w:right w:w="40" w:type="dxa"/>
            </w:tcMar>
          </w:tcPr>
          <w:p w14:paraId="4C15B40D"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tcPr>
          <w:p w14:paraId="77A939B3"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35</w:t>
            </w:r>
          </w:p>
        </w:tc>
        <w:tc>
          <w:tcPr>
            <w:tcW w:w="1035" w:type="dxa"/>
            <w:tcBorders>
              <w:top w:val="nil"/>
              <w:left w:val="nil"/>
              <w:bottom w:val="nil"/>
              <w:right w:val="nil"/>
              <w:tl2br w:val="nil"/>
              <w:tr2bl w:val="nil"/>
            </w:tcBorders>
            <w:shd w:val="clear" w:color="FFFFFF" w:fill="FFFFFF"/>
            <w:tcMar>
              <w:left w:w="40" w:type="dxa"/>
              <w:right w:w="40" w:type="dxa"/>
            </w:tcMar>
          </w:tcPr>
          <w:p w14:paraId="3217863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tcMar>
              <w:left w:w="40" w:type="dxa"/>
              <w:right w:w="40" w:type="dxa"/>
            </w:tcMar>
          </w:tcPr>
          <w:p w14:paraId="4B84749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3379E727"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89,468</w:t>
            </w:r>
          </w:p>
        </w:tc>
        <w:tc>
          <w:tcPr>
            <w:tcW w:w="1035" w:type="dxa"/>
            <w:tcBorders>
              <w:top w:val="nil"/>
              <w:left w:val="nil"/>
              <w:bottom w:val="nil"/>
              <w:right w:val="nil"/>
              <w:tl2br w:val="nil"/>
              <w:tr2bl w:val="nil"/>
            </w:tcBorders>
            <w:shd w:val="clear" w:color="FFFFFF" w:fill="FFFFFF"/>
            <w:tcMar>
              <w:left w:w="40" w:type="dxa"/>
              <w:right w:w="40" w:type="dxa"/>
            </w:tcMar>
          </w:tcPr>
          <w:p w14:paraId="66A58747"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7438CE6"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143C9C" w14:paraId="6C748FB5"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7E4601E9" w14:textId="77777777" w:rsidR="00143C9C" w:rsidRDefault="009B5C32" w:rsidP="00627D90">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Total Comprehensive Result</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EC43244"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-67,633</w:t>
            </w:r>
          </w:p>
        </w:tc>
        <w:tc>
          <w:tcPr>
            <w:tcW w:w="1005" w:type="dxa"/>
            <w:tcBorders>
              <w:top w:val="nil"/>
              <w:left w:val="nil"/>
              <w:bottom w:val="nil"/>
              <w:right w:val="nil"/>
              <w:tl2br w:val="nil"/>
              <w:tr2bl w:val="nil"/>
            </w:tcBorders>
            <w:shd w:val="clear" w:color="FFFFFF" w:fill="FFFFFF"/>
            <w:noWrap/>
            <w:tcMar>
              <w:left w:w="40" w:type="dxa"/>
              <w:right w:w="40" w:type="dxa"/>
            </w:tcMar>
            <w:vAlign w:val="bottom"/>
          </w:tcPr>
          <w:p w14:paraId="27C946D4"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-76,693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FAEEA9C"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-86,604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46B5A56"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-13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5754BDD"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42,380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FEC4716"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-45,592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66FDCC0"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-44,792</w:t>
            </w:r>
          </w:p>
        </w:tc>
      </w:tr>
      <w:tr w:rsidR="00143C9C" w14:paraId="24EDC07B"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noWrap/>
            <w:tcMar>
              <w:left w:w="40" w:type="dxa"/>
              <w:right w:w="40" w:type="dxa"/>
            </w:tcMar>
            <w:vAlign w:val="bottom"/>
          </w:tcPr>
          <w:p w14:paraId="4EBA0A6A" w14:textId="77777777" w:rsidR="00143C9C" w:rsidRDefault="009B5C32" w:rsidP="00627D90">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Movement in Asset Revaluation Surplus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22E617E" w14:textId="77777777" w:rsidR="00143C9C" w:rsidRDefault="00143C9C">
            <w:pPr>
              <w:rPr>
                <w:rFonts w:eastAsia="Calibri" w:cs="Calibri"/>
                <w:b/>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585F0892" w14:textId="77777777" w:rsidR="00143C9C" w:rsidRDefault="00143C9C">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0D8B529" w14:textId="77777777" w:rsidR="00143C9C" w:rsidRDefault="00143C9C">
            <w:pPr>
              <w:rPr>
                <w:rFonts w:eastAsia="Calibri" w:cs="Calibr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24AAC3DB" w14:textId="77777777" w:rsidR="00143C9C" w:rsidRDefault="00143C9C">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62879DB" w14:textId="77777777" w:rsidR="00143C9C" w:rsidRDefault="00143C9C">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9D7A379" w14:textId="77777777" w:rsidR="00143C9C" w:rsidRDefault="00143C9C">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0A7156E" w14:textId="77777777" w:rsidR="00143C9C" w:rsidRDefault="00143C9C">
            <w:pPr>
              <w:rPr>
                <w:rFonts w:eastAsia="Calibri" w:cs="Calibri"/>
                <w:b/>
                <w:color w:val="000000"/>
                <w:lang w:eastAsia="en-US"/>
              </w:rPr>
            </w:pPr>
          </w:p>
        </w:tc>
      </w:tr>
      <w:tr w:rsidR="00143C9C" w14:paraId="514A49B8"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70" w:type="dxa"/>
            <w:tcBorders>
              <w:top w:val="nil"/>
              <w:left w:val="nil"/>
              <w:bottom w:val="nil"/>
              <w:right w:val="nil"/>
              <w:tl2br w:val="nil"/>
              <w:tr2bl w:val="nil"/>
            </w:tcBorders>
            <w:shd w:val="clear" w:color="FFFFFF" w:fill="FFFFFF"/>
            <w:tcMar>
              <w:left w:w="40" w:type="dxa"/>
              <w:right w:w="40" w:type="dxa"/>
            </w:tcMar>
          </w:tcPr>
          <w:p w14:paraId="4FFDE5E8" w14:textId="77777777" w:rsidR="00143C9C" w:rsidRDefault="009B5C32" w:rsidP="00627D90">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Transfer (to)/from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5A69D59A"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tcPr>
          <w:p w14:paraId="29344EB6"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6BC66D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14C163CD"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A1E7D5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89,468</w:t>
            </w:r>
          </w:p>
        </w:tc>
        <w:tc>
          <w:tcPr>
            <w:tcW w:w="1035" w:type="dxa"/>
            <w:tcBorders>
              <w:top w:val="nil"/>
              <w:left w:val="nil"/>
              <w:bottom w:val="nil"/>
              <w:right w:val="nil"/>
              <w:tl2br w:val="nil"/>
              <w:tr2bl w:val="nil"/>
            </w:tcBorders>
            <w:shd w:val="clear" w:color="FFFFFF" w:fill="FFFFFF"/>
            <w:tcMar>
              <w:left w:w="40" w:type="dxa"/>
              <w:right w:w="40" w:type="dxa"/>
            </w:tcMar>
          </w:tcPr>
          <w:p w14:paraId="5EBAA86D"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9DC3E2E"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143C9C" w14:paraId="6322A253"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70" w:type="dxa"/>
            <w:tcBorders>
              <w:top w:val="nil"/>
              <w:left w:val="nil"/>
              <w:bottom w:val="nil"/>
              <w:right w:val="nil"/>
              <w:tl2br w:val="nil"/>
              <w:tr2bl w:val="nil"/>
            </w:tcBorders>
            <w:tcMar>
              <w:left w:w="40" w:type="dxa"/>
              <w:right w:w="40" w:type="dxa"/>
            </w:tcMar>
          </w:tcPr>
          <w:p w14:paraId="29FAFDF9" w14:textId="77777777" w:rsidR="00143C9C" w:rsidRDefault="009B5C32" w:rsidP="00627D90">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Movement in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1CEE030A"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tcPr>
          <w:p w14:paraId="71F75858"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9050D46"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11DB0016"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99F14AD"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-89,468</w:t>
            </w:r>
          </w:p>
        </w:tc>
        <w:tc>
          <w:tcPr>
            <w:tcW w:w="1035" w:type="dxa"/>
            <w:tcBorders>
              <w:top w:val="nil"/>
              <w:left w:val="nil"/>
              <w:bottom w:val="nil"/>
              <w:right w:val="nil"/>
              <w:tl2br w:val="nil"/>
              <w:tr2bl w:val="nil"/>
            </w:tcBorders>
            <w:shd w:val="clear" w:color="FFFFFF" w:fill="FFFFFF"/>
            <w:tcMar>
              <w:left w:w="40" w:type="dxa"/>
              <w:right w:w="40" w:type="dxa"/>
            </w:tcMar>
          </w:tcPr>
          <w:p w14:paraId="06E8EBAC"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0A5C927"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143C9C" w14:paraId="0F3777BD"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tcMar>
              <w:left w:w="40" w:type="dxa"/>
              <w:right w:w="40" w:type="dxa"/>
            </w:tcMar>
            <w:vAlign w:val="bottom"/>
          </w:tcPr>
          <w:p w14:paraId="42BA3D18" w14:textId="77777777" w:rsidR="00143C9C" w:rsidRDefault="009B5C32" w:rsidP="00627D90">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Total Movement in Reserves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DC68D9E"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vAlign w:val="bottom"/>
          </w:tcPr>
          <w:p w14:paraId="4533E6AD"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325537C"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A00B7AD"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8935CF7"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8621F9D"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7638023"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143C9C" w14:paraId="5B6249C8"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70" w:type="dxa"/>
            <w:tcBorders>
              <w:top w:val="nil"/>
              <w:left w:val="nil"/>
              <w:bottom w:val="nil"/>
              <w:right w:val="nil"/>
              <w:tl2br w:val="nil"/>
              <w:tr2bl w:val="nil"/>
            </w:tcBorders>
            <w:noWrap/>
            <w:tcMar>
              <w:left w:w="40" w:type="dxa"/>
              <w:right w:w="40" w:type="dxa"/>
            </w:tcMar>
            <w:vAlign w:val="bottom"/>
          </w:tcPr>
          <w:p w14:paraId="5DF949E7" w14:textId="77777777" w:rsidR="00143C9C" w:rsidRDefault="009B5C32" w:rsidP="00627D90">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Transactions Involving Owners Affecting Accumulated Funds</w:t>
            </w:r>
          </w:p>
        </w:tc>
        <w:tc>
          <w:tcPr>
            <w:tcW w:w="1035" w:type="dxa"/>
            <w:tcBorders>
              <w:top w:val="nil"/>
              <w:left w:val="nil"/>
              <w:bottom w:val="nil"/>
              <w:right w:val="nil"/>
              <w:tl2br w:val="nil"/>
              <w:tr2bl w:val="nil"/>
            </w:tcBorders>
            <w:noWrap/>
            <w:tcMar>
              <w:left w:w="0" w:type="dxa"/>
              <w:right w:w="0" w:type="dxa"/>
            </w:tcMar>
            <w:vAlign w:val="bottom"/>
          </w:tcPr>
          <w:p w14:paraId="3F94FE42" w14:textId="77777777" w:rsidR="00143C9C" w:rsidRDefault="00143C9C">
            <w:pPr>
              <w:rPr>
                <w:rFonts w:eastAsia="Calibri" w:cs="Calibri"/>
                <w:b/>
                <w:color w:val="000000"/>
                <w:lang w:eastAsia="en-US"/>
              </w:rPr>
            </w:pPr>
          </w:p>
        </w:tc>
        <w:tc>
          <w:tcPr>
            <w:tcW w:w="1005" w:type="dxa"/>
            <w:tcBorders>
              <w:top w:val="nil"/>
              <w:left w:val="nil"/>
              <w:bottom w:val="nil"/>
              <w:right w:val="nil"/>
              <w:tl2br w:val="nil"/>
              <w:tr2bl w:val="nil"/>
            </w:tcBorders>
            <w:noWrap/>
            <w:tcMar>
              <w:left w:w="0" w:type="dxa"/>
              <w:right w:w="0" w:type="dxa"/>
            </w:tcMar>
            <w:vAlign w:val="bottom"/>
          </w:tcPr>
          <w:p w14:paraId="51EAED90" w14:textId="77777777" w:rsidR="00143C9C" w:rsidRDefault="00143C9C">
            <w:pPr>
              <w:rPr>
                <w:rFonts w:eastAsia="Calibri" w:cs="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3CA88102" w14:textId="77777777" w:rsidR="00143C9C" w:rsidRDefault="00143C9C">
            <w:pPr>
              <w:rPr>
                <w:rFonts w:eastAsia="Calibri" w:cs="Calibri"/>
                <w:b/>
                <w:color w:val="000000"/>
                <w:lang w:eastAsia="en-US"/>
              </w:rPr>
            </w:pPr>
          </w:p>
        </w:tc>
        <w:tc>
          <w:tcPr>
            <w:tcW w:w="600" w:type="dxa"/>
            <w:tcBorders>
              <w:top w:val="nil"/>
              <w:left w:val="nil"/>
              <w:bottom w:val="nil"/>
              <w:right w:val="nil"/>
              <w:tl2br w:val="nil"/>
              <w:tr2bl w:val="nil"/>
            </w:tcBorders>
            <w:noWrap/>
            <w:tcMar>
              <w:left w:w="0" w:type="dxa"/>
              <w:right w:w="0" w:type="dxa"/>
            </w:tcMar>
            <w:vAlign w:val="bottom"/>
          </w:tcPr>
          <w:p w14:paraId="2769FF72" w14:textId="77777777" w:rsidR="00143C9C" w:rsidRDefault="00143C9C">
            <w:pPr>
              <w:rPr>
                <w:rFonts w:eastAsia="Calibri" w:cs="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28798A76" w14:textId="77777777" w:rsidR="00143C9C" w:rsidRDefault="00143C9C">
            <w:pPr>
              <w:rPr>
                <w:rFonts w:eastAsia="Calibri" w:cs="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59C1A6BC" w14:textId="77777777" w:rsidR="00143C9C" w:rsidRDefault="00143C9C">
            <w:pPr>
              <w:rPr>
                <w:rFonts w:eastAsia="Calibri" w:cs="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75265A47" w14:textId="77777777" w:rsidR="00143C9C" w:rsidRDefault="00143C9C">
            <w:pPr>
              <w:rPr>
                <w:rFonts w:eastAsia="Calibri" w:cs="Calibri"/>
                <w:b/>
                <w:color w:val="000000"/>
                <w:lang w:eastAsia="en-US"/>
              </w:rPr>
            </w:pPr>
          </w:p>
        </w:tc>
      </w:tr>
      <w:tr w:rsidR="00143C9C" w14:paraId="53739429"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64B55E63" w14:textId="77777777" w:rsidR="00143C9C" w:rsidRDefault="009B5C32" w:rsidP="00627D90">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Capital Injections</w:t>
            </w:r>
          </w:p>
        </w:tc>
        <w:tc>
          <w:tcPr>
            <w:tcW w:w="1035" w:type="dxa"/>
            <w:tcBorders>
              <w:top w:val="nil"/>
              <w:left w:val="nil"/>
              <w:bottom w:val="nil"/>
              <w:right w:val="nil"/>
              <w:tl2br w:val="nil"/>
              <w:tr2bl w:val="nil"/>
            </w:tcBorders>
            <w:shd w:val="clear" w:color="FFFFFF" w:fill="FFFFFF"/>
            <w:noWrap/>
            <w:tcMar>
              <w:left w:w="40" w:type="dxa"/>
              <w:right w:w="40" w:type="dxa"/>
            </w:tcMar>
          </w:tcPr>
          <w:p w14:paraId="1CF2E8EA"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657,572</w:t>
            </w:r>
          </w:p>
        </w:tc>
        <w:tc>
          <w:tcPr>
            <w:tcW w:w="1005" w:type="dxa"/>
            <w:tcBorders>
              <w:top w:val="nil"/>
              <w:left w:val="nil"/>
              <w:bottom w:val="nil"/>
              <w:right w:val="nil"/>
              <w:tl2br w:val="nil"/>
              <w:tr2bl w:val="nil"/>
            </w:tcBorders>
            <w:shd w:val="clear" w:color="FFFFFF" w:fill="FFFFFF"/>
            <w:tcMar>
              <w:left w:w="40" w:type="dxa"/>
              <w:right w:w="40" w:type="dxa"/>
            </w:tcMar>
          </w:tcPr>
          <w:p w14:paraId="2DDE1088"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724,529</w:t>
            </w:r>
          </w:p>
        </w:tc>
        <w:tc>
          <w:tcPr>
            <w:tcW w:w="1035" w:type="dxa"/>
            <w:tcBorders>
              <w:top w:val="nil"/>
              <w:left w:val="nil"/>
              <w:bottom w:val="nil"/>
              <w:right w:val="nil"/>
              <w:tl2br w:val="nil"/>
              <w:tr2bl w:val="nil"/>
            </w:tcBorders>
            <w:shd w:val="clear" w:color="FFFFFF" w:fill="FFFFFF"/>
            <w:tcMar>
              <w:left w:w="40" w:type="dxa"/>
              <w:right w:w="40" w:type="dxa"/>
            </w:tcMar>
          </w:tcPr>
          <w:p w14:paraId="3B2CFBBC"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941,508</w:t>
            </w:r>
          </w:p>
        </w:tc>
        <w:tc>
          <w:tcPr>
            <w:tcW w:w="600" w:type="dxa"/>
            <w:tcBorders>
              <w:top w:val="nil"/>
              <w:left w:val="nil"/>
              <w:bottom w:val="nil"/>
              <w:right w:val="nil"/>
              <w:tl2br w:val="nil"/>
              <w:tr2bl w:val="nil"/>
            </w:tcBorders>
            <w:shd w:val="clear" w:color="FFFFFF" w:fill="FFFFFF"/>
            <w:tcMar>
              <w:left w:w="40" w:type="dxa"/>
              <w:right w:w="40" w:type="dxa"/>
            </w:tcMar>
          </w:tcPr>
          <w:p w14:paraId="47C23C54"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30 </w:t>
            </w:r>
          </w:p>
        </w:tc>
        <w:tc>
          <w:tcPr>
            <w:tcW w:w="1035" w:type="dxa"/>
            <w:tcBorders>
              <w:top w:val="nil"/>
              <w:left w:val="nil"/>
              <w:bottom w:val="nil"/>
              <w:right w:val="nil"/>
              <w:tl2br w:val="nil"/>
              <w:tr2bl w:val="nil"/>
            </w:tcBorders>
            <w:shd w:val="clear" w:color="FFFFFF" w:fill="FFFFFF"/>
            <w:tcMar>
              <w:left w:w="40" w:type="dxa"/>
              <w:right w:w="40" w:type="dxa"/>
            </w:tcMar>
          </w:tcPr>
          <w:p w14:paraId="019144FA"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1,038,024</w:t>
            </w:r>
          </w:p>
        </w:tc>
        <w:tc>
          <w:tcPr>
            <w:tcW w:w="1035" w:type="dxa"/>
            <w:tcBorders>
              <w:top w:val="nil"/>
              <w:left w:val="nil"/>
              <w:bottom w:val="nil"/>
              <w:right w:val="nil"/>
              <w:tl2br w:val="nil"/>
              <w:tr2bl w:val="nil"/>
            </w:tcBorders>
            <w:shd w:val="clear" w:color="FFFFFF" w:fill="FFFFFF"/>
            <w:tcMar>
              <w:left w:w="40" w:type="dxa"/>
              <w:right w:w="40" w:type="dxa"/>
            </w:tcMar>
          </w:tcPr>
          <w:p w14:paraId="3D0FD1DC"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326,057</w:t>
            </w:r>
          </w:p>
        </w:tc>
        <w:tc>
          <w:tcPr>
            <w:tcW w:w="1035" w:type="dxa"/>
            <w:tcBorders>
              <w:top w:val="nil"/>
              <w:left w:val="nil"/>
              <w:bottom w:val="nil"/>
              <w:right w:val="nil"/>
              <w:tl2br w:val="nil"/>
              <w:tr2bl w:val="nil"/>
            </w:tcBorders>
            <w:shd w:val="clear" w:color="FFFFFF" w:fill="FFFFFF"/>
            <w:tcMar>
              <w:left w:w="40" w:type="dxa"/>
              <w:right w:w="40" w:type="dxa"/>
            </w:tcMar>
          </w:tcPr>
          <w:p w14:paraId="22F2B0C1"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326,034</w:t>
            </w:r>
          </w:p>
        </w:tc>
      </w:tr>
      <w:tr w:rsidR="00143C9C" w14:paraId="11ECB248"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1407BDA4" w14:textId="77777777" w:rsidR="00143C9C" w:rsidRDefault="009B5C32" w:rsidP="00627D90">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Capital Distributions</w:t>
            </w:r>
          </w:p>
        </w:tc>
        <w:tc>
          <w:tcPr>
            <w:tcW w:w="1035" w:type="dxa"/>
            <w:tcBorders>
              <w:top w:val="nil"/>
              <w:left w:val="nil"/>
              <w:bottom w:val="nil"/>
              <w:right w:val="nil"/>
              <w:tl2br w:val="nil"/>
              <w:tr2bl w:val="nil"/>
            </w:tcBorders>
            <w:shd w:val="clear" w:color="FFFFFF" w:fill="FFFFFF"/>
            <w:noWrap/>
            <w:tcMar>
              <w:left w:w="40" w:type="dxa"/>
              <w:right w:w="40" w:type="dxa"/>
            </w:tcMar>
          </w:tcPr>
          <w:p w14:paraId="080300C4"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-7,635</w:t>
            </w:r>
          </w:p>
        </w:tc>
        <w:tc>
          <w:tcPr>
            <w:tcW w:w="1005" w:type="dxa"/>
            <w:tcBorders>
              <w:top w:val="nil"/>
              <w:left w:val="nil"/>
              <w:bottom w:val="nil"/>
              <w:right w:val="nil"/>
              <w:tl2br w:val="nil"/>
              <w:tr2bl w:val="nil"/>
            </w:tcBorders>
            <w:shd w:val="clear" w:color="FFFFFF" w:fill="FFFFFF"/>
            <w:tcMar>
              <w:left w:w="40" w:type="dxa"/>
              <w:right w:w="40" w:type="dxa"/>
            </w:tcMar>
          </w:tcPr>
          <w:p w14:paraId="76411DEA"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-1,826</w:t>
            </w:r>
          </w:p>
        </w:tc>
        <w:tc>
          <w:tcPr>
            <w:tcW w:w="1035" w:type="dxa"/>
            <w:tcBorders>
              <w:top w:val="nil"/>
              <w:left w:val="nil"/>
              <w:bottom w:val="nil"/>
              <w:right w:val="nil"/>
              <w:tl2br w:val="nil"/>
              <w:tr2bl w:val="nil"/>
            </w:tcBorders>
            <w:shd w:val="clear" w:color="FFFFFF" w:fill="FFFFFF"/>
            <w:tcMar>
              <w:left w:w="40" w:type="dxa"/>
              <w:right w:w="40" w:type="dxa"/>
            </w:tcMar>
          </w:tcPr>
          <w:p w14:paraId="3B259B7C"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-5,615</w:t>
            </w:r>
          </w:p>
        </w:tc>
        <w:tc>
          <w:tcPr>
            <w:tcW w:w="600" w:type="dxa"/>
            <w:tcBorders>
              <w:top w:val="nil"/>
              <w:left w:val="nil"/>
              <w:bottom w:val="nil"/>
              <w:right w:val="nil"/>
              <w:tl2br w:val="nil"/>
              <w:tr2bl w:val="nil"/>
            </w:tcBorders>
            <w:shd w:val="clear" w:color="FFFFFF" w:fill="FFFFFF"/>
            <w:tcMar>
              <w:left w:w="40" w:type="dxa"/>
              <w:right w:w="40" w:type="dxa"/>
            </w:tcMar>
          </w:tcPr>
          <w:p w14:paraId="2CCAB918"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-208 </w:t>
            </w:r>
          </w:p>
        </w:tc>
        <w:tc>
          <w:tcPr>
            <w:tcW w:w="1035" w:type="dxa"/>
            <w:tcBorders>
              <w:top w:val="nil"/>
              <w:left w:val="nil"/>
              <w:bottom w:val="nil"/>
              <w:right w:val="nil"/>
              <w:tl2br w:val="nil"/>
              <w:tr2bl w:val="nil"/>
            </w:tcBorders>
            <w:shd w:val="clear" w:color="FFFFFF" w:fill="FFFFFF"/>
            <w:tcMar>
              <w:left w:w="40" w:type="dxa"/>
              <w:right w:w="40" w:type="dxa"/>
            </w:tcMar>
          </w:tcPr>
          <w:p w14:paraId="782B876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-6,350</w:t>
            </w:r>
          </w:p>
        </w:tc>
        <w:tc>
          <w:tcPr>
            <w:tcW w:w="1035" w:type="dxa"/>
            <w:tcBorders>
              <w:top w:val="nil"/>
              <w:left w:val="nil"/>
              <w:bottom w:val="nil"/>
              <w:right w:val="nil"/>
              <w:tl2br w:val="nil"/>
              <w:tr2bl w:val="nil"/>
            </w:tcBorders>
            <w:shd w:val="clear" w:color="FFFFFF" w:fill="FFFFFF"/>
            <w:tcMar>
              <w:left w:w="40" w:type="dxa"/>
              <w:right w:w="40" w:type="dxa"/>
            </w:tcMar>
          </w:tcPr>
          <w:p w14:paraId="38F6C21A"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-6,678</w:t>
            </w:r>
          </w:p>
        </w:tc>
        <w:tc>
          <w:tcPr>
            <w:tcW w:w="1035" w:type="dxa"/>
            <w:tcBorders>
              <w:top w:val="nil"/>
              <w:left w:val="nil"/>
              <w:bottom w:val="nil"/>
              <w:right w:val="nil"/>
              <w:tl2br w:val="nil"/>
              <w:tr2bl w:val="nil"/>
            </w:tcBorders>
            <w:shd w:val="clear" w:color="FFFFFF" w:fill="FFFFFF"/>
            <w:tcMar>
              <w:left w:w="40" w:type="dxa"/>
              <w:right w:w="40" w:type="dxa"/>
            </w:tcMar>
          </w:tcPr>
          <w:p w14:paraId="6D813C21"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-8,867</w:t>
            </w:r>
          </w:p>
        </w:tc>
      </w:tr>
      <w:tr w:rsidR="00143C9C" w14:paraId="73FB4B02"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2370" w:type="dxa"/>
            <w:tcBorders>
              <w:top w:val="nil"/>
              <w:left w:val="nil"/>
              <w:bottom w:val="nil"/>
              <w:right w:val="nil"/>
              <w:tl2br w:val="nil"/>
              <w:tr2bl w:val="nil"/>
            </w:tcBorders>
            <w:shd w:val="clear" w:color="FFFFFF" w:fill="FFFFFF"/>
            <w:tcMar>
              <w:left w:w="40" w:type="dxa"/>
              <w:right w:w="40" w:type="dxa"/>
            </w:tcMar>
          </w:tcPr>
          <w:p w14:paraId="40802409" w14:textId="77777777" w:rsidR="00143C9C" w:rsidRDefault="009B5C32" w:rsidP="00627D90">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Net assets transferred from/(to) other agencies as part of an administrative restructure</w:t>
            </w:r>
          </w:p>
        </w:tc>
        <w:tc>
          <w:tcPr>
            <w:tcW w:w="1035" w:type="dxa"/>
            <w:tcBorders>
              <w:top w:val="nil"/>
              <w:left w:val="nil"/>
              <w:bottom w:val="nil"/>
              <w:right w:val="nil"/>
              <w:tl2br w:val="nil"/>
              <w:tr2bl w:val="nil"/>
            </w:tcBorders>
            <w:shd w:val="clear" w:color="FFFFFF" w:fill="FFFFFF"/>
            <w:noWrap/>
            <w:tcMar>
              <w:left w:w="40" w:type="dxa"/>
              <w:right w:w="40" w:type="dxa"/>
            </w:tcMar>
          </w:tcPr>
          <w:p w14:paraId="0EF349BC"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8,565</w:t>
            </w:r>
          </w:p>
        </w:tc>
        <w:tc>
          <w:tcPr>
            <w:tcW w:w="1005" w:type="dxa"/>
            <w:tcBorders>
              <w:top w:val="nil"/>
              <w:left w:val="nil"/>
              <w:bottom w:val="nil"/>
              <w:right w:val="nil"/>
              <w:tl2br w:val="nil"/>
              <w:tr2bl w:val="nil"/>
            </w:tcBorders>
            <w:shd w:val="clear" w:color="FFFFFF" w:fill="FFFFFF"/>
            <w:tcMar>
              <w:left w:w="40" w:type="dxa"/>
              <w:right w:w="40" w:type="dxa"/>
            </w:tcMar>
          </w:tcPr>
          <w:p w14:paraId="26606A5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22,372</w:t>
            </w:r>
          </w:p>
        </w:tc>
        <w:tc>
          <w:tcPr>
            <w:tcW w:w="1035" w:type="dxa"/>
            <w:tcBorders>
              <w:top w:val="nil"/>
              <w:left w:val="nil"/>
              <w:bottom w:val="nil"/>
              <w:right w:val="nil"/>
              <w:tl2br w:val="nil"/>
              <w:tr2bl w:val="nil"/>
            </w:tcBorders>
            <w:shd w:val="clear" w:color="FFFFFF" w:fill="FFFFFF"/>
            <w:tcMar>
              <w:left w:w="40" w:type="dxa"/>
              <w:right w:w="40" w:type="dxa"/>
            </w:tcMar>
          </w:tcPr>
          <w:p w14:paraId="5BDB8808"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28,340</w:t>
            </w:r>
          </w:p>
        </w:tc>
        <w:tc>
          <w:tcPr>
            <w:tcW w:w="600" w:type="dxa"/>
            <w:tcBorders>
              <w:top w:val="nil"/>
              <w:left w:val="nil"/>
              <w:bottom w:val="nil"/>
              <w:right w:val="nil"/>
              <w:tl2br w:val="nil"/>
              <w:tr2bl w:val="nil"/>
            </w:tcBorders>
            <w:shd w:val="clear" w:color="FFFFFF" w:fill="FFFFFF"/>
            <w:tcMar>
              <w:left w:w="40" w:type="dxa"/>
              <w:right w:w="40" w:type="dxa"/>
            </w:tcMar>
          </w:tcPr>
          <w:p w14:paraId="0FFE763F"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27 </w:t>
            </w:r>
          </w:p>
        </w:tc>
        <w:tc>
          <w:tcPr>
            <w:tcW w:w="1035" w:type="dxa"/>
            <w:tcBorders>
              <w:top w:val="nil"/>
              <w:left w:val="nil"/>
              <w:bottom w:val="nil"/>
              <w:right w:val="nil"/>
              <w:tl2br w:val="nil"/>
              <w:tr2bl w:val="nil"/>
            </w:tcBorders>
            <w:shd w:val="clear" w:color="FFFFFF" w:fill="FFFFFF"/>
            <w:tcMar>
              <w:left w:w="40" w:type="dxa"/>
              <w:right w:w="40" w:type="dxa"/>
            </w:tcMar>
          </w:tcPr>
          <w:p w14:paraId="300B127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3D07FA7"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-16,500</w:t>
            </w:r>
          </w:p>
        </w:tc>
        <w:tc>
          <w:tcPr>
            <w:tcW w:w="1035" w:type="dxa"/>
            <w:tcBorders>
              <w:top w:val="nil"/>
              <w:left w:val="nil"/>
              <w:bottom w:val="nil"/>
              <w:right w:val="nil"/>
              <w:tl2br w:val="nil"/>
              <w:tr2bl w:val="nil"/>
            </w:tcBorders>
            <w:shd w:val="clear" w:color="FFFFFF" w:fill="FFFFFF"/>
            <w:tcMar>
              <w:left w:w="40" w:type="dxa"/>
              <w:right w:w="40" w:type="dxa"/>
            </w:tcMar>
          </w:tcPr>
          <w:p w14:paraId="60BDFF6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143C9C" w14:paraId="27B2ADB1"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370" w:type="dxa"/>
            <w:tcBorders>
              <w:top w:val="nil"/>
              <w:left w:val="nil"/>
              <w:bottom w:val="nil"/>
              <w:right w:val="nil"/>
              <w:tl2br w:val="nil"/>
              <w:tr2bl w:val="nil"/>
            </w:tcBorders>
            <w:shd w:val="clear" w:color="FFFFFF" w:fill="FFFFFF"/>
            <w:tcMar>
              <w:left w:w="40" w:type="dxa"/>
              <w:right w:w="40" w:type="dxa"/>
            </w:tcMar>
          </w:tcPr>
          <w:p w14:paraId="0A7987F6" w14:textId="77777777" w:rsidR="00143C9C" w:rsidRDefault="009B5C32" w:rsidP="00627D90">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Net assets transferred from/(to) other agencies</w:t>
            </w:r>
          </w:p>
        </w:tc>
        <w:tc>
          <w:tcPr>
            <w:tcW w:w="1035" w:type="dxa"/>
            <w:tcBorders>
              <w:top w:val="nil"/>
              <w:left w:val="nil"/>
              <w:bottom w:val="nil"/>
              <w:right w:val="nil"/>
              <w:tl2br w:val="nil"/>
              <w:tr2bl w:val="nil"/>
            </w:tcBorders>
            <w:shd w:val="clear" w:color="FFFFFF" w:fill="FFFFFF"/>
            <w:noWrap/>
            <w:tcMar>
              <w:left w:w="40" w:type="dxa"/>
              <w:right w:w="40" w:type="dxa"/>
            </w:tcMar>
          </w:tcPr>
          <w:p w14:paraId="7361A22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-122,035</w:t>
            </w:r>
          </w:p>
        </w:tc>
        <w:tc>
          <w:tcPr>
            <w:tcW w:w="1005" w:type="dxa"/>
            <w:tcBorders>
              <w:top w:val="nil"/>
              <w:left w:val="nil"/>
              <w:bottom w:val="nil"/>
              <w:right w:val="nil"/>
              <w:tl2br w:val="nil"/>
              <w:tr2bl w:val="nil"/>
            </w:tcBorders>
            <w:shd w:val="clear" w:color="FFFFFF" w:fill="FFFFFF"/>
            <w:tcMar>
              <w:left w:w="40" w:type="dxa"/>
              <w:right w:w="40" w:type="dxa"/>
            </w:tcMar>
          </w:tcPr>
          <w:p w14:paraId="0395F448"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-269,790</w:t>
            </w:r>
          </w:p>
        </w:tc>
        <w:tc>
          <w:tcPr>
            <w:tcW w:w="1035" w:type="dxa"/>
            <w:tcBorders>
              <w:top w:val="nil"/>
              <w:left w:val="nil"/>
              <w:bottom w:val="nil"/>
              <w:right w:val="nil"/>
              <w:tl2br w:val="nil"/>
              <w:tr2bl w:val="nil"/>
            </w:tcBorders>
            <w:shd w:val="clear" w:color="FFFFFF" w:fill="FFFFFF"/>
            <w:tcMar>
              <w:left w:w="40" w:type="dxa"/>
              <w:right w:w="40" w:type="dxa"/>
            </w:tcMar>
          </w:tcPr>
          <w:p w14:paraId="2AC9206F"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-133,660</w:t>
            </w:r>
          </w:p>
        </w:tc>
        <w:tc>
          <w:tcPr>
            <w:tcW w:w="600" w:type="dxa"/>
            <w:tcBorders>
              <w:top w:val="nil"/>
              <w:left w:val="nil"/>
              <w:bottom w:val="nil"/>
              <w:right w:val="nil"/>
              <w:tl2br w:val="nil"/>
              <w:tr2bl w:val="nil"/>
            </w:tcBorders>
            <w:shd w:val="clear" w:color="FFFFFF" w:fill="FFFFFF"/>
            <w:tcMar>
              <w:left w:w="40" w:type="dxa"/>
              <w:right w:w="40" w:type="dxa"/>
            </w:tcMar>
          </w:tcPr>
          <w:p w14:paraId="00EE179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50 </w:t>
            </w:r>
          </w:p>
        </w:tc>
        <w:tc>
          <w:tcPr>
            <w:tcW w:w="1035" w:type="dxa"/>
            <w:tcBorders>
              <w:top w:val="nil"/>
              <w:left w:val="nil"/>
              <w:bottom w:val="nil"/>
              <w:right w:val="nil"/>
              <w:tl2br w:val="nil"/>
              <w:tr2bl w:val="nil"/>
            </w:tcBorders>
            <w:shd w:val="clear" w:color="FFFFFF" w:fill="FFFFFF"/>
            <w:tcMar>
              <w:left w:w="40" w:type="dxa"/>
              <w:right w:w="40" w:type="dxa"/>
            </w:tcMar>
          </w:tcPr>
          <w:p w14:paraId="490BF0D1"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-795,844</w:t>
            </w:r>
          </w:p>
        </w:tc>
        <w:tc>
          <w:tcPr>
            <w:tcW w:w="1035" w:type="dxa"/>
            <w:tcBorders>
              <w:top w:val="nil"/>
              <w:left w:val="nil"/>
              <w:bottom w:val="nil"/>
              <w:right w:val="nil"/>
              <w:tl2br w:val="nil"/>
              <w:tr2bl w:val="nil"/>
            </w:tcBorders>
            <w:shd w:val="clear" w:color="FFFFFF" w:fill="FFFFFF"/>
            <w:tcMar>
              <w:left w:w="40" w:type="dxa"/>
              <w:right w:w="40" w:type="dxa"/>
            </w:tcMar>
          </w:tcPr>
          <w:p w14:paraId="6A22708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-36,326</w:t>
            </w:r>
          </w:p>
        </w:tc>
        <w:tc>
          <w:tcPr>
            <w:tcW w:w="1035" w:type="dxa"/>
            <w:tcBorders>
              <w:top w:val="nil"/>
              <w:left w:val="nil"/>
              <w:bottom w:val="nil"/>
              <w:right w:val="nil"/>
              <w:tl2br w:val="nil"/>
              <w:tr2bl w:val="nil"/>
            </w:tcBorders>
            <w:shd w:val="clear" w:color="FFFFFF" w:fill="FFFFFF"/>
            <w:tcMar>
              <w:left w:w="40" w:type="dxa"/>
              <w:right w:w="40" w:type="dxa"/>
            </w:tcMar>
          </w:tcPr>
          <w:p w14:paraId="46438784"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143C9C" w14:paraId="0D3BD181"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370" w:type="dxa"/>
            <w:tcBorders>
              <w:top w:val="nil"/>
              <w:left w:val="nil"/>
              <w:bottom w:val="nil"/>
              <w:right w:val="nil"/>
              <w:tl2br w:val="nil"/>
              <w:tr2bl w:val="nil"/>
            </w:tcBorders>
            <w:shd w:val="clear" w:color="FFFFFF" w:fill="FFFFFF"/>
            <w:tcMar>
              <w:left w:w="40" w:type="dxa"/>
              <w:right w:w="40" w:type="dxa"/>
            </w:tcMar>
          </w:tcPr>
          <w:p w14:paraId="0CBE37DF" w14:textId="77777777" w:rsidR="00143C9C" w:rsidRDefault="009B5C32" w:rsidP="00627D90">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Dividend Approved</w:t>
            </w:r>
          </w:p>
        </w:tc>
        <w:tc>
          <w:tcPr>
            <w:tcW w:w="1035" w:type="dxa"/>
            <w:tcBorders>
              <w:top w:val="nil"/>
              <w:left w:val="nil"/>
              <w:bottom w:val="nil"/>
              <w:right w:val="nil"/>
              <w:tl2br w:val="nil"/>
              <w:tr2bl w:val="nil"/>
            </w:tcBorders>
            <w:shd w:val="clear" w:color="FFFFFF" w:fill="FFFFFF"/>
            <w:noWrap/>
            <w:tcMar>
              <w:left w:w="40" w:type="dxa"/>
              <w:right w:w="40" w:type="dxa"/>
            </w:tcMar>
          </w:tcPr>
          <w:p w14:paraId="78720DF2"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-1,099</w:t>
            </w:r>
          </w:p>
        </w:tc>
        <w:tc>
          <w:tcPr>
            <w:tcW w:w="1005" w:type="dxa"/>
            <w:tcBorders>
              <w:top w:val="nil"/>
              <w:left w:val="nil"/>
              <w:bottom w:val="nil"/>
              <w:right w:val="nil"/>
              <w:tl2br w:val="nil"/>
              <w:tr2bl w:val="nil"/>
            </w:tcBorders>
            <w:shd w:val="clear" w:color="FFFFFF" w:fill="FFFFFF"/>
            <w:tcMar>
              <w:left w:w="40" w:type="dxa"/>
              <w:right w:w="40" w:type="dxa"/>
            </w:tcMar>
          </w:tcPr>
          <w:p w14:paraId="4A8DF5FF"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-1,099</w:t>
            </w:r>
          </w:p>
        </w:tc>
        <w:tc>
          <w:tcPr>
            <w:tcW w:w="1035" w:type="dxa"/>
            <w:tcBorders>
              <w:top w:val="nil"/>
              <w:left w:val="nil"/>
              <w:bottom w:val="nil"/>
              <w:right w:val="nil"/>
              <w:tl2br w:val="nil"/>
              <w:tr2bl w:val="nil"/>
            </w:tcBorders>
            <w:shd w:val="clear" w:color="FFFFFF" w:fill="FFFFFF"/>
            <w:tcMar>
              <w:left w:w="40" w:type="dxa"/>
              <w:right w:w="40" w:type="dxa"/>
            </w:tcMar>
          </w:tcPr>
          <w:p w14:paraId="432325DB"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-1,099</w:t>
            </w:r>
          </w:p>
        </w:tc>
        <w:tc>
          <w:tcPr>
            <w:tcW w:w="600" w:type="dxa"/>
            <w:tcBorders>
              <w:top w:val="nil"/>
              <w:left w:val="nil"/>
              <w:bottom w:val="nil"/>
              <w:right w:val="nil"/>
              <w:tl2br w:val="nil"/>
              <w:tr2bl w:val="nil"/>
            </w:tcBorders>
            <w:shd w:val="clear" w:color="FFFFFF" w:fill="FFFFFF"/>
            <w:tcMar>
              <w:left w:w="40" w:type="dxa"/>
              <w:right w:w="40" w:type="dxa"/>
            </w:tcMar>
          </w:tcPr>
          <w:p w14:paraId="367023D1"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71AD9ED"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-1,099</w:t>
            </w:r>
          </w:p>
        </w:tc>
        <w:tc>
          <w:tcPr>
            <w:tcW w:w="1035" w:type="dxa"/>
            <w:tcBorders>
              <w:top w:val="nil"/>
              <w:left w:val="nil"/>
              <w:bottom w:val="nil"/>
              <w:right w:val="nil"/>
              <w:tl2br w:val="nil"/>
              <w:tr2bl w:val="nil"/>
            </w:tcBorders>
            <w:shd w:val="clear" w:color="FFFFFF" w:fill="FFFFFF"/>
            <w:tcMar>
              <w:left w:w="40" w:type="dxa"/>
              <w:right w:w="40" w:type="dxa"/>
            </w:tcMar>
          </w:tcPr>
          <w:p w14:paraId="2C271A23"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-1,099</w:t>
            </w:r>
          </w:p>
        </w:tc>
        <w:tc>
          <w:tcPr>
            <w:tcW w:w="1035" w:type="dxa"/>
            <w:tcBorders>
              <w:top w:val="nil"/>
              <w:left w:val="nil"/>
              <w:bottom w:val="nil"/>
              <w:right w:val="nil"/>
              <w:tl2br w:val="nil"/>
              <w:tr2bl w:val="nil"/>
            </w:tcBorders>
            <w:shd w:val="clear" w:color="FFFFFF" w:fill="FFFFFF"/>
            <w:tcMar>
              <w:left w:w="40" w:type="dxa"/>
              <w:right w:w="40" w:type="dxa"/>
            </w:tcMar>
          </w:tcPr>
          <w:p w14:paraId="73227DAA"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-1,099</w:t>
            </w:r>
          </w:p>
        </w:tc>
      </w:tr>
      <w:tr w:rsidR="00143C9C" w14:paraId="716FA1DC"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8"/>
        </w:trPr>
        <w:tc>
          <w:tcPr>
            <w:tcW w:w="2370" w:type="dxa"/>
            <w:tcBorders>
              <w:top w:val="nil"/>
              <w:left w:val="nil"/>
              <w:bottom w:val="nil"/>
              <w:right w:val="nil"/>
              <w:tl2br w:val="nil"/>
              <w:tr2bl w:val="nil"/>
            </w:tcBorders>
            <w:tcMar>
              <w:left w:w="40" w:type="dxa"/>
              <w:right w:w="40" w:type="dxa"/>
            </w:tcMar>
          </w:tcPr>
          <w:p w14:paraId="4AE10752" w14:textId="77777777" w:rsidR="00143C9C" w:rsidRDefault="009B5C32" w:rsidP="00627D90">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35E2BD3D"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535,368</w:t>
            </w:r>
          </w:p>
        </w:tc>
        <w:tc>
          <w:tcPr>
            <w:tcW w:w="1005" w:type="dxa"/>
            <w:tcBorders>
              <w:top w:val="nil"/>
              <w:left w:val="nil"/>
              <w:bottom w:val="nil"/>
              <w:right w:val="nil"/>
              <w:tl2br w:val="nil"/>
              <w:tr2bl w:val="nil"/>
            </w:tcBorders>
            <w:shd w:val="clear" w:color="FFFFFF" w:fill="FFFFFF"/>
            <w:noWrap/>
            <w:tcMar>
              <w:left w:w="40" w:type="dxa"/>
              <w:right w:w="40" w:type="dxa"/>
            </w:tcMar>
          </w:tcPr>
          <w:p w14:paraId="5682AEF1"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474,186</w:t>
            </w:r>
          </w:p>
        </w:tc>
        <w:tc>
          <w:tcPr>
            <w:tcW w:w="1035" w:type="dxa"/>
            <w:tcBorders>
              <w:top w:val="nil"/>
              <w:left w:val="nil"/>
              <w:bottom w:val="nil"/>
              <w:right w:val="nil"/>
              <w:tl2br w:val="nil"/>
              <w:tr2bl w:val="nil"/>
            </w:tcBorders>
            <w:shd w:val="clear" w:color="FFFFFF" w:fill="FFFFFF"/>
            <w:noWrap/>
            <w:tcMar>
              <w:left w:w="40" w:type="dxa"/>
              <w:right w:w="40" w:type="dxa"/>
            </w:tcMar>
          </w:tcPr>
          <w:p w14:paraId="6E7E2EF6"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829,474</w:t>
            </w:r>
          </w:p>
        </w:tc>
        <w:tc>
          <w:tcPr>
            <w:tcW w:w="600" w:type="dxa"/>
            <w:tcBorders>
              <w:top w:val="nil"/>
              <w:left w:val="nil"/>
              <w:bottom w:val="nil"/>
              <w:right w:val="nil"/>
              <w:tl2br w:val="nil"/>
              <w:tr2bl w:val="nil"/>
            </w:tcBorders>
            <w:shd w:val="clear" w:color="FFFFFF" w:fill="FFFFFF"/>
            <w:tcMar>
              <w:left w:w="40" w:type="dxa"/>
              <w:right w:w="40" w:type="dxa"/>
            </w:tcMar>
          </w:tcPr>
          <w:p w14:paraId="79DC8448"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75 </w:t>
            </w:r>
          </w:p>
        </w:tc>
        <w:tc>
          <w:tcPr>
            <w:tcW w:w="1035" w:type="dxa"/>
            <w:tcBorders>
              <w:top w:val="nil"/>
              <w:left w:val="nil"/>
              <w:bottom w:val="nil"/>
              <w:right w:val="nil"/>
              <w:tl2br w:val="nil"/>
              <w:tr2bl w:val="nil"/>
            </w:tcBorders>
            <w:shd w:val="clear" w:color="FFFFFF" w:fill="FFFFFF"/>
            <w:noWrap/>
            <w:tcMar>
              <w:left w:w="40" w:type="dxa"/>
              <w:right w:w="40" w:type="dxa"/>
            </w:tcMar>
          </w:tcPr>
          <w:p w14:paraId="1BCBB42C"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234,731</w:t>
            </w:r>
          </w:p>
        </w:tc>
        <w:tc>
          <w:tcPr>
            <w:tcW w:w="1035" w:type="dxa"/>
            <w:tcBorders>
              <w:top w:val="nil"/>
              <w:left w:val="nil"/>
              <w:bottom w:val="nil"/>
              <w:right w:val="nil"/>
              <w:tl2br w:val="nil"/>
              <w:tr2bl w:val="nil"/>
            </w:tcBorders>
            <w:shd w:val="clear" w:color="FFFFFF" w:fill="FFFFFF"/>
            <w:noWrap/>
            <w:tcMar>
              <w:left w:w="40" w:type="dxa"/>
              <w:right w:w="40" w:type="dxa"/>
            </w:tcMar>
          </w:tcPr>
          <w:p w14:paraId="70CBB2C1"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265,454</w:t>
            </w:r>
          </w:p>
        </w:tc>
        <w:tc>
          <w:tcPr>
            <w:tcW w:w="1035" w:type="dxa"/>
            <w:tcBorders>
              <w:top w:val="nil"/>
              <w:left w:val="nil"/>
              <w:bottom w:val="nil"/>
              <w:right w:val="nil"/>
              <w:tl2br w:val="nil"/>
              <w:tr2bl w:val="nil"/>
            </w:tcBorders>
            <w:shd w:val="clear" w:color="FFFFFF" w:fill="FFFFFF"/>
            <w:noWrap/>
            <w:tcMar>
              <w:left w:w="40" w:type="dxa"/>
              <w:right w:w="40" w:type="dxa"/>
            </w:tcMar>
          </w:tcPr>
          <w:p w14:paraId="51958DD9"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316,068</w:t>
            </w:r>
          </w:p>
        </w:tc>
      </w:tr>
      <w:tr w:rsidR="00143C9C" w14:paraId="07F17E3E"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tcMar>
              <w:left w:w="40" w:type="dxa"/>
              <w:right w:w="40" w:type="dxa"/>
            </w:tcMar>
            <w:vAlign w:val="bottom"/>
          </w:tcPr>
          <w:p w14:paraId="62A16191" w14:textId="77777777" w:rsidR="00143C9C" w:rsidRDefault="009B5C32" w:rsidP="00627D90">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Closing Equity</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6428E033" w14:textId="77777777" w:rsidR="00143C9C" w:rsidRDefault="00143C9C">
            <w:pPr>
              <w:rPr>
                <w:rFonts w:eastAsia="Calibri" w:cs="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0F2DED48" w14:textId="77777777" w:rsidR="00143C9C" w:rsidRDefault="00143C9C">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FF49415" w14:textId="77777777" w:rsidR="00143C9C" w:rsidRDefault="00143C9C">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14E1DAEC" w14:textId="77777777" w:rsidR="00143C9C" w:rsidRDefault="00143C9C">
            <w:pPr>
              <w:jc w:val="right"/>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7985BCA" w14:textId="77777777" w:rsidR="00143C9C" w:rsidRDefault="00143C9C">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B0615DE" w14:textId="77777777" w:rsidR="00143C9C" w:rsidRDefault="00143C9C">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381DC68" w14:textId="77777777" w:rsidR="00143C9C" w:rsidRDefault="00143C9C">
            <w:pPr>
              <w:rPr>
                <w:rFonts w:eastAsia="Calibri" w:cs="Calibri"/>
                <w:color w:val="000000"/>
                <w:lang w:eastAsia="en-US"/>
              </w:rPr>
            </w:pPr>
          </w:p>
        </w:tc>
      </w:tr>
      <w:tr w:rsidR="00143C9C" w14:paraId="28C23432"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5684B8AF" w14:textId="77777777" w:rsidR="00143C9C" w:rsidRDefault="009B5C32" w:rsidP="00627D90">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Closing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3CADF933"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1,604,774</w:t>
            </w:r>
          </w:p>
        </w:tc>
        <w:tc>
          <w:tcPr>
            <w:tcW w:w="1005" w:type="dxa"/>
            <w:tcBorders>
              <w:top w:val="nil"/>
              <w:left w:val="nil"/>
              <w:bottom w:val="nil"/>
              <w:right w:val="nil"/>
              <w:tl2br w:val="nil"/>
              <w:tr2bl w:val="nil"/>
            </w:tcBorders>
            <w:shd w:val="clear" w:color="FFFFFF" w:fill="FFFFFF"/>
            <w:tcMar>
              <w:left w:w="40" w:type="dxa"/>
              <w:right w:w="40" w:type="dxa"/>
            </w:tcMar>
          </w:tcPr>
          <w:p w14:paraId="793DFB61"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1,784,309</w:t>
            </w:r>
          </w:p>
        </w:tc>
        <w:tc>
          <w:tcPr>
            <w:tcW w:w="1035" w:type="dxa"/>
            <w:tcBorders>
              <w:top w:val="nil"/>
              <w:left w:val="nil"/>
              <w:bottom w:val="nil"/>
              <w:right w:val="nil"/>
              <w:tl2br w:val="nil"/>
              <w:tr2bl w:val="nil"/>
            </w:tcBorders>
            <w:shd w:val="clear" w:color="FFFFFF" w:fill="FFFFFF"/>
            <w:tcMar>
              <w:left w:w="40" w:type="dxa"/>
              <w:right w:w="40" w:type="dxa"/>
            </w:tcMar>
          </w:tcPr>
          <w:p w14:paraId="59E1C0FB"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2,527,179</w:t>
            </w:r>
          </w:p>
        </w:tc>
        <w:tc>
          <w:tcPr>
            <w:tcW w:w="600" w:type="dxa"/>
            <w:tcBorders>
              <w:top w:val="nil"/>
              <w:left w:val="nil"/>
              <w:bottom w:val="nil"/>
              <w:right w:val="nil"/>
              <w:tl2br w:val="nil"/>
              <w:tr2bl w:val="nil"/>
            </w:tcBorders>
            <w:shd w:val="clear" w:color="FFFFFF" w:fill="FFFFFF"/>
            <w:tcMar>
              <w:left w:w="40" w:type="dxa"/>
              <w:right w:w="40" w:type="dxa"/>
            </w:tcMar>
          </w:tcPr>
          <w:p w14:paraId="44B54A0E"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42 </w:t>
            </w:r>
          </w:p>
        </w:tc>
        <w:tc>
          <w:tcPr>
            <w:tcW w:w="1035" w:type="dxa"/>
            <w:tcBorders>
              <w:top w:val="nil"/>
              <w:left w:val="nil"/>
              <w:bottom w:val="nil"/>
              <w:right w:val="nil"/>
              <w:tl2br w:val="nil"/>
              <w:tr2bl w:val="nil"/>
            </w:tcBorders>
            <w:shd w:val="clear" w:color="FFFFFF" w:fill="FFFFFF"/>
            <w:tcMar>
              <w:left w:w="40" w:type="dxa"/>
              <w:right w:w="40" w:type="dxa"/>
            </w:tcMar>
          </w:tcPr>
          <w:p w14:paraId="79E6D200"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2,804,290</w:t>
            </w:r>
          </w:p>
        </w:tc>
        <w:tc>
          <w:tcPr>
            <w:tcW w:w="1035" w:type="dxa"/>
            <w:tcBorders>
              <w:top w:val="nil"/>
              <w:left w:val="nil"/>
              <w:bottom w:val="nil"/>
              <w:right w:val="nil"/>
              <w:tl2br w:val="nil"/>
              <w:tr2bl w:val="nil"/>
            </w:tcBorders>
            <w:shd w:val="clear" w:color="FFFFFF" w:fill="FFFFFF"/>
            <w:tcMar>
              <w:left w:w="40" w:type="dxa"/>
              <w:right w:w="40" w:type="dxa"/>
            </w:tcMar>
          </w:tcPr>
          <w:p w14:paraId="27133ED1"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3,024,152</w:t>
            </w:r>
          </w:p>
        </w:tc>
        <w:tc>
          <w:tcPr>
            <w:tcW w:w="1035" w:type="dxa"/>
            <w:tcBorders>
              <w:top w:val="nil"/>
              <w:left w:val="nil"/>
              <w:bottom w:val="nil"/>
              <w:right w:val="nil"/>
              <w:tl2br w:val="nil"/>
              <w:tr2bl w:val="nil"/>
            </w:tcBorders>
            <w:shd w:val="clear" w:color="FFFFFF" w:fill="FFFFFF"/>
            <w:tcMar>
              <w:left w:w="40" w:type="dxa"/>
              <w:right w:w="40" w:type="dxa"/>
            </w:tcMar>
          </w:tcPr>
          <w:p w14:paraId="285D924C"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3,295,428</w:t>
            </w:r>
          </w:p>
        </w:tc>
      </w:tr>
      <w:tr w:rsidR="00143C9C" w14:paraId="32F039CC"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70" w:type="dxa"/>
            <w:tcBorders>
              <w:top w:val="nil"/>
              <w:left w:val="nil"/>
              <w:bottom w:val="nil"/>
              <w:right w:val="nil"/>
              <w:tl2br w:val="nil"/>
              <w:tr2bl w:val="nil"/>
            </w:tcBorders>
            <w:tcMar>
              <w:left w:w="40" w:type="dxa"/>
              <w:right w:w="40" w:type="dxa"/>
            </w:tcMar>
          </w:tcPr>
          <w:p w14:paraId="3D5919B0" w14:textId="77777777" w:rsidR="00143C9C" w:rsidRDefault="009B5C32" w:rsidP="00627D90">
            <w:pPr>
              <w:pBdr>
                <w:top w:val="nil"/>
                <w:left w:val="nil"/>
                <w:bottom w:val="nil"/>
                <w:right w:val="nil"/>
                <w:between w:val="nil"/>
                <w:bar w:val="nil"/>
              </w:pBdr>
              <w:ind w:left="170" w:hanging="170"/>
              <w:rPr>
                <w:rFonts w:eastAsia="Calibri" w:cs="Calibri"/>
                <w:color w:val="000000"/>
                <w:lang w:eastAsia="en-US"/>
              </w:rPr>
            </w:pPr>
            <w:r>
              <w:rPr>
                <w:rFonts w:ascii="Calibri" w:eastAsia="Calibri" w:hAnsi="Calibri" w:cs="Calibri"/>
                <w:color w:val="000000"/>
                <w:sz w:val="18"/>
                <w:lang w:eastAsia="en-US"/>
              </w:rPr>
              <w:t>Closing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1E3B3F4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418,877</w:t>
            </w:r>
          </w:p>
        </w:tc>
        <w:tc>
          <w:tcPr>
            <w:tcW w:w="1005" w:type="dxa"/>
            <w:tcBorders>
              <w:top w:val="nil"/>
              <w:left w:val="nil"/>
              <w:bottom w:val="nil"/>
              <w:right w:val="nil"/>
              <w:tl2br w:val="nil"/>
              <w:tr2bl w:val="nil"/>
            </w:tcBorders>
            <w:shd w:val="clear" w:color="FFFFFF" w:fill="FFFFFF"/>
            <w:tcMar>
              <w:left w:w="40" w:type="dxa"/>
              <w:right w:w="40" w:type="dxa"/>
            </w:tcMar>
          </w:tcPr>
          <w:p w14:paraId="61F6F4BC"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440,190</w:t>
            </w:r>
          </w:p>
        </w:tc>
        <w:tc>
          <w:tcPr>
            <w:tcW w:w="1035" w:type="dxa"/>
            <w:tcBorders>
              <w:top w:val="nil"/>
              <w:left w:val="nil"/>
              <w:bottom w:val="nil"/>
              <w:right w:val="nil"/>
              <w:tl2br w:val="nil"/>
              <w:tr2bl w:val="nil"/>
            </w:tcBorders>
            <w:shd w:val="clear" w:color="FFFFFF" w:fill="FFFFFF"/>
            <w:tcMar>
              <w:left w:w="40" w:type="dxa"/>
              <w:right w:w="40" w:type="dxa"/>
            </w:tcMar>
          </w:tcPr>
          <w:p w14:paraId="5A17B2C0"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474,975</w:t>
            </w:r>
          </w:p>
        </w:tc>
        <w:tc>
          <w:tcPr>
            <w:tcW w:w="600" w:type="dxa"/>
            <w:tcBorders>
              <w:top w:val="nil"/>
              <w:left w:val="nil"/>
              <w:bottom w:val="nil"/>
              <w:right w:val="nil"/>
              <w:tl2br w:val="nil"/>
              <w:tr2bl w:val="nil"/>
            </w:tcBorders>
            <w:shd w:val="clear" w:color="FFFFFF" w:fill="FFFFFF"/>
            <w:tcMar>
              <w:left w:w="40" w:type="dxa"/>
              <w:right w:w="40" w:type="dxa"/>
            </w:tcMar>
          </w:tcPr>
          <w:p w14:paraId="5A316383"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33C38AC8"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409,070</w:t>
            </w:r>
          </w:p>
        </w:tc>
        <w:tc>
          <w:tcPr>
            <w:tcW w:w="1035" w:type="dxa"/>
            <w:tcBorders>
              <w:top w:val="nil"/>
              <w:left w:val="nil"/>
              <w:bottom w:val="nil"/>
              <w:right w:val="nil"/>
              <w:tl2br w:val="nil"/>
              <w:tr2bl w:val="nil"/>
            </w:tcBorders>
            <w:shd w:val="clear" w:color="FFFFFF" w:fill="FFFFFF"/>
            <w:tcMar>
              <w:left w:w="40" w:type="dxa"/>
              <w:right w:w="40" w:type="dxa"/>
            </w:tcMar>
          </w:tcPr>
          <w:p w14:paraId="6FAFED99"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409,070</w:t>
            </w:r>
          </w:p>
        </w:tc>
        <w:tc>
          <w:tcPr>
            <w:tcW w:w="1035" w:type="dxa"/>
            <w:tcBorders>
              <w:top w:val="nil"/>
              <w:left w:val="nil"/>
              <w:bottom w:val="nil"/>
              <w:right w:val="nil"/>
              <w:tl2br w:val="nil"/>
              <w:tr2bl w:val="nil"/>
            </w:tcBorders>
            <w:shd w:val="clear" w:color="FFFFFF" w:fill="FFFFFF"/>
            <w:tcMar>
              <w:left w:w="40" w:type="dxa"/>
              <w:right w:w="40" w:type="dxa"/>
            </w:tcMar>
          </w:tcPr>
          <w:p w14:paraId="4B3B09B5" w14:textId="77777777" w:rsidR="00143C9C" w:rsidRDefault="009B5C32">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409,070</w:t>
            </w:r>
          </w:p>
        </w:tc>
      </w:tr>
      <w:tr w:rsidR="00143C9C" w14:paraId="2472705C" w14:textId="77777777" w:rsidTr="00BE2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single" w:sz="12" w:space="0" w:color="000000"/>
              <w:right w:val="nil"/>
              <w:tl2br w:val="nil"/>
              <w:tr2bl w:val="nil"/>
            </w:tcBorders>
            <w:shd w:val="clear" w:color="FFFFFF" w:fill="FFFFFF"/>
            <w:tcMar>
              <w:left w:w="40" w:type="dxa"/>
              <w:right w:w="40" w:type="dxa"/>
            </w:tcMar>
          </w:tcPr>
          <w:p w14:paraId="44E6272B" w14:textId="77777777" w:rsidR="00143C9C" w:rsidRDefault="009B5C32" w:rsidP="00627D90">
            <w:pPr>
              <w:pBdr>
                <w:top w:val="nil"/>
                <w:left w:val="nil"/>
                <w:bottom w:val="nil"/>
                <w:right w:val="nil"/>
                <w:between w:val="nil"/>
                <w:bar w:val="nil"/>
              </w:pBdr>
              <w:ind w:left="170" w:hanging="170"/>
              <w:rPr>
                <w:rFonts w:eastAsia="Calibri" w:cs="Calibri"/>
                <w:b/>
                <w:color w:val="000000"/>
                <w:lang w:eastAsia="en-US"/>
              </w:rPr>
            </w:pPr>
            <w:r>
              <w:rPr>
                <w:rFonts w:ascii="Calibri" w:eastAsia="Calibri" w:hAnsi="Calibri" w:cs="Calibri"/>
                <w:b/>
                <w:color w:val="000000"/>
                <w:sz w:val="18"/>
                <w:lang w:eastAsia="en-US"/>
              </w:rPr>
              <w:t>Balance at the end of the Reporting Period</w:t>
            </w:r>
          </w:p>
        </w:tc>
        <w:tc>
          <w:tcPr>
            <w:tcW w:w="1035" w:type="dxa"/>
            <w:tcBorders>
              <w:top w:val="nil"/>
              <w:left w:val="nil"/>
              <w:bottom w:val="single" w:sz="12" w:space="0" w:color="000000"/>
              <w:right w:val="nil"/>
              <w:tl2br w:val="nil"/>
              <w:tr2bl w:val="nil"/>
            </w:tcBorders>
            <w:shd w:val="clear" w:color="FFFFFF" w:fill="FFFFFF"/>
            <w:noWrap/>
            <w:tcMar>
              <w:left w:w="40" w:type="dxa"/>
              <w:right w:w="40" w:type="dxa"/>
            </w:tcMar>
          </w:tcPr>
          <w:p w14:paraId="4C797137"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2,023,651</w:t>
            </w:r>
          </w:p>
        </w:tc>
        <w:tc>
          <w:tcPr>
            <w:tcW w:w="1005" w:type="dxa"/>
            <w:tcBorders>
              <w:top w:val="nil"/>
              <w:left w:val="nil"/>
              <w:bottom w:val="single" w:sz="12" w:space="0" w:color="000000"/>
              <w:right w:val="nil"/>
              <w:tl2br w:val="nil"/>
              <w:tr2bl w:val="nil"/>
            </w:tcBorders>
            <w:shd w:val="clear" w:color="FFFFFF" w:fill="FFFFFF"/>
            <w:tcMar>
              <w:left w:w="40" w:type="dxa"/>
              <w:right w:w="40" w:type="dxa"/>
            </w:tcMar>
          </w:tcPr>
          <w:p w14:paraId="69F92797"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2,224,499</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1670B92E"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3,002,154</w:t>
            </w:r>
          </w:p>
        </w:tc>
        <w:tc>
          <w:tcPr>
            <w:tcW w:w="600" w:type="dxa"/>
            <w:tcBorders>
              <w:top w:val="nil"/>
              <w:left w:val="nil"/>
              <w:bottom w:val="single" w:sz="12" w:space="0" w:color="000000"/>
              <w:right w:val="nil"/>
              <w:tl2br w:val="nil"/>
              <w:tr2bl w:val="nil"/>
            </w:tcBorders>
            <w:shd w:val="clear" w:color="FFFFFF" w:fill="FFFFFF"/>
            <w:tcMar>
              <w:left w:w="40" w:type="dxa"/>
              <w:right w:w="40" w:type="dxa"/>
            </w:tcMar>
          </w:tcPr>
          <w:p w14:paraId="7D7CCDB5"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35</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37EC9B34"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3,213,360</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0B0AFCE0"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3,433,222</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3F93CED4" w14:textId="77777777" w:rsidR="00143C9C" w:rsidRDefault="009B5C3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3,704,498</w:t>
            </w:r>
          </w:p>
        </w:tc>
      </w:tr>
    </w:tbl>
    <w:p w14:paraId="554D4EFD" w14:textId="77777777" w:rsidR="00FE62CF" w:rsidRDefault="009B5C32">
      <w:pPr>
        <w:pBdr>
          <w:top w:val="nil"/>
          <w:left w:val="nil"/>
          <w:bottom w:val="nil"/>
          <w:right w:val="nil"/>
          <w:between w:val="nil"/>
          <w:bar w:val="nil"/>
        </w:pBdr>
        <w:spacing w:after="160" w:line="259" w:lineRule="auto"/>
        <w:rPr>
          <w:lang w:val="en-AU"/>
        </w:rPr>
      </w:pPr>
      <w:r>
        <w:rPr>
          <w:rFonts w:ascii="Calibri" w:eastAsia="Times New Roman" w:hAnsi="Calibri" w:cs="Times New Roman"/>
          <w:sz w:val="18"/>
          <w:szCs w:val="20"/>
          <w:lang w:val="en-AU"/>
        </w:rPr>
        <w:br w:type="page"/>
      </w:r>
    </w:p>
    <w:p w14:paraId="11DC2A63" w14:textId="33F35266" w:rsidR="00FE62CF" w:rsidRDefault="009B5C32" w:rsidP="00264B0F">
      <w:pPr>
        <w:pStyle w:val="Caption"/>
        <w:pBdr>
          <w:top w:val="nil"/>
          <w:left w:val="nil"/>
          <w:bottom w:val="nil"/>
          <w:right w:val="nil"/>
          <w:between w:val="nil"/>
          <w:bar w:val="nil"/>
        </w:pBdr>
      </w:pPr>
      <w:r>
        <w:lastRenderedPageBreak/>
        <w:t>Table 1</w:t>
      </w:r>
      <w:r w:rsidR="00633F76">
        <w:t>3</w:t>
      </w:r>
      <w:r>
        <w:t>: Infrastructure Canberra: Cash Flow Statement ($’000)</w:t>
      </w:r>
    </w:p>
    <w:tbl>
      <w:tblPr>
        <w:tblStyle w:val="CDMRange2"/>
        <w:tblpPr w:leftFromText="180" w:rightFromText="180" w:vertAnchor="text" w:tblpY="1"/>
        <w:tblOverlap w:val="never"/>
        <w:tblW w:w="9150" w:type="dxa"/>
        <w:tblLayout w:type="fixed"/>
        <w:tblLook w:val="0620" w:firstRow="1" w:lastRow="0" w:firstColumn="0" w:lastColumn="0" w:noHBand="1" w:noVBand="1"/>
      </w:tblPr>
      <w:tblGrid>
        <w:gridCol w:w="2368"/>
        <w:gridCol w:w="1034"/>
        <w:gridCol w:w="993"/>
        <w:gridCol w:w="12"/>
        <w:gridCol w:w="1025"/>
        <w:gridCol w:w="12"/>
        <w:gridCol w:w="589"/>
        <w:gridCol w:w="12"/>
        <w:gridCol w:w="1023"/>
        <w:gridCol w:w="12"/>
        <w:gridCol w:w="1023"/>
        <w:gridCol w:w="12"/>
        <w:gridCol w:w="1023"/>
        <w:gridCol w:w="12"/>
      </w:tblGrid>
      <w:tr w:rsidR="00143C9C" w14:paraId="1B0EAA22" w14:textId="77777777" w:rsidTr="002D3E6C">
        <w:trPr>
          <w:trHeight w:val="825"/>
          <w:tblHeader/>
        </w:trPr>
        <w:tc>
          <w:tcPr>
            <w:tcW w:w="2368" w:type="dxa"/>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4652CFB6" w14:textId="77777777" w:rsidR="00143C9C" w:rsidRDefault="00143C9C" w:rsidP="002D3E6C">
            <w:pPr>
              <w:spacing w:after="0" w:line="240" w:lineRule="auto"/>
              <w:rPr>
                <w:rFonts w:cs="Calibri"/>
                <w:b/>
                <w:color w:val="000000"/>
              </w:rPr>
            </w:pPr>
          </w:p>
        </w:tc>
        <w:tc>
          <w:tcPr>
            <w:tcW w:w="1034"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1F75859"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2025-26 Budget</w:t>
            </w:r>
          </w:p>
        </w:tc>
        <w:tc>
          <w:tcPr>
            <w:tcW w:w="1005" w:type="dxa"/>
            <w:gridSpan w:val="2"/>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3905495D" w14:textId="742FFFB9"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2025-26 Estimated Outcome</w:t>
            </w:r>
          </w:p>
        </w:tc>
        <w:tc>
          <w:tcPr>
            <w:tcW w:w="1037" w:type="dxa"/>
            <w:gridSpan w:val="2"/>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ADC5884"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2026-27 Budget</w:t>
            </w:r>
          </w:p>
        </w:tc>
        <w:tc>
          <w:tcPr>
            <w:tcW w:w="601" w:type="dxa"/>
            <w:gridSpan w:val="2"/>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23C90BB"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Var </w:t>
            </w:r>
          </w:p>
          <w:p w14:paraId="38890211"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w:t>
            </w:r>
          </w:p>
        </w:tc>
        <w:tc>
          <w:tcPr>
            <w:tcW w:w="1035" w:type="dxa"/>
            <w:gridSpan w:val="2"/>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B211F7D"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2027-28 Estimate</w:t>
            </w:r>
          </w:p>
        </w:tc>
        <w:tc>
          <w:tcPr>
            <w:tcW w:w="1035" w:type="dxa"/>
            <w:gridSpan w:val="2"/>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0C1EC08"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2028-29 Estimate</w:t>
            </w:r>
          </w:p>
        </w:tc>
        <w:tc>
          <w:tcPr>
            <w:tcW w:w="1035" w:type="dxa"/>
            <w:gridSpan w:val="2"/>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A88BEDA"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2029-30 Estimate</w:t>
            </w:r>
          </w:p>
        </w:tc>
      </w:tr>
      <w:tr w:rsidR="002D3E6C" w14:paraId="29DA2A8E"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hRule="exact" w:val="480"/>
        </w:trPr>
        <w:tc>
          <w:tcPr>
            <w:tcW w:w="2368" w:type="dxa"/>
            <w:tcBorders>
              <w:top w:val="single" w:sz="12" w:space="0" w:color="000000"/>
              <w:left w:val="nil"/>
              <w:bottom w:val="nil"/>
              <w:right w:val="nil"/>
              <w:tl2br w:val="nil"/>
              <w:tr2bl w:val="nil"/>
            </w:tcBorders>
            <w:noWrap/>
            <w:tcMar>
              <w:left w:w="40" w:type="dxa"/>
              <w:right w:w="40" w:type="dxa"/>
            </w:tcMar>
            <w:vAlign w:val="bottom"/>
          </w:tcPr>
          <w:p w14:paraId="06EE5F53" w14:textId="77777777" w:rsidR="002D3E6C" w:rsidRDefault="002D3E6C" w:rsidP="002D3E6C">
            <w:pPr>
              <w:pBdr>
                <w:top w:val="nil"/>
                <w:left w:val="nil"/>
                <w:bottom w:val="nil"/>
                <w:right w:val="nil"/>
                <w:between w:val="nil"/>
                <w:bar w:val="nil"/>
              </w:pBdr>
              <w:spacing w:after="0" w:line="240" w:lineRule="auto"/>
              <w:ind w:left="101" w:hanging="101"/>
              <w:rPr>
                <w:rFonts w:cs="Calibri"/>
                <w:b/>
                <w:color w:val="000000"/>
              </w:rPr>
            </w:pPr>
            <w:r>
              <w:rPr>
                <w:rFonts w:cs="Calibri"/>
                <w:b/>
                <w:color w:val="000000"/>
                <w:sz w:val="18"/>
                <w:szCs w:val="20"/>
              </w:rPr>
              <w:t>CASH FLOWS FROM OPERATING ACTIVITIES</w:t>
            </w:r>
          </w:p>
        </w:tc>
        <w:tc>
          <w:tcPr>
            <w:tcW w:w="1034" w:type="dxa"/>
            <w:tcBorders>
              <w:top w:val="single" w:sz="12" w:space="0" w:color="000000"/>
              <w:left w:val="nil"/>
              <w:bottom w:val="nil"/>
              <w:right w:val="nil"/>
              <w:tl2br w:val="nil"/>
              <w:tr2bl w:val="nil"/>
            </w:tcBorders>
            <w:vAlign w:val="bottom"/>
          </w:tcPr>
          <w:p w14:paraId="1CA19446" w14:textId="5D75B004" w:rsidR="002D3E6C" w:rsidRDefault="002D3E6C" w:rsidP="002D3E6C">
            <w:pPr>
              <w:pBdr>
                <w:top w:val="nil"/>
                <w:left w:val="nil"/>
                <w:bottom w:val="nil"/>
                <w:right w:val="nil"/>
                <w:between w:val="nil"/>
                <w:bar w:val="nil"/>
              </w:pBdr>
              <w:spacing w:after="0" w:line="240" w:lineRule="auto"/>
              <w:rPr>
                <w:rFonts w:cs="Calibri"/>
                <w:b/>
                <w:color w:val="000000"/>
              </w:rPr>
            </w:pPr>
          </w:p>
        </w:tc>
        <w:tc>
          <w:tcPr>
            <w:tcW w:w="993" w:type="dxa"/>
            <w:tcBorders>
              <w:top w:val="single" w:sz="12" w:space="0" w:color="000000"/>
              <w:left w:val="nil"/>
              <w:bottom w:val="nil"/>
              <w:right w:val="nil"/>
              <w:tl2br w:val="nil"/>
              <w:tr2bl w:val="nil"/>
            </w:tcBorders>
            <w:noWrap/>
            <w:tcMar>
              <w:left w:w="0" w:type="dxa"/>
              <w:right w:w="0" w:type="dxa"/>
            </w:tcMar>
            <w:vAlign w:val="bottom"/>
          </w:tcPr>
          <w:p w14:paraId="7DC20490" w14:textId="77777777" w:rsidR="002D3E6C" w:rsidRDefault="002D3E6C" w:rsidP="002D3E6C">
            <w:pPr>
              <w:spacing w:after="0" w:line="240" w:lineRule="auto"/>
              <w:rPr>
                <w:rFonts w:cs="Calibri"/>
                <w:b/>
                <w:color w:val="000000"/>
              </w:rPr>
            </w:pPr>
          </w:p>
        </w:tc>
        <w:tc>
          <w:tcPr>
            <w:tcW w:w="1037" w:type="dxa"/>
            <w:gridSpan w:val="2"/>
            <w:tcBorders>
              <w:top w:val="single" w:sz="12" w:space="0" w:color="000000"/>
              <w:left w:val="nil"/>
              <w:bottom w:val="nil"/>
              <w:right w:val="nil"/>
              <w:tl2br w:val="nil"/>
              <w:tr2bl w:val="nil"/>
            </w:tcBorders>
            <w:noWrap/>
            <w:tcMar>
              <w:left w:w="0" w:type="dxa"/>
              <w:right w:w="0" w:type="dxa"/>
            </w:tcMar>
            <w:vAlign w:val="bottom"/>
          </w:tcPr>
          <w:p w14:paraId="1735FEED" w14:textId="77777777" w:rsidR="002D3E6C" w:rsidRDefault="002D3E6C" w:rsidP="002D3E6C">
            <w:pPr>
              <w:spacing w:after="0" w:line="240" w:lineRule="auto"/>
              <w:rPr>
                <w:rFonts w:cs="Calibri"/>
                <w:b/>
                <w:color w:val="000000"/>
              </w:rPr>
            </w:pPr>
          </w:p>
        </w:tc>
        <w:tc>
          <w:tcPr>
            <w:tcW w:w="601" w:type="dxa"/>
            <w:gridSpan w:val="2"/>
            <w:tcBorders>
              <w:top w:val="single" w:sz="12" w:space="0" w:color="000000"/>
              <w:left w:val="nil"/>
              <w:bottom w:val="nil"/>
              <w:right w:val="nil"/>
              <w:tl2br w:val="nil"/>
              <w:tr2bl w:val="nil"/>
            </w:tcBorders>
            <w:noWrap/>
            <w:tcMar>
              <w:left w:w="0" w:type="dxa"/>
              <w:right w:w="0" w:type="dxa"/>
            </w:tcMar>
            <w:vAlign w:val="bottom"/>
          </w:tcPr>
          <w:p w14:paraId="0D819242" w14:textId="77777777" w:rsidR="002D3E6C" w:rsidRDefault="002D3E6C" w:rsidP="002D3E6C">
            <w:pPr>
              <w:spacing w:after="0" w:line="240" w:lineRule="auto"/>
              <w:rPr>
                <w:rFonts w:cs="Calibri"/>
                <w:b/>
                <w:color w:val="000000"/>
              </w:rPr>
            </w:pPr>
          </w:p>
        </w:tc>
        <w:tc>
          <w:tcPr>
            <w:tcW w:w="1035" w:type="dxa"/>
            <w:gridSpan w:val="2"/>
            <w:tcBorders>
              <w:top w:val="single" w:sz="12" w:space="0" w:color="000000"/>
              <w:left w:val="nil"/>
              <w:bottom w:val="nil"/>
              <w:right w:val="nil"/>
              <w:tl2br w:val="nil"/>
              <w:tr2bl w:val="nil"/>
            </w:tcBorders>
            <w:noWrap/>
            <w:tcMar>
              <w:left w:w="0" w:type="dxa"/>
              <w:right w:w="0" w:type="dxa"/>
            </w:tcMar>
            <w:vAlign w:val="bottom"/>
          </w:tcPr>
          <w:p w14:paraId="3ED49E61" w14:textId="77777777" w:rsidR="002D3E6C" w:rsidRDefault="002D3E6C" w:rsidP="002D3E6C">
            <w:pPr>
              <w:spacing w:after="0" w:line="240" w:lineRule="auto"/>
              <w:rPr>
                <w:rFonts w:cs="Calibri"/>
                <w:b/>
                <w:color w:val="000000"/>
              </w:rPr>
            </w:pPr>
          </w:p>
        </w:tc>
        <w:tc>
          <w:tcPr>
            <w:tcW w:w="1035" w:type="dxa"/>
            <w:gridSpan w:val="2"/>
            <w:tcBorders>
              <w:top w:val="single" w:sz="12" w:space="0" w:color="000000"/>
              <w:left w:val="nil"/>
              <w:bottom w:val="nil"/>
              <w:right w:val="nil"/>
              <w:tl2br w:val="nil"/>
              <w:tr2bl w:val="nil"/>
            </w:tcBorders>
            <w:noWrap/>
            <w:tcMar>
              <w:left w:w="0" w:type="dxa"/>
              <w:right w:w="0" w:type="dxa"/>
            </w:tcMar>
            <w:vAlign w:val="bottom"/>
          </w:tcPr>
          <w:p w14:paraId="7DCCD61D" w14:textId="77777777" w:rsidR="002D3E6C" w:rsidRDefault="002D3E6C" w:rsidP="002D3E6C">
            <w:pPr>
              <w:spacing w:after="0" w:line="240" w:lineRule="auto"/>
              <w:rPr>
                <w:rFonts w:cs="Calibri"/>
                <w:b/>
                <w:color w:val="000000"/>
              </w:rPr>
            </w:pPr>
          </w:p>
        </w:tc>
        <w:tc>
          <w:tcPr>
            <w:tcW w:w="1035" w:type="dxa"/>
            <w:gridSpan w:val="2"/>
            <w:tcBorders>
              <w:top w:val="single" w:sz="12" w:space="0" w:color="000000"/>
              <w:left w:val="nil"/>
              <w:bottom w:val="nil"/>
              <w:right w:val="nil"/>
              <w:tl2br w:val="nil"/>
              <w:tr2bl w:val="nil"/>
            </w:tcBorders>
            <w:noWrap/>
            <w:tcMar>
              <w:left w:w="0" w:type="dxa"/>
              <w:right w:w="0" w:type="dxa"/>
            </w:tcMar>
            <w:vAlign w:val="bottom"/>
          </w:tcPr>
          <w:p w14:paraId="363EFF70" w14:textId="77777777" w:rsidR="002D3E6C" w:rsidRDefault="002D3E6C" w:rsidP="002D3E6C">
            <w:pPr>
              <w:spacing w:after="0" w:line="240" w:lineRule="auto"/>
              <w:rPr>
                <w:rFonts w:cs="Calibri"/>
                <w:b/>
                <w:color w:val="000000"/>
              </w:rPr>
            </w:pPr>
          </w:p>
        </w:tc>
      </w:tr>
      <w:tr w:rsidR="00143C9C" w14:paraId="7AEFE485"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8" w:type="dxa"/>
            <w:tcBorders>
              <w:top w:val="nil"/>
              <w:left w:val="nil"/>
              <w:bottom w:val="nil"/>
              <w:right w:val="nil"/>
              <w:tl2br w:val="nil"/>
              <w:tr2bl w:val="nil"/>
            </w:tcBorders>
            <w:shd w:val="clear" w:color="FFFFFF" w:fill="FFFFFF"/>
            <w:tcMar>
              <w:left w:w="40" w:type="dxa"/>
              <w:right w:w="40" w:type="dxa"/>
            </w:tcMar>
          </w:tcPr>
          <w:p w14:paraId="319F4C46" w14:textId="77777777" w:rsidR="00143C9C" w:rsidRDefault="009B5C32" w:rsidP="002D3E6C">
            <w:pPr>
              <w:pBdr>
                <w:top w:val="nil"/>
                <w:left w:val="nil"/>
                <w:bottom w:val="nil"/>
                <w:right w:val="nil"/>
                <w:between w:val="nil"/>
                <w:bar w:val="nil"/>
              </w:pBdr>
              <w:spacing w:after="0" w:line="240" w:lineRule="auto"/>
              <w:rPr>
                <w:rFonts w:cs="Calibri"/>
                <w:b/>
                <w:color w:val="000000"/>
              </w:rPr>
            </w:pPr>
            <w:r>
              <w:rPr>
                <w:rFonts w:cs="Calibri"/>
                <w:b/>
                <w:color w:val="000000"/>
                <w:sz w:val="18"/>
                <w:szCs w:val="20"/>
              </w:rPr>
              <w:t>Receipts</w:t>
            </w:r>
          </w:p>
        </w:tc>
        <w:tc>
          <w:tcPr>
            <w:tcW w:w="1034" w:type="dxa"/>
            <w:tcBorders>
              <w:top w:val="nil"/>
              <w:left w:val="nil"/>
              <w:bottom w:val="nil"/>
              <w:right w:val="nil"/>
              <w:tl2br w:val="nil"/>
              <w:tr2bl w:val="nil"/>
            </w:tcBorders>
            <w:shd w:val="clear" w:color="FFFFFF" w:fill="FFFFFF"/>
            <w:tcMar>
              <w:left w:w="0" w:type="dxa"/>
              <w:right w:w="0" w:type="dxa"/>
            </w:tcMar>
          </w:tcPr>
          <w:p w14:paraId="473DE63B" w14:textId="77777777" w:rsidR="00143C9C" w:rsidRDefault="00143C9C" w:rsidP="002D3E6C">
            <w:pPr>
              <w:spacing w:after="0" w:line="240" w:lineRule="auto"/>
              <w:rPr>
                <w:rFonts w:cs="Calibri"/>
                <w:color w:val="000000"/>
              </w:rPr>
            </w:pPr>
          </w:p>
        </w:tc>
        <w:tc>
          <w:tcPr>
            <w:tcW w:w="1005" w:type="dxa"/>
            <w:gridSpan w:val="2"/>
            <w:tcBorders>
              <w:top w:val="nil"/>
              <w:left w:val="nil"/>
              <w:bottom w:val="nil"/>
              <w:right w:val="nil"/>
              <w:tl2br w:val="nil"/>
              <w:tr2bl w:val="nil"/>
            </w:tcBorders>
            <w:shd w:val="clear" w:color="FFFFFF" w:fill="FFFFFF"/>
            <w:tcMar>
              <w:left w:w="0" w:type="dxa"/>
              <w:right w:w="0" w:type="dxa"/>
            </w:tcMar>
          </w:tcPr>
          <w:p w14:paraId="2CB6463E" w14:textId="77777777" w:rsidR="00143C9C" w:rsidRDefault="00143C9C" w:rsidP="002D3E6C">
            <w:pPr>
              <w:spacing w:after="0" w:line="240" w:lineRule="auto"/>
              <w:rPr>
                <w:rFonts w:cs="Calibri"/>
                <w:color w:val="000000"/>
              </w:rPr>
            </w:pPr>
          </w:p>
        </w:tc>
        <w:tc>
          <w:tcPr>
            <w:tcW w:w="1037" w:type="dxa"/>
            <w:gridSpan w:val="2"/>
            <w:tcBorders>
              <w:top w:val="nil"/>
              <w:left w:val="nil"/>
              <w:bottom w:val="nil"/>
              <w:right w:val="nil"/>
              <w:tl2br w:val="nil"/>
              <w:tr2bl w:val="nil"/>
            </w:tcBorders>
            <w:shd w:val="clear" w:color="FFFFFF" w:fill="FFFFFF"/>
            <w:tcMar>
              <w:left w:w="0" w:type="dxa"/>
              <w:right w:w="0" w:type="dxa"/>
            </w:tcMar>
          </w:tcPr>
          <w:p w14:paraId="67B18612" w14:textId="77777777" w:rsidR="00143C9C" w:rsidRDefault="00143C9C" w:rsidP="002D3E6C">
            <w:pPr>
              <w:spacing w:after="0" w:line="240" w:lineRule="auto"/>
              <w:rPr>
                <w:rFonts w:cs="Calibri"/>
                <w:color w:val="000000"/>
              </w:rPr>
            </w:pPr>
          </w:p>
        </w:tc>
        <w:tc>
          <w:tcPr>
            <w:tcW w:w="601" w:type="dxa"/>
            <w:gridSpan w:val="2"/>
            <w:tcBorders>
              <w:top w:val="nil"/>
              <w:left w:val="nil"/>
              <w:bottom w:val="nil"/>
              <w:right w:val="nil"/>
              <w:tl2br w:val="nil"/>
              <w:tr2bl w:val="nil"/>
            </w:tcBorders>
            <w:shd w:val="clear" w:color="FFFFFF" w:fill="FFFFFF"/>
            <w:tcMar>
              <w:left w:w="0" w:type="dxa"/>
              <w:right w:w="0" w:type="dxa"/>
            </w:tcMar>
          </w:tcPr>
          <w:p w14:paraId="207160AB" w14:textId="77777777" w:rsidR="00143C9C" w:rsidRDefault="00143C9C" w:rsidP="002D3E6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tcPr>
          <w:p w14:paraId="38964AD3" w14:textId="77777777" w:rsidR="00143C9C" w:rsidRDefault="00143C9C" w:rsidP="002D3E6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tcPr>
          <w:p w14:paraId="78C15E29" w14:textId="77777777" w:rsidR="00143C9C" w:rsidRDefault="00143C9C" w:rsidP="002D3E6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tcPr>
          <w:p w14:paraId="2D463F1C" w14:textId="77777777" w:rsidR="00143C9C" w:rsidRDefault="00143C9C" w:rsidP="002D3E6C">
            <w:pPr>
              <w:spacing w:after="0" w:line="240" w:lineRule="auto"/>
              <w:rPr>
                <w:rFonts w:cs="Calibri"/>
                <w:color w:val="000000"/>
              </w:rPr>
            </w:pPr>
          </w:p>
        </w:tc>
      </w:tr>
      <w:tr w:rsidR="00143C9C" w14:paraId="5782183F"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8" w:type="dxa"/>
            <w:tcBorders>
              <w:top w:val="nil"/>
              <w:left w:val="nil"/>
              <w:bottom w:val="nil"/>
              <w:right w:val="nil"/>
              <w:tl2br w:val="nil"/>
              <w:tr2bl w:val="nil"/>
            </w:tcBorders>
            <w:tcMar>
              <w:left w:w="40" w:type="dxa"/>
              <w:right w:w="40" w:type="dxa"/>
            </w:tcMar>
          </w:tcPr>
          <w:p w14:paraId="601EA9DE"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Controlled Recurrent Payments</w:t>
            </w:r>
          </w:p>
        </w:tc>
        <w:tc>
          <w:tcPr>
            <w:tcW w:w="1034" w:type="dxa"/>
            <w:tcBorders>
              <w:top w:val="nil"/>
              <w:left w:val="nil"/>
              <w:bottom w:val="nil"/>
              <w:right w:val="nil"/>
              <w:tl2br w:val="nil"/>
              <w:tr2bl w:val="nil"/>
            </w:tcBorders>
            <w:shd w:val="clear" w:color="FFFFFF" w:fill="FFFFFF"/>
            <w:tcMar>
              <w:left w:w="40" w:type="dxa"/>
              <w:right w:w="40" w:type="dxa"/>
            </w:tcMar>
          </w:tcPr>
          <w:p w14:paraId="136784B0"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156,955</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055A2204"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138,987</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6DD7B144"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148,036</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06B8784A"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7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DEB68A6"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154,557</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7B1AAA3A"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144,237</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9017213"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143,117</w:t>
            </w:r>
          </w:p>
        </w:tc>
      </w:tr>
      <w:tr w:rsidR="00143C9C" w14:paraId="5ADD40EC"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68" w:type="dxa"/>
            <w:tcBorders>
              <w:top w:val="nil"/>
              <w:left w:val="nil"/>
              <w:bottom w:val="nil"/>
              <w:right w:val="nil"/>
              <w:tl2br w:val="nil"/>
              <w:tr2bl w:val="nil"/>
            </w:tcBorders>
            <w:tcMar>
              <w:left w:w="40" w:type="dxa"/>
              <w:right w:w="40" w:type="dxa"/>
            </w:tcMar>
          </w:tcPr>
          <w:p w14:paraId="34E8FE75"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Sale of Goods and Services from Contracts with Customers</w:t>
            </w:r>
          </w:p>
        </w:tc>
        <w:tc>
          <w:tcPr>
            <w:tcW w:w="1034" w:type="dxa"/>
            <w:tcBorders>
              <w:top w:val="nil"/>
              <w:left w:val="nil"/>
              <w:bottom w:val="nil"/>
              <w:right w:val="nil"/>
              <w:tl2br w:val="nil"/>
              <w:tr2bl w:val="nil"/>
            </w:tcBorders>
            <w:shd w:val="clear" w:color="FFFFFF" w:fill="FFFFFF"/>
            <w:tcMar>
              <w:left w:w="40" w:type="dxa"/>
              <w:right w:w="40" w:type="dxa"/>
            </w:tcMar>
          </w:tcPr>
          <w:p w14:paraId="6976929D"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77,497</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04E36F26"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65,577</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242BBDAD"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71,910</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3D186A84"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10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CBB2D88"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74,306</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3CEA39B"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76,414</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9674C0D"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78,734</w:t>
            </w:r>
          </w:p>
        </w:tc>
      </w:tr>
      <w:tr w:rsidR="00143C9C" w14:paraId="634E5B7F"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8" w:type="dxa"/>
            <w:tcBorders>
              <w:top w:val="nil"/>
              <w:left w:val="nil"/>
              <w:bottom w:val="nil"/>
              <w:right w:val="nil"/>
              <w:tl2br w:val="nil"/>
              <w:tr2bl w:val="nil"/>
            </w:tcBorders>
            <w:tcMar>
              <w:left w:w="40" w:type="dxa"/>
              <w:right w:w="40" w:type="dxa"/>
            </w:tcMar>
          </w:tcPr>
          <w:p w14:paraId="75109265"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Interest Receipts</w:t>
            </w:r>
          </w:p>
        </w:tc>
        <w:tc>
          <w:tcPr>
            <w:tcW w:w="1034" w:type="dxa"/>
            <w:tcBorders>
              <w:top w:val="nil"/>
              <w:left w:val="nil"/>
              <w:bottom w:val="nil"/>
              <w:right w:val="nil"/>
              <w:tl2br w:val="nil"/>
              <w:tr2bl w:val="nil"/>
            </w:tcBorders>
            <w:shd w:val="clear" w:color="FFFFFF" w:fill="FFFFFF"/>
            <w:tcMar>
              <w:left w:w="40" w:type="dxa"/>
              <w:right w:w="40" w:type="dxa"/>
            </w:tcMar>
          </w:tcPr>
          <w:p w14:paraId="17CD25C7"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2,329</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342F0B26"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3,393</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0BCB9211"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3,887</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1BAF40D0"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15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2D562C9A"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3,825</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5DF9DCE5"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3,646</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559C2BEF"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2,856</w:t>
            </w:r>
          </w:p>
        </w:tc>
      </w:tr>
      <w:tr w:rsidR="00143C9C" w14:paraId="413B55E8"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2368" w:type="dxa"/>
            <w:tcBorders>
              <w:top w:val="nil"/>
              <w:left w:val="nil"/>
              <w:bottom w:val="nil"/>
              <w:right w:val="nil"/>
              <w:tl2br w:val="nil"/>
              <w:tr2bl w:val="nil"/>
            </w:tcBorders>
            <w:tcMar>
              <w:left w:w="40" w:type="dxa"/>
              <w:right w:w="40" w:type="dxa"/>
            </w:tcMar>
          </w:tcPr>
          <w:p w14:paraId="5018F1A6"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Goods and Services Tax Input Tax Credits from the Australian Taxation Office</w:t>
            </w:r>
          </w:p>
        </w:tc>
        <w:tc>
          <w:tcPr>
            <w:tcW w:w="1034" w:type="dxa"/>
            <w:tcBorders>
              <w:top w:val="nil"/>
              <w:left w:val="nil"/>
              <w:bottom w:val="nil"/>
              <w:right w:val="nil"/>
              <w:tl2br w:val="nil"/>
              <w:tr2bl w:val="nil"/>
            </w:tcBorders>
            <w:shd w:val="clear" w:color="FFFFFF" w:fill="FFFFFF"/>
            <w:tcMar>
              <w:left w:w="40" w:type="dxa"/>
              <w:right w:w="40" w:type="dxa"/>
            </w:tcMar>
          </w:tcPr>
          <w:p w14:paraId="67FB5753"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9,283</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30520C2E"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65,283</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56AA124F"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65,283</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558D331F"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24EEFE9C"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9,283</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7FAA720C"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9,283</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8E62C39"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9,283</w:t>
            </w:r>
          </w:p>
        </w:tc>
      </w:tr>
      <w:tr w:rsidR="00143C9C" w14:paraId="3154B357"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368" w:type="dxa"/>
            <w:tcBorders>
              <w:top w:val="nil"/>
              <w:left w:val="nil"/>
              <w:bottom w:val="nil"/>
              <w:right w:val="nil"/>
              <w:tl2br w:val="nil"/>
              <w:tr2bl w:val="nil"/>
            </w:tcBorders>
            <w:tcMar>
              <w:left w:w="40" w:type="dxa"/>
              <w:right w:w="40" w:type="dxa"/>
            </w:tcMar>
          </w:tcPr>
          <w:p w14:paraId="1C5B7EE6"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Goods and Services Tax Collected from Customers</w:t>
            </w:r>
          </w:p>
        </w:tc>
        <w:tc>
          <w:tcPr>
            <w:tcW w:w="1034" w:type="dxa"/>
            <w:tcBorders>
              <w:top w:val="nil"/>
              <w:left w:val="nil"/>
              <w:bottom w:val="nil"/>
              <w:right w:val="nil"/>
              <w:tl2br w:val="nil"/>
              <w:tr2bl w:val="nil"/>
            </w:tcBorders>
            <w:shd w:val="clear" w:color="FFFFFF" w:fill="FFFFFF"/>
            <w:tcMar>
              <w:left w:w="40" w:type="dxa"/>
              <w:right w:w="40" w:type="dxa"/>
            </w:tcMar>
          </w:tcPr>
          <w:p w14:paraId="7D1FFA51"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2,245</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4ED3018B"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1,565</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0FEEFEC0"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1,565</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5EAFC9A4"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8D773C5"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2,245</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C810238"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2,245</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C3ED3EC"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2,245</w:t>
            </w:r>
          </w:p>
        </w:tc>
      </w:tr>
      <w:tr w:rsidR="00143C9C" w14:paraId="04639A65"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68" w:type="dxa"/>
            <w:tcBorders>
              <w:top w:val="nil"/>
              <w:left w:val="nil"/>
              <w:bottom w:val="nil"/>
              <w:right w:val="nil"/>
              <w:tl2br w:val="nil"/>
              <w:tr2bl w:val="nil"/>
            </w:tcBorders>
            <w:tcMar>
              <w:left w:w="40" w:type="dxa"/>
              <w:right w:w="40" w:type="dxa"/>
            </w:tcMar>
          </w:tcPr>
          <w:p w14:paraId="1970E9B3"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Other</w:t>
            </w:r>
          </w:p>
        </w:tc>
        <w:tc>
          <w:tcPr>
            <w:tcW w:w="1034" w:type="dxa"/>
            <w:tcBorders>
              <w:top w:val="nil"/>
              <w:left w:val="nil"/>
              <w:bottom w:val="nil"/>
              <w:right w:val="nil"/>
              <w:tl2br w:val="nil"/>
              <w:tr2bl w:val="nil"/>
            </w:tcBorders>
            <w:shd w:val="clear" w:color="FFFFFF" w:fill="FFFFFF"/>
            <w:tcMar>
              <w:left w:w="40" w:type="dxa"/>
              <w:right w:w="40" w:type="dxa"/>
            </w:tcMar>
          </w:tcPr>
          <w:p w14:paraId="1BC22A62"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72</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02E0A77B"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2,981</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7F85BDCC"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48CF2A15"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-100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E8E327B"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0338422"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360D1F7"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r>
      <w:tr w:rsidR="00143C9C" w14:paraId="2904388C"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68" w:type="dxa"/>
            <w:tcBorders>
              <w:top w:val="nil"/>
              <w:left w:val="nil"/>
              <w:bottom w:val="nil"/>
              <w:right w:val="nil"/>
              <w:tl2br w:val="nil"/>
              <w:tr2bl w:val="nil"/>
            </w:tcBorders>
            <w:shd w:val="clear" w:color="FFFFFF" w:fill="FFFFFF"/>
            <w:tcMar>
              <w:left w:w="40" w:type="dxa"/>
              <w:right w:w="40" w:type="dxa"/>
            </w:tcMar>
          </w:tcPr>
          <w:p w14:paraId="7C26C7DD" w14:textId="77777777" w:rsidR="00143C9C" w:rsidRDefault="009B5C32" w:rsidP="002D3E6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Total Receipts from Operating Activities</w:t>
            </w:r>
          </w:p>
        </w:tc>
        <w:tc>
          <w:tcPr>
            <w:tcW w:w="1034" w:type="dxa"/>
            <w:tcBorders>
              <w:top w:val="nil"/>
              <w:left w:val="nil"/>
              <w:bottom w:val="nil"/>
              <w:right w:val="nil"/>
              <w:tl2br w:val="nil"/>
              <w:tr2bl w:val="nil"/>
            </w:tcBorders>
            <w:shd w:val="clear" w:color="FFFFFF" w:fill="FFFFFF"/>
            <w:tcMar>
              <w:left w:w="40" w:type="dxa"/>
              <w:right w:w="40" w:type="dxa"/>
            </w:tcMar>
          </w:tcPr>
          <w:p w14:paraId="76CE6BCF"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248,381</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680ACE38"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277,786</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01963B73"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290,681</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7B735CFA"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5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3C2D77D"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244,216</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34D18E62"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235,825</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6501360"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236,235</w:t>
            </w:r>
          </w:p>
        </w:tc>
      </w:tr>
      <w:tr w:rsidR="00143C9C" w14:paraId="3612A0C5"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68" w:type="dxa"/>
            <w:tcBorders>
              <w:top w:val="nil"/>
              <w:left w:val="nil"/>
              <w:bottom w:val="nil"/>
              <w:right w:val="nil"/>
              <w:tl2br w:val="nil"/>
              <w:tr2bl w:val="nil"/>
            </w:tcBorders>
            <w:shd w:val="clear" w:color="FFFFFF" w:fill="FFFFFF"/>
            <w:tcMar>
              <w:left w:w="40" w:type="dxa"/>
              <w:right w:w="40" w:type="dxa"/>
            </w:tcMar>
            <w:vAlign w:val="bottom"/>
          </w:tcPr>
          <w:p w14:paraId="21FA1134" w14:textId="77777777" w:rsidR="00143C9C" w:rsidRDefault="009B5C32" w:rsidP="002D3E6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Payments</w:t>
            </w:r>
          </w:p>
        </w:tc>
        <w:tc>
          <w:tcPr>
            <w:tcW w:w="1034" w:type="dxa"/>
            <w:tcBorders>
              <w:top w:val="nil"/>
              <w:left w:val="nil"/>
              <w:bottom w:val="nil"/>
              <w:right w:val="nil"/>
              <w:tl2br w:val="nil"/>
              <w:tr2bl w:val="nil"/>
            </w:tcBorders>
            <w:shd w:val="clear" w:color="FFFFFF" w:fill="FFFFFF"/>
            <w:tcMar>
              <w:left w:w="0" w:type="dxa"/>
              <w:right w:w="0" w:type="dxa"/>
            </w:tcMar>
            <w:vAlign w:val="bottom"/>
          </w:tcPr>
          <w:p w14:paraId="1172B02A" w14:textId="77777777" w:rsidR="00143C9C" w:rsidRDefault="00143C9C" w:rsidP="002D3E6C">
            <w:pPr>
              <w:spacing w:after="0" w:line="240" w:lineRule="auto"/>
              <w:rPr>
                <w:rFonts w:cs="Calibri"/>
                <w:color w:val="000000"/>
              </w:rPr>
            </w:pPr>
          </w:p>
        </w:tc>
        <w:tc>
          <w:tcPr>
            <w:tcW w:w="1005" w:type="dxa"/>
            <w:gridSpan w:val="2"/>
            <w:tcBorders>
              <w:top w:val="nil"/>
              <w:left w:val="nil"/>
              <w:bottom w:val="nil"/>
              <w:right w:val="nil"/>
              <w:tl2br w:val="nil"/>
              <w:tr2bl w:val="nil"/>
            </w:tcBorders>
            <w:shd w:val="clear" w:color="FFFFFF" w:fill="FFFFFF"/>
            <w:tcMar>
              <w:left w:w="0" w:type="dxa"/>
              <w:right w:w="0" w:type="dxa"/>
            </w:tcMar>
            <w:vAlign w:val="bottom"/>
          </w:tcPr>
          <w:p w14:paraId="77DCFE8A" w14:textId="77777777" w:rsidR="00143C9C" w:rsidRDefault="00143C9C" w:rsidP="002D3E6C">
            <w:pPr>
              <w:spacing w:after="0" w:line="240" w:lineRule="auto"/>
              <w:rPr>
                <w:rFonts w:cs="Calibri"/>
                <w:color w:val="000000"/>
              </w:rPr>
            </w:pPr>
          </w:p>
        </w:tc>
        <w:tc>
          <w:tcPr>
            <w:tcW w:w="1037" w:type="dxa"/>
            <w:gridSpan w:val="2"/>
            <w:tcBorders>
              <w:top w:val="nil"/>
              <w:left w:val="nil"/>
              <w:bottom w:val="nil"/>
              <w:right w:val="nil"/>
              <w:tl2br w:val="nil"/>
              <w:tr2bl w:val="nil"/>
            </w:tcBorders>
            <w:shd w:val="clear" w:color="FFFFFF" w:fill="FFFFFF"/>
            <w:tcMar>
              <w:left w:w="0" w:type="dxa"/>
              <w:right w:w="0" w:type="dxa"/>
            </w:tcMar>
            <w:vAlign w:val="bottom"/>
          </w:tcPr>
          <w:p w14:paraId="741DF8AE" w14:textId="77777777" w:rsidR="00143C9C" w:rsidRDefault="00143C9C" w:rsidP="002D3E6C">
            <w:pPr>
              <w:spacing w:after="0" w:line="240" w:lineRule="auto"/>
              <w:rPr>
                <w:rFonts w:cs="Calibri"/>
                <w:color w:val="000000"/>
              </w:rPr>
            </w:pPr>
          </w:p>
        </w:tc>
        <w:tc>
          <w:tcPr>
            <w:tcW w:w="601" w:type="dxa"/>
            <w:gridSpan w:val="2"/>
            <w:tcBorders>
              <w:top w:val="nil"/>
              <w:left w:val="nil"/>
              <w:bottom w:val="nil"/>
              <w:right w:val="nil"/>
              <w:tl2br w:val="nil"/>
              <w:tr2bl w:val="nil"/>
            </w:tcBorders>
            <w:shd w:val="clear" w:color="FFFFFF" w:fill="FFFFFF"/>
            <w:tcMar>
              <w:left w:w="0" w:type="dxa"/>
              <w:right w:w="0" w:type="dxa"/>
            </w:tcMar>
            <w:vAlign w:val="bottom"/>
          </w:tcPr>
          <w:p w14:paraId="3CDA117D" w14:textId="77777777" w:rsidR="00143C9C" w:rsidRDefault="00143C9C" w:rsidP="002D3E6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vAlign w:val="bottom"/>
          </w:tcPr>
          <w:p w14:paraId="14DDC001" w14:textId="77777777" w:rsidR="00143C9C" w:rsidRDefault="00143C9C" w:rsidP="002D3E6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vAlign w:val="bottom"/>
          </w:tcPr>
          <w:p w14:paraId="1A1BA6CE" w14:textId="77777777" w:rsidR="00143C9C" w:rsidRDefault="00143C9C" w:rsidP="002D3E6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vAlign w:val="bottom"/>
          </w:tcPr>
          <w:p w14:paraId="31DAE868" w14:textId="77777777" w:rsidR="00143C9C" w:rsidRDefault="00143C9C" w:rsidP="002D3E6C">
            <w:pPr>
              <w:spacing w:after="0" w:line="240" w:lineRule="auto"/>
              <w:rPr>
                <w:rFonts w:cs="Calibri"/>
                <w:color w:val="000000"/>
              </w:rPr>
            </w:pPr>
          </w:p>
        </w:tc>
      </w:tr>
      <w:tr w:rsidR="00143C9C" w14:paraId="7B7EC84F"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8" w:type="dxa"/>
            <w:tcBorders>
              <w:top w:val="nil"/>
              <w:left w:val="nil"/>
              <w:bottom w:val="nil"/>
              <w:right w:val="nil"/>
              <w:tl2br w:val="nil"/>
              <w:tr2bl w:val="nil"/>
            </w:tcBorders>
            <w:shd w:val="clear" w:color="FFFFFF" w:fill="FFFFFF"/>
            <w:tcMar>
              <w:left w:w="40" w:type="dxa"/>
              <w:right w:w="40" w:type="dxa"/>
            </w:tcMar>
          </w:tcPr>
          <w:p w14:paraId="03AE67E2"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Employee Payments</w:t>
            </w:r>
          </w:p>
        </w:tc>
        <w:tc>
          <w:tcPr>
            <w:tcW w:w="1034" w:type="dxa"/>
            <w:tcBorders>
              <w:top w:val="nil"/>
              <w:left w:val="nil"/>
              <w:bottom w:val="nil"/>
              <w:right w:val="nil"/>
              <w:tl2br w:val="nil"/>
              <w:tr2bl w:val="nil"/>
            </w:tcBorders>
            <w:shd w:val="clear" w:color="FFFFFF" w:fill="FFFFFF"/>
            <w:tcMar>
              <w:left w:w="40" w:type="dxa"/>
              <w:right w:w="40" w:type="dxa"/>
            </w:tcMar>
          </w:tcPr>
          <w:p w14:paraId="54D3F30F"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65,481</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62207BDC"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75,718</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133C98F7"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76,966</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16C500BE"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2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EBA37AA"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61,018</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8F648E6"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75,426</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B579F15"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76,521</w:t>
            </w:r>
          </w:p>
        </w:tc>
      </w:tr>
      <w:tr w:rsidR="00143C9C" w14:paraId="17ADC60F"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8" w:type="dxa"/>
            <w:tcBorders>
              <w:top w:val="nil"/>
              <w:left w:val="nil"/>
              <w:bottom w:val="nil"/>
              <w:right w:val="nil"/>
              <w:tl2br w:val="nil"/>
              <w:tr2bl w:val="nil"/>
            </w:tcBorders>
            <w:shd w:val="clear" w:color="FFFFFF" w:fill="FFFFFF"/>
            <w:tcMar>
              <w:left w:w="40" w:type="dxa"/>
              <w:right w:w="40" w:type="dxa"/>
            </w:tcMar>
          </w:tcPr>
          <w:p w14:paraId="49D77D2E"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Supplies and Services</w:t>
            </w:r>
          </w:p>
        </w:tc>
        <w:tc>
          <w:tcPr>
            <w:tcW w:w="1034" w:type="dxa"/>
            <w:tcBorders>
              <w:top w:val="nil"/>
              <w:left w:val="nil"/>
              <w:bottom w:val="nil"/>
              <w:right w:val="nil"/>
              <w:tl2br w:val="nil"/>
              <w:tr2bl w:val="nil"/>
            </w:tcBorders>
            <w:shd w:val="clear" w:color="FFFFFF" w:fill="FFFFFF"/>
            <w:tcMar>
              <w:left w:w="40" w:type="dxa"/>
              <w:right w:w="40" w:type="dxa"/>
            </w:tcMar>
          </w:tcPr>
          <w:p w14:paraId="6AEA1890"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112,360</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31BD37C3"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89,803</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4310F999"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88,093</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7D44408A"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-2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3E6CE5CB"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75,724</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72B879BB"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70,464</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2A22E4BC"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72,140</w:t>
            </w:r>
          </w:p>
        </w:tc>
      </w:tr>
      <w:tr w:rsidR="00143C9C" w14:paraId="774B8D0A"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8" w:type="dxa"/>
            <w:tcBorders>
              <w:top w:val="nil"/>
              <w:left w:val="nil"/>
              <w:bottom w:val="nil"/>
              <w:right w:val="nil"/>
              <w:tl2br w:val="nil"/>
              <w:tr2bl w:val="nil"/>
            </w:tcBorders>
            <w:shd w:val="clear" w:color="FFFFFF" w:fill="FFFFFF"/>
            <w:tcMar>
              <w:left w:w="40" w:type="dxa"/>
              <w:right w:w="40" w:type="dxa"/>
            </w:tcMar>
          </w:tcPr>
          <w:p w14:paraId="0093E50D"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Grants and Purchased Services</w:t>
            </w:r>
          </w:p>
        </w:tc>
        <w:tc>
          <w:tcPr>
            <w:tcW w:w="1034" w:type="dxa"/>
            <w:tcBorders>
              <w:top w:val="nil"/>
              <w:left w:val="nil"/>
              <w:bottom w:val="nil"/>
              <w:right w:val="nil"/>
              <w:tl2br w:val="nil"/>
              <w:tr2bl w:val="nil"/>
            </w:tcBorders>
            <w:shd w:val="clear" w:color="FFFFFF" w:fill="FFFFFF"/>
            <w:tcMar>
              <w:left w:w="40" w:type="dxa"/>
              <w:right w:w="40" w:type="dxa"/>
            </w:tcMar>
          </w:tcPr>
          <w:p w14:paraId="44C6CEA8"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19,322</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19F2DFF2"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5,952</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15860ED9"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19,552</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52F45CB1"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228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394E58B"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23,436</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236C6EA"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24,082</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A79A214"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22,277</w:t>
            </w:r>
          </w:p>
        </w:tc>
      </w:tr>
      <w:tr w:rsidR="00143C9C" w14:paraId="23383C87"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8" w:type="dxa"/>
            <w:tcBorders>
              <w:top w:val="nil"/>
              <w:left w:val="nil"/>
              <w:bottom w:val="nil"/>
              <w:right w:val="nil"/>
              <w:tl2br w:val="nil"/>
              <w:tr2bl w:val="nil"/>
            </w:tcBorders>
            <w:shd w:val="clear" w:color="FFFFFF" w:fill="FFFFFF"/>
            <w:tcMar>
              <w:left w:w="40" w:type="dxa"/>
              <w:right w:w="40" w:type="dxa"/>
            </w:tcMar>
          </w:tcPr>
          <w:p w14:paraId="286EBD2C"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Borrowing Costs</w:t>
            </w:r>
          </w:p>
        </w:tc>
        <w:tc>
          <w:tcPr>
            <w:tcW w:w="1034" w:type="dxa"/>
            <w:tcBorders>
              <w:top w:val="nil"/>
              <w:left w:val="nil"/>
              <w:bottom w:val="nil"/>
              <w:right w:val="nil"/>
              <w:tl2br w:val="nil"/>
              <w:tr2bl w:val="nil"/>
            </w:tcBorders>
            <w:shd w:val="clear" w:color="FFFFFF" w:fill="FFFFFF"/>
            <w:tcMar>
              <w:left w:w="40" w:type="dxa"/>
              <w:right w:w="40" w:type="dxa"/>
            </w:tcMar>
          </w:tcPr>
          <w:p w14:paraId="3B5C17FA"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16,728</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5710A73D"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16,503</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34ECABB3"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15,609</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7683B203"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-5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355121F0"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37,646</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48FCFFB"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13,788</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C2A70DB"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12,801</w:t>
            </w:r>
          </w:p>
        </w:tc>
      </w:tr>
      <w:tr w:rsidR="00143C9C" w14:paraId="510C719C"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68" w:type="dxa"/>
            <w:tcBorders>
              <w:top w:val="nil"/>
              <w:left w:val="nil"/>
              <w:bottom w:val="nil"/>
              <w:right w:val="nil"/>
              <w:tl2br w:val="nil"/>
              <w:tr2bl w:val="nil"/>
            </w:tcBorders>
            <w:shd w:val="clear" w:color="FFFFFF" w:fill="FFFFFF"/>
            <w:tcMar>
              <w:left w:w="40" w:type="dxa"/>
              <w:right w:w="40" w:type="dxa"/>
            </w:tcMar>
          </w:tcPr>
          <w:p w14:paraId="3F76DF02"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Transfer of Territory Receipts to the ACT Government</w:t>
            </w:r>
          </w:p>
        </w:tc>
        <w:tc>
          <w:tcPr>
            <w:tcW w:w="1034" w:type="dxa"/>
            <w:tcBorders>
              <w:top w:val="nil"/>
              <w:left w:val="nil"/>
              <w:bottom w:val="nil"/>
              <w:right w:val="nil"/>
              <w:tl2br w:val="nil"/>
              <w:tr2bl w:val="nil"/>
            </w:tcBorders>
            <w:shd w:val="clear" w:color="FFFFFF" w:fill="FFFFFF"/>
            <w:tcMar>
              <w:left w:w="40" w:type="dxa"/>
              <w:right w:w="40" w:type="dxa"/>
            </w:tcMar>
          </w:tcPr>
          <w:p w14:paraId="4E563302"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158</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5BEFA10D"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3,550</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13025AF3"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3,995</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5C67CCFB"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13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52F9593"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4,421</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5D89DA74"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4,257</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C8E7ADF"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3,482</w:t>
            </w:r>
          </w:p>
        </w:tc>
      </w:tr>
      <w:tr w:rsidR="00143C9C" w14:paraId="7CA821A3"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68" w:type="dxa"/>
            <w:tcBorders>
              <w:top w:val="nil"/>
              <w:left w:val="nil"/>
              <w:bottom w:val="nil"/>
              <w:right w:val="nil"/>
              <w:tl2br w:val="nil"/>
              <w:tr2bl w:val="nil"/>
            </w:tcBorders>
            <w:shd w:val="clear" w:color="FFFFFF" w:fill="FFFFFF"/>
            <w:tcMar>
              <w:left w:w="40" w:type="dxa"/>
              <w:right w:w="40" w:type="dxa"/>
            </w:tcMar>
          </w:tcPr>
          <w:p w14:paraId="656F5B24"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Goods and Services Tax Paid to the Australian Taxation Office</w:t>
            </w:r>
          </w:p>
        </w:tc>
        <w:tc>
          <w:tcPr>
            <w:tcW w:w="1034" w:type="dxa"/>
            <w:tcBorders>
              <w:top w:val="nil"/>
              <w:left w:val="nil"/>
              <w:bottom w:val="nil"/>
              <w:right w:val="nil"/>
              <w:tl2br w:val="nil"/>
              <w:tr2bl w:val="nil"/>
            </w:tcBorders>
            <w:shd w:val="clear" w:color="FFFFFF" w:fill="FFFFFF"/>
            <w:tcMar>
              <w:left w:w="40" w:type="dxa"/>
              <w:right w:w="40" w:type="dxa"/>
            </w:tcMar>
          </w:tcPr>
          <w:p w14:paraId="7C085C60"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2,245</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67CCC915"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1,565</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364B0E5C"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1,565</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7872B031"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2DE40A9"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2,245</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3636CCA"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2,245</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851293F"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2,245</w:t>
            </w:r>
          </w:p>
        </w:tc>
      </w:tr>
      <w:tr w:rsidR="00143C9C" w14:paraId="6BC742F6"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68" w:type="dxa"/>
            <w:tcBorders>
              <w:top w:val="nil"/>
              <w:left w:val="nil"/>
              <w:bottom w:val="nil"/>
              <w:right w:val="nil"/>
              <w:tl2br w:val="nil"/>
              <w:tr2bl w:val="nil"/>
            </w:tcBorders>
            <w:shd w:val="clear" w:color="FFFFFF" w:fill="FFFFFF"/>
            <w:tcMar>
              <w:left w:w="40" w:type="dxa"/>
              <w:right w:w="40" w:type="dxa"/>
            </w:tcMar>
          </w:tcPr>
          <w:p w14:paraId="591F5C8E"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Goods and Services Tax Paid to Suppliers</w:t>
            </w:r>
          </w:p>
        </w:tc>
        <w:tc>
          <w:tcPr>
            <w:tcW w:w="1034" w:type="dxa"/>
            <w:tcBorders>
              <w:top w:val="nil"/>
              <w:left w:val="nil"/>
              <w:bottom w:val="nil"/>
              <w:right w:val="nil"/>
              <w:tl2br w:val="nil"/>
              <w:tr2bl w:val="nil"/>
            </w:tcBorders>
            <w:shd w:val="clear" w:color="FFFFFF" w:fill="FFFFFF"/>
            <w:tcMar>
              <w:left w:w="40" w:type="dxa"/>
              <w:right w:w="40" w:type="dxa"/>
            </w:tcMar>
          </w:tcPr>
          <w:p w14:paraId="232E949F"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9,300</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4D0853DB"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65,300</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5385C5F5"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65,300</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4E083A32"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2CAD631C"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9,300</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2C005F0"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9,300</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BB076B7"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9,300</w:t>
            </w:r>
          </w:p>
        </w:tc>
      </w:tr>
      <w:tr w:rsidR="00143C9C" w14:paraId="302B1C15"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68" w:type="dxa"/>
            <w:tcBorders>
              <w:top w:val="nil"/>
              <w:left w:val="nil"/>
              <w:bottom w:val="nil"/>
              <w:right w:val="nil"/>
              <w:tl2br w:val="nil"/>
              <w:tr2bl w:val="nil"/>
            </w:tcBorders>
            <w:shd w:val="clear" w:color="FFFFFF" w:fill="FFFFFF"/>
            <w:tcMar>
              <w:left w:w="40" w:type="dxa"/>
              <w:right w:w="40" w:type="dxa"/>
            </w:tcMar>
          </w:tcPr>
          <w:p w14:paraId="5660DA91" w14:textId="77777777" w:rsidR="00143C9C" w:rsidRDefault="009B5C32"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Other</w:t>
            </w:r>
          </w:p>
        </w:tc>
        <w:tc>
          <w:tcPr>
            <w:tcW w:w="1034" w:type="dxa"/>
            <w:tcBorders>
              <w:top w:val="nil"/>
              <w:left w:val="nil"/>
              <w:bottom w:val="nil"/>
              <w:right w:val="nil"/>
              <w:tl2br w:val="nil"/>
              <w:tr2bl w:val="nil"/>
            </w:tcBorders>
            <w:shd w:val="clear" w:color="FFFFFF" w:fill="FFFFFF"/>
            <w:tcMar>
              <w:left w:w="40" w:type="dxa"/>
              <w:right w:w="40" w:type="dxa"/>
            </w:tcMar>
          </w:tcPr>
          <w:p w14:paraId="5CADC89D"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11F60402"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79</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26047374"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13CE01DC"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-100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12A0ACB"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24ECFE97"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32EFAF76" w14:textId="77777777" w:rsidR="00143C9C" w:rsidRDefault="009B5C32"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r>
      <w:tr w:rsidR="00143C9C" w14:paraId="098E4F1F"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8"/>
        </w:trPr>
        <w:tc>
          <w:tcPr>
            <w:tcW w:w="2368" w:type="dxa"/>
            <w:tcBorders>
              <w:top w:val="nil"/>
              <w:left w:val="nil"/>
              <w:bottom w:val="nil"/>
              <w:right w:val="nil"/>
              <w:tl2br w:val="nil"/>
              <w:tr2bl w:val="nil"/>
            </w:tcBorders>
            <w:shd w:val="clear" w:color="FFFFFF" w:fill="FFFFFF"/>
            <w:tcMar>
              <w:left w:w="40" w:type="dxa"/>
              <w:right w:w="40" w:type="dxa"/>
            </w:tcMar>
          </w:tcPr>
          <w:p w14:paraId="00E11FC9" w14:textId="77777777" w:rsidR="00143C9C" w:rsidRDefault="009B5C32" w:rsidP="002D3E6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Total Payments from Operating Activities</w:t>
            </w:r>
          </w:p>
        </w:tc>
        <w:tc>
          <w:tcPr>
            <w:tcW w:w="1034" w:type="dxa"/>
            <w:tcBorders>
              <w:top w:val="nil"/>
              <w:left w:val="nil"/>
              <w:bottom w:val="nil"/>
              <w:right w:val="nil"/>
              <w:tl2br w:val="nil"/>
              <w:tr2bl w:val="nil"/>
            </w:tcBorders>
            <w:shd w:val="clear" w:color="FFFFFF" w:fill="FFFFFF"/>
            <w:tcMar>
              <w:left w:w="40" w:type="dxa"/>
              <w:right w:w="40" w:type="dxa"/>
            </w:tcMar>
          </w:tcPr>
          <w:p w14:paraId="578D0070"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225,594</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5756BF26"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258,470</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35F000C7"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271,080</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535AA251"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5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5711D6F7"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213,790</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2709DE4"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199,562</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5661DB4"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198,766</w:t>
            </w:r>
          </w:p>
        </w:tc>
      </w:tr>
      <w:tr w:rsidR="00143C9C" w14:paraId="7E797211"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8"/>
        </w:trPr>
        <w:tc>
          <w:tcPr>
            <w:tcW w:w="2368" w:type="dxa"/>
            <w:tcBorders>
              <w:top w:val="nil"/>
              <w:left w:val="nil"/>
              <w:bottom w:val="nil"/>
              <w:right w:val="nil"/>
              <w:tl2br w:val="nil"/>
              <w:tr2bl w:val="nil"/>
            </w:tcBorders>
            <w:shd w:val="clear" w:color="FFFFFF" w:fill="FFFFFF"/>
            <w:tcMar>
              <w:left w:w="40" w:type="dxa"/>
              <w:right w:w="40" w:type="dxa"/>
            </w:tcMar>
          </w:tcPr>
          <w:p w14:paraId="337E0BBD" w14:textId="77777777" w:rsidR="00143C9C" w:rsidRDefault="009B5C32" w:rsidP="002D3E6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Net Cash Inflows/(Outflows) from Operating Activities</w:t>
            </w:r>
          </w:p>
        </w:tc>
        <w:tc>
          <w:tcPr>
            <w:tcW w:w="1034" w:type="dxa"/>
            <w:tcBorders>
              <w:top w:val="nil"/>
              <w:left w:val="nil"/>
              <w:bottom w:val="nil"/>
              <w:right w:val="nil"/>
              <w:tl2br w:val="nil"/>
              <w:tr2bl w:val="nil"/>
            </w:tcBorders>
            <w:shd w:val="clear" w:color="FFFFFF" w:fill="FFFFFF"/>
            <w:tcMar>
              <w:left w:w="40" w:type="dxa"/>
              <w:right w:w="40" w:type="dxa"/>
            </w:tcMar>
          </w:tcPr>
          <w:p w14:paraId="05952356"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22,787</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45794D45"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19,316</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59961E4A"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19,601</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6F14EEFF"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1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1219EFB"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30,426</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51DCBDDA"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36,263</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C6C36A7" w14:textId="77777777" w:rsidR="00143C9C" w:rsidRDefault="009B5C32"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37,469</w:t>
            </w:r>
          </w:p>
        </w:tc>
      </w:tr>
      <w:tr w:rsidR="002D3E6C" w14:paraId="7BCF69A0"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368" w:type="dxa"/>
            <w:tcBorders>
              <w:top w:val="nil"/>
              <w:left w:val="nil"/>
              <w:bottom w:val="nil"/>
              <w:right w:val="nil"/>
              <w:tl2br w:val="nil"/>
              <w:tr2bl w:val="nil"/>
            </w:tcBorders>
            <w:shd w:val="clear" w:color="FFFFFF" w:fill="FFFFFF"/>
            <w:tcMar>
              <w:left w:w="40" w:type="dxa"/>
              <w:right w:w="40" w:type="dxa"/>
            </w:tcMar>
            <w:vAlign w:val="bottom"/>
          </w:tcPr>
          <w:p w14:paraId="0A5549DD" w14:textId="5185CF77" w:rsidR="002D3E6C" w:rsidRDefault="002D3E6C" w:rsidP="002D3E6C">
            <w:pPr>
              <w:pBdr>
                <w:top w:val="nil"/>
                <w:left w:val="nil"/>
                <w:bottom w:val="nil"/>
                <w:right w:val="nil"/>
                <w:between w:val="nil"/>
                <w:bar w:val="nil"/>
              </w:pBdr>
              <w:spacing w:after="0" w:line="240" w:lineRule="auto"/>
              <w:ind w:left="170" w:hanging="170"/>
              <w:rPr>
                <w:rFonts w:cs="Calibri"/>
                <w:b/>
                <w:color w:val="000000"/>
                <w:sz w:val="18"/>
                <w:szCs w:val="20"/>
              </w:rPr>
            </w:pPr>
            <w:r>
              <w:rPr>
                <w:rFonts w:cs="Calibri"/>
                <w:b/>
                <w:color w:val="000000"/>
                <w:sz w:val="18"/>
                <w:szCs w:val="20"/>
              </w:rPr>
              <w:t>CASH FLOWS FROM INVESTING ACTIVITIES</w:t>
            </w:r>
          </w:p>
        </w:tc>
        <w:tc>
          <w:tcPr>
            <w:tcW w:w="1034" w:type="dxa"/>
            <w:tcBorders>
              <w:top w:val="nil"/>
              <w:left w:val="nil"/>
              <w:bottom w:val="nil"/>
              <w:right w:val="nil"/>
              <w:tl2br w:val="nil"/>
              <w:tr2bl w:val="nil"/>
            </w:tcBorders>
            <w:shd w:val="clear" w:color="FFFFFF" w:fill="FFFFFF"/>
            <w:tcMar>
              <w:left w:w="40" w:type="dxa"/>
              <w:right w:w="40" w:type="dxa"/>
            </w:tcMar>
          </w:tcPr>
          <w:p w14:paraId="04FF4DC6" w14:textId="77777777" w:rsidR="002D3E6C" w:rsidRDefault="002D3E6C" w:rsidP="002D3E6C">
            <w:pPr>
              <w:pBdr>
                <w:top w:val="nil"/>
                <w:left w:val="nil"/>
                <w:bottom w:val="nil"/>
                <w:right w:val="nil"/>
                <w:between w:val="nil"/>
                <w:bar w:val="nil"/>
              </w:pBdr>
              <w:spacing w:after="0" w:line="240" w:lineRule="auto"/>
              <w:jc w:val="right"/>
              <w:rPr>
                <w:rFonts w:cs="Calibri"/>
                <w:b/>
                <w:color w:val="000000"/>
                <w:sz w:val="18"/>
                <w:szCs w:val="20"/>
              </w:rPr>
            </w:pPr>
          </w:p>
        </w:tc>
        <w:tc>
          <w:tcPr>
            <w:tcW w:w="1005" w:type="dxa"/>
            <w:gridSpan w:val="2"/>
            <w:tcBorders>
              <w:top w:val="nil"/>
              <w:left w:val="nil"/>
              <w:bottom w:val="nil"/>
              <w:right w:val="nil"/>
              <w:tl2br w:val="nil"/>
              <w:tr2bl w:val="nil"/>
            </w:tcBorders>
            <w:shd w:val="clear" w:color="FFFFFF" w:fill="FFFFFF"/>
            <w:tcMar>
              <w:left w:w="40" w:type="dxa"/>
              <w:right w:w="40" w:type="dxa"/>
            </w:tcMar>
          </w:tcPr>
          <w:p w14:paraId="51575808" w14:textId="77777777" w:rsidR="002D3E6C" w:rsidRDefault="002D3E6C" w:rsidP="002D3E6C">
            <w:pPr>
              <w:pBdr>
                <w:top w:val="nil"/>
                <w:left w:val="nil"/>
                <w:bottom w:val="nil"/>
                <w:right w:val="nil"/>
                <w:between w:val="nil"/>
                <w:bar w:val="nil"/>
              </w:pBdr>
              <w:spacing w:after="0" w:line="240" w:lineRule="auto"/>
              <w:jc w:val="right"/>
              <w:rPr>
                <w:rFonts w:cs="Calibri"/>
                <w:b/>
                <w:color w:val="000000"/>
                <w:sz w:val="18"/>
                <w:szCs w:val="20"/>
              </w:rPr>
            </w:pPr>
          </w:p>
        </w:tc>
        <w:tc>
          <w:tcPr>
            <w:tcW w:w="1037" w:type="dxa"/>
            <w:gridSpan w:val="2"/>
            <w:tcBorders>
              <w:top w:val="nil"/>
              <w:left w:val="nil"/>
              <w:bottom w:val="nil"/>
              <w:right w:val="nil"/>
              <w:tl2br w:val="nil"/>
              <w:tr2bl w:val="nil"/>
            </w:tcBorders>
            <w:shd w:val="clear" w:color="FFFFFF" w:fill="FFFFFF"/>
            <w:tcMar>
              <w:left w:w="40" w:type="dxa"/>
              <w:right w:w="40" w:type="dxa"/>
            </w:tcMar>
          </w:tcPr>
          <w:p w14:paraId="1ED9001A" w14:textId="77777777" w:rsidR="002D3E6C" w:rsidRDefault="002D3E6C" w:rsidP="002D3E6C">
            <w:pPr>
              <w:pBdr>
                <w:top w:val="nil"/>
                <w:left w:val="nil"/>
                <w:bottom w:val="nil"/>
                <w:right w:val="nil"/>
                <w:between w:val="nil"/>
                <w:bar w:val="nil"/>
              </w:pBdr>
              <w:spacing w:after="0" w:line="240" w:lineRule="auto"/>
              <w:jc w:val="right"/>
              <w:rPr>
                <w:rFonts w:cs="Calibri"/>
                <w:b/>
                <w:color w:val="000000"/>
                <w:sz w:val="18"/>
                <w:szCs w:val="20"/>
              </w:rPr>
            </w:pPr>
          </w:p>
        </w:tc>
        <w:tc>
          <w:tcPr>
            <w:tcW w:w="601" w:type="dxa"/>
            <w:gridSpan w:val="2"/>
            <w:tcBorders>
              <w:top w:val="nil"/>
              <w:left w:val="nil"/>
              <w:bottom w:val="nil"/>
              <w:right w:val="nil"/>
              <w:tl2br w:val="nil"/>
              <w:tr2bl w:val="nil"/>
            </w:tcBorders>
            <w:shd w:val="clear" w:color="FFFFFF" w:fill="FFFFFF"/>
            <w:tcMar>
              <w:left w:w="40" w:type="dxa"/>
              <w:right w:w="40" w:type="dxa"/>
            </w:tcMar>
          </w:tcPr>
          <w:p w14:paraId="05E5AD15" w14:textId="77777777" w:rsidR="002D3E6C" w:rsidRDefault="002D3E6C" w:rsidP="002D3E6C">
            <w:pPr>
              <w:pBdr>
                <w:top w:val="nil"/>
                <w:left w:val="nil"/>
                <w:bottom w:val="nil"/>
                <w:right w:val="nil"/>
                <w:between w:val="nil"/>
                <w:bar w:val="nil"/>
              </w:pBdr>
              <w:spacing w:after="0" w:line="240" w:lineRule="auto"/>
              <w:jc w:val="right"/>
              <w:rPr>
                <w:rFonts w:cs="Calibri"/>
                <w:b/>
                <w:color w:val="000000"/>
                <w:sz w:val="18"/>
                <w:szCs w:val="20"/>
              </w:rPr>
            </w:pPr>
          </w:p>
        </w:tc>
        <w:tc>
          <w:tcPr>
            <w:tcW w:w="1035" w:type="dxa"/>
            <w:gridSpan w:val="2"/>
            <w:tcBorders>
              <w:top w:val="nil"/>
              <w:left w:val="nil"/>
              <w:bottom w:val="nil"/>
              <w:right w:val="nil"/>
              <w:tl2br w:val="nil"/>
              <w:tr2bl w:val="nil"/>
            </w:tcBorders>
            <w:shd w:val="clear" w:color="FFFFFF" w:fill="FFFFFF"/>
            <w:tcMar>
              <w:left w:w="40" w:type="dxa"/>
              <w:right w:w="40" w:type="dxa"/>
            </w:tcMar>
          </w:tcPr>
          <w:p w14:paraId="572DA49E" w14:textId="77777777" w:rsidR="002D3E6C" w:rsidRDefault="002D3E6C" w:rsidP="002D3E6C">
            <w:pPr>
              <w:pBdr>
                <w:top w:val="nil"/>
                <w:left w:val="nil"/>
                <w:bottom w:val="nil"/>
                <w:right w:val="nil"/>
                <w:between w:val="nil"/>
                <w:bar w:val="nil"/>
              </w:pBdr>
              <w:spacing w:after="0" w:line="240" w:lineRule="auto"/>
              <w:jc w:val="right"/>
              <w:rPr>
                <w:rFonts w:cs="Calibri"/>
                <w:b/>
                <w:color w:val="000000"/>
                <w:sz w:val="18"/>
                <w:szCs w:val="20"/>
              </w:rPr>
            </w:pP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D111EC3" w14:textId="77777777" w:rsidR="002D3E6C" w:rsidRDefault="002D3E6C" w:rsidP="002D3E6C">
            <w:pPr>
              <w:pBdr>
                <w:top w:val="nil"/>
                <w:left w:val="nil"/>
                <w:bottom w:val="nil"/>
                <w:right w:val="nil"/>
                <w:between w:val="nil"/>
                <w:bar w:val="nil"/>
              </w:pBdr>
              <w:spacing w:after="0" w:line="240" w:lineRule="auto"/>
              <w:jc w:val="right"/>
              <w:rPr>
                <w:rFonts w:cs="Calibri"/>
                <w:b/>
                <w:color w:val="000000"/>
                <w:sz w:val="18"/>
                <w:szCs w:val="20"/>
              </w:rPr>
            </w:pP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4D5DEC0" w14:textId="77777777" w:rsidR="002D3E6C" w:rsidRDefault="002D3E6C" w:rsidP="002D3E6C">
            <w:pPr>
              <w:pBdr>
                <w:top w:val="nil"/>
                <w:left w:val="nil"/>
                <w:bottom w:val="nil"/>
                <w:right w:val="nil"/>
                <w:between w:val="nil"/>
                <w:bar w:val="nil"/>
              </w:pBdr>
              <w:spacing w:after="0" w:line="240" w:lineRule="auto"/>
              <w:jc w:val="right"/>
              <w:rPr>
                <w:rFonts w:cs="Calibri"/>
                <w:b/>
                <w:color w:val="000000"/>
                <w:sz w:val="18"/>
                <w:szCs w:val="20"/>
              </w:rPr>
            </w:pPr>
          </w:p>
        </w:tc>
      </w:tr>
      <w:tr w:rsidR="002D3E6C" w14:paraId="5C61C121"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8" w:type="dxa"/>
            <w:tcBorders>
              <w:top w:val="nil"/>
              <w:left w:val="nil"/>
              <w:bottom w:val="nil"/>
              <w:right w:val="nil"/>
              <w:tl2br w:val="nil"/>
              <w:tr2bl w:val="nil"/>
            </w:tcBorders>
            <w:shd w:val="clear" w:color="FFFFFF" w:fill="FFFFFF"/>
            <w:tcMar>
              <w:left w:w="40" w:type="dxa"/>
              <w:right w:w="40" w:type="dxa"/>
            </w:tcMar>
          </w:tcPr>
          <w:p w14:paraId="1BBE8A9B" w14:textId="77777777" w:rsidR="002D3E6C" w:rsidRDefault="002D3E6C" w:rsidP="002D3E6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Receipts</w:t>
            </w:r>
          </w:p>
        </w:tc>
        <w:tc>
          <w:tcPr>
            <w:tcW w:w="1034" w:type="dxa"/>
            <w:tcBorders>
              <w:top w:val="nil"/>
              <w:left w:val="nil"/>
              <w:bottom w:val="nil"/>
              <w:right w:val="nil"/>
              <w:tl2br w:val="nil"/>
              <w:tr2bl w:val="nil"/>
            </w:tcBorders>
            <w:shd w:val="clear" w:color="FFFFFF" w:fill="FFFFFF"/>
            <w:tcMar>
              <w:left w:w="0" w:type="dxa"/>
              <w:right w:w="0" w:type="dxa"/>
            </w:tcMar>
          </w:tcPr>
          <w:p w14:paraId="77D8201E" w14:textId="77777777" w:rsidR="002D3E6C" w:rsidRDefault="002D3E6C" w:rsidP="002D3E6C">
            <w:pPr>
              <w:spacing w:after="0" w:line="240" w:lineRule="auto"/>
              <w:rPr>
                <w:rFonts w:cs="Calibri"/>
                <w:color w:val="000000"/>
              </w:rPr>
            </w:pPr>
          </w:p>
        </w:tc>
        <w:tc>
          <w:tcPr>
            <w:tcW w:w="1005" w:type="dxa"/>
            <w:gridSpan w:val="2"/>
            <w:tcBorders>
              <w:top w:val="nil"/>
              <w:left w:val="nil"/>
              <w:bottom w:val="nil"/>
              <w:right w:val="nil"/>
              <w:tl2br w:val="nil"/>
              <w:tr2bl w:val="nil"/>
            </w:tcBorders>
            <w:shd w:val="clear" w:color="FFFFFF" w:fill="FFFFFF"/>
            <w:tcMar>
              <w:left w:w="0" w:type="dxa"/>
              <w:right w:w="0" w:type="dxa"/>
            </w:tcMar>
          </w:tcPr>
          <w:p w14:paraId="39550780" w14:textId="77777777" w:rsidR="002D3E6C" w:rsidRDefault="002D3E6C" w:rsidP="002D3E6C">
            <w:pPr>
              <w:spacing w:after="0" w:line="240" w:lineRule="auto"/>
              <w:rPr>
                <w:rFonts w:cs="Calibri"/>
                <w:color w:val="000000"/>
              </w:rPr>
            </w:pPr>
          </w:p>
        </w:tc>
        <w:tc>
          <w:tcPr>
            <w:tcW w:w="1037" w:type="dxa"/>
            <w:gridSpan w:val="2"/>
            <w:tcBorders>
              <w:top w:val="nil"/>
              <w:left w:val="nil"/>
              <w:bottom w:val="nil"/>
              <w:right w:val="nil"/>
              <w:tl2br w:val="nil"/>
              <w:tr2bl w:val="nil"/>
            </w:tcBorders>
            <w:shd w:val="clear" w:color="FFFFFF" w:fill="FFFFFF"/>
            <w:tcMar>
              <w:left w:w="0" w:type="dxa"/>
              <w:right w:w="0" w:type="dxa"/>
            </w:tcMar>
          </w:tcPr>
          <w:p w14:paraId="0E0D82DC" w14:textId="77777777" w:rsidR="002D3E6C" w:rsidRDefault="002D3E6C" w:rsidP="002D3E6C">
            <w:pPr>
              <w:spacing w:after="0" w:line="240" w:lineRule="auto"/>
              <w:rPr>
                <w:rFonts w:cs="Calibri"/>
                <w:color w:val="000000"/>
              </w:rPr>
            </w:pPr>
          </w:p>
        </w:tc>
        <w:tc>
          <w:tcPr>
            <w:tcW w:w="601" w:type="dxa"/>
            <w:gridSpan w:val="2"/>
            <w:tcBorders>
              <w:top w:val="nil"/>
              <w:left w:val="nil"/>
              <w:bottom w:val="nil"/>
              <w:right w:val="nil"/>
              <w:tl2br w:val="nil"/>
              <w:tr2bl w:val="nil"/>
            </w:tcBorders>
            <w:shd w:val="clear" w:color="FFFFFF" w:fill="FFFFFF"/>
            <w:tcMar>
              <w:left w:w="0" w:type="dxa"/>
              <w:right w:w="0" w:type="dxa"/>
            </w:tcMar>
          </w:tcPr>
          <w:p w14:paraId="3761DEBB" w14:textId="77777777" w:rsidR="002D3E6C" w:rsidRDefault="002D3E6C" w:rsidP="002D3E6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tcPr>
          <w:p w14:paraId="40AA773D" w14:textId="77777777" w:rsidR="002D3E6C" w:rsidRDefault="002D3E6C" w:rsidP="002D3E6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tcPr>
          <w:p w14:paraId="66AD27B0" w14:textId="77777777" w:rsidR="002D3E6C" w:rsidRDefault="002D3E6C" w:rsidP="002D3E6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tcPr>
          <w:p w14:paraId="1BD8848C" w14:textId="77777777" w:rsidR="002D3E6C" w:rsidRDefault="002D3E6C" w:rsidP="002D3E6C">
            <w:pPr>
              <w:spacing w:after="0" w:line="240" w:lineRule="auto"/>
              <w:rPr>
                <w:rFonts w:cs="Calibri"/>
                <w:color w:val="000000"/>
              </w:rPr>
            </w:pPr>
          </w:p>
        </w:tc>
      </w:tr>
      <w:tr w:rsidR="002D3E6C" w14:paraId="25D68A08"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68" w:type="dxa"/>
            <w:tcBorders>
              <w:top w:val="nil"/>
              <w:left w:val="nil"/>
              <w:bottom w:val="nil"/>
              <w:right w:val="nil"/>
              <w:tl2br w:val="nil"/>
              <w:tr2bl w:val="nil"/>
            </w:tcBorders>
            <w:shd w:val="clear" w:color="FFFFFF" w:fill="FFFFFF"/>
            <w:tcMar>
              <w:left w:w="40" w:type="dxa"/>
              <w:right w:w="40" w:type="dxa"/>
            </w:tcMar>
          </w:tcPr>
          <w:p w14:paraId="2D3AF9C3" w14:textId="77777777" w:rsidR="002D3E6C" w:rsidRDefault="002D3E6C"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Loan Receivable Repayment Received</w:t>
            </w:r>
          </w:p>
        </w:tc>
        <w:tc>
          <w:tcPr>
            <w:tcW w:w="1034" w:type="dxa"/>
            <w:tcBorders>
              <w:top w:val="nil"/>
              <w:left w:val="nil"/>
              <w:bottom w:val="nil"/>
              <w:right w:val="nil"/>
              <w:tl2br w:val="nil"/>
              <w:tr2bl w:val="nil"/>
            </w:tcBorders>
            <w:shd w:val="clear" w:color="FFFFFF" w:fill="FFFFFF"/>
            <w:tcMar>
              <w:left w:w="40" w:type="dxa"/>
              <w:right w:w="40" w:type="dxa"/>
            </w:tcMar>
          </w:tcPr>
          <w:p w14:paraId="4A8C8176"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5,207</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0B4F5A9F"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1,826</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7E543590"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5,615</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7F97D12A"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208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7E404233"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6,350</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23887CE"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6,678</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DBEA541"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8,867</w:t>
            </w:r>
          </w:p>
        </w:tc>
      </w:tr>
      <w:tr w:rsidR="002D3E6C" w14:paraId="3FED8F61"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68" w:type="dxa"/>
            <w:tcBorders>
              <w:top w:val="nil"/>
              <w:left w:val="nil"/>
              <w:bottom w:val="nil"/>
              <w:right w:val="nil"/>
              <w:tl2br w:val="nil"/>
              <w:tr2bl w:val="nil"/>
            </w:tcBorders>
            <w:shd w:val="clear" w:color="FFFFFF" w:fill="FFFFFF"/>
            <w:tcMar>
              <w:left w:w="40" w:type="dxa"/>
              <w:right w:w="40" w:type="dxa"/>
            </w:tcMar>
          </w:tcPr>
          <w:p w14:paraId="327A101A" w14:textId="77777777" w:rsidR="002D3E6C" w:rsidRDefault="002D3E6C" w:rsidP="002D3E6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Total Receipts from Investing Activities</w:t>
            </w:r>
          </w:p>
        </w:tc>
        <w:tc>
          <w:tcPr>
            <w:tcW w:w="1034" w:type="dxa"/>
            <w:tcBorders>
              <w:top w:val="nil"/>
              <w:left w:val="nil"/>
              <w:bottom w:val="nil"/>
              <w:right w:val="nil"/>
              <w:tl2br w:val="nil"/>
              <w:tr2bl w:val="nil"/>
            </w:tcBorders>
            <w:shd w:val="clear" w:color="FFFFFF" w:fill="FFFFFF"/>
            <w:tcMar>
              <w:left w:w="40" w:type="dxa"/>
              <w:right w:w="40" w:type="dxa"/>
            </w:tcMar>
          </w:tcPr>
          <w:p w14:paraId="0FC87BF5"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5,207</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1948168F"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1,826</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7D963A65"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5,615</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074B3BB7"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208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C3E9B3E"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6,350</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38D68978"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6,678</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9648275"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8,867</w:t>
            </w:r>
          </w:p>
        </w:tc>
      </w:tr>
      <w:tr w:rsidR="002D3E6C" w14:paraId="5D786C23"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68" w:type="dxa"/>
            <w:tcBorders>
              <w:top w:val="nil"/>
              <w:left w:val="nil"/>
              <w:bottom w:val="nil"/>
              <w:right w:val="nil"/>
              <w:tl2br w:val="nil"/>
              <w:tr2bl w:val="nil"/>
            </w:tcBorders>
            <w:shd w:val="clear" w:color="FFFFFF" w:fill="FFFFFF"/>
            <w:tcMar>
              <w:left w:w="40" w:type="dxa"/>
              <w:right w:w="40" w:type="dxa"/>
            </w:tcMar>
            <w:vAlign w:val="bottom"/>
          </w:tcPr>
          <w:p w14:paraId="17A26404" w14:textId="77777777" w:rsidR="002D3E6C" w:rsidRDefault="002D3E6C" w:rsidP="002D3E6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Payments</w:t>
            </w:r>
          </w:p>
        </w:tc>
        <w:tc>
          <w:tcPr>
            <w:tcW w:w="1034" w:type="dxa"/>
            <w:tcBorders>
              <w:top w:val="nil"/>
              <w:left w:val="nil"/>
              <w:bottom w:val="nil"/>
              <w:right w:val="nil"/>
              <w:tl2br w:val="nil"/>
              <w:tr2bl w:val="nil"/>
            </w:tcBorders>
            <w:shd w:val="clear" w:color="FFFFFF" w:fill="FFFFFF"/>
            <w:tcMar>
              <w:left w:w="0" w:type="dxa"/>
              <w:right w:w="0" w:type="dxa"/>
            </w:tcMar>
            <w:vAlign w:val="bottom"/>
          </w:tcPr>
          <w:p w14:paraId="4BE3B6E2" w14:textId="77777777" w:rsidR="002D3E6C" w:rsidRDefault="002D3E6C" w:rsidP="002D3E6C">
            <w:pPr>
              <w:spacing w:after="0" w:line="240" w:lineRule="auto"/>
              <w:rPr>
                <w:rFonts w:cs="Calibri"/>
                <w:color w:val="000000"/>
              </w:rPr>
            </w:pPr>
          </w:p>
        </w:tc>
        <w:tc>
          <w:tcPr>
            <w:tcW w:w="1005" w:type="dxa"/>
            <w:gridSpan w:val="2"/>
            <w:tcBorders>
              <w:top w:val="nil"/>
              <w:left w:val="nil"/>
              <w:bottom w:val="nil"/>
              <w:right w:val="nil"/>
              <w:tl2br w:val="nil"/>
              <w:tr2bl w:val="nil"/>
            </w:tcBorders>
            <w:shd w:val="clear" w:color="FFFFFF" w:fill="FFFFFF"/>
            <w:tcMar>
              <w:left w:w="0" w:type="dxa"/>
              <w:right w:w="0" w:type="dxa"/>
            </w:tcMar>
            <w:vAlign w:val="bottom"/>
          </w:tcPr>
          <w:p w14:paraId="79EBD63D" w14:textId="77777777" w:rsidR="002D3E6C" w:rsidRDefault="002D3E6C" w:rsidP="002D3E6C">
            <w:pPr>
              <w:spacing w:after="0" w:line="240" w:lineRule="auto"/>
              <w:rPr>
                <w:rFonts w:cs="Calibri"/>
                <w:color w:val="000000"/>
              </w:rPr>
            </w:pPr>
          </w:p>
        </w:tc>
        <w:tc>
          <w:tcPr>
            <w:tcW w:w="1037" w:type="dxa"/>
            <w:gridSpan w:val="2"/>
            <w:tcBorders>
              <w:top w:val="nil"/>
              <w:left w:val="nil"/>
              <w:bottom w:val="nil"/>
              <w:right w:val="nil"/>
              <w:tl2br w:val="nil"/>
              <w:tr2bl w:val="nil"/>
            </w:tcBorders>
            <w:shd w:val="clear" w:color="FFFFFF" w:fill="FFFFFF"/>
            <w:tcMar>
              <w:left w:w="0" w:type="dxa"/>
              <w:right w:w="0" w:type="dxa"/>
            </w:tcMar>
            <w:vAlign w:val="bottom"/>
          </w:tcPr>
          <w:p w14:paraId="6786CFB4" w14:textId="77777777" w:rsidR="002D3E6C" w:rsidRDefault="002D3E6C" w:rsidP="002D3E6C">
            <w:pPr>
              <w:spacing w:after="0" w:line="240" w:lineRule="auto"/>
              <w:rPr>
                <w:rFonts w:cs="Calibri"/>
                <w:color w:val="000000"/>
              </w:rPr>
            </w:pPr>
          </w:p>
        </w:tc>
        <w:tc>
          <w:tcPr>
            <w:tcW w:w="601" w:type="dxa"/>
            <w:gridSpan w:val="2"/>
            <w:tcBorders>
              <w:top w:val="nil"/>
              <w:left w:val="nil"/>
              <w:bottom w:val="nil"/>
              <w:right w:val="nil"/>
              <w:tl2br w:val="nil"/>
              <w:tr2bl w:val="nil"/>
            </w:tcBorders>
            <w:shd w:val="clear" w:color="FFFFFF" w:fill="FFFFFF"/>
            <w:tcMar>
              <w:left w:w="0" w:type="dxa"/>
              <w:right w:w="0" w:type="dxa"/>
            </w:tcMar>
            <w:vAlign w:val="bottom"/>
          </w:tcPr>
          <w:p w14:paraId="39DB1BCF" w14:textId="77777777" w:rsidR="002D3E6C" w:rsidRDefault="002D3E6C" w:rsidP="002D3E6C">
            <w:pPr>
              <w:spacing w:after="0" w:line="240" w:lineRule="auto"/>
              <w:jc w:val="right"/>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vAlign w:val="bottom"/>
          </w:tcPr>
          <w:p w14:paraId="25C6B1DD" w14:textId="77777777" w:rsidR="002D3E6C" w:rsidRDefault="002D3E6C" w:rsidP="002D3E6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vAlign w:val="bottom"/>
          </w:tcPr>
          <w:p w14:paraId="52A220B5" w14:textId="77777777" w:rsidR="002D3E6C" w:rsidRDefault="002D3E6C" w:rsidP="002D3E6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vAlign w:val="bottom"/>
          </w:tcPr>
          <w:p w14:paraId="30CDAD27" w14:textId="77777777" w:rsidR="002D3E6C" w:rsidRDefault="002D3E6C" w:rsidP="002D3E6C">
            <w:pPr>
              <w:spacing w:after="0" w:line="240" w:lineRule="auto"/>
              <w:rPr>
                <w:rFonts w:cs="Calibri"/>
                <w:color w:val="000000"/>
              </w:rPr>
            </w:pPr>
          </w:p>
        </w:tc>
      </w:tr>
      <w:tr w:rsidR="002D3E6C" w14:paraId="1ED753D9"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8" w:type="dxa"/>
            <w:tcBorders>
              <w:top w:val="nil"/>
              <w:left w:val="nil"/>
              <w:bottom w:val="nil"/>
              <w:right w:val="nil"/>
              <w:tl2br w:val="nil"/>
              <w:tr2bl w:val="nil"/>
            </w:tcBorders>
            <w:shd w:val="clear" w:color="FFFFFF" w:fill="FFFFFF"/>
            <w:tcMar>
              <w:left w:w="40" w:type="dxa"/>
              <w:right w:w="40" w:type="dxa"/>
            </w:tcMar>
          </w:tcPr>
          <w:p w14:paraId="6FD952AE" w14:textId="77777777" w:rsidR="002D3E6C" w:rsidRDefault="002D3E6C"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Purchase of Capital Works</w:t>
            </w:r>
          </w:p>
        </w:tc>
        <w:tc>
          <w:tcPr>
            <w:tcW w:w="1034" w:type="dxa"/>
            <w:tcBorders>
              <w:top w:val="nil"/>
              <w:left w:val="nil"/>
              <w:bottom w:val="nil"/>
              <w:right w:val="nil"/>
              <w:tl2br w:val="nil"/>
              <w:tr2bl w:val="nil"/>
            </w:tcBorders>
            <w:shd w:val="clear" w:color="FFFFFF" w:fill="FFFFFF"/>
            <w:tcMar>
              <w:left w:w="40" w:type="dxa"/>
              <w:right w:w="40" w:type="dxa"/>
            </w:tcMar>
          </w:tcPr>
          <w:p w14:paraId="7F45C07D"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595,475</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31F66F2D"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679,465</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5613DD40"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917,840</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531BBA2A"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35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9C1B5E5"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525,337</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76C0DD3"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321,881</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75B2641"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326,034</w:t>
            </w:r>
          </w:p>
        </w:tc>
      </w:tr>
      <w:tr w:rsidR="002D3E6C" w14:paraId="7DBF0A97"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368" w:type="dxa"/>
            <w:tcBorders>
              <w:top w:val="nil"/>
              <w:left w:val="nil"/>
              <w:bottom w:val="nil"/>
              <w:right w:val="nil"/>
              <w:tl2br w:val="nil"/>
              <w:tr2bl w:val="nil"/>
            </w:tcBorders>
            <w:shd w:val="clear" w:color="FFFFFF" w:fill="FFFFFF"/>
            <w:tcMar>
              <w:left w:w="40" w:type="dxa"/>
              <w:right w:w="40" w:type="dxa"/>
            </w:tcMar>
          </w:tcPr>
          <w:p w14:paraId="45B86334" w14:textId="77777777" w:rsidR="002D3E6C" w:rsidRDefault="002D3E6C" w:rsidP="002D3E6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Loans Receivable Provided</w:t>
            </w:r>
          </w:p>
        </w:tc>
        <w:tc>
          <w:tcPr>
            <w:tcW w:w="1034" w:type="dxa"/>
            <w:tcBorders>
              <w:top w:val="nil"/>
              <w:left w:val="nil"/>
              <w:bottom w:val="nil"/>
              <w:right w:val="nil"/>
              <w:tl2br w:val="nil"/>
              <w:tr2bl w:val="nil"/>
            </w:tcBorders>
            <w:shd w:val="clear" w:color="FFFFFF" w:fill="FFFFFF"/>
            <w:tcMar>
              <w:left w:w="40" w:type="dxa"/>
              <w:right w:w="40" w:type="dxa"/>
            </w:tcMar>
          </w:tcPr>
          <w:p w14:paraId="4DC2A4A5"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50,514</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3F333737"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36,114</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2ADA1AB0"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15,000</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0C3EA663"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-58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5A81CC46"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11,386</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0868EFE"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3,957</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5287FE4" w14:textId="77777777" w:rsidR="002D3E6C" w:rsidRDefault="002D3E6C" w:rsidP="002D3E6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r>
      <w:tr w:rsidR="002D3E6C" w14:paraId="6965495F"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2368" w:type="dxa"/>
            <w:tcBorders>
              <w:top w:val="nil"/>
              <w:left w:val="nil"/>
              <w:bottom w:val="nil"/>
              <w:right w:val="nil"/>
              <w:tl2br w:val="nil"/>
              <w:tr2bl w:val="nil"/>
            </w:tcBorders>
            <w:shd w:val="clear" w:color="FFFFFF" w:fill="FFFFFF"/>
            <w:tcMar>
              <w:left w:w="40" w:type="dxa"/>
              <w:right w:w="40" w:type="dxa"/>
            </w:tcMar>
          </w:tcPr>
          <w:p w14:paraId="25064EF9" w14:textId="77777777" w:rsidR="002D3E6C" w:rsidRDefault="002D3E6C" w:rsidP="002D3E6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lastRenderedPageBreak/>
              <w:t>Total Payments from Investing Activities</w:t>
            </w:r>
          </w:p>
        </w:tc>
        <w:tc>
          <w:tcPr>
            <w:tcW w:w="1034" w:type="dxa"/>
            <w:tcBorders>
              <w:top w:val="nil"/>
              <w:left w:val="nil"/>
              <w:bottom w:val="nil"/>
              <w:right w:val="nil"/>
              <w:tl2br w:val="nil"/>
              <w:tr2bl w:val="nil"/>
            </w:tcBorders>
            <w:shd w:val="clear" w:color="FFFFFF" w:fill="FFFFFF"/>
            <w:tcMar>
              <w:left w:w="40" w:type="dxa"/>
              <w:right w:w="40" w:type="dxa"/>
            </w:tcMar>
          </w:tcPr>
          <w:p w14:paraId="7E1073B4"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645,989</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5833CB02"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715,579</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55FFE710"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932,840</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55503AC3"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30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1EB1E8A"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536,723</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33FF437D"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325,838</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2CCE475"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326,034</w:t>
            </w:r>
          </w:p>
        </w:tc>
      </w:tr>
      <w:tr w:rsidR="002D3E6C" w14:paraId="44260176"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2368" w:type="dxa"/>
            <w:tcBorders>
              <w:top w:val="nil"/>
              <w:left w:val="nil"/>
              <w:bottom w:val="nil"/>
              <w:right w:val="nil"/>
              <w:tl2br w:val="nil"/>
              <w:tr2bl w:val="nil"/>
            </w:tcBorders>
            <w:shd w:val="clear" w:color="FFFFFF" w:fill="FFFFFF"/>
            <w:tcMar>
              <w:left w:w="40" w:type="dxa"/>
              <w:right w:w="40" w:type="dxa"/>
            </w:tcMar>
          </w:tcPr>
          <w:p w14:paraId="6DBCBECA" w14:textId="77777777" w:rsidR="002D3E6C" w:rsidRDefault="002D3E6C" w:rsidP="002D3E6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Net Cash Inflows/(Outflows) from Investing Activities</w:t>
            </w:r>
          </w:p>
        </w:tc>
        <w:tc>
          <w:tcPr>
            <w:tcW w:w="1034" w:type="dxa"/>
            <w:tcBorders>
              <w:top w:val="nil"/>
              <w:left w:val="nil"/>
              <w:bottom w:val="nil"/>
              <w:right w:val="nil"/>
              <w:tl2br w:val="nil"/>
              <w:tr2bl w:val="nil"/>
            </w:tcBorders>
            <w:shd w:val="clear" w:color="FFFFFF" w:fill="FFFFFF"/>
            <w:tcMar>
              <w:left w:w="40" w:type="dxa"/>
              <w:right w:w="40" w:type="dxa"/>
            </w:tcMar>
          </w:tcPr>
          <w:p w14:paraId="7CF04031"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-640,782</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27DB9EE6"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-713,753</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2F6BA437"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-927,225</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4F879078"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-30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EBE382B"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-530,373</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27D84AB"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-319,160</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24574CB2" w14:textId="77777777" w:rsidR="002D3E6C" w:rsidRDefault="002D3E6C" w:rsidP="002D3E6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-317,167</w:t>
            </w:r>
          </w:p>
        </w:tc>
      </w:tr>
      <w:tr w:rsidR="004563CC" w14:paraId="6F675B01" w14:textId="77777777" w:rsidTr="00456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trPr>
        <w:tc>
          <w:tcPr>
            <w:tcW w:w="2368" w:type="dxa"/>
            <w:tcBorders>
              <w:top w:val="nil"/>
              <w:left w:val="nil"/>
              <w:bottom w:val="nil"/>
              <w:right w:val="nil"/>
              <w:tl2br w:val="nil"/>
              <w:tr2bl w:val="nil"/>
            </w:tcBorders>
            <w:shd w:val="clear" w:color="FFFFFF" w:fill="FFFFFF"/>
            <w:tcMar>
              <w:left w:w="40" w:type="dxa"/>
              <w:right w:w="40" w:type="dxa"/>
            </w:tcMar>
            <w:vAlign w:val="bottom"/>
          </w:tcPr>
          <w:p w14:paraId="3DE0E835" w14:textId="6E612417" w:rsidR="004563CC" w:rsidRDefault="004563CC" w:rsidP="004563CC">
            <w:pPr>
              <w:pBdr>
                <w:top w:val="nil"/>
                <w:left w:val="nil"/>
                <w:bottom w:val="nil"/>
                <w:right w:val="nil"/>
                <w:between w:val="nil"/>
                <w:bar w:val="nil"/>
              </w:pBdr>
              <w:spacing w:after="0" w:line="240" w:lineRule="auto"/>
              <w:ind w:left="170" w:hanging="170"/>
              <w:rPr>
                <w:rFonts w:cs="Calibri"/>
                <w:b/>
                <w:color w:val="000000"/>
                <w:sz w:val="18"/>
                <w:szCs w:val="20"/>
              </w:rPr>
            </w:pPr>
            <w:r>
              <w:rPr>
                <w:rFonts w:cs="Calibri"/>
                <w:b/>
                <w:color w:val="000000"/>
                <w:sz w:val="18"/>
                <w:szCs w:val="20"/>
              </w:rPr>
              <w:t>CASH FLOWS FROM FINANCING ACTIVITIES</w:t>
            </w:r>
          </w:p>
        </w:tc>
        <w:tc>
          <w:tcPr>
            <w:tcW w:w="1034" w:type="dxa"/>
            <w:tcBorders>
              <w:top w:val="nil"/>
              <w:left w:val="nil"/>
              <w:bottom w:val="nil"/>
              <w:right w:val="nil"/>
              <w:tl2br w:val="nil"/>
              <w:tr2bl w:val="nil"/>
            </w:tcBorders>
            <w:shd w:val="clear" w:color="FFFFFF" w:fill="FFFFFF"/>
            <w:tcMar>
              <w:left w:w="40" w:type="dxa"/>
              <w:right w:w="40" w:type="dxa"/>
            </w:tcMar>
          </w:tcPr>
          <w:p w14:paraId="78391DE1" w14:textId="77777777" w:rsidR="004563CC" w:rsidRDefault="004563CC" w:rsidP="004563CC">
            <w:pPr>
              <w:pBdr>
                <w:top w:val="nil"/>
                <w:left w:val="nil"/>
                <w:bottom w:val="nil"/>
                <w:right w:val="nil"/>
                <w:between w:val="nil"/>
                <w:bar w:val="nil"/>
              </w:pBdr>
              <w:spacing w:after="0" w:line="240" w:lineRule="auto"/>
              <w:jc w:val="right"/>
              <w:rPr>
                <w:rFonts w:cs="Calibri"/>
                <w:b/>
                <w:color w:val="000000"/>
                <w:sz w:val="18"/>
                <w:szCs w:val="20"/>
              </w:rPr>
            </w:pPr>
          </w:p>
        </w:tc>
        <w:tc>
          <w:tcPr>
            <w:tcW w:w="1005" w:type="dxa"/>
            <w:gridSpan w:val="2"/>
            <w:tcBorders>
              <w:top w:val="nil"/>
              <w:left w:val="nil"/>
              <w:bottom w:val="nil"/>
              <w:right w:val="nil"/>
              <w:tl2br w:val="nil"/>
              <w:tr2bl w:val="nil"/>
            </w:tcBorders>
            <w:shd w:val="clear" w:color="FFFFFF" w:fill="FFFFFF"/>
            <w:tcMar>
              <w:left w:w="40" w:type="dxa"/>
              <w:right w:w="40" w:type="dxa"/>
            </w:tcMar>
          </w:tcPr>
          <w:p w14:paraId="423C3EC5" w14:textId="77777777" w:rsidR="004563CC" w:rsidRDefault="004563CC" w:rsidP="004563CC">
            <w:pPr>
              <w:pBdr>
                <w:top w:val="nil"/>
                <w:left w:val="nil"/>
                <w:bottom w:val="nil"/>
                <w:right w:val="nil"/>
                <w:between w:val="nil"/>
                <w:bar w:val="nil"/>
              </w:pBdr>
              <w:spacing w:after="0" w:line="240" w:lineRule="auto"/>
              <w:jc w:val="right"/>
              <w:rPr>
                <w:rFonts w:cs="Calibri"/>
                <w:b/>
                <w:color w:val="000000"/>
                <w:sz w:val="18"/>
                <w:szCs w:val="20"/>
              </w:rPr>
            </w:pPr>
          </w:p>
        </w:tc>
        <w:tc>
          <w:tcPr>
            <w:tcW w:w="1037" w:type="dxa"/>
            <w:gridSpan w:val="2"/>
            <w:tcBorders>
              <w:top w:val="nil"/>
              <w:left w:val="nil"/>
              <w:bottom w:val="nil"/>
              <w:right w:val="nil"/>
              <w:tl2br w:val="nil"/>
              <w:tr2bl w:val="nil"/>
            </w:tcBorders>
            <w:shd w:val="clear" w:color="FFFFFF" w:fill="FFFFFF"/>
            <w:tcMar>
              <w:left w:w="40" w:type="dxa"/>
              <w:right w:w="40" w:type="dxa"/>
            </w:tcMar>
          </w:tcPr>
          <w:p w14:paraId="1C40D320" w14:textId="77777777" w:rsidR="004563CC" w:rsidRDefault="004563CC" w:rsidP="004563CC">
            <w:pPr>
              <w:pBdr>
                <w:top w:val="nil"/>
                <w:left w:val="nil"/>
                <w:bottom w:val="nil"/>
                <w:right w:val="nil"/>
                <w:between w:val="nil"/>
                <w:bar w:val="nil"/>
              </w:pBdr>
              <w:spacing w:after="0" w:line="240" w:lineRule="auto"/>
              <w:jc w:val="right"/>
              <w:rPr>
                <w:rFonts w:cs="Calibri"/>
                <w:b/>
                <w:color w:val="000000"/>
                <w:sz w:val="18"/>
                <w:szCs w:val="20"/>
              </w:rPr>
            </w:pPr>
          </w:p>
        </w:tc>
        <w:tc>
          <w:tcPr>
            <w:tcW w:w="601" w:type="dxa"/>
            <w:gridSpan w:val="2"/>
            <w:tcBorders>
              <w:top w:val="nil"/>
              <w:left w:val="nil"/>
              <w:bottom w:val="nil"/>
              <w:right w:val="nil"/>
              <w:tl2br w:val="nil"/>
              <w:tr2bl w:val="nil"/>
            </w:tcBorders>
            <w:shd w:val="clear" w:color="FFFFFF" w:fill="FFFFFF"/>
            <w:tcMar>
              <w:left w:w="40" w:type="dxa"/>
              <w:right w:w="40" w:type="dxa"/>
            </w:tcMar>
          </w:tcPr>
          <w:p w14:paraId="7DF03801" w14:textId="77777777" w:rsidR="004563CC" w:rsidRDefault="004563CC" w:rsidP="004563CC">
            <w:pPr>
              <w:pBdr>
                <w:top w:val="nil"/>
                <w:left w:val="nil"/>
                <w:bottom w:val="nil"/>
                <w:right w:val="nil"/>
                <w:between w:val="nil"/>
                <w:bar w:val="nil"/>
              </w:pBdr>
              <w:spacing w:after="0" w:line="240" w:lineRule="auto"/>
              <w:jc w:val="right"/>
              <w:rPr>
                <w:rFonts w:cs="Calibri"/>
                <w:b/>
                <w:color w:val="000000"/>
                <w:sz w:val="18"/>
                <w:szCs w:val="20"/>
              </w:rPr>
            </w:pP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3A18636" w14:textId="77777777" w:rsidR="004563CC" w:rsidRDefault="004563CC" w:rsidP="004563CC">
            <w:pPr>
              <w:pBdr>
                <w:top w:val="nil"/>
                <w:left w:val="nil"/>
                <w:bottom w:val="nil"/>
                <w:right w:val="nil"/>
                <w:between w:val="nil"/>
                <w:bar w:val="nil"/>
              </w:pBdr>
              <w:spacing w:after="0" w:line="240" w:lineRule="auto"/>
              <w:jc w:val="right"/>
              <w:rPr>
                <w:rFonts w:cs="Calibri"/>
                <w:b/>
                <w:color w:val="000000"/>
                <w:sz w:val="18"/>
                <w:szCs w:val="20"/>
              </w:rPr>
            </w:pP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6A6853B" w14:textId="77777777" w:rsidR="004563CC" w:rsidRDefault="004563CC" w:rsidP="004563CC">
            <w:pPr>
              <w:pBdr>
                <w:top w:val="nil"/>
                <w:left w:val="nil"/>
                <w:bottom w:val="nil"/>
                <w:right w:val="nil"/>
                <w:between w:val="nil"/>
                <w:bar w:val="nil"/>
              </w:pBdr>
              <w:spacing w:after="0" w:line="240" w:lineRule="auto"/>
              <w:jc w:val="right"/>
              <w:rPr>
                <w:rFonts w:cs="Calibri"/>
                <w:b/>
                <w:color w:val="000000"/>
                <w:sz w:val="18"/>
                <w:szCs w:val="20"/>
              </w:rPr>
            </w:pP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D520A71" w14:textId="77777777" w:rsidR="004563CC" w:rsidRDefault="004563CC" w:rsidP="004563CC">
            <w:pPr>
              <w:pBdr>
                <w:top w:val="nil"/>
                <w:left w:val="nil"/>
                <w:bottom w:val="nil"/>
                <w:right w:val="nil"/>
                <w:between w:val="nil"/>
                <w:bar w:val="nil"/>
              </w:pBdr>
              <w:spacing w:after="0" w:line="240" w:lineRule="auto"/>
              <w:jc w:val="right"/>
              <w:rPr>
                <w:rFonts w:cs="Calibri"/>
                <w:b/>
                <w:color w:val="000000"/>
                <w:sz w:val="18"/>
                <w:szCs w:val="20"/>
              </w:rPr>
            </w:pPr>
          </w:p>
        </w:tc>
      </w:tr>
      <w:tr w:rsidR="004563CC" w14:paraId="75E957EB"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8" w:type="dxa"/>
            <w:tcBorders>
              <w:top w:val="nil"/>
              <w:left w:val="nil"/>
              <w:bottom w:val="nil"/>
              <w:right w:val="nil"/>
              <w:tl2br w:val="nil"/>
              <w:tr2bl w:val="nil"/>
            </w:tcBorders>
            <w:shd w:val="clear" w:color="FFFFFF" w:fill="FFFFFF"/>
            <w:tcMar>
              <w:left w:w="40" w:type="dxa"/>
              <w:right w:w="40" w:type="dxa"/>
            </w:tcMar>
          </w:tcPr>
          <w:p w14:paraId="59EB46E0" w14:textId="77777777" w:rsidR="004563CC" w:rsidRDefault="004563CC" w:rsidP="004563C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Receipts</w:t>
            </w:r>
          </w:p>
        </w:tc>
        <w:tc>
          <w:tcPr>
            <w:tcW w:w="1034" w:type="dxa"/>
            <w:tcBorders>
              <w:top w:val="nil"/>
              <w:left w:val="nil"/>
              <w:bottom w:val="nil"/>
              <w:right w:val="nil"/>
              <w:tl2br w:val="nil"/>
              <w:tr2bl w:val="nil"/>
            </w:tcBorders>
            <w:shd w:val="clear" w:color="FFFFFF" w:fill="FFFFFF"/>
            <w:tcMar>
              <w:left w:w="0" w:type="dxa"/>
              <w:right w:w="0" w:type="dxa"/>
            </w:tcMar>
          </w:tcPr>
          <w:p w14:paraId="320AE4E7" w14:textId="77777777" w:rsidR="004563CC" w:rsidRDefault="004563CC" w:rsidP="004563CC">
            <w:pPr>
              <w:spacing w:after="0" w:line="240" w:lineRule="auto"/>
              <w:rPr>
                <w:rFonts w:cs="Calibri"/>
                <w:color w:val="000000"/>
              </w:rPr>
            </w:pPr>
          </w:p>
        </w:tc>
        <w:tc>
          <w:tcPr>
            <w:tcW w:w="1005" w:type="dxa"/>
            <w:gridSpan w:val="2"/>
            <w:tcBorders>
              <w:top w:val="nil"/>
              <w:left w:val="nil"/>
              <w:bottom w:val="nil"/>
              <w:right w:val="nil"/>
              <w:tl2br w:val="nil"/>
              <w:tr2bl w:val="nil"/>
            </w:tcBorders>
            <w:shd w:val="clear" w:color="FFFFFF" w:fill="FFFFFF"/>
            <w:tcMar>
              <w:left w:w="0" w:type="dxa"/>
              <w:right w:w="0" w:type="dxa"/>
            </w:tcMar>
          </w:tcPr>
          <w:p w14:paraId="66FC507A" w14:textId="77777777" w:rsidR="004563CC" w:rsidRDefault="004563CC" w:rsidP="004563CC">
            <w:pPr>
              <w:spacing w:after="0" w:line="240" w:lineRule="auto"/>
              <w:rPr>
                <w:rFonts w:cs="Calibri"/>
                <w:color w:val="000000"/>
              </w:rPr>
            </w:pPr>
          </w:p>
        </w:tc>
        <w:tc>
          <w:tcPr>
            <w:tcW w:w="1037" w:type="dxa"/>
            <w:gridSpan w:val="2"/>
            <w:tcBorders>
              <w:top w:val="nil"/>
              <w:left w:val="nil"/>
              <w:bottom w:val="nil"/>
              <w:right w:val="nil"/>
              <w:tl2br w:val="nil"/>
              <w:tr2bl w:val="nil"/>
            </w:tcBorders>
            <w:shd w:val="clear" w:color="FFFFFF" w:fill="FFFFFF"/>
            <w:tcMar>
              <w:left w:w="0" w:type="dxa"/>
              <w:right w:w="0" w:type="dxa"/>
            </w:tcMar>
          </w:tcPr>
          <w:p w14:paraId="78A83AFF" w14:textId="77777777" w:rsidR="004563CC" w:rsidRDefault="004563CC" w:rsidP="004563CC">
            <w:pPr>
              <w:spacing w:after="0" w:line="240" w:lineRule="auto"/>
              <w:rPr>
                <w:rFonts w:cs="Calibri"/>
                <w:color w:val="000000"/>
              </w:rPr>
            </w:pPr>
          </w:p>
        </w:tc>
        <w:tc>
          <w:tcPr>
            <w:tcW w:w="601" w:type="dxa"/>
            <w:gridSpan w:val="2"/>
            <w:tcBorders>
              <w:top w:val="nil"/>
              <w:left w:val="nil"/>
              <w:bottom w:val="nil"/>
              <w:right w:val="nil"/>
              <w:tl2br w:val="nil"/>
              <w:tr2bl w:val="nil"/>
            </w:tcBorders>
            <w:shd w:val="clear" w:color="FFFFFF" w:fill="FFFFFF"/>
            <w:tcMar>
              <w:left w:w="0" w:type="dxa"/>
              <w:right w:w="0" w:type="dxa"/>
            </w:tcMar>
          </w:tcPr>
          <w:p w14:paraId="68EC514E" w14:textId="77777777" w:rsidR="004563CC" w:rsidRDefault="004563CC" w:rsidP="004563C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tcPr>
          <w:p w14:paraId="4CF8032A" w14:textId="77777777" w:rsidR="004563CC" w:rsidRDefault="004563CC" w:rsidP="004563C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tcPr>
          <w:p w14:paraId="619E3653" w14:textId="77777777" w:rsidR="004563CC" w:rsidRDefault="004563CC" w:rsidP="004563C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tcPr>
          <w:p w14:paraId="0D9706B7" w14:textId="77777777" w:rsidR="004563CC" w:rsidRDefault="004563CC" w:rsidP="004563CC">
            <w:pPr>
              <w:spacing w:after="0" w:line="240" w:lineRule="auto"/>
              <w:rPr>
                <w:rFonts w:cs="Calibri"/>
                <w:color w:val="000000"/>
              </w:rPr>
            </w:pPr>
          </w:p>
        </w:tc>
      </w:tr>
      <w:tr w:rsidR="004563CC" w14:paraId="11E08534"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68" w:type="dxa"/>
            <w:tcBorders>
              <w:top w:val="nil"/>
              <w:left w:val="nil"/>
              <w:bottom w:val="nil"/>
              <w:right w:val="nil"/>
              <w:tl2br w:val="nil"/>
              <w:tr2bl w:val="nil"/>
            </w:tcBorders>
            <w:shd w:val="clear" w:color="FFFFFF" w:fill="FFFFFF"/>
            <w:tcMar>
              <w:left w:w="40" w:type="dxa"/>
              <w:right w:w="40" w:type="dxa"/>
            </w:tcMar>
          </w:tcPr>
          <w:p w14:paraId="13DED07A" w14:textId="77777777" w:rsidR="004563CC" w:rsidRDefault="004563CC" w:rsidP="004563C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Capital Injections</w:t>
            </w:r>
          </w:p>
        </w:tc>
        <w:tc>
          <w:tcPr>
            <w:tcW w:w="1034" w:type="dxa"/>
            <w:tcBorders>
              <w:top w:val="nil"/>
              <w:left w:val="nil"/>
              <w:bottom w:val="nil"/>
              <w:right w:val="nil"/>
              <w:tl2br w:val="nil"/>
              <w:tr2bl w:val="nil"/>
            </w:tcBorders>
            <w:shd w:val="clear" w:color="FFFFFF" w:fill="FFFFFF"/>
            <w:tcMar>
              <w:left w:w="40" w:type="dxa"/>
              <w:right w:w="40" w:type="dxa"/>
            </w:tcMar>
          </w:tcPr>
          <w:p w14:paraId="65F0A6C5"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657,572</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5C3AB439"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724,529</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5320D4AF"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941,508</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2D8C1F95"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30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73A46115"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1,038,024</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42D4730"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326,057</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5810A6EC"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326,034</w:t>
            </w:r>
          </w:p>
        </w:tc>
      </w:tr>
      <w:tr w:rsidR="004563CC" w14:paraId="44F2A147"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68" w:type="dxa"/>
            <w:tcBorders>
              <w:top w:val="nil"/>
              <w:left w:val="nil"/>
              <w:bottom w:val="nil"/>
              <w:right w:val="nil"/>
              <w:tl2br w:val="nil"/>
              <w:tr2bl w:val="nil"/>
            </w:tcBorders>
            <w:shd w:val="clear" w:color="FFFFFF" w:fill="FFFFFF"/>
            <w:tcMar>
              <w:left w:w="40" w:type="dxa"/>
              <w:right w:w="40" w:type="dxa"/>
            </w:tcMar>
          </w:tcPr>
          <w:p w14:paraId="6D62CAB8" w14:textId="77777777" w:rsidR="004563CC" w:rsidRDefault="004563CC" w:rsidP="004563C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Total Receipts from Financing Activities</w:t>
            </w:r>
          </w:p>
        </w:tc>
        <w:tc>
          <w:tcPr>
            <w:tcW w:w="1034" w:type="dxa"/>
            <w:tcBorders>
              <w:top w:val="nil"/>
              <w:left w:val="nil"/>
              <w:bottom w:val="nil"/>
              <w:right w:val="nil"/>
              <w:tl2br w:val="nil"/>
              <w:tr2bl w:val="nil"/>
            </w:tcBorders>
            <w:shd w:val="clear" w:color="FFFFFF" w:fill="FFFFFF"/>
            <w:tcMar>
              <w:left w:w="40" w:type="dxa"/>
              <w:right w:w="40" w:type="dxa"/>
            </w:tcMar>
          </w:tcPr>
          <w:p w14:paraId="0207E2D8"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657,572</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03961E76"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724,529</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311B4BDE"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941,508</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7F3A5A8D"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30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7CB0DF26"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1,038,024</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286DAA12"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326,057</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222325C"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326,034</w:t>
            </w:r>
          </w:p>
        </w:tc>
      </w:tr>
      <w:tr w:rsidR="004563CC" w14:paraId="7C018B44"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368" w:type="dxa"/>
            <w:tcBorders>
              <w:top w:val="nil"/>
              <w:left w:val="nil"/>
              <w:bottom w:val="nil"/>
              <w:right w:val="nil"/>
              <w:tl2br w:val="nil"/>
              <w:tr2bl w:val="nil"/>
            </w:tcBorders>
            <w:shd w:val="clear" w:color="FFFFFF" w:fill="FFFFFF"/>
            <w:tcMar>
              <w:left w:w="40" w:type="dxa"/>
              <w:right w:w="40" w:type="dxa"/>
            </w:tcMar>
            <w:vAlign w:val="bottom"/>
          </w:tcPr>
          <w:p w14:paraId="2B2200ED" w14:textId="77777777" w:rsidR="004563CC" w:rsidRDefault="004563CC" w:rsidP="004563C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Payments</w:t>
            </w:r>
          </w:p>
        </w:tc>
        <w:tc>
          <w:tcPr>
            <w:tcW w:w="1034" w:type="dxa"/>
            <w:tcBorders>
              <w:top w:val="nil"/>
              <w:left w:val="nil"/>
              <w:bottom w:val="nil"/>
              <w:right w:val="nil"/>
              <w:tl2br w:val="nil"/>
              <w:tr2bl w:val="nil"/>
            </w:tcBorders>
            <w:shd w:val="clear" w:color="FFFFFF" w:fill="FFFFFF"/>
            <w:tcMar>
              <w:left w:w="0" w:type="dxa"/>
              <w:right w:w="0" w:type="dxa"/>
            </w:tcMar>
            <w:vAlign w:val="bottom"/>
          </w:tcPr>
          <w:p w14:paraId="528A5FA9" w14:textId="77777777" w:rsidR="004563CC" w:rsidRDefault="004563CC" w:rsidP="004563CC">
            <w:pPr>
              <w:spacing w:after="0" w:line="240" w:lineRule="auto"/>
              <w:rPr>
                <w:rFonts w:cs="Calibri"/>
                <w:color w:val="000000"/>
              </w:rPr>
            </w:pPr>
          </w:p>
        </w:tc>
        <w:tc>
          <w:tcPr>
            <w:tcW w:w="1005" w:type="dxa"/>
            <w:gridSpan w:val="2"/>
            <w:tcBorders>
              <w:top w:val="nil"/>
              <w:left w:val="nil"/>
              <w:bottom w:val="nil"/>
              <w:right w:val="nil"/>
              <w:tl2br w:val="nil"/>
              <w:tr2bl w:val="nil"/>
            </w:tcBorders>
            <w:shd w:val="clear" w:color="FFFFFF" w:fill="FFFFFF"/>
            <w:tcMar>
              <w:left w:w="0" w:type="dxa"/>
              <w:right w:w="0" w:type="dxa"/>
            </w:tcMar>
            <w:vAlign w:val="bottom"/>
          </w:tcPr>
          <w:p w14:paraId="2184AEE3" w14:textId="77777777" w:rsidR="004563CC" w:rsidRDefault="004563CC" w:rsidP="004563CC">
            <w:pPr>
              <w:spacing w:after="0" w:line="240" w:lineRule="auto"/>
              <w:rPr>
                <w:rFonts w:cs="Calibri"/>
                <w:color w:val="000000"/>
              </w:rPr>
            </w:pPr>
          </w:p>
        </w:tc>
        <w:tc>
          <w:tcPr>
            <w:tcW w:w="1037" w:type="dxa"/>
            <w:gridSpan w:val="2"/>
            <w:tcBorders>
              <w:top w:val="nil"/>
              <w:left w:val="nil"/>
              <w:bottom w:val="nil"/>
              <w:right w:val="nil"/>
              <w:tl2br w:val="nil"/>
              <w:tr2bl w:val="nil"/>
            </w:tcBorders>
            <w:shd w:val="clear" w:color="FFFFFF" w:fill="FFFFFF"/>
            <w:tcMar>
              <w:left w:w="0" w:type="dxa"/>
              <w:right w:w="0" w:type="dxa"/>
            </w:tcMar>
            <w:vAlign w:val="bottom"/>
          </w:tcPr>
          <w:p w14:paraId="7A3601CB" w14:textId="77777777" w:rsidR="004563CC" w:rsidRDefault="004563CC" w:rsidP="004563CC">
            <w:pPr>
              <w:spacing w:after="0" w:line="240" w:lineRule="auto"/>
              <w:rPr>
                <w:rFonts w:cs="Calibri"/>
                <w:color w:val="000000"/>
              </w:rPr>
            </w:pPr>
          </w:p>
        </w:tc>
        <w:tc>
          <w:tcPr>
            <w:tcW w:w="601" w:type="dxa"/>
            <w:gridSpan w:val="2"/>
            <w:tcBorders>
              <w:top w:val="nil"/>
              <w:left w:val="nil"/>
              <w:bottom w:val="nil"/>
              <w:right w:val="nil"/>
              <w:tl2br w:val="nil"/>
              <w:tr2bl w:val="nil"/>
            </w:tcBorders>
            <w:shd w:val="clear" w:color="FFFFFF" w:fill="FFFFFF"/>
            <w:tcMar>
              <w:left w:w="0" w:type="dxa"/>
              <w:right w:w="0" w:type="dxa"/>
            </w:tcMar>
            <w:vAlign w:val="bottom"/>
          </w:tcPr>
          <w:p w14:paraId="04EFC5F5" w14:textId="77777777" w:rsidR="004563CC" w:rsidRDefault="004563CC" w:rsidP="004563C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vAlign w:val="bottom"/>
          </w:tcPr>
          <w:p w14:paraId="7D89E932" w14:textId="77777777" w:rsidR="004563CC" w:rsidRDefault="004563CC" w:rsidP="004563C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vAlign w:val="bottom"/>
          </w:tcPr>
          <w:p w14:paraId="2EC40EEA" w14:textId="77777777" w:rsidR="004563CC" w:rsidRDefault="004563CC" w:rsidP="004563CC">
            <w:pPr>
              <w:spacing w:after="0" w:line="240" w:lineRule="auto"/>
              <w:rPr>
                <w:rFonts w:cs="Calibri"/>
                <w:color w:val="000000"/>
              </w:rPr>
            </w:pPr>
          </w:p>
        </w:tc>
        <w:tc>
          <w:tcPr>
            <w:tcW w:w="1035" w:type="dxa"/>
            <w:gridSpan w:val="2"/>
            <w:tcBorders>
              <w:top w:val="nil"/>
              <w:left w:val="nil"/>
              <w:bottom w:val="nil"/>
              <w:right w:val="nil"/>
              <w:tl2br w:val="nil"/>
              <w:tr2bl w:val="nil"/>
            </w:tcBorders>
            <w:shd w:val="clear" w:color="FFFFFF" w:fill="FFFFFF"/>
            <w:tcMar>
              <w:left w:w="0" w:type="dxa"/>
              <w:right w:w="0" w:type="dxa"/>
            </w:tcMar>
            <w:vAlign w:val="bottom"/>
          </w:tcPr>
          <w:p w14:paraId="327CE247" w14:textId="77777777" w:rsidR="004563CC" w:rsidRDefault="004563CC" w:rsidP="004563CC">
            <w:pPr>
              <w:spacing w:after="0" w:line="240" w:lineRule="auto"/>
              <w:rPr>
                <w:rFonts w:cs="Calibri"/>
                <w:color w:val="000000"/>
              </w:rPr>
            </w:pPr>
          </w:p>
        </w:tc>
      </w:tr>
      <w:tr w:rsidR="004563CC" w14:paraId="316948A1"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8" w:type="dxa"/>
            <w:tcBorders>
              <w:top w:val="nil"/>
              <w:left w:val="nil"/>
              <w:bottom w:val="nil"/>
              <w:right w:val="nil"/>
              <w:tl2br w:val="nil"/>
              <w:tr2bl w:val="nil"/>
            </w:tcBorders>
            <w:shd w:val="clear" w:color="FFFFFF" w:fill="FFFFFF"/>
            <w:tcMar>
              <w:left w:w="40" w:type="dxa"/>
              <w:right w:w="40" w:type="dxa"/>
            </w:tcMar>
          </w:tcPr>
          <w:p w14:paraId="6248A8DC" w14:textId="77777777" w:rsidR="004563CC" w:rsidRDefault="004563CC" w:rsidP="004563C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Distributions to Government</w:t>
            </w:r>
          </w:p>
        </w:tc>
        <w:tc>
          <w:tcPr>
            <w:tcW w:w="1034" w:type="dxa"/>
            <w:tcBorders>
              <w:top w:val="nil"/>
              <w:left w:val="nil"/>
              <w:bottom w:val="nil"/>
              <w:right w:val="nil"/>
              <w:tl2br w:val="nil"/>
              <w:tr2bl w:val="nil"/>
            </w:tcBorders>
            <w:shd w:val="clear" w:color="FFFFFF" w:fill="FFFFFF"/>
            <w:tcMar>
              <w:left w:w="40" w:type="dxa"/>
              <w:right w:w="40" w:type="dxa"/>
            </w:tcMar>
          </w:tcPr>
          <w:p w14:paraId="1882F530"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5,207</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7304F02D"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1,826</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1F7EE1F7"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5,615</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61AF7EB2"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208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249C54D2"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6,350</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C6ED42F"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6,678</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2CEC505"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8,867</w:t>
            </w:r>
          </w:p>
        </w:tc>
      </w:tr>
      <w:tr w:rsidR="004563CC" w14:paraId="027366E0"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8" w:type="dxa"/>
            <w:tcBorders>
              <w:top w:val="nil"/>
              <w:left w:val="nil"/>
              <w:bottom w:val="nil"/>
              <w:right w:val="nil"/>
              <w:tl2br w:val="nil"/>
              <w:tr2bl w:val="nil"/>
            </w:tcBorders>
            <w:shd w:val="clear" w:color="FFFFFF" w:fill="FFFFFF"/>
            <w:tcMar>
              <w:left w:w="40" w:type="dxa"/>
              <w:right w:w="40" w:type="dxa"/>
            </w:tcMar>
          </w:tcPr>
          <w:p w14:paraId="2F140CF9" w14:textId="77777777" w:rsidR="004563CC" w:rsidRDefault="004563CC" w:rsidP="004563C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Repayment of Borrowings</w:t>
            </w:r>
          </w:p>
        </w:tc>
        <w:tc>
          <w:tcPr>
            <w:tcW w:w="1034" w:type="dxa"/>
            <w:tcBorders>
              <w:top w:val="nil"/>
              <w:left w:val="nil"/>
              <w:bottom w:val="nil"/>
              <w:right w:val="nil"/>
              <w:tl2br w:val="nil"/>
              <w:tr2bl w:val="nil"/>
            </w:tcBorders>
            <w:shd w:val="clear" w:color="FFFFFF" w:fill="FFFFFF"/>
            <w:tcMar>
              <w:left w:w="40" w:type="dxa"/>
              <w:right w:w="40" w:type="dxa"/>
            </w:tcMar>
          </w:tcPr>
          <w:p w14:paraId="2F42870C"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2643A1FD"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0BAA3D75"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1D045D1D"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B74F06F"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496,168</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038B66D"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7ABB6735"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0</w:t>
            </w:r>
          </w:p>
        </w:tc>
      </w:tr>
      <w:tr w:rsidR="004563CC" w14:paraId="0A1E4B9B"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68" w:type="dxa"/>
            <w:tcBorders>
              <w:top w:val="nil"/>
              <w:left w:val="nil"/>
              <w:bottom w:val="nil"/>
              <w:right w:val="nil"/>
              <w:tl2br w:val="nil"/>
              <w:tr2bl w:val="nil"/>
            </w:tcBorders>
            <w:shd w:val="clear" w:color="FFFFFF" w:fill="FFFFFF"/>
            <w:tcMar>
              <w:left w:w="40" w:type="dxa"/>
              <w:right w:w="40" w:type="dxa"/>
            </w:tcMar>
          </w:tcPr>
          <w:p w14:paraId="203E545A" w14:textId="77777777" w:rsidR="004563CC" w:rsidRDefault="004563CC" w:rsidP="004563C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Repayment of Lease Liabilities - Principal</w:t>
            </w:r>
          </w:p>
        </w:tc>
        <w:tc>
          <w:tcPr>
            <w:tcW w:w="1034" w:type="dxa"/>
            <w:tcBorders>
              <w:top w:val="nil"/>
              <w:left w:val="nil"/>
              <w:bottom w:val="nil"/>
              <w:right w:val="nil"/>
              <w:tl2br w:val="nil"/>
              <w:tr2bl w:val="nil"/>
            </w:tcBorders>
            <w:shd w:val="clear" w:color="FFFFFF" w:fill="FFFFFF"/>
            <w:tcMar>
              <w:left w:w="40" w:type="dxa"/>
              <w:right w:w="40" w:type="dxa"/>
            </w:tcMar>
          </w:tcPr>
          <w:p w14:paraId="1236C449"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32,861</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5A14E8DA"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39,784</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6F35E635"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39,756</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01CD787E"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294295A"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34,034</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90348A6"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34,862</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1E06E8D1"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35,763</w:t>
            </w:r>
          </w:p>
        </w:tc>
      </w:tr>
      <w:tr w:rsidR="004563CC" w14:paraId="04D026DC"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368" w:type="dxa"/>
            <w:tcBorders>
              <w:top w:val="nil"/>
              <w:left w:val="nil"/>
              <w:bottom w:val="nil"/>
              <w:right w:val="nil"/>
              <w:tl2br w:val="nil"/>
              <w:tr2bl w:val="nil"/>
            </w:tcBorders>
            <w:shd w:val="clear" w:color="FFFFFF" w:fill="FFFFFF"/>
            <w:tcMar>
              <w:left w:w="40" w:type="dxa"/>
              <w:right w:w="40" w:type="dxa"/>
            </w:tcMar>
          </w:tcPr>
          <w:p w14:paraId="47473D32" w14:textId="77777777" w:rsidR="004563CC" w:rsidRDefault="004563CC" w:rsidP="004563CC">
            <w:pPr>
              <w:pBdr>
                <w:top w:val="nil"/>
                <w:left w:val="nil"/>
                <w:bottom w:val="nil"/>
                <w:right w:val="nil"/>
                <w:between w:val="nil"/>
                <w:bar w:val="nil"/>
              </w:pBdr>
              <w:spacing w:after="0" w:line="240" w:lineRule="auto"/>
              <w:ind w:left="170" w:hanging="170"/>
              <w:rPr>
                <w:rFonts w:cs="Calibri"/>
                <w:color w:val="000000"/>
              </w:rPr>
            </w:pPr>
            <w:r>
              <w:rPr>
                <w:rFonts w:cs="Calibri"/>
                <w:color w:val="000000"/>
                <w:sz w:val="18"/>
                <w:szCs w:val="20"/>
              </w:rPr>
              <w:t>CF Payment of Dividends</w:t>
            </w:r>
          </w:p>
        </w:tc>
        <w:tc>
          <w:tcPr>
            <w:tcW w:w="1034" w:type="dxa"/>
            <w:tcBorders>
              <w:top w:val="nil"/>
              <w:left w:val="nil"/>
              <w:bottom w:val="nil"/>
              <w:right w:val="nil"/>
              <w:tl2br w:val="nil"/>
              <w:tr2bl w:val="nil"/>
            </w:tcBorders>
            <w:shd w:val="clear" w:color="FFFFFF" w:fill="FFFFFF"/>
            <w:tcMar>
              <w:left w:w="40" w:type="dxa"/>
              <w:right w:w="40" w:type="dxa"/>
            </w:tcMar>
          </w:tcPr>
          <w:p w14:paraId="1303705F"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1,099</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05FAB1C0"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1,099</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7D81BFEE"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1,099</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75ACFB9A"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 xml:space="preserve">-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83D43C0"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1,099</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315CD985"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1,099</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521182B4" w14:textId="77777777" w:rsidR="004563CC" w:rsidRDefault="004563CC" w:rsidP="004563CC">
            <w:pPr>
              <w:pBdr>
                <w:top w:val="nil"/>
                <w:left w:val="nil"/>
                <w:bottom w:val="nil"/>
                <w:right w:val="nil"/>
                <w:between w:val="nil"/>
                <w:bar w:val="nil"/>
              </w:pBdr>
              <w:spacing w:after="0" w:line="240" w:lineRule="auto"/>
              <w:jc w:val="right"/>
              <w:rPr>
                <w:rFonts w:cs="Calibri"/>
                <w:color w:val="000000"/>
              </w:rPr>
            </w:pPr>
            <w:r>
              <w:rPr>
                <w:rFonts w:cs="Calibri"/>
                <w:color w:val="000000"/>
                <w:sz w:val="18"/>
                <w:szCs w:val="20"/>
              </w:rPr>
              <w:t>1,099</w:t>
            </w:r>
          </w:p>
        </w:tc>
      </w:tr>
      <w:tr w:rsidR="004563CC" w14:paraId="17FC0B77"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68" w:type="dxa"/>
            <w:tcBorders>
              <w:top w:val="nil"/>
              <w:left w:val="nil"/>
              <w:bottom w:val="nil"/>
              <w:right w:val="nil"/>
              <w:tl2br w:val="nil"/>
              <w:tr2bl w:val="nil"/>
            </w:tcBorders>
            <w:shd w:val="clear" w:color="FFFFFF" w:fill="FFFFFF"/>
            <w:tcMar>
              <w:left w:w="40" w:type="dxa"/>
              <w:right w:w="40" w:type="dxa"/>
            </w:tcMar>
          </w:tcPr>
          <w:p w14:paraId="406F75E0" w14:textId="77777777" w:rsidR="004563CC" w:rsidRDefault="004563CC" w:rsidP="004563C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Total Payments from Financing Activities</w:t>
            </w:r>
          </w:p>
        </w:tc>
        <w:tc>
          <w:tcPr>
            <w:tcW w:w="1034" w:type="dxa"/>
            <w:tcBorders>
              <w:top w:val="nil"/>
              <w:left w:val="nil"/>
              <w:bottom w:val="nil"/>
              <w:right w:val="nil"/>
              <w:tl2br w:val="nil"/>
              <w:tr2bl w:val="nil"/>
            </w:tcBorders>
            <w:shd w:val="clear" w:color="FFFFFF" w:fill="FFFFFF"/>
            <w:tcMar>
              <w:left w:w="40" w:type="dxa"/>
              <w:right w:w="40" w:type="dxa"/>
            </w:tcMar>
          </w:tcPr>
          <w:p w14:paraId="0F09F5CF"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39,167</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0C27BB1A"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42,709</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6B41910F"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46,470</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4D66EAA1"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9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0043F7D6"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537,651</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A877BF2"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42,639</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AAADD63"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45,729</w:t>
            </w:r>
          </w:p>
        </w:tc>
      </w:tr>
      <w:tr w:rsidR="004563CC" w14:paraId="6691D791"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68" w:type="dxa"/>
            <w:tcBorders>
              <w:top w:val="nil"/>
              <w:left w:val="nil"/>
              <w:bottom w:val="nil"/>
              <w:right w:val="nil"/>
              <w:tl2br w:val="nil"/>
              <w:tr2bl w:val="nil"/>
            </w:tcBorders>
            <w:shd w:val="clear" w:color="FFFFFF" w:fill="FFFFFF"/>
            <w:tcMar>
              <w:left w:w="40" w:type="dxa"/>
              <w:right w:w="40" w:type="dxa"/>
            </w:tcMar>
          </w:tcPr>
          <w:p w14:paraId="3B50884E" w14:textId="77777777" w:rsidR="004563CC" w:rsidRDefault="004563CC" w:rsidP="004563C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Net Cash Inflows/(Outflows) from Financing Activities</w:t>
            </w:r>
          </w:p>
        </w:tc>
        <w:tc>
          <w:tcPr>
            <w:tcW w:w="1034" w:type="dxa"/>
            <w:tcBorders>
              <w:top w:val="nil"/>
              <w:left w:val="nil"/>
              <w:bottom w:val="nil"/>
              <w:right w:val="nil"/>
              <w:tl2br w:val="nil"/>
              <w:tr2bl w:val="nil"/>
            </w:tcBorders>
            <w:shd w:val="clear" w:color="FFFFFF" w:fill="FFFFFF"/>
            <w:tcMar>
              <w:left w:w="40" w:type="dxa"/>
              <w:right w:w="40" w:type="dxa"/>
            </w:tcMar>
          </w:tcPr>
          <w:p w14:paraId="1B89FB65"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618,405</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177E0A1D"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681,820</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5956CBC2"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895,038</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71D3A76B"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31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5FCA9AD2"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500,373</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7AA25A4E"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283,418</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16F5161"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280,305</w:t>
            </w:r>
          </w:p>
        </w:tc>
      </w:tr>
      <w:tr w:rsidR="004563CC" w14:paraId="5335855A"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68" w:type="dxa"/>
            <w:tcBorders>
              <w:top w:val="nil"/>
              <w:left w:val="nil"/>
              <w:bottom w:val="nil"/>
              <w:right w:val="nil"/>
              <w:tl2br w:val="nil"/>
              <w:tr2bl w:val="nil"/>
            </w:tcBorders>
            <w:shd w:val="clear" w:color="FFFFFF" w:fill="FFFFFF"/>
            <w:tcMar>
              <w:left w:w="40" w:type="dxa"/>
              <w:right w:w="40" w:type="dxa"/>
            </w:tcMar>
          </w:tcPr>
          <w:p w14:paraId="0407D402" w14:textId="77777777" w:rsidR="004563CC" w:rsidRDefault="004563CC" w:rsidP="004563C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Net Increase/(Decrease) in Cash and Cash Equivalents</w:t>
            </w:r>
          </w:p>
        </w:tc>
        <w:tc>
          <w:tcPr>
            <w:tcW w:w="1034" w:type="dxa"/>
            <w:tcBorders>
              <w:top w:val="nil"/>
              <w:left w:val="nil"/>
              <w:bottom w:val="nil"/>
              <w:right w:val="nil"/>
              <w:tl2br w:val="nil"/>
              <w:tr2bl w:val="nil"/>
            </w:tcBorders>
            <w:shd w:val="clear" w:color="FFFFFF" w:fill="FFFFFF"/>
            <w:tcMar>
              <w:left w:w="40" w:type="dxa"/>
              <w:right w:w="40" w:type="dxa"/>
            </w:tcMar>
          </w:tcPr>
          <w:p w14:paraId="3B5D0DA5"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410</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7BE14044"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-12,617</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0B6B5BEE"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-12,586</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30B26A3E"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7A28984"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426</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182613F"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521</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41D994FD"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607</w:t>
            </w:r>
          </w:p>
        </w:tc>
      </w:tr>
      <w:tr w:rsidR="004563CC" w14:paraId="01A20E4B"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2"/>
        </w:trPr>
        <w:tc>
          <w:tcPr>
            <w:tcW w:w="2368" w:type="dxa"/>
            <w:tcBorders>
              <w:top w:val="nil"/>
              <w:left w:val="nil"/>
              <w:bottom w:val="nil"/>
              <w:right w:val="nil"/>
              <w:tl2br w:val="nil"/>
              <w:tr2bl w:val="nil"/>
            </w:tcBorders>
            <w:tcMar>
              <w:left w:w="40" w:type="dxa"/>
              <w:right w:w="40" w:type="dxa"/>
            </w:tcMar>
          </w:tcPr>
          <w:p w14:paraId="4749A68F" w14:textId="77777777" w:rsidR="004563CC" w:rsidRDefault="004563CC" w:rsidP="004563C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Cash and Cash Equivalents at the Beginning of the Reporting Period</w:t>
            </w:r>
          </w:p>
        </w:tc>
        <w:tc>
          <w:tcPr>
            <w:tcW w:w="1034" w:type="dxa"/>
            <w:tcBorders>
              <w:top w:val="nil"/>
              <w:left w:val="nil"/>
              <w:bottom w:val="nil"/>
              <w:right w:val="nil"/>
              <w:tl2br w:val="nil"/>
              <w:tr2bl w:val="nil"/>
            </w:tcBorders>
            <w:shd w:val="clear" w:color="FFFFFF" w:fill="FFFFFF"/>
            <w:tcMar>
              <w:left w:w="40" w:type="dxa"/>
              <w:right w:w="40" w:type="dxa"/>
            </w:tcMar>
          </w:tcPr>
          <w:p w14:paraId="6F87A61F"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18,650</w:t>
            </w:r>
          </w:p>
        </w:tc>
        <w:tc>
          <w:tcPr>
            <w:tcW w:w="1005" w:type="dxa"/>
            <w:gridSpan w:val="2"/>
            <w:tcBorders>
              <w:top w:val="nil"/>
              <w:left w:val="nil"/>
              <w:bottom w:val="nil"/>
              <w:right w:val="nil"/>
              <w:tl2br w:val="nil"/>
              <w:tr2bl w:val="nil"/>
            </w:tcBorders>
            <w:shd w:val="clear" w:color="FFFFFF" w:fill="FFFFFF"/>
            <w:tcMar>
              <w:left w:w="40" w:type="dxa"/>
              <w:right w:w="40" w:type="dxa"/>
            </w:tcMar>
          </w:tcPr>
          <w:p w14:paraId="41FCDBDD"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39,312</w:t>
            </w:r>
          </w:p>
        </w:tc>
        <w:tc>
          <w:tcPr>
            <w:tcW w:w="1037" w:type="dxa"/>
            <w:gridSpan w:val="2"/>
            <w:tcBorders>
              <w:top w:val="nil"/>
              <w:left w:val="nil"/>
              <w:bottom w:val="nil"/>
              <w:right w:val="nil"/>
              <w:tl2br w:val="nil"/>
              <w:tr2bl w:val="nil"/>
            </w:tcBorders>
            <w:shd w:val="clear" w:color="FFFFFF" w:fill="FFFFFF"/>
            <w:tcMar>
              <w:left w:w="40" w:type="dxa"/>
              <w:right w:w="40" w:type="dxa"/>
            </w:tcMar>
          </w:tcPr>
          <w:p w14:paraId="1C8B76A4"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26,695</w:t>
            </w:r>
          </w:p>
        </w:tc>
        <w:tc>
          <w:tcPr>
            <w:tcW w:w="601" w:type="dxa"/>
            <w:gridSpan w:val="2"/>
            <w:tcBorders>
              <w:top w:val="nil"/>
              <w:left w:val="nil"/>
              <w:bottom w:val="nil"/>
              <w:right w:val="nil"/>
              <w:tl2br w:val="nil"/>
              <w:tr2bl w:val="nil"/>
            </w:tcBorders>
            <w:shd w:val="clear" w:color="FFFFFF" w:fill="FFFFFF"/>
            <w:tcMar>
              <w:left w:w="40" w:type="dxa"/>
              <w:right w:w="40" w:type="dxa"/>
            </w:tcMar>
          </w:tcPr>
          <w:p w14:paraId="2D5344C0"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-32 </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6E81450D"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14,109</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7042F29D"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14,535</w:t>
            </w:r>
          </w:p>
        </w:tc>
        <w:tc>
          <w:tcPr>
            <w:tcW w:w="1035" w:type="dxa"/>
            <w:gridSpan w:val="2"/>
            <w:tcBorders>
              <w:top w:val="nil"/>
              <w:left w:val="nil"/>
              <w:bottom w:val="nil"/>
              <w:right w:val="nil"/>
              <w:tl2br w:val="nil"/>
              <w:tr2bl w:val="nil"/>
            </w:tcBorders>
            <w:shd w:val="clear" w:color="FFFFFF" w:fill="FFFFFF"/>
            <w:tcMar>
              <w:left w:w="40" w:type="dxa"/>
              <w:right w:w="40" w:type="dxa"/>
            </w:tcMar>
          </w:tcPr>
          <w:p w14:paraId="53626AA5"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15,056</w:t>
            </w:r>
          </w:p>
        </w:tc>
      </w:tr>
      <w:tr w:rsidR="004563CC" w14:paraId="15A0FFA1" w14:textId="77777777" w:rsidTr="002D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2"/>
        </w:trPr>
        <w:tc>
          <w:tcPr>
            <w:tcW w:w="2368" w:type="dxa"/>
            <w:tcBorders>
              <w:top w:val="nil"/>
              <w:left w:val="nil"/>
              <w:bottom w:val="single" w:sz="12" w:space="0" w:color="000000"/>
              <w:right w:val="nil"/>
              <w:tl2br w:val="nil"/>
              <w:tr2bl w:val="nil"/>
            </w:tcBorders>
            <w:tcMar>
              <w:left w:w="40" w:type="dxa"/>
              <w:right w:w="40" w:type="dxa"/>
            </w:tcMar>
          </w:tcPr>
          <w:p w14:paraId="410AF843" w14:textId="77777777" w:rsidR="004563CC" w:rsidRDefault="004563CC" w:rsidP="004563CC">
            <w:pPr>
              <w:pBdr>
                <w:top w:val="nil"/>
                <w:left w:val="nil"/>
                <w:bottom w:val="nil"/>
                <w:right w:val="nil"/>
                <w:between w:val="nil"/>
                <w:bar w:val="nil"/>
              </w:pBdr>
              <w:spacing w:after="0" w:line="240" w:lineRule="auto"/>
              <w:ind w:left="170" w:hanging="170"/>
              <w:rPr>
                <w:rFonts w:cs="Calibri"/>
                <w:b/>
                <w:color w:val="000000"/>
              </w:rPr>
            </w:pPr>
            <w:r>
              <w:rPr>
                <w:rFonts w:cs="Calibri"/>
                <w:b/>
                <w:color w:val="000000"/>
                <w:sz w:val="18"/>
                <w:szCs w:val="20"/>
              </w:rPr>
              <w:t>Cash and Cash Equivalents at the End of the Reporting Period</w:t>
            </w:r>
          </w:p>
        </w:tc>
        <w:tc>
          <w:tcPr>
            <w:tcW w:w="1034" w:type="dxa"/>
            <w:tcBorders>
              <w:top w:val="nil"/>
              <w:left w:val="nil"/>
              <w:bottom w:val="single" w:sz="12" w:space="0" w:color="000000"/>
              <w:right w:val="nil"/>
              <w:tl2br w:val="nil"/>
              <w:tr2bl w:val="nil"/>
            </w:tcBorders>
            <w:shd w:val="clear" w:color="FFFFFF" w:fill="FFFFFF"/>
            <w:tcMar>
              <w:left w:w="40" w:type="dxa"/>
              <w:right w:w="40" w:type="dxa"/>
            </w:tcMar>
          </w:tcPr>
          <w:p w14:paraId="5CE2F1D7"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19,060</w:t>
            </w:r>
          </w:p>
        </w:tc>
        <w:tc>
          <w:tcPr>
            <w:tcW w:w="1005" w:type="dxa"/>
            <w:gridSpan w:val="2"/>
            <w:tcBorders>
              <w:top w:val="nil"/>
              <w:left w:val="nil"/>
              <w:bottom w:val="single" w:sz="12" w:space="0" w:color="000000"/>
              <w:right w:val="nil"/>
              <w:tl2br w:val="nil"/>
              <w:tr2bl w:val="nil"/>
            </w:tcBorders>
            <w:shd w:val="clear" w:color="FFFFFF" w:fill="FFFFFF"/>
            <w:tcMar>
              <w:left w:w="40" w:type="dxa"/>
              <w:right w:w="40" w:type="dxa"/>
            </w:tcMar>
          </w:tcPr>
          <w:p w14:paraId="09649FB3"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26,695</w:t>
            </w:r>
          </w:p>
        </w:tc>
        <w:tc>
          <w:tcPr>
            <w:tcW w:w="1037" w:type="dxa"/>
            <w:gridSpan w:val="2"/>
            <w:tcBorders>
              <w:top w:val="nil"/>
              <w:left w:val="nil"/>
              <w:bottom w:val="single" w:sz="12" w:space="0" w:color="000000"/>
              <w:right w:val="nil"/>
              <w:tl2br w:val="nil"/>
              <w:tr2bl w:val="nil"/>
            </w:tcBorders>
            <w:shd w:val="clear" w:color="FFFFFF" w:fill="FFFFFF"/>
            <w:tcMar>
              <w:left w:w="40" w:type="dxa"/>
              <w:right w:w="40" w:type="dxa"/>
            </w:tcMar>
          </w:tcPr>
          <w:p w14:paraId="744F3A4A"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14,109</w:t>
            </w:r>
          </w:p>
        </w:tc>
        <w:tc>
          <w:tcPr>
            <w:tcW w:w="601" w:type="dxa"/>
            <w:gridSpan w:val="2"/>
            <w:tcBorders>
              <w:top w:val="nil"/>
              <w:left w:val="nil"/>
              <w:bottom w:val="single" w:sz="12" w:space="0" w:color="000000"/>
              <w:right w:val="nil"/>
              <w:tl2br w:val="nil"/>
              <w:tr2bl w:val="nil"/>
            </w:tcBorders>
            <w:shd w:val="clear" w:color="FFFFFF" w:fill="FFFFFF"/>
            <w:tcMar>
              <w:left w:w="40" w:type="dxa"/>
              <w:right w:w="40" w:type="dxa"/>
            </w:tcMar>
          </w:tcPr>
          <w:p w14:paraId="1E7C25CA"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 xml:space="preserve">-47 </w:t>
            </w:r>
          </w:p>
        </w:tc>
        <w:tc>
          <w:tcPr>
            <w:tcW w:w="1035" w:type="dxa"/>
            <w:gridSpan w:val="2"/>
            <w:tcBorders>
              <w:top w:val="nil"/>
              <w:left w:val="nil"/>
              <w:bottom w:val="single" w:sz="12" w:space="0" w:color="000000"/>
              <w:right w:val="nil"/>
              <w:tl2br w:val="nil"/>
              <w:tr2bl w:val="nil"/>
            </w:tcBorders>
            <w:shd w:val="clear" w:color="FFFFFF" w:fill="FFFFFF"/>
            <w:tcMar>
              <w:left w:w="40" w:type="dxa"/>
              <w:right w:w="40" w:type="dxa"/>
            </w:tcMar>
          </w:tcPr>
          <w:p w14:paraId="1BC2886F"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14,535</w:t>
            </w:r>
          </w:p>
        </w:tc>
        <w:tc>
          <w:tcPr>
            <w:tcW w:w="1035" w:type="dxa"/>
            <w:gridSpan w:val="2"/>
            <w:tcBorders>
              <w:top w:val="nil"/>
              <w:left w:val="nil"/>
              <w:bottom w:val="single" w:sz="12" w:space="0" w:color="000000"/>
              <w:right w:val="nil"/>
              <w:tl2br w:val="nil"/>
              <w:tr2bl w:val="nil"/>
            </w:tcBorders>
            <w:shd w:val="clear" w:color="FFFFFF" w:fill="FFFFFF"/>
            <w:tcMar>
              <w:left w:w="40" w:type="dxa"/>
              <w:right w:w="40" w:type="dxa"/>
            </w:tcMar>
          </w:tcPr>
          <w:p w14:paraId="10F8B9D5"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15,056</w:t>
            </w:r>
          </w:p>
        </w:tc>
        <w:tc>
          <w:tcPr>
            <w:tcW w:w="1035" w:type="dxa"/>
            <w:gridSpan w:val="2"/>
            <w:tcBorders>
              <w:top w:val="nil"/>
              <w:left w:val="nil"/>
              <w:bottom w:val="single" w:sz="12" w:space="0" w:color="000000"/>
              <w:right w:val="nil"/>
              <w:tl2br w:val="nil"/>
              <w:tr2bl w:val="nil"/>
            </w:tcBorders>
            <w:shd w:val="clear" w:color="FFFFFF" w:fill="FFFFFF"/>
            <w:tcMar>
              <w:left w:w="40" w:type="dxa"/>
              <w:right w:w="40" w:type="dxa"/>
            </w:tcMar>
          </w:tcPr>
          <w:p w14:paraId="30FDDA00" w14:textId="77777777" w:rsidR="004563CC" w:rsidRDefault="004563CC" w:rsidP="004563CC">
            <w:pPr>
              <w:pBdr>
                <w:top w:val="nil"/>
                <w:left w:val="nil"/>
                <w:bottom w:val="nil"/>
                <w:right w:val="nil"/>
                <w:between w:val="nil"/>
                <w:bar w:val="nil"/>
              </w:pBdr>
              <w:spacing w:after="0" w:line="240" w:lineRule="auto"/>
              <w:jc w:val="right"/>
              <w:rPr>
                <w:rFonts w:cs="Calibri"/>
                <w:b/>
                <w:color w:val="000000"/>
              </w:rPr>
            </w:pPr>
            <w:r>
              <w:rPr>
                <w:rFonts w:cs="Calibri"/>
                <w:b/>
                <w:color w:val="000000"/>
                <w:sz w:val="18"/>
                <w:szCs w:val="20"/>
              </w:rPr>
              <w:t>15,663</w:t>
            </w:r>
          </w:p>
        </w:tc>
      </w:tr>
    </w:tbl>
    <w:p w14:paraId="55436850" w14:textId="7077C3CC" w:rsidR="003D1063" w:rsidRDefault="002D3E6C" w:rsidP="00650923">
      <w:pPr>
        <w:rPr>
          <w:rFonts w:eastAsia="SimSun"/>
          <w:b/>
          <w:sz w:val="32"/>
          <w:szCs w:val="28"/>
        </w:rPr>
      </w:pPr>
      <w:bookmarkStart w:id="33" w:name="RG_MARKER_56751"/>
      <w:r>
        <w:rPr>
          <w:rFonts w:eastAsia="SimSun"/>
          <w:b/>
          <w:sz w:val="32"/>
          <w:szCs w:val="28"/>
        </w:rPr>
        <w:br w:type="textWrapping" w:clear="all"/>
      </w:r>
    </w:p>
    <w:p w14:paraId="6F77638E" w14:textId="77777777" w:rsidR="003D1063" w:rsidRDefault="003D1063">
      <w:pPr>
        <w:rPr>
          <w:rFonts w:eastAsia="SimSun"/>
          <w:b/>
          <w:sz w:val="32"/>
          <w:szCs w:val="28"/>
        </w:rPr>
      </w:pPr>
      <w:r>
        <w:rPr>
          <w:rFonts w:eastAsia="SimSun"/>
          <w:b/>
          <w:sz w:val="32"/>
          <w:szCs w:val="28"/>
        </w:rPr>
        <w:br w:type="page"/>
      </w:r>
    </w:p>
    <w:p w14:paraId="5C7B7DDB" w14:textId="160596D0" w:rsidR="00EE087C" w:rsidRPr="00650923" w:rsidRDefault="009B5C32" w:rsidP="00650923">
      <w:pPr>
        <w:rPr>
          <w:rFonts w:eastAsia="SimSun"/>
          <w:b/>
          <w:sz w:val="32"/>
          <w:szCs w:val="28"/>
        </w:rPr>
      </w:pPr>
      <w:r w:rsidRPr="00650923">
        <w:rPr>
          <w:rFonts w:eastAsia="SimSun"/>
          <w:b/>
          <w:sz w:val="32"/>
          <w:szCs w:val="28"/>
        </w:rPr>
        <w:lastRenderedPageBreak/>
        <w:t>Notes to the Controlled Budget Statements</w:t>
      </w:r>
      <w:bookmarkEnd w:id="33"/>
    </w:p>
    <w:p w14:paraId="08982782" w14:textId="77777777" w:rsidR="00EE087C" w:rsidRPr="003D1063" w:rsidRDefault="009B5C32" w:rsidP="00E605DB">
      <w:pPr>
        <w:keepNext/>
        <w:keepLines/>
        <w:pBdr>
          <w:top w:val="nil"/>
          <w:left w:val="nil"/>
          <w:bottom w:val="nil"/>
          <w:right w:val="nil"/>
          <w:between w:val="nil"/>
          <w:bar w:val="nil"/>
        </w:pBdr>
        <w:spacing w:before="200" w:line="240" w:lineRule="auto"/>
        <w:jc w:val="both"/>
        <w:rPr>
          <w:rFonts w:eastAsia="SimSun" w:cs="Times New Roman"/>
          <w:sz w:val="24"/>
          <w:szCs w:val="24"/>
          <w:lang w:val="en-AU"/>
        </w:rPr>
      </w:pPr>
      <w:r w:rsidRPr="003D1063">
        <w:rPr>
          <w:rFonts w:ascii="Calibri" w:eastAsia="SimSun" w:hAnsi="Calibri" w:cs="Times New Roman"/>
          <w:sz w:val="24"/>
          <w:szCs w:val="24"/>
          <w:lang w:val="en-AU"/>
        </w:rPr>
        <w:t>Significant variations are as follows:</w:t>
      </w:r>
    </w:p>
    <w:p w14:paraId="50305DBF" w14:textId="77777777" w:rsidR="00BA2254" w:rsidRPr="00055863" w:rsidRDefault="009B5C32" w:rsidP="00055863">
      <w:pPr>
        <w:pStyle w:val="Heading4"/>
      </w:pPr>
      <w:r w:rsidRPr="00055863">
        <w:t>Operating Statement</w:t>
      </w:r>
    </w:p>
    <w:p w14:paraId="6A895914" w14:textId="77777777" w:rsidR="005C4360" w:rsidRPr="003D1063" w:rsidRDefault="009B5C32" w:rsidP="00945D1F">
      <w:pPr>
        <w:pStyle w:val="BSbullet1"/>
        <w:keepNext/>
        <w:keepLines/>
        <w:pBdr>
          <w:top w:val="nil"/>
          <w:left w:val="nil"/>
          <w:bottom w:val="nil"/>
          <w:right w:val="nil"/>
          <w:between w:val="nil"/>
          <w:bar w:val="nil"/>
        </w:pBdr>
        <w:spacing w:before="0"/>
        <w:rPr>
          <w:rFonts w:eastAsia="Times New Roman"/>
        </w:rPr>
      </w:pPr>
      <w:r w:rsidRPr="003D1063">
        <w:rPr>
          <w:rFonts w:eastAsia="Times New Roman"/>
        </w:rPr>
        <w:t>c</w:t>
      </w:r>
      <w:r w:rsidR="000727FC" w:rsidRPr="003D1063">
        <w:rPr>
          <w:rFonts w:eastAsia="Times New Roman"/>
        </w:rPr>
        <w:t xml:space="preserve">ontrolled </w:t>
      </w:r>
      <w:r w:rsidRPr="003D1063">
        <w:rPr>
          <w:rFonts w:eastAsia="Times New Roman"/>
        </w:rPr>
        <w:t>r</w:t>
      </w:r>
      <w:r w:rsidR="000727FC" w:rsidRPr="003D1063">
        <w:rPr>
          <w:rFonts w:eastAsia="Times New Roman"/>
        </w:rPr>
        <w:t xml:space="preserve">ecurrent </w:t>
      </w:r>
      <w:r w:rsidRPr="003D1063">
        <w:rPr>
          <w:rFonts w:eastAsia="Times New Roman"/>
        </w:rPr>
        <w:t>p</w:t>
      </w:r>
      <w:r w:rsidR="000727FC" w:rsidRPr="003D1063">
        <w:rPr>
          <w:rFonts w:eastAsia="Times New Roman"/>
        </w:rPr>
        <w:t>ayments:</w:t>
      </w:r>
    </w:p>
    <w:p w14:paraId="322B354D" w14:textId="265EF940" w:rsidR="005C4360" w:rsidRPr="003D1063" w:rsidRDefault="009B5C32" w:rsidP="00945D1F">
      <w:pPr>
        <w:pStyle w:val="BSbullet1"/>
        <w:keepLines/>
        <w:numPr>
          <w:ilvl w:val="1"/>
          <w:numId w:val="23"/>
        </w:numPr>
        <w:pBdr>
          <w:top w:val="nil"/>
          <w:left w:val="nil"/>
          <w:bottom w:val="nil"/>
          <w:right w:val="nil"/>
          <w:between w:val="nil"/>
          <w:bar w:val="nil"/>
        </w:pBdr>
        <w:spacing w:before="0"/>
        <w:ind w:left="709" w:hanging="357"/>
        <w:rPr>
          <w:b/>
          <w:i/>
        </w:rPr>
      </w:pPr>
      <w:r w:rsidRPr="003D1063">
        <w:rPr>
          <w:bCs/>
          <w:iCs/>
        </w:rPr>
        <w:t>the decrease of $17.968 million in the 2025</w:t>
      </w:r>
      <w:r w:rsidRPr="003D1063">
        <w:rPr>
          <w:bCs/>
          <w:iCs/>
        </w:rPr>
        <w:noBreakHyphen/>
        <w:t>26 estimated outcome</w:t>
      </w:r>
      <w:r w:rsidR="00EE09E4" w:rsidRPr="003D1063">
        <w:rPr>
          <w:bCs/>
          <w:iCs/>
        </w:rPr>
        <w:t xml:space="preserve"> </w:t>
      </w:r>
      <w:r w:rsidRPr="003D1063">
        <w:rPr>
          <w:bCs/>
          <w:iCs/>
        </w:rPr>
        <w:t xml:space="preserve">from </w:t>
      </w:r>
      <w:r w:rsidR="002366C1" w:rsidRPr="003D1063">
        <w:rPr>
          <w:bCs/>
          <w:iCs/>
        </w:rPr>
        <w:t xml:space="preserve">the </w:t>
      </w:r>
      <w:r w:rsidRPr="003D1063">
        <w:rPr>
          <w:bCs/>
          <w:iCs/>
        </w:rPr>
        <w:t>2025</w:t>
      </w:r>
      <w:r w:rsidRPr="003D1063">
        <w:rPr>
          <w:bCs/>
          <w:iCs/>
        </w:rPr>
        <w:noBreakHyphen/>
        <w:t>26</w:t>
      </w:r>
      <w:r w:rsidR="00BA1A44" w:rsidRPr="003D1063">
        <w:rPr>
          <w:bCs/>
          <w:iCs/>
        </w:rPr>
        <w:t> B</w:t>
      </w:r>
      <w:r w:rsidRPr="003D1063">
        <w:rPr>
          <w:bCs/>
          <w:iCs/>
        </w:rPr>
        <w:t xml:space="preserve">udget is mainly due to the </w:t>
      </w:r>
      <w:r w:rsidR="00EE09E4" w:rsidRPr="003D1063">
        <w:rPr>
          <w:bCs/>
          <w:iCs/>
        </w:rPr>
        <w:t>deferral</w:t>
      </w:r>
      <w:r w:rsidRPr="003D1063">
        <w:rPr>
          <w:bCs/>
          <w:iCs/>
        </w:rPr>
        <w:t xml:space="preserve"> of the</w:t>
      </w:r>
      <w:r w:rsidR="003271D7" w:rsidRPr="003D1063">
        <w:rPr>
          <w:bCs/>
          <w:iCs/>
        </w:rPr>
        <w:t xml:space="preserve"> existing initiatives</w:t>
      </w:r>
      <w:r w:rsidR="00EE09E4" w:rsidRPr="003D1063">
        <w:rPr>
          <w:bCs/>
          <w:iCs/>
        </w:rPr>
        <w:t xml:space="preserve"> in</w:t>
      </w:r>
      <w:r w:rsidR="003271D7" w:rsidRPr="003D1063">
        <w:rPr>
          <w:bCs/>
          <w:iCs/>
        </w:rPr>
        <w:t>to future years.</w:t>
      </w:r>
    </w:p>
    <w:p w14:paraId="3EA88711" w14:textId="77777777" w:rsidR="00D60D56" w:rsidRPr="003D1063" w:rsidRDefault="009B5C32" w:rsidP="00481D19">
      <w:pPr>
        <w:pStyle w:val="BSbullet1"/>
        <w:keepNext/>
        <w:keepLines/>
        <w:pBdr>
          <w:top w:val="nil"/>
          <w:left w:val="nil"/>
          <w:bottom w:val="nil"/>
          <w:right w:val="nil"/>
          <w:between w:val="nil"/>
          <w:bar w:val="nil"/>
        </w:pBdr>
        <w:spacing w:before="0"/>
        <w:rPr>
          <w:rFonts w:eastAsia="Times New Roman"/>
        </w:rPr>
      </w:pPr>
      <w:r w:rsidRPr="003D1063">
        <w:rPr>
          <w:rFonts w:eastAsia="Times New Roman"/>
        </w:rPr>
        <w:t>supplies</w:t>
      </w:r>
      <w:r w:rsidRPr="003D1063">
        <w:t xml:space="preserve"> and services</w:t>
      </w:r>
      <w:r w:rsidR="00395273" w:rsidRPr="003D1063">
        <w:t>:</w:t>
      </w:r>
    </w:p>
    <w:p w14:paraId="62526493" w14:textId="78391BC5" w:rsidR="00A009E7" w:rsidRPr="003D1063" w:rsidRDefault="009B5C32" w:rsidP="00945D1F">
      <w:pPr>
        <w:pStyle w:val="BSbullet1"/>
        <w:keepLines/>
        <w:numPr>
          <w:ilvl w:val="1"/>
          <w:numId w:val="23"/>
        </w:numPr>
        <w:pBdr>
          <w:top w:val="nil"/>
          <w:left w:val="nil"/>
          <w:bottom w:val="nil"/>
          <w:right w:val="nil"/>
          <w:between w:val="nil"/>
          <w:bar w:val="nil"/>
        </w:pBdr>
        <w:spacing w:before="0"/>
        <w:ind w:left="709" w:hanging="357"/>
        <w:rPr>
          <w:bCs/>
          <w:iCs/>
        </w:rPr>
      </w:pPr>
      <w:r w:rsidRPr="003D1063">
        <w:rPr>
          <w:bCs/>
          <w:iCs/>
        </w:rPr>
        <w:t>the decrease of $23.409</w:t>
      </w:r>
      <w:r w:rsidR="00BA1A44" w:rsidRPr="003D1063">
        <w:rPr>
          <w:bCs/>
          <w:iCs/>
        </w:rPr>
        <w:t> </w:t>
      </w:r>
      <w:r w:rsidRPr="003D1063">
        <w:rPr>
          <w:bCs/>
          <w:iCs/>
        </w:rPr>
        <w:t xml:space="preserve">million </w:t>
      </w:r>
      <w:r w:rsidR="005C4360" w:rsidRPr="003D1063">
        <w:rPr>
          <w:bCs/>
          <w:iCs/>
        </w:rPr>
        <w:t>in the 2025</w:t>
      </w:r>
      <w:r w:rsidR="005C4360" w:rsidRPr="003D1063">
        <w:rPr>
          <w:bCs/>
          <w:iCs/>
        </w:rPr>
        <w:noBreakHyphen/>
        <w:t xml:space="preserve">26 estimated outcome </w:t>
      </w:r>
      <w:r w:rsidRPr="003D1063">
        <w:rPr>
          <w:bCs/>
          <w:iCs/>
        </w:rPr>
        <w:t>from</w:t>
      </w:r>
      <w:r w:rsidR="005C4360" w:rsidRPr="003D1063">
        <w:rPr>
          <w:bCs/>
          <w:iCs/>
        </w:rPr>
        <w:t xml:space="preserve"> </w:t>
      </w:r>
      <w:r w:rsidR="002366C1" w:rsidRPr="003D1063">
        <w:rPr>
          <w:bCs/>
          <w:iCs/>
        </w:rPr>
        <w:t xml:space="preserve">the </w:t>
      </w:r>
      <w:r w:rsidR="005C4360" w:rsidRPr="003D1063">
        <w:rPr>
          <w:bCs/>
          <w:iCs/>
        </w:rPr>
        <w:t>2025</w:t>
      </w:r>
      <w:r w:rsidR="005C4360" w:rsidRPr="003D1063">
        <w:rPr>
          <w:bCs/>
          <w:iCs/>
        </w:rPr>
        <w:noBreakHyphen/>
        <w:t>26</w:t>
      </w:r>
      <w:r w:rsidR="00BA1A44" w:rsidRPr="003D1063">
        <w:rPr>
          <w:bCs/>
          <w:iCs/>
        </w:rPr>
        <w:t> </w:t>
      </w:r>
      <w:r w:rsidR="005C4360" w:rsidRPr="003D1063">
        <w:rPr>
          <w:bCs/>
          <w:iCs/>
        </w:rPr>
        <w:t xml:space="preserve">Budget is due to lower project expenditure recoverable from other </w:t>
      </w:r>
      <w:r w:rsidR="00EE09E4" w:rsidRPr="003D1063">
        <w:rPr>
          <w:bCs/>
          <w:iCs/>
        </w:rPr>
        <w:t>ACT Government D</w:t>
      </w:r>
      <w:r w:rsidR="005C4360" w:rsidRPr="003D1063">
        <w:rPr>
          <w:bCs/>
          <w:iCs/>
        </w:rPr>
        <w:t>irectorates</w:t>
      </w:r>
      <w:r w:rsidRPr="003D1063">
        <w:rPr>
          <w:bCs/>
          <w:iCs/>
        </w:rPr>
        <w:t xml:space="preserve">, </w:t>
      </w:r>
      <w:r w:rsidR="005C4360" w:rsidRPr="003D1063">
        <w:rPr>
          <w:bCs/>
          <w:iCs/>
        </w:rPr>
        <w:t xml:space="preserve">the deferral of initiative expenditure </w:t>
      </w:r>
      <w:r w:rsidR="00B625CA" w:rsidRPr="003D1063">
        <w:rPr>
          <w:bCs/>
          <w:iCs/>
        </w:rPr>
        <w:t>in</w:t>
      </w:r>
      <w:r w:rsidR="005C4360" w:rsidRPr="003D1063">
        <w:rPr>
          <w:bCs/>
          <w:iCs/>
        </w:rPr>
        <w:t>to 2026</w:t>
      </w:r>
      <w:r w:rsidR="005C4360" w:rsidRPr="003D1063">
        <w:rPr>
          <w:bCs/>
          <w:iCs/>
        </w:rPr>
        <w:noBreakHyphen/>
        <w:t>27</w:t>
      </w:r>
      <w:r w:rsidRPr="003D1063">
        <w:rPr>
          <w:bCs/>
          <w:iCs/>
        </w:rPr>
        <w:t xml:space="preserve"> and the reclassification of employee expenses to </w:t>
      </w:r>
      <w:r w:rsidR="00EE09E4" w:rsidRPr="003D1063">
        <w:rPr>
          <w:bCs/>
          <w:iCs/>
        </w:rPr>
        <w:t>better</w:t>
      </w:r>
      <w:r w:rsidRPr="003D1063">
        <w:rPr>
          <w:bCs/>
          <w:iCs/>
        </w:rPr>
        <w:t xml:space="preserve"> reflect the nature of costs incurred. </w:t>
      </w:r>
      <w:r w:rsidR="00FC367D" w:rsidRPr="003D1063">
        <w:rPr>
          <w:bCs/>
          <w:iCs/>
        </w:rPr>
        <w:t xml:space="preserve">This reclassification has no impact on total expenses. </w:t>
      </w:r>
    </w:p>
    <w:p w14:paraId="0DE94D99" w14:textId="77777777" w:rsidR="0081374E" w:rsidRPr="003D1063" w:rsidRDefault="009B5C32" w:rsidP="000B55B1">
      <w:pPr>
        <w:pStyle w:val="Heading4"/>
      </w:pPr>
      <w:r w:rsidRPr="003D1063">
        <w:t>Balance Sheet</w:t>
      </w:r>
    </w:p>
    <w:p w14:paraId="4A52932A" w14:textId="77777777" w:rsidR="001F4186" w:rsidRPr="003D1063" w:rsidRDefault="009B5C32" w:rsidP="00945D1F">
      <w:pPr>
        <w:pStyle w:val="BSbullet1"/>
        <w:keepNext/>
        <w:pBdr>
          <w:top w:val="nil"/>
          <w:left w:val="nil"/>
          <w:bottom w:val="nil"/>
          <w:right w:val="nil"/>
          <w:between w:val="nil"/>
          <w:bar w:val="nil"/>
        </w:pBdr>
        <w:spacing w:before="0"/>
      </w:pPr>
      <w:r w:rsidRPr="003D1063">
        <w:t>property, plant and equipment</w:t>
      </w:r>
      <w:r w:rsidR="000727FC" w:rsidRPr="003D1063">
        <w:t>:</w:t>
      </w:r>
    </w:p>
    <w:p w14:paraId="5CE48F05" w14:textId="77777777" w:rsidR="00A658D2" w:rsidRPr="003D1063" w:rsidRDefault="009B5C32" w:rsidP="00945D1F">
      <w:pPr>
        <w:pStyle w:val="BSbullet1"/>
        <w:keepLines/>
        <w:numPr>
          <w:ilvl w:val="1"/>
          <w:numId w:val="23"/>
        </w:numPr>
        <w:pBdr>
          <w:top w:val="nil"/>
          <w:left w:val="nil"/>
          <w:bottom w:val="nil"/>
          <w:right w:val="nil"/>
          <w:between w:val="nil"/>
          <w:bar w:val="nil"/>
        </w:pBdr>
        <w:spacing w:before="0"/>
        <w:ind w:left="709"/>
        <w:rPr>
          <w:b/>
          <w:i/>
        </w:rPr>
      </w:pPr>
      <w:r w:rsidRPr="003D1063">
        <w:rPr>
          <w:bCs/>
          <w:iCs/>
        </w:rPr>
        <w:t xml:space="preserve">the </w:t>
      </w:r>
      <w:r w:rsidR="00E64799" w:rsidRPr="003D1063">
        <w:rPr>
          <w:bCs/>
          <w:iCs/>
        </w:rPr>
        <w:t>increase of $326.108</w:t>
      </w:r>
      <w:r w:rsidR="006C0F42" w:rsidRPr="003D1063">
        <w:rPr>
          <w:bCs/>
          <w:iCs/>
        </w:rPr>
        <w:t> </w:t>
      </w:r>
      <w:r w:rsidR="00E64799" w:rsidRPr="003D1063">
        <w:rPr>
          <w:bCs/>
          <w:iCs/>
        </w:rPr>
        <w:t>million</w:t>
      </w:r>
      <w:r w:rsidRPr="003D1063">
        <w:rPr>
          <w:bCs/>
          <w:iCs/>
        </w:rPr>
        <w:t xml:space="preserve"> </w:t>
      </w:r>
      <w:r w:rsidR="00573415" w:rsidRPr="003D1063">
        <w:rPr>
          <w:bCs/>
          <w:iCs/>
        </w:rPr>
        <w:t>in the 2025</w:t>
      </w:r>
      <w:r w:rsidR="00573415" w:rsidRPr="003D1063">
        <w:rPr>
          <w:bCs/>
          <w:iCs/>
        </w:rPr>
        <w:noBreakHyphen/>
        <w:t xml:space="preserve">26 estimated outcome </w:t>
      </w:r>
      <w:r w:rsidRPr="003D1063">
        <w:rPr>
          <w:bCs/>
          <w:iCs/>
        </w:rPr>
        <w:t>from</w:t>
      </w:r>
      <w:r w:rsidR="002366C1" w:rsidRPr="003D1063">
        <w:rPr>
          <w:bCs/>
          <w:iCs/>
        </w:rPr>
        <w:t xml:space="preserve"> the</w:t>
      </w:r>
      <w:r w:rsidR="00573415" w:rsidRPr="003D1063">
        <w:rPr>
          <w:bCs/>
          <w:iCs/>
        </w:rPr>
        <w:t xml:space="preserve"> 2025</w:t>
      </w:r>
      <w:r w:rsidR="00573415" w:rsidRPr="003D1063">
        <w:rPr>
          <w:bCs/>
          <w:iCs/>
        </w:rPr>
        <w:noBreakHyphen/>
        <w:t>26</w:t>
      </w:r>
      <w:r w:rsidR="006C0F42" w:rsidRPr="003D1063">
        <w:rPr>
          <w:bCs/>
          <w:iCs/>
        </w:rPr>
        <w:t> B</w:t>
      </w:r>
      <w:r w:rsidR="00573415" w:rsidRPr="003D1063">
        <w:rPr>
          <w:bCs/>
          <w:iCs/>
        </w:rPr>
        <w:t>udget reflects asse</w:t>
      </w:r>
      <w:r w:rsidR="00EC6579" w:rsidRPr="003D1063">
        <w:rPr>
          <w:bCs/>
          <w:iCs/>
        </w:rPr>
        <w:t>t</w:t>
      </w:r>
      <w:r w:rsidR="00573415" w:rsidRPr="003D1063">
        <w:rPr>
          <w:bCs/>
          <w:iCs/>
        </w:rPr>
        <w:t xml:space="preserve"> transfers from other ACT</w:t>
      </w:r>
      <w:r w:rsidR="006C0F42" w:rsidRPr="003D1063">
        <w:rPr>
          <w:bCs/>
          <w:iCs/>
        </w:rPr>
        <w:t> </w:t>
      </w:r>
      <w:r w:rsidR="00573415" w:rsidRPr="003D1063">
        <w:rPr>
          <w:bCs/>
          <w:iCs/>
        </w:rPr>
        <w:t xml:space="preserve">Government agencies, increased capital works in progress associated </w:t>
      </w:r>
      <w:r w:rsidR="002366C1" w:rsidRPr="003D1063">
        <w:rPr>
          <w:bCs/>
          <w:iCs/>
        </w:rPr>
        <w:t xml:space="preserve">with </w:t>
      </w:r>
      <w:r w:rsidR="003271D7" w:rsidRPr="003D1063">
        <w:rPr>
          <w:bCs/>
          <w:iCs/>
        </w:rPr>
        <w:t>2025</w:t>
      </w:r>
      <w:r w:rsidR="003271D7" w:rsidRPr="003D1063">
        <w:rPr>
          <w:bCs/>
          <w:iCs/>
        </w:rPr>
        <w:noBreakHyphen/>
        <w:t>26 Budget Review decision</w:t>
      </w:r>
      <w:r w:rsidR="002366C1" w:rsidRPr="003D1063">
        <w:rPr>
          <w:bCs/>
          <w:iCs/>
        </w:rPr>
        <w:t>s</w:t>
      </w:r>
      <w:r w:rsidR="00727DD5" w:rsidRPr="003D1063">
        <w:rPr>
          <w:bCs/>
          <w:iCs/>
        </w:rPr>
        <w:t xml:space="preserve">, </w:t>
      </w:r>
      <w:r w:rsidR="001B7A12" w:rsidRPr="003D1063">
        <w:rPr>
          <w:bCs/>
          <w:iCs/>
        </w:rPr>
        <w:t>leased assets from new and exten</w:t>
      </w:r>
      <w:r w:rsidR="002366C1" w:rsidRPr="003D1063">
        <w:rPr>
          <w:bCs/>
          <w:iCs/>
        </w:rPr>
        <w:t>ded</w:t>
      </w:r>
      <w:r w:rsidR="001B7A12" w:rsidRPr="003D1063">
        <w:rPr>
          <w:bCs/>
          <w:iCs/>
        </w:rPr>
        <w:t xml:space="preserve"> office</w:t>
      </w:r>
      <w:r w:rsidR="002366C1" w:rsidRPr="003D1063">
        <w:rPr>
          <w:bCs/>
          <w:iCs/>
        </w:rPr>
        <w:t xml:space="preserve"> accommodation</w:t>
      </w:r>
      <w:r w:rsidR="001B7A12" w:rsidRPr="003D1063">
        <w:rPr>
          <w:bCs/>
          <w:iCs/>
        </w:rPr>
        <w:t xml:space="preserve"> contracts and the recognition of </w:t>
      </w:r>
      <w:r w:rsidR="002366C1" w:rsidRPr="003D1063">
        <w:rPr>
          <w:bCs/>
          <w:iCs/>
        </w:rPr>
        <w:t xml:space="preserve">a </w:t>
      </w:r>
      <w:r w:rsidR="001B7A12" w:rsidRPr="003D1063">
        <w:rPr>
          <w:bCs/>
          <w:iCs/>
        </w:rPr>
        <w:t xml:space="preserve">service concession asset associated with the delivery of the </w:t>
      </w:r>
      <w:r w:rsidR="001B7A12" w:rsidRPr="003D1063">
        <w:rPr>
          <w:bCs/>
          <w:i/>
          <w:iCs/>
        </w:rPr>
        <w:t xml:space="preserve">New Materials Recovery Facility </w:t>
      </w:r>
      <w:r w:rsidR="001B7A12" w:rsidRPr="003D1063">
        <w:rPr>
          <w:bCs/>
          <w:iCs/>
        </w:rPr>
        <w:t>initiative.</w:t>
      </w:r>
    </w:p>
    <w:p w14:paraId="474F87B6" w14:textId="602AAAED" w:rsidR="000C50DB" w:rsidRPr="003D1063" w:rsidRDefault="009B5C32" w:rsidP="00945D1F">
      <w:pPr>
        <w:pStyle w:val="BSbullet1"/>
        <w:keepLines/>
        <w:numPr>
          <w:ilvl w:val="1"/>
          <w:numId w:val="23"/>
        </w:numPr>
        <w:pBdr>
          <w:top w:val="nil"/>
          <w:left w:val="nil"/>
          <w:bottom w:val="nil"/>
          <w:right w:val="nil"/>
          <w:between w:val="nil"/>
          <w:bar w:val="nil"/>
        </w:pBdr>
        <w:spacing w:before="0"/>
        <w:ind w:left="709"/>
        <w:rPr>
          <w:bCs/>
          <w:iCs/>
        </w:rPr>
      </w:pPr>
      <w:r w:rsidRPr="003D1063">
        <w:rPr>
          <w:bCs/>
          <w:iCs/>
        </w:rPr>
        <w:t xml:space="preserve">the </w:t>
      </w:r>
      <w:r w:rsidR="00EC6579" w:rsidRPr="003D1063">
        <w:rPr>
          <w:bCs/>
          <w:iCs/>
        </w:rPr>
        <w:t xml:space="preserve">increase </w:t>
      </w:r>
      <w:r w:rsidRPr="003D1063">
        <w:rPr>
          <w:bCs/>
          <w:iCs/>
        </w:rPr>
        <w:t>of $935</w:t>
      </w:r>
      <w:r w:rsidR="00EC6579" w:rsidRPr="003D1063">
        <w:rPr>
          <w:bCs/>
          <w:iCs/>
        </w:rPr>
        <w:t>.</w:t>
      </w:r>
      <w:r w:rsidRPr="003D1063">
        <w:rPr>
          <w:bCs/>
          <w:iCs/>
        </w:rPr>
        <w:t>124</w:t>
      </w:r>
      <w:r w:rsidR="00855781" w:rsidRPr="003D1063">
        <w:rPr>
          <w:bCs/>
          <w:iCs/>
        </w:rPr>
        <w:t> </w:t>
      </w:r>
      <w:r w:rsidRPr="003D1063">
        <w:rPr>
          <w:bCs/>
          <w:iCs/>
        </w:rPr>
        <w:t xml:space="preserve">million in the </w:t>
      </w:r>
      <w:r w:rsidR="00EC6579" w:rsidRPr="003D1063">
        <w:rPr>
          <w:bCs/>
          <w:iCs/>
        </w:rPr>
        <w:t>2026-27</w:t>
      </w:r>
      <w:r w:rsidR="00855781" w:rsidRPr="003D1063">
        <w:rPr>
          <w:bCs/>
          <w:iCs/>
        </w:rPr>
        <w:t> B</w:t>
      </w:r>
      <w:r w:rsidR="00EC6579" w:rsidRPr="003D1063">
        <w:rPr>
          <w:bCs/>
          <w:iCs/>
        </w:rPr>
        <w:t xml:space="preserve">udget </w:t>
      </w:r>
      <w:r w:rsidRPr="003D1063">
        <w:rPr>
          <w:bCs/>
          <w:iCs/>
        </w:rPr>
        <w:t>from</w:t>
      </w:r>
      <w:r w:rsidR="00FF0974" w:rsidRPr="003D1063">
        <w:rPr>
          <w:bCs/>
          <w:iCs/>
        </w:rPr>
        <w:t xml:space="preserve"> </w:t>
      </w:r>
      <w:r w:rsidRPr="003D1063">
        <w:rPr>
          <w:bCs/>
          <w:iCs/>
        </w:rPr>
        <w:t xml:space="preserve">the </w:t>
      </w:r>
      <w:r w:rsidR="00EC6579" w:rsidRPr="003D1063">
        <w:rPr>
          <w:bCs/>
          <w:iCs/>
        </w:rPr>
        <w:t>estimated outcome</w:t>
      </w:r>
      <w:r w:rsidRPr="003D1063">
        <w:rPr>
          <w:bCs/>
          <w:iCs/>
        </w:rPr>
        <w:t xml:space="preserve"> is due to </w:t>
      </w:r>
      <w:r w:rsidR="00EB2603" w:rsidRPr="003D1063">
        <w:rPr>
          <w:bCs/>
          <w:iCs/>
        </w:rPr>
        <w:t xml:space="preserve">the </w:t>
      </w:r>
      <w:r w:rsidR="001B7A12" w:rsidRPr="003D1063">
        <w:rPr>
          <w:bCs/>
          <w:iCs/>
        </w:rPr>
        <w:t xml:space="preserve">ongoing delivery of agency’s </w:t>
      </w:r>
      <w:r w:rsidR="00EB2603" w:rsidRPr="003D1063">
        <w:rPr>
          <w:bCs/>
          <w:iCs/>
        </w:rPr>
        <w:t xml:space="preserve">$763.451 million </w:t>
      </w:r>
      <w:r w:rsidRPr="003D1063">
        <w:rPr>
          <w:bCs/>
          <w:iCs/>
        </w:rPr>
        <w:t xml:space="preserve">in </w:t>
      </w:r>
      <w:r w:rsidR="001B7A12" w:rsidRPr="003D1063">
        <w:rPr>
          <w:bCs/>
          <w:iCs/>
        </w:rPr>
        <w:t>capital works program, </w:t>
      </w:r>
      <w:r w:rsidR="00FF0974" w:rsidRPr="003D1063">
        <w:rPr>
          <w:bCs/>
          <w:iCs/>
        </w:rPr>
        <w:t xml:space="preserve">including the </w:t>
      </w:r>
      <w:r w:rsidR="001B7A12" w:rsidRPr="003D1063">
        <w:rPr>
          <w:bCs/>
          <w:iCs/>
        </w:rPr>
        <w:t xml:space="preserve">timing of project completions and the commencement of new capital work initiatives. In addition, </w:t>
      </w:r>
      <w:r w:rsidR="00FF0974" w:rsidRPr="003D1063">
        <w:rPr>
          <w:bCs/>
          <w:iCs/>
        </w:rPr>
        <w:t xml:space="preserve">the </w:t>
      </w:r>
      <w:r w:rsidR="001B7A12" w:rsidRPr="003D1063">
        <w:rPr>
          <w:bCs/>
          <w:iCs/>
        </w:rPr>
        <w:t xml:space="preserve">increase </w:t>
      </w:r>
      <w:r w:rsidR="00FF0974" w:rsidRPr="003D1063">
        <w:rPr>
          <w:bCs/>
          <w:iCs/>
        </w:rPr>
        <w:t>also reflects the recognition of</w:t>
      </w:r>
      <w:r w:rsidRPr="003D1063">
        <w:rPr>
          <w:bCs/>
          <w:iCs/>
        </w:rPr>
        <w:t xml:space="preserve"> $196.137 million in</w:t>
      </w:r>
      <w:r w:rsidR="00FF0974" w:rsidRPr="003D1063">
        <w:rPr>
          <w:bCs/>
          <w:iCs/>
        </w:rPr>
        <w:t xml:space="preserve"> </w:t>
      </w:r>
      <w:r w:rsidR="001B7A12" w:rsidRPr="003D1063">
        <w:rPr>
          <w:bCs/>
          <w:iCs/>
        </w:rPr>
        <w:t>service concession assets associated with the delivery of</w:t>
      </w:r>
      <w:r w:rsidR="00FF0974" w:rsidRPr="003D1063">
        <w:rPr>
          <w:bCs/>
          <w:iCs/>
        </w:rPr>
        <w:t xml:space="preserve"> the</w:t>
      </w:r>
      <w:r w:rsidR="001B7A12" w:rsidRPr="003D1063">
        <w:rPr>
          <w:bCs/>
          <w:iCs/>
        </w:rPr>
        <w:t xml:space="preserve"> </w:t>
      </w:r>
      <w:r w:rsidR="001B7A12" w:rsidRPr="003D1063">
        <w:rPr>
          <w:bCs/>
          <w:i/>
          <w:iCs/>
        </w:rPr>
        <w:t>New Material Recovery Facility</w:t>
      </w:r>
      <w:r w:rsidR="001B7A12" w:rsidRPr="003D1063">
        <w:rPr>
          <w:bCs/>
          <w:iCs/>
        </w:rPr>
        <w:t xml:space="preserve"> and</w:t>
      </w:r>
      <w:r w:rsidR="00FF0974" w:rsidRPr="003D1063">
        <w:rPr>
          <w:bCs/>
          <w:iCs/>
        </w:rPr>
        <w:t xml:space="preserve"> the</w:t>
      </w:r>
      <w:r w:rsidR="001B7A12" w:rsidRPr="003D1063">
        <w:rPr>
          <w:bCs/>
          <w:iCs/>
        </w:rPr>
        <w:t xml:space="preserve"> </w:t>
      </w:r>
      <w:r w:rsidR="001B7A12" w:rsidRPr="003D1063">
        <w:rPr>
          <w:bCs/>
          <w:i/>
          <w:iCs/>
        </w:rPr>
        <w:t xml:space="preserve">Better transport infrastructure – Delivering Light Rail Stage 2A </w:t>
      </w:r>
      <w:r w:rsidR="001B7A12" w:rsidRPr="003D1063">
        <w:rPr>
          <w:bCs/>
          <w:iCs/>
        </w:rPr>
        <w:t>initiatives.</w:t>
      </w:r>
    </w:p>
    <w:p w14:paraId="5116233D" w14:textId="77777777" w:rsidR="000926B2" w:rsidRPr="003D1063" w:rsidRDefault="009B5C32" w:rsidP="00945D1F">
      <w:pPr>
        <w:pStyle w:val="BSbullet1"/>
        <w:keepNext/>
        <w:pBdr>
          <w:top w:val="nil"/>
          <w:left w:val="nil"/>
          <w:bottom w:val="nil"/>
          <w:right w:val="nil"/>
          <w:between w:val="nil"/>
          <w:bar w:val="nil"/>
        </w:pBdr>
        <w:spacing w:before="0"/>
      </w:pPr>
      <w:r w:rsidRPr="003D1063">
        <w:t>p</w:t>
      </w:r>
      <w:r w:rsidR="0027286C" w:rsidRPr="003D1063">
        <w:t>ayable</w:t>
      </w:r>
      <w:r w:rsidR="00824A1E" w:rsidRPr="003D1063">
        <w:t>s</w:t>
      </w:r>
      <w:r w:rsidR="0027286C" w:rsidRPr="003D1063">
        <w:t>:</w:t>
      </w:r>
    </w:p>
    <w:p w14:paraId="5952B7FF" w14:textId="4EE4AC95" w:rsidR="000926B2" w:rsidRPr="003D1063" w:rsidRDefault="009B5C32" w:rsidP="00945D1F">
      <w:pPr>
        <w:pStyle w:val="BSbullet1"/>
        <w:keepLines/>
        <w:numPr>
          <w:ilvl w:val="1"/>
          <w:numId w:val="23"/>
        </w:numPr>
        <w:pBdr>
          <w:top w:val="nil"/>
          <w:left w:val="nil"/>
          <w:bottom w:val="nil"/>
          <w:right w:val="nil"/>
          <w:between w:val="nil"/>
          <w:bar w:val="nil"/>
        </w:pBdr>
        <w:spacing w:before="0"/>
        <w:ind w:left="709"/>
        <w:rPr>
          <w:b/>
          <w:i/>
        </w:rPr>
      </w:pPr>
      <w:r w:rsidRPr="003D1063">
        <w:rPr>
          <w:bCs/>
          <w:iCs/>
        </w:rPr>
        <w:t>the increase of $25.</w:t>
      </w:r>
      <w:r w:rsidR="00824A1E" w:rsidRPr="003D1063">
        <w:rPr>
          <w:bCs/>
          <w:iCs/>
        </w:rPr>
        <w:t>916</w:t>
      </w:r>
      <w:r w:rsidRPr="003D1063">
        <w:rPr>
          <w:bCs/>
          <w:iCs/>
        </w:rPr>
        <w:t> million in the 2025</w:t>
      </w:r>
      <w:r w:rsidRPr="003D1063">
        <w:rPr>
          <w:bCs/>
          <w:iCs/>
        </w:rPr>
        <w:noBreakHyphen/>
        <w:t>26 estimated outcome from the 2025</w:t>
      </w:r>
      <w:r w:rsidRPr="003D1063">
        <w:rPr>
          <w:bCs/>
          <w:iCs/>
        </w:rPr>
        <w:noBreakHyphen/>
        <w:t>26</w:t>
      </w:r>
      <w:r w:rsidR="001773D1" w:rsidRPr="003D1063">
        <w:rPr>
          <w:bCs/>
          <w:iCs/>
        </w:rPr>
        <w:t> B</w:t>
      </w:r>
      <w:r w:rsidRPr="003D1063">
        <w:rPr>
          <w:bCs/>
          <w:iCs/>
        </w:rPr>
        <w:t>udget is due to a higher level of capital works activity towards the end</w:t>
      </w:r>
      <w:r w:rsidR="00FF0974" w:rsidRPr="003D1063">
        <w:rPr>
          <w:bCs/>
          <w:iCs/>
        </w:rPr>
        <w:t xml:space="preserve"> of the financial year</w:t>
      </w:r>
      <w:r w:rsidRPr="003D1063">
        <w:rPr>
          <w:bCs/>
          <w:iCs/>
        </w:rPr>
        <w:t>.</w:t>
      </w:r>
    </w:p>
    <w:p w14:paraId="55698D7F" w14:textId="77777777" w:rsidR="00A658D2" w:rsidRPr="003D1063" w:rsidRDefault="009B5C32" w:rsidP="00945D1F">
      <w:pPr>
        <w:pStyle w:val="BSbullet1"/>
        <w:keepNext/>
        <w:pBdr>
          <w:top w:val="nil"/>
          <w:left w:val="nil"/>
          <w:bottom w:val="nil"/>
          <w:right w:val="nil"/>
          <w:between w:val="nil"/>
          <w:bar w:val="nil"/>
        </w:pBdr>
        <w:spacing w:before="0"/>
      </w:pPr>
      <w:r w:rsidRPr="003D1063">
        <w:t>borrowings (non-current)</w:t>
      </w:r>
      <w:r w:rsidR="005B21A7" w:rsidRPr="003D1063">
        <w:t>:</w:t>
      </w:r>
    </w:p>
    <w:p w14:paraId="4D663580" w14:textId="6B117688" w:rsidR="00A658D2" w:rsidRPr="003D1063" w:rsidRDefault="009B5C32" w:rsidP="00945D1F">
      <w:pPr>
        <w:pStyle w:val="BSbullet1"/>
        <w:keepLines/>
        <w:numPr>
          <w:ilvl w:val="1"/>
          <w:numId w:val="23"/>
        </w:numPr>
        <w:pBdr>
          <w:top w:val="nil"/>
          <w:left w:val="nil"/>
          <w:bottom w:val="nil"/>
          <w:right w:val="nil"/>
          <w:between w:val="nil"/>
          <w:bar w:val="nil"/>
        </w:pBdr>
        <w:spacing w:before="0"/>
        <w:ind w:left="709"/>
        <w:rPr>
          <w:b/>
          <w:i/>
        </w:rPr>
      </w:pPr>
      <w:r w:rsidRPr="003D1063">
        <w:rPr>
          <w:bCs/>
          <w:iCs/>
        </w:rPr>
        <w:t xml:space="preserve">the </w:t>
      </w:r>
      <w:r w:rsidR="00F611C2" w:rsidRPr="003D1063">
        <w:rPr>
          <w:bCs/>
          <w:iCs/>
        </w:rPr>
        <w:t>increase of $190.887 million in the 2026</w:t>
      </w:r>
      <w:r w:rsidR="00F611C2" w:rsidRPr="003D1063">
        <w:rPr>
          <w:bCs/>
          <w:iCs/>
        </w:rPr>
        <w:noBreakHyphen/>
        <w:t>27</w:t>
      </w:r>
      <w:r w:rsidR="001773D1" w:rsidRPr="003D1063">
        <w:rPr>
          <w:bCs/>
          <w:iCs/>
        </w:rPr>
        <w:t> B</w:t>
      </w:r>
      <w:r w:rsidR="00F611C2" w:rsidRPr="003D1063">
        <w:rPr>
          <w:bCs/>
          <w:iCs/>
        </w:rPr>
        <w:t xml:space="preserve">udget </w:t>
      </w:r>
      <w:r w:rsidRPr="003D1063">
        <w:rPr>
          <w:bCs/>
          <w:iCs/>
        </w:rPr>
        <w:t>from</w:t>
      </w:r>
      <w:r w:rsidR="00F611C2" w:rsidRPr="003D1063">
        <w:rPr>
          <w:bCs/>
          <w:iCs/>
        </w:rPr>
        <w:t xml:space="preserve"> the 2025</w:t>
      </w:r>
      <w:r w:rsidR="00F611C2" w:rsidRPr="003D1063">
        <w:rPr>
          <w:bCs/>
          <w:iCs/>
        </w:rPr>
        <w:noBreakHyphen/>
        <w:t>26</w:t>
      </w:r>
      <w:r w:rsidR="001773D1" w:rsidRPr="003D1063">
        <w:rPr>
          <w:bCs/>
          <w:iCs/>
        </w:rPr>
        <w:t> </w:t>
      </w:r>
      <w:r w:rsidR="00F611C2" w:rsidRPr="003D1063">
        <w:rPr>
          <w:bCs/>
          <w:iCs/>
        </w:rPr>
        <w:t xml:space="preserve">estimated outcome is mainly </w:t>
      </w:r>
      <w:r w:rsidR="00992C03" w:rsidRPr="003D1063">
        <w:rPr>
          <w:bCs/>
          <w:iCs/>
        </w:rPr>
        <w:t>attributable</w:t>
      </w:r>
      <w:r w:rsidR="00F611C2" w:rsidRPr="003D1063">
        <w:rPr>
          <w:bCs/>
          <w:iCs/>
        </w:rPr>
        <w:t xml:space="preserve"> to services concession liabilities associated with the delivery of </w:t>
      </w:r>
      <w:r w:rsidR="00992C03" w:rsidRPr="003D1063">
        <w:rPr>
          <w:bCs/>
          <w:iCs/>
        </w:rPr>
        <w:t xml:space="preserve">the </w:t>
      </w:r>
      <w:r w:rsidRPr="003D1063">
        <w:rPr>
          <w:bCs/>
          <w:i/>
        </w:rPr>
        <w:t>Better transport infrastructure – Delivering Light Rail Stage 2A</w:t>
      </w:r>
      <w:r w:rsidR="0039256E" w:rsidRPr="003D1063">
        <w:rPr>
          <w:bCs/>
          <w:i/>
        </w:rPr>
        <w:t>,</w:t>
      </w:r>
      <w:r w:rsidRPr="003D1063">
        <w:rPr>
          <w:bCs/>
          <w:i/>
        </w:rPr>
        <w:t xml:space="preserve"> </w:t>
      </w:r>
      <w:r w:rsidR="00F611C2" w:rsidRPr="003D1063">
        <w:rPr>
          <w:bCs/>
          <w:iCs/>
        </w:rPr>
        <w:t>and</w:t>
      </w:r>
      <w:r w:rsidR="00992C03" w:rsidRPr="003D1063">
        <w:rPr>
          <w:bCs/>
          <w:iCs/>
        </w:rPr>
        <w:t xml:space="preserve"> the</w:t>
      </w:r>
      <w:r w:rsidR="00F611C2" w:rsidRPr="003D1063">
        <w:rPr>
          <w:bCs/>
          <w:iCs/>
        </w:rPr>
        <w:t xml:space="preserve"> </w:t>
      </w:r>
      <w:r w:rsidR="0084628E" w:rsidRPr="003D1063">
        <w:rPr>
          <w:bCs/>
          <w:i/>
        </w:rPr>
        <w:t>N</w:t>
      </w:r>
      <w:r w:rsidR="00F611C2" w:rsidRPr="003D1063">
        <w:rPr>
          <w:bCs/>
          <w:i/>
        </w:rPr>
        <w:t xml:space="preserve">ew </w:t>
      </w:r>
      <w:r w:rsidRPr="003D1063">
        <w:rPr>
          <w:bCs/>
          <w:i/>
        </w:rPr>
        <w:t>Materials Recovery F</w:t>
      </w:r>
      <w:r w:rsidR="00F611C2" w:rsidRPr="003D1063">
        <w:rPr>
          <w:bCs/>
          <w:i/>
        </w:rPr>
        <w:t>acility</w:t>
      </w:r>
      <w:r w:rsidRPr="003D1063">
        <w:rPr>
          <w:bCs/>
          <w:i/>
        </w:rPr>
        <w:t xml:space="preserve"> </w:t>
      </w:r>
      <w:r w:rsidRPr="003D1063">
        <w:rPr>
          <w:bCs/>
          <w:iCs/>
        </w:rPr>
        <w:t>initiatives</w:t>
      </w:r>
      <w:r w:rsidR="00F611C2" w:rsidRPr="003D1063">
        <w:rPr>
          <w:bCs/>
          <w:iCs/>
        </w:rPr>
        <w:t>.</w:t>
      </w:r>
    </w:p>
    <w:p w14:paraId="651F4CB5" w14:textId="77777777" w:rsidR="00F611C2" w:rsidRPr="003D1063" w:rsidRDefault="009B5C32" w:rsidP="00945D1F">
      <w:pPr>
        <w:pStyle w:val="BSbullet1"/>
        <w:keepNext/>
        <w:pBdr>
          <w:top w:val="nil"/>
          <w:left w:val="nil"/>
          <w:bottom w:val="nil"/>
          <w:right w:val="nil"/>
          <w:between w:val="nil"/>
          <w:bar w:val="nil"/>
        </w:pBdr>
        <w:spacing w:before="0"/>
      </w:pPr>
      <w:r w:rsidRPr="003D1063">
        <w:lastRenderedPageBreak/>
        <w:t>other provisions (non-current):</w:t>
      </w:r>
    </w:p>
    <w:p w14:paraId="7CCEBA74" w14:textId="77777777" w:rsidR="005B21A7" w:rsidRPr="003D1063" w:rsidRDefault="009B5C32" w:rsidP="00945D1F">
      <w:pPr>
        <w:pStyle w:val="BSbullet1"/>
        <w:keepLines/>
        <w:numPr>
          <w:ilvl w:val="1"/>
          <w:numId w:val="23"/>
        </w:numPr>
        <w:pBdr>
          <w:top w:val="nil"/>
          <w:left w:val="nil"/>
          <w:bottom w:val="nil"/>
          <w:right w:val="nil"/>
          <w:between w:val="nil"/>
          <w:bar w:val="nil"/>
        </w:pBdr>
        <w:spacing w:before="0"/>
        <w:ind w:left="709"/>
        <w:rPr>
          <w:b/>
          <w:i/>
        </w:rPr>
      </w:pPr>
      <w:r w:rsidRPr="003D1063">
        <w:rPr>
          <w:bCs/>
          <w:iCs/>
        </w:rPr>
        <w:t>the increase of $41.720 million in the 2025</w:t>
      </w:r>
      <w:r w:rsidRPr="003D1063">
        <w:rPr>
          <w:bCs/>
          <w:iCs/>
        </w:rPr>
        <w:noBreakHyphen/>
        <w:t>26 estimated outcome from 2025</w:t>
      </w:r>
      <w:r w:rsidRPr="003D1063">
        <w:rPr>
          <w:bCs/>
          <w:iCs/>
        </w:rPr>
        <w:noBreakHyphen/>
        <w:t>26</w:t>
      </w:r>
      <w:r w:rsidR="001773D1" w:rsidRPr="003D1063">
        <w:rPr>
          <w:bCs/>
          <w:iCs/>
        </w:rPr>
        <w:t> </w:t>
      </w:r>
      <w:r w:rsidRPr="003D1063">
        <w:rPr>
          <w:bCs/>
          <w:iCs/>
        </w:rPr>
        <w:t>Budget is due to the transfer of provision</w:t>
      </w:r>
      <w:r w:rsidR="00EF672B" w:rsidRPr="003D1063">
        <w:rPr>
          <w:bCs/>
          <w:iCs/>
        </w:rPr>
        <w:t>s</w:t>
      </w:r>
      <w:r w:rsidRPr="003D1063">
        <w:rPr>
          <w:bCs/>
          <w:iCs/>
        </w:rPr>
        <w:t xml:space="preserve"> for contaminated site restoration from </w:t>
      </w:r>
      <w:r w:rsidR="00EF672B" w:rsidRPr="003D1063">
        <w:rPr>
          <w:bCs/>
          <w:iCs/>
        </w:rPr>
        <w:t xml:space="preserve">the </w:t>
      </w:r>
      <w:r w:rsidRPr="003D1063">
        <w:rPr>
          <w:bCs/>
          <w:iCs/>
        </w:rPr>
        <w:t xml:space="preserve">Canberra Institute of Technology (CIT), along with the associated CIT Reid Campus land and building, to </w:t>
      </w:r>
      <w:r w:rsidR="00EF672B" w:rsidRPr="003D1063">
        <w:rPr>
          <w:bCs/>
          <w:iCs/>
        </w:rPr>
        <w:t>support</w:t>
      </w:r>
      <w:r w:rsidRPr="003D1063">
        <w:rPr>
          <w:bCs/>
          <w:iCs/>
        </w:rPr>
        <w:t xml:space="preserve"> </w:t>
      </w:r>
      <w:r w:rsidR="001773D1" w:rsidRPr="003D1063">
        <w:rPr>
          <w:bCs/>
          <w:iCs/>
        </w:rPr>
        <w:t xml:space="preserve">the </w:t>
      </w:r>
      <w:r w:rsidRPr="003D1063">
        <w:rPr>
          <w:bCs/>
          <w:iCs/>
        </w:rPr>
        <w:t xml:space="preserve">development of University of </w:t>
      </w:r>
      <w:r w:rsidR="00EF672B" w:rsidRPr="003D1063">
        <w:rPr>
          <w:bCs/>
          <w:iCs/>
        </w:rPr>
        <w:t xml:space="preserve">a </w:t>
      </w:r>
      <w:r w:rsidRPr="003D1063">
        <w:rPr>
          <w:bCs/>
          <w:iCs/>
        </w:rPr>
        <w:t>New South Wales campus.</w:t>
      </w:r>
    </w:p>
    <w:p w14:paraId="21D3FA44" w14:textId="77777777" w:rsidR="005B21A7" w:rsidRPr="003D1063" w:rsidRDefault="009B5C32" w:rsidP="00945D1F">
      <w:pPr>
        <w:pStyle w:val="BSbullet1"/>
        <w:keepNext/>
        <w:pBdr>
          <w:top w:val="nil"/>
          <w:left w:val="nil"/>
          <w:bottom w:val="nil"/>
          <w:right w:val="nil"/>
          <w:between w:val="nil"/>
          <w:bar w:val="nil"/>
        </w:pBdr>
        <w:spacing w:before="0"/>
      </w:pPr>
      <w:r w:rsidRPr="003D1063">
        <w:t>accumulated funds:</w:t>
      </w:r>
    </w:p>
    <w:p w14:paraId="5C34BB93" w14:textId="7F48BEBC" w:rsidR="005B21A7" w:rsidRPr="003D1063" w:rsidRDefault="009B5C32" w:rsidP="00945D1F">
      <w:pPr>
        <w:pStyle w:val="BSbullet1"/>
        <w:keepLines/>
        <w:numPr>
          <w:ilvl w:val="1"/>
          <w:numId w:val="23"/>
        </w:numPr>
        <w:pBdr>
          <w:top w:val="nil"/>
          <w:left w:val="nil"/>
          <w:bottom w:val="nil"/>
          <w:right w:val="nil"/>
          <w:between w:val="nil"/>
          <w:bar w:val="nil"/>
        </w:pBdr>
        <w:spacing w:before="0"/>
        <w:ind w:left="709"/>
        <w:rPr>
          <w:b/>
          <w:i/>
        </w:rPr>
      </w:pPr>
      <w:r w:rsidRPr="003D1063">
        <w:rPr>
          <w:bCs/>
          <w:iCs/>
        </w:rPr>
        <w:t>the increase of $179.535 million in the 2025-26 estimated outcome from the 2025</w:t>
      </w:r>
      <w:r w:rsidRPr="003D1063">
        <w:rPr>
          <w:bCs/>
          <w:iCs/>
        </w:rPr>
        <w:noBreakHyphen/>
        <w:t>26</w:t>
      </w:r>
      <w:r w:rsidR="001773D1" w:rsidRPr="003D1063">
        <w:rPr>
          <w:bCs/>
          <w:iCs/>
        </w:rPr>
        <w:t> B</w:t>
      </w:r>
      <w:r w:rsidRPr="003D1063">
        <w:rPr>
          <w:bCs/>
          <w:iCs/>
        </w:rPr>
        <w:t xml:space="preserve">udget is </w:t>
      </w:r>
      <w:r w:rsidR="00B23084" w:rsidRPr="003D1063">
        <w:rPr>
          <w:bCs/>
          <w:iCs/>
        </w:rPr>
        <w:t>due to</w:t>
      </w:r>
      <w:r w:rsidRPr="003D1063">
        <w:rPr>
          <w:bCs/>
          <w:iCs/>
        </w:rPr>
        <w:t xml:space="preserve"> additional capital injection funding</w:t>
      </w:r>
      <w:r w:rsidR="000B2630" w:rsidRPr="003D1063">
        <w:rPr>
          <w:bCs/>
          <w:iCs/>
        </w:rPr>
        <w:t xml:space="preserve"> arising </w:t>
      </w:r>
      <w:r w:rsidRPr="003D1063">
        <w:rPr>
          <w:bCs/>
          <w:iCs/>
        </w:rPr>
        <w:t>from 2025</w:t>
      </w:r>
      <w:r w:rsidRPr="003D1063">
        <w:rPr>
          <w:bCs/>
          <w:iCs/>
        </w:rPr>
        <w:noBreakHyphen/>
        <w:t>26</w:t>
      </w:r>
      <w:r w:rsidR="001773D1" w:rsidRPr="003D1063">
        <w:rPr>
          <w:bCs/>
          <w:iCs/>
        </w:rPr>
        <w:t> B</w:t>
      </w:r>
      <w:r w:rsidRPr="003D1063">
        <w:rPr>
          <w:bCs/>
          <w:iCs/>
        </w:rPr>
        <w:t xml:space="preserve">udget </w:t>
      </w:r>
      <w:r w:rsidR="001773D1" w:rsidRPr="003D1063">
        <w:rPr>
          <w:bCs/>
          <w:iCs/>
        </w:rPr>
        <w:t>R</w:t>
      </w:r>
      <w:r w:rsidRPr="003D1063">
        <w:rPr>
          <w:bCs/>
          <w:iCs/>
        </w:rPr>
        <w:t>eview</w:t>
      </w:r>
      <w:r w:rsidR="001773D1" w:rsidRPr="003D1063">
        <w:rPr>
          <w:bCs/>
          <w:iCs/>
        </w:rPr>
        <w:t xml:space="preserve"> decision</w:t>
      </w:r>
      <w:r w:rsidR="000B2630" w:rsidRPr="003D1063">
        <w:rPr>
          <w:bCs/>
          <w:iCs/>
        </w:rPr>
        <w:t xml:space="preserve">s such as the </w:t>
      </w:r>
      <w:r w:rsidR="000B2630" w:rsidRPr="003D1063">
        <w:rPr>
          <w:bCs/>
          <w:i/>
        </w:rPr>
        <w:t>Canberra Theatre Redevelopment–Delivering new Lyric Theatre</w:t>
      </w:r>
      <w:r w:rsidR="000B2630" w:rsidRPr="003D1063">
        <w:rPr>
          <w:bCs/>
          <w:iCs/>
        </w:rPr>
        <w:t>,</w:t>
      </w:r>
      <w:r w:rsidRPr="003D1063">
        <w:rPr>
          <w:bCs/>
          <w:iCs/>
        </w:rPr>
        <w:t xml:space="preserve"> and net impact of asset transfers resulting from </w:t>
      </w:r>
      <w:r w:rsidR="000B2630" w:rsidRPr="003D1063">
        <w:rPr>
          <w:bCs/>
          <w:iCs/>
        </w:rPr>
        <w:t>A</w:t>
      </w:r>
      <w:r w:rsidRPr="003D1063">
        <w:rPr>
          <w:bCs/>
          <w:iCs/>
        </w:rPr>
        <w:t xml:space="preserve">dministrative </w:t>
      </w:r>
      <w:r w:rsidR="000B2630" w:rsidRPr="003D1063">
        <w:rPr>
          <w:bCs/>
          <w:iCs/>
        </w:rPr>
        <w:t>A</w:t>
      </w:r>
      <w:r w:rsidRPr="003D1063">
        <w:rPr>
          <w:bCs/>
          <w:iCs/>
        </w:rPr>
        <w:t>rrangement</w:t>
      </w:r>
      <w:r w:rsidR="000B2630" w:rsidRPr="003D1063">
        <w:rPr>
          <w:bCs/>
          <w:iCs/>
        </w:rPr>
        <w:t>s</w:t>
      </w:r>
      <w:r w:rsidRPr="003D1063">
        <w:rPr>
          <w:bCs/>
          <w:iCs/>
        </w:rPr>
        <w:t xml:space="preserve"> and government decision</w:t>
      </w:r>
      <w:r w:rsidR="000B2630" w:rsidRPr="003D1063">
        <w:rPr>
          <w:bCs/>
          <w:iCs/>
        </w:rPr>
        <w:t>s</w:t>
      </w:r>
      <w:r w:rsidRPr="003D1063">
        <w:rPr>
          <w:bCs/>
          <w:iCs/>
        </w:rPr>
        <w:t xml:space="preserve"> to transfer assets between other ACT Government agencies</w:t>
      </w:r>
      <w:r w:rsidRPr="003D1063">
        <w:t>.</w:t>
      </w:r>
    </w:p>
    <w:p w14:paraId="6E0CCB12" w14:textId="77777777" w:rsidR="005B21A7" w:rsidRPr="003D1063" w:rsidRDefault="009B5C32" w:rsidP="00945D1F">
      <w:pPr>
        <w:pStyle w:val="BSbullet1"/>
        <w:keepLines/>
        <w:numPr>
          <w:ilvl w:val="1"/>
          <w:numId w:val="23"/>
        </w:numPr>
        <w:pBdr>
          <w:top w:val="nil"/>
          <w:left w:val="nil"/>
          <w:bottom w:val="nil"/>
          <w:right w:val="nil"/>
          <w:between w:val="nil"/>
          <w:bar w:val="nil"/>
        </w:pBdr>
        <w:spacing w:before="0"/>
        <w:ind w:left="709"/>
        <w:rPr>
          <w:bCs/>
          <w:iCs/>
        </w:rPr>
      </w:pPr>
      <w:r w:rsidRPr="003D1063">
        <w:rPr>
          <w:bCs/>
          <w:iCs/>
        </w:rPr>
        <w:t>the increase of $742.870 million in the 2026</w:t>
      </w:r>
      <w:r w:rsidRPr="003D1063">
        <w:rPr>
          <w:bCs/>
          <w:iCs/>
        </w:rPr>
        <w:noBreakHyphen/>
        <w:t>27</w:t>
      </w:r>
      <w:r w:rsidR="00C21F66" w:rsidRPr="003D1063">
        <w:rPr>
          <w:bCs/>
          <w:iCs/>
        </w:rPr>
        <w:t xml:space="preserve"> B</w:t>
      </w:r>
      <w:r w:rsidRPr="003D1063">
        <w:rPr>
          <w:bCs/>
          <w:iCs/>
        </w:rPr>
        <w:t>udget from the 2025</w:t>
      </w:r>
      <w:r w:rsidRPr="003D1063">
        <w:rPr>
          <w:bCs/>
          <w:iCs/>
        </w:rPr>
        <w:noBreakHyphen/>
        <w:t>26</w:t>
      </w:r>
      <w:r w:rsidR="001773D1" w:rsidRPr="003D1063">
        <w:rPr>
          <w:bCs/>
          <w:iCs/>
        </w:rPr>
        <w:t> </w:t>
      </w:r>
      <w:r w:rsidRPr="003D1063">
        <w:rPr>
          <w:bCs/>
          <w:iCs/>
        </w:rPr>
        <w:t>estimated outcome is mainly due to $941.5</w:t>
      </w:r>
      <w:r w:rsidR="0016081A" w:rsidRPr="003D1063">
        <w:rPr>
          <w:bCs/>
          <w:iCs/>
        </w:rPr>
        <w:t>08</w:t>
      </w:r>
      <w:r w:rsidRPr="003D1063">
        <w:rPr>
          <w:bCs/>
          <w:iCs/>
        </w:rPr>
        <w:t xml:space="preserve"> million </w:t>
      </w:r>
      <w:r w:rsidR="008F5356" w:rsidRPr="003D1063">
        <w:rPr>
          <w:bCs/>
          <w:iCs/>
        </w:rPr>
        <w:t xml:space="preserve">in </w:t>
      </w:r>
      <w:r w:rsidRPr="003D1063">
        <w:rPr>
          <w:bCs/>
          <w:iCs/>
        </w:rPr>
        <w:t>capital injection appropriat</w:t>
      </w:r>
      <w:r w:rsidR="008F281A" w:rsidRPr="003D1063">
        <w:rPr>
          <w:bCs/>
          <w:iCs/>
        </w:rPr>
        <w:t>i</w:t>
      </w:r>
      <w:r w:rsidRPr="003D1063">
        <w:rPr>
          <w:bCs/>
          <w:iCs/>
        </w:rPr>
        <w:t>o</w:t>
      </w:r>
      <w:r w:rsidR="008F281A" w:rsidRPr="003D1063">
        <w:rPr>
          <w:bCs/>
          <w:iCs/>
        </w:rPr>
        <w:t>n</w:t>
      </w:r>
      <w:r w:rsidRPr="003D1063">
        <w:rPr>
          <w:bCs/>
          <w:iCs/>
        </w:rPr>
        <w:t xml:space="preserve"> in</w:t>
      </w:r>
      <w:r w:rsidR="008F281A" w:rsidRPr="003D1063">
        <w:rPr>
          <w:bCs/>
          <w:iCs/>
        </w:rPr>
        <w:t xml:space="preserve"> 2026</w:t>
      </w:r>
      <w:r w:rsidR="008F281A" w:rsidRPr="003D1063">
        <w:rPr>
          <w:bCs/>
          <w:iCs/>
        </w:rPr>
        <w:noBreakHyphen/>
        <w:t xml:space="preserve">27, partly offset by </w:t>
      </w:r>
      <w:r w:rsidRPr="003D1063">
        <w:rPr>
          <w:bCs/>
          <w:iCs/>
        </w:rPr>
        <w:t>$133.660 million</w:t>
      </w:r>
      <w:r w:rsidR="00EB2603" w:rsidRPr="003D1063">
        <w:rPr>
          <w:bCs/>
          <w:iCs/>
        </w:rPr>
        <w:t xml:space="preserve"> due to the</w:t>
      </w:r>
      <w:r w:rsidRPr="003D1063">
        <w:rPr>
          <w:bCs/>
          <w:iCs/>
        </w:rPr>
        <w:t xml:space="preserve"> </w:t>
      </w:r>
      <w:r w:rsidR="008F281A" w:rsidRPr="003D1063">
        <w:rPr>
          <w:bCs/>
          <w:iCs/>
        </w:rPr>
        <w:t xml:space="preserve">transfer of Whitlam School and Narrabundah College to </w:t>
      </w:r>
      <w:r w:rsidR="000B2630" w:rsidRPr="003D1063">
        <w:rPr>
          <w:bCs/>
          <w:iCs/>
        </w:rPr>
        <w:t xml:space="preserve">the </w:t>
      </w:r>
      <w:r w:rsidR="008F281A" w:rsidRPr="003D1063">
        <w:rPr>
          <w:bCs/>
          <w:iCs/>
        </w:rPr>
        <w:t>Education Directorate</w:t>
      </w:r>
      <w:r w:rsidRPr="003D1063">
        <w:rPr>
          <w:bCs/>
          <w:iCs/>
        </w:rPr>
        <w:t>.</w:t>
      </w:r>
    </w:p>
    <w:p w14:paraId="7BD7551E" w14:textId="77777777" w:rsidR="00BA2254" w:rsidRPr="003D1063" w:rsidRDefault="009B5C32" w:rsidP="000B55B1">
      <w:pPr>
        <w:pStyle w:val="Heading4"/>
      </w:pPr>
      <w:r w:rsidRPr="003D1063">
        <w:t>Statement of Changes in Equity</w:t>
      </w:r>
    </w:p>
    <w:p w14:paraId="0EE9492D" w14:textId="77777777" w:rsidR="00B00D81" w:rsidRPr="003D1063" w:rsidRDefault="009B5C32" w:rsidP="00945D1F">
      <w:pPr>
        <w:pStyle w:val="BSbullet1"/>
        <w:keepNext/>
        <w:keepLines/>
        <w:pBdr>
          <w:top w:val="nil"/>
          <w:left w:val="nil"/>
          <w:bottom w:val="nil"/>
          <w:right w:val="nil"/>
          <w:between w:val="nil"/>
          <w:bar w:val="nil"/>
        </w:pBdr>
        <w:spacing w:before="0"/>
      </w:pPr>
      <w:r w:rsidRPr="003D1063">
        <w:t>capital injections:</w:t>
      </w:r>
    </w:p>
    <w:p w14:paraId="26A8FEC5" w14:textId="2F39733D" w:rsidR="00975585" w:rsidRPr="003D1063" w:rsidRDefault="009B5C32" w:rsidP="00945D1F">
      <w:pPr>
        <w:pStyle w:val="BSbullet1"/>
        <w:keepLines/>
        <w:numPr>
          <w:ilvl w:val="1"/>
          <w:numId w:val="23"/>
        </w:numPr>
        <w:pBdr>
          <w:top w:val="nil"/>
          <w:left w:val="nil"/>
          <w:bottom w:val="nil"/>
          <w:right w:val="nil"/>
          <w:between w:val="nil"/>
          <w:bar w:val="nil"/>
        </w:pBdr>
        <w:spacing w:before="0"/>
        <w:ind w:left="709"/>
        <w:rPr>
          <w:b/>
          <w:i/>
        </w:rPr>
      </w:pPr>
      <w:r w:rsidRPr="003D1063">
        <w:rPr>
          <w:bCs/>
          <w:iCs/>
        </w:rPr>
        <w:t>the increase</w:t>
      </w:r>
      <w:r w:rsidR="00986A68" w:rsidRPr="003D1063">
        <w:rPr>
          <w:bCs/>
          <w:iCs/>
        </w:rPr>
        <w:t xml:space="preserve"> of $</w:t>
      </w:r>
      <w:r w:rsidRPr="003D1063">
        <w:rPr>
          <w:bCs/>
          <w:iCs/>
        </w:rPr>
        <w:t>66.957</w:t>
      </w:r>
      <w:r w:rsidR="000A3410" w:rsidRPr="003D1063">
        <w:rPr>
          <w:bCs/>
          <w:iCs/>
        </w:rPr>
        <w:t> </w:t>
      </w:r>
      <w:r w:rsidRPr="003D1063">
        <w:rPr>
          <w:bCs/>
          <w:iCs/>
        </w:rPr>
        <w:t>million in the 2025</w:t>
      </w:r>
      <w:r w:rsidRPr="003D1063">
        <w:rPr>
          <w:bCs/>
          <w:iCs/>
        </w:rPr>
        <w:noBreakHyphen/>
        <w:t>26</w:t>
      </w:r>
      <w:r w:rsidR="000A3410" w:rsidRPr="003D1063">
        <w:rPr>
          <w:bCs/>
          <w:iCs/>
        </w:rPr>
        <w:t> </w:t>
      </w:r>
      <w:r w:rsidRPr="003D1063">
        <w:rPr>
          <w:bCs/>
          <w:iCs/>
        </w:rPr>
        <w:t>estimated outcome from the 2025</w:t>
      </w:r>
      <w:r w:rsidRPr="003D1063">
        <w:rPr>
          <w:bCs/>
          <w:iCs/>
        </w:rPr>
        <w:noBreakHyphen/>
        <w:t>26</w:t>
      </w:r>
      <w:r w:rsidR="000A3410" w:rsidRPr="003D1063">
        <w:rPr>
          <w:bCs/>
          <w:iCs/>
        </w:rPr>
        <w:t> B</w:t>
      </w:r>
      <w:r w:rsidRPr="003D1063">
        <w:rPr>
          <w:bCs/>
          <w:iCs/>
        </w:rPr>
        <w:t>udget</w:t>
      </w:r>
      <w:r w:rsidR="003D5816" w:rsidRPr="003D1063">
        <w:t xml:space="preserve"> </w:t>
      </w:r>
      <w:r w:rsidRPr="003D1063">
        <w:rPr>
          <w:bCs/>
          <w:iCs/>
        </w:rPr>
        <w:t xml:space="preserve">is </w:t>
      </w:r>
      <w:r w:rsidR="0039256E" w:rsidRPr="003D1063">
        <w:rPr>
          <w:bCs/>
          <w:iCs/>
        </w:rPr>
        <w:t>mainly due</w:t>
      </w:r>
      <w:r w:rsidR="000B2630" w:rsidRPr="003D1063">
        <w:rPr>
          <w:bCs/>
          <w:iCs/>
        </w:rPr>
        <w:t xml:space="preserve"> to </w:t>
      </w:r>
      <w:r w:rsidRPr="003D1063">
        <w:rPr>
          <w:bCs/>
          <w:iCs/>
        </w:rPr>
        <w:t xml:space="preserve">additional capital funding </w:t>
      </w:r>
      <w:r w:rsidR="000B2630" w:rsidRPr="003D1063">
        <w:rPr>
          <w:bCs/>
          <w:iCs/>
        </w:rPr>
        <w:t xml:space="preserve">arising from </w:t>
      </w:r>
      <w:r w:rsidRPr="003D1063">
        <w:rPr>
          <w:bCs/>
          <w:iCs/>
        </w:rPr>
        <w:t>2025</w:t>
      </w:r>
      <w:r w:rsidR="000A3410" w:rsidRPr="003D1063">
        <w:rPr>
          <w:bCs/>
          <w:iCs/>
        </w:rPr>
        <w:noBreakHyphen/>
      </w:r>
      <w:r w:rsidRPr="003D1063">
        <w:rPr>
          <w:bCs/>
          <w:iCs/>
        </w:rPr>
        <w:t>26</w:t>
      </w:r>
      <w:r w:rsidR="000A3410" w:rsidRPr="003D1063">
        <w:rPr>
          <w:bCs/>
          <w:iCs/>
        </w:rPr>
        <w:t> </w:t>
      </w:r>
      <w:r w:rsidRPr="003D1063">
        <w:rPr>
          <w:bCs/>
          <w:iCs/>
        </w:rPr>
        <w:t>Budget Review</w:t>
      </w:r>
      <w:r w:rsidR="000A3410" w:rsidRPr="003D1063">
        <w:rPr>
          <w:bCs/>
          <w:iCs/>
        </w:rPr>
        <w:t xml:space="preserve"> decision</w:t>
      </w:r>
      <w:r w:rsidR="000B2630" w:rsidRPr="003D1063">
        <w:rPr>
          <w:bCs/>
          <w:iCs/>
        </w:rPr>
        <w:t xml:space="preserve">s such as the </w:t>
      </w:r>
      <w:r w:rsidR="000B2630" w:rsidRPr="003D1063">
        <w:rPr>
          <w:bCs/>
          <w:i/>
        </w:rPr>
        <w:t>Canberra Theatre Redevelopment–Delivering new Lyric Theatre</w:t>
      </w:r>
      <w:r w:rsidRPr="003D1063">
        <w:rPr>
          <w:bCs/>
          <w:iCs/>
        </w:rPr>
        <w:t xml:space="preserve">. Other adjustments include </w:t>
      </w:r>
      <w:r w:rsidR="000B2630" w:rsidRPr="003D1063">
        <w:rPr>
          <w:bCs/>
          <w:iCs/>
        </w:rPr>
        <w:t>S</w:t>
      </w:r>
      <w:r w:rsidRPr="003D1063">
        <w:rPr>
          <w:bCs/>
          <w:iCs/>
        </w:rPr>
        <w:t xml:space="preserve">ection 16B rollovers from 2024–25 to 2025–26 and the </w:t>
      </w:r>
      <w:r w:rsidR="000B2630" w:rsidRPr="003D1063">
        <w:rPr>
          <w:bCs/>
          <w:iCs/>
        </w:rPr>
        <w:t>bringing forward</w:t>
      </w:r>
      <w:r w:rsidRPr="003D1063">
        <w:rPr>
          <w:bCs/>
          <w:iCs/>
        </w:rPr>
        <w:t xml:space="preserve"> of capital works projects from future years into 2025–26</w:t>
      </w:r>
      <w:r w:rsidR="0039256E" w:rsidRPr="003D1063">
        <w:t>.</w:t>
      </w:r>
    </w:p>
    <w:p w14:paraId="3C42809E" w14:textId="7423D928" w:rsidR="00975585" w:rsidRPr="003D1063" w:rsidRDefault="009B5C32" w:rsidP="00945D1F">
      <w:pPr>
        <w:pStyle w:val="BSbullet1"/>
        <w:keepLines/>
        <w:numPr>
          <w:ilvl w:val="1"/>
          <w:numId w:val="23"/>
        </w:numPr>
        <w:pBdr>
          <w:top w:val="nil"/>
          <w:left w:val="nil"/>
          <w:bottom w:val="nil"/>
          <w:right w:val="nil"/>
          <w:between w:val="nil"/>
          <w:bar w:val="nil"/>
        </w:pBdr>
        <w:spacing w:before="0"/>
        <w:ind w:left="709"/>
        <w:rPr>
          <w:b/>
          <w:i/>
        </w:rPr>
      </w:pPr>
      <w:r w:rsidRPr="003D1063">
        <w:rPr>
          <w:bCs/>
          <w:iCs/>
        </w:rPr>
        <w:t xml:space="preserve">the </w:t>
      </w:r>
      <w:r w:rsidR="00902ED4" w:rsidRPr="003D1063">
        <w:rPr>
          <w:bCs/>
          <w:iCs/>
        </w:rPr>
        <w:t>increase</w:t>
      </w:r>
      <w:r w:rsidRPr="003D1063">
        <w:rPr>
          <w:bCs/>
          <w:iCs/>
        </w:rPr>
        <w:t xml:space="preserve"> of $</w:t>
      </w:r>
      <w:r w:rsidR="00902ED4" w:rsidRPr="003D1063">
        <w:rPr>
          <w:bCs/>
          <w:iCs/>
        </w:rPr>
        <w:t>216.979</w:t>
      </w:r>
      <w:r w:rsidR="000A3410" w:rsidRPr="003D1063">
        <w:rPr>
          <w:bCs/>
          <w:iCs/>
        </w:rPr>
        <w:t> </w:t>
      </w:r>
      <w:r w:rsidRPr="003D1063">
        <w:rPr>
          <w:bCs/>
          <w:iCs/>
        </w:rPr>
        <w:t xml:space="preserve">million </w:t>
      </w:r>
      <w:r w:rsidR="00C21F66" w:rsidRPr="003D1063">
        <w:rPr>
          <w:bCs/>
          <w:iCs/>
        </w:rPr>
        <w:t>in the 2026</w:t>
      </w:r>
      <w:r w:rsidR="00C21F66" w:rsidRPr="003D1063">
        <w:rPr>
          <w:bCs/>
          <w:iCs/>
        </w:rPr>
        <w:noBreakHyphen/>
        <w:t xml:space="preserve">27 Budget </w:t>
      </w:r>
      <w:r w:rsidRPr="003D1063">
        <w:rPr>
          <w:bCs/>
          <w:iCs/>
        </w:rPr>
        <w:t>from</w:t>
      </w:r>
      <w:r w:rsidR="00C21F66" w:rsidRPr="003D1063">
        <w:rPr>
          <w:bCs/>
          <w:iCs/>
        </w:rPr>
        <w:t xml:space="preserve"> the 2025</w:t>
      </w:r>
      <w:r w:rsidR="00C21F66" w:rsidRPr="003D1063">
        <w:rPr>
          <w:bCs/>
          <w:iCs/>
        </w:rPr>
        <w:noBreakHyphen/>
        <w:t>26 estimated outcome</w:t>
      </w:r>
      <w:r w:rsidR="00902ED4" w:rsidRPr="003D1063">
        <w:t xml:space="preserve"> </w:t>
      </w:r>
      <w:r w:rsidR="00902ED4" w:rsidRPr="003D1063">
        <w:rPr>
          <w:bCs/>
          <w:iCs/>
        </w:rPr>
        <w:t xml:space="preserve">is </w:t>
      </w:r>
      <w:r w:rsidR="0039256E" w:rsidRPr="003D1063">
        <w:rPr>
          <w:bCs/>
          <w:iCs/>
        </w:rPr>
        <w:t>due</w:t>
      </w:r>
      <w:r w:rsidR="000B2630" w:rsidRPr="003D1063">
        <w:rPr>
          <w:bCs/>
          <w:iCs/>
        </w:rPr>
        <w:t xml:space="preserve"> </w:t>
      </w:r>
      <w:r w:rsidRPr="003D1063">
        <w:rPr>
          <w:bCs/>
          <w:iCs/>
        </w:rPr>
        <w:t xml:space="preserve">to </w:t>
      </w:r>
      <w:r w:rsidR="00902ED4" w:rsidRPr="003D1063">
        <w:rPr>
          <w:bCs/>
          <w:iCs/>
        </w:rPr>
        <w:t xml:space="preserve">additional </w:t>
      </w:r>
      <w:r w:rsidR="000A3410" w:rsidRPr="003D1063">
        <w:rPr>
          <w:bCs/>
          <w:iCs/>
        </w:rPr>
        <w:t>appropriation</w:t>
      </w:r>
      <w:r w:rsidR="00902ED4" w:rsidRPr="003D1063">
        <w:rPr>
          <w:bCs/>
          <w:iCs/>
        </w:rPr>
        <w:t xml:space="preserve"> provided </w:t>
      </w:r>
      <w:r w:rsidR="000A3410" w:rsidRPr="003D1063">
        <w:rPr>
          <w:bCs/>
          <w:iCs/>
        </w:rPr>
        <w:t>for new initiatives</w:t>
      </w:r>
      <w:r w:rsidRPr="003D1063">
        <w:t>.</w:t>
      </w:r>
    </w:p>
    <w:p w14:paraId="5E4CF7F3" w14:textId="55C28CE4" w:rsidR="00986A68" w:rsidRPr="003D1063" w:rsidRDefault="009B5C32" w:rsidP="00945D1F">
      <w:pPr>
        <w:pStyle w:val="BSbullet1"/>
        <w:keepNext/>
        <w:keepLines/>
        <w:pBdr>
          <w:top w:val="nil"/>
          <w:left w:val="nil"/>
          <w:bottom w:val="nil"/>
          <w:right w:val="nil"/>
          <w:between w:val="nil"/>
          <w:bar w:val="nil"/>
        </w:pBdr>
        <w:spacing w:before="0"/>
      </w:pPr>
      <w:r w:rsidRPr="003D1063">
        <w:t>net assets transferred</w:t>
      </w:r>
      <w:r w:rsidR="00FC367D" w:rsidRPr="003D1063">
        <w:t xml:space="preserve"> from/(</w:t>
      </w:r>
      <w:r w:rsidR="00871967" w:rsidRPr="003D1063">
        <w:t>to</w:t>
      </w:r>
      <w:r w:rsidR="00FC367D" w:rsidRPr="003D1063">
        <w:t>)</w:t>
      </w:r>
      <w:r w:rsidR="00871967" w:rsidRPr="003D1063">
        <w:t xml:space="preserve"> </w:t>
      </w:r>
      <w:r w:rsidRPr="003D1063">
        <w:t>other agencies:</w:t>
      </w:r>
    </w:p>
    <w:p w14:paraId="49D11B37" w14:textId="57964CEC" w:rsidR="00986A68" w:rsidRPr="003D1063" w:rsidRDefault="009B5C32" w:rsidP="00945D1F">
      <w:pPr>
        <w:pStyle w:val="BSbullet1"/>
        <w:keepLines/>
        <w:numPr>
          <w:ilvl w:val="1"/>
          <w:numId w:val="23"/>
        </w:numPr>
        <w:pBdr>
          <w:top w:val="nil"/>
          <w:left w:val="nil"/>
          <w:bottom w:val="nil"/>
          <w:right w:val="nil"/>
          <w:between w:val="nil"/>
          <w:bar w:val="nil"/>
        </w:pBdr>
        <w:spacing w:before="0"/>
        <w:ind w:left="709"/>
        <w:rPr>
          <w:bCs/>
          <w:iCs/>
        </w:rPr>
      </w:pPr>
      <w:r w:rsidRPr="003D1063">
        <w:rPr>
          <w:bCs/>
          <w:iCs/>
        </w:rPr>
        <w:t xml:space="preserve">the </w:t>
      </w:r>
      <w:r w:rsidR="00F85D5F" w:rsidRPr="003D1063">
        <w:rPr>
          <w:bCs/>
          <w:iCs/>
        </w:rPr>
        <w:t>de</w:t>
      </w:r>
      <w:r w:rsidRPr="003D1063">
        <w:rPr>
          <w:bCs/>
          <w:iCs/>
        </w:rPr>
        <w:t>crease of $147.755</w:t>
      </w:r>
      <w:r w:rsidR="00CF2E05" w:rsidRPr="003D1063">
        <w:rPr>
          <w:bCs/>
          <w:iCs/>
        </w:rPr>
        <w:t> </w:t>
      </w:r>
      <w:r w:rsidRPr="003D1063">
        <w:rPr>
          <w:bCs/>
          <w:iCs/>
        </w:rPr>
        <w:t>million in the 2025</w:t>
      </w:r>
      <w:r w:rsidRPr="003D1063">
        <w:rPr>
          <w:bCs/>
          <w:iCs/>
        </w:rPr>
        <w:noBreakHyphen/>
        <w:t>26</w:t>
      </w:r>
      <w:r w:rsidR="00CF2E05" w:rsidRPr="003D1063">
        <w:rPr>
          <w:bCs/>
          <w:iCs/>
        </w:rPr>
        <w:t> </w:t>
      </w:r>
      <w:r w:rsidRPr="003D1063">
        <w:rPr>
          <w:bCs/>
          <w:iCs/>
        </w:rPr>
        <w:t>estimated outcome from 2025</w:t>
      </w:r>
      <w:r w:rsidRPr="003D1063">
        <w:rPr>
          <w:bCs/>
          <w:iCs/>
        </w:rPr>
        <w:noBreakHyphen/>
        <w:t>26</w:t>
      </w:r>
      <w:r w:rsidR="00CF2E05" w:rsidRPr="003D1063">
        <w:rPr>
          <w:bCs/>
          <w:iCs/>
        </w:rPr>
        <w:t> B</w:t>
      </w:r>
      <w:r w:rsidRPr="003D1063">
        <w:rPr>
          <w:bCs/>
          <w:iCs/>
        </w:rPr>
        <w:t>udget is mainly due to</w:t>
      </w:r>
      <w:r w:rsidR="00616B57" w:rsidRPr="003D1063">
        <w:rPr>
          <w:bCs/>
          <w:iCs/>
        </w:rPr>
        <w:t xml:space="preserve"> the</w:t>
      </w:r>
      <w:r w:rsidRPr="003D1063">
        <w:rPr>
          <w:bCs/>
          <w:iCs/>
        </w:rPr>
        <w:t xml:space="preserve"> </w:t>
      </w:r>
      <w:r w:rsidR="00616B57" w:rsidRPr="003D1063">
        <w:rPr>
          <w:bCs/>
          <w:iCs/>
        </w:rPr>
        <w:t xml:space="preserve">$153.604 million </w:t>
      </w:r>
      <w:r w:rsidRPr="003D1063">
        <w:rPr>
          <w:bCs/>
          <w:iCs/>
        </w:rPr>
        <w:t>transfer of</w:t>
      </w:r>
      <w:r w:rsidR="00616B57" w:rsidRPr="003D1063">
        <w:rPr>
          <w:bCs/>
          <w:iCs/>
        </w:rPr>
        <w:t xml:space="preserve"> </w:t>
      </w:r>
      <w:r w:rsidRPr="003D1063">
        <w:rPr>
          <w:bCs/>
          <w:iCs/>
        </w:rPr>
        <w:t xml:space="preserve">Garran and Strathnairn Primary School to </w:t>
      </w:r>
      <w:r w:rsidR="000B2630" w:rsidRPr="003D1063">
        <w:rPr>
          <w:bCs/>
          <w:iCs/>
        </w:rPr>
        <w:t xml:space="preserve">the </w:t>
      </w:r>
      <w:r w:rsidRPr="003D1063">
        <w:rPr>
          <w:bCs/>
          <w:iCs/>
        </w:rPr>
        <w:t xml:space="preserve">Education Directorate and </w:t>
      </w:r>
      <w:r w:rsidR="000B2630" w:rsidRPr="003D1063">
        <w:rPr>
          <w:bCs/>
          <w:iCs/>
        </w:rPr>
        <w:t xml:space="preserve">the </w:t>
      </w:r>
      <w:r w:rsidRPr="003D1063">
        <w:rPr>
          <w:bCs/>
          <w:iCs/>
        </w:rPr>
        <w:t>provision transfer for contaminated site restoration of C</w:t>
      </w:r>
      <w:r w:rsidR="00616B57" w:rsidRPr="003D1063">
        <w:rPr>
          <w:bCs/>
          <w:iCs/>
        </w:rPr>
        <w:t>anberra Institute Technology (C</w:t>
      </w:r>
      <w:r w:rsidRPr="003D1063">
        <w:rPr>
          <w:bCs/>
          <w:iCs/>
        </w:rPr>
        <w:t>IT</w:t>
      </w:r>
      <w:r w:rsidR="00616B57" w:rsidRPr="003D1063">
        <w:rPr>
          <w:bCs/>
          <w:iCs/>
        </w:rPr>
        <w:t>)</w:t>
      </w:r>
      <w:r w:rsidRPr="003D1063">
        <w:rPr>
          <w:bCs/>
          <w:iCs/>
        </w:rPr>
        <w:t xml:space="preserve"> Reid Campus</w:t>
      </w:r>
      <w:r w:rsidR="000B2630" w:rsidRPr="003D1063">
        <w:rPr>
          <w:bCs/>
          <w:iCs/>
        </w:rPr>
        <w:t xml:space="preserve"> from CIT</w:t>
      </w:r>
      <w:r w:rsidRPr="003D1063">
        <w:rPr>
          <w:bCs/>
          <w:iCs/>
        </w:rPr>
        <w:t>. This is partially offset by other asset transfers</w:t>
      </w:r>
      <w:r w:rsidR="000B2630" w:rsidRPr="003D1063">
        <w:rPr>
          <w:bCs/>
          <w:iCs/>
        </w:rPr>
        <w:t xml:space="preserve">, including </w:t>
      </w:r>
      <w:r w:rsidRPr="003D1063">
        <w:rPr>
          <w:bCs/>
          <w:iCs/>
        </w:rPr>
        <w:t xml:space="preserve">$8.471 million of </w:t>
      </w:r>
      <w:r w:rsidR="000B2630" w:rsidRPr="003D1063">
        <w:rPr>
          <w:bCs/>
          <w:iCs/>
        </w:rPr>
        <w:t>S</w:t>
      </w:r>
      <w:r w:rsidRPr="003D1063">
        <w:rPr>
          <w:bCs/>
          <w:iCs/>
        </w:rPr>
        <w:t xml:space="preserve">outhside Hydrotherapy Pool from </w:t>
      </w:r>
      <w:r w:rsidR="000B2630" w:rsidRPr="003D1063">
        <w:rPr>
          <w:bCs/>
          <w:iCs/>
        </w:rPr>
        <w:t xml:space="preserve">the </w:t>
      </w:r>
      <w:r w:rsidRPr="003D1063">
        <w:rPr>
          <w:bCs/>
          <w:iCs/>
        </w:rPr>
        <w:t>H</w:t>
      </w:r>
      <w:r w:rsidR="000B2630" w:rsidRPr="003D1063">
        <w:rPr>
          <w:bCs/>
          <w:iCs/>
        </w:rPr>
        <w:t xml:space="preserve">ealth and </w:t>
      </w:r>
      <w:r w:rsidRPr="003D1063">
        <w:rPr>
          <w:bCs/>
          <w:iCs/>
        </w:rPr>
        <w:t>C</w:t>
      </w:r>
      <w:r w:rsidR="000B2630" w:rsidRPr="003D1063">
        <w:rPr>
          <w:bCs/>
          <w:iCs/>
        </w:rPr>
        <w:t xml:space="preserve">ommunity </w:t>
      </w:r>
      <w:r w:rsidRPr="003D1063">
        <w:rPr>
          <w:bCs/>
          <w:iCs/>
        </w:rPr>
        <w:t>S</w:t>
      </w:r>
      <w:r w:rsidR="000B2630" w:rsidRPr="003D1063">
        <w:rPr>
          <w:bCs/>
          <w:iCs/>
        </w:rPr>
        <w:t xml:space="preserve">ervices </w:t>
      </w:r>
      <w:r w:rsidRPr="003D1063">
        <w:rPr>
          <w:bCs/>
          <w:iCs/>
        </w:rPr>
        <w:t>D</w:t>
      </w:r>
      <w:r w:rsidR="000B2630" w:rsidRPr="003D1063">
        <w:rPr>
          <w:bCs/>
          <w:iCs/>
        </w:rPr>
        <w:t>irectorate</w:t>
      </w:r>
      <w:r w:rsidRPr="003D1063">
        <w:rPr>
          <w:bCs/>
          <w:iCs/>
        </w:rPr>
        <w:t xml:space="preserve"> and $38.489 million of </w:t>
      </w:r>
      <w:r w:rsidR="000B2630" w:rsidRPr="003D1063">
        <w:rPr>
          <w:bCs/>
          <w:iCs/>
        </w:rPr>
        <w:t xml:space="preserve">the </w:t>
      </w:r>
      <w:r w:rsidRPr="003D1063">
        <w:rPr>
          <w:bCs/>
          <w:iCs/>
        </w:rPr>
        <w:t xml:space="preserve">CIT Reid Campus </w:t>
      </w:r>
      <w:r w:rsidR="000B2630" w:rsidRPr="003D1063">
        <w:rPr>
          <w:bCs/>
          <w:iCs/>
        </w:rPr>
        <w:t>from CIT</w:t>
      </w:r>
      <w:r w:rsidR="00B64F4F" w:rsidRPr="003D1063">
        <w:rPr>
          <w:bCs/>
          <w:iCs/>
        </w:rPr>
        <w:t>.</w:t>
      </w:r>
    </w:p>
    <w:p w14:paraId="760DE312" w14:textId="5E77113F" w:rsidR="000B1FAF" w:rsidRPr="003D1063" w:rsidRDefault="009B5C32" w:rsidP="00945D1F">
      <w:pPr>
        <w:pStyle w:val="BSbullet1"/>
        <w:keepLines/>
        <w:numPr>
          <w:ilvl w:val="1"/>
          <w:numId w:val="23"/>
        </w:numPr>
        <w:pBdr>
          <w:top w:val="nil"/>
          <w:left w:val="nil"/>
          <w:bottom w:val="nil"/>
          <w:right w:val="nil"/>
          <w:between w:val="nil"/>
          <w:bar w:val="nil"/>
        </w:pBdr>
        <w:spacing w:before="0"/>
        <w:ind w:left="709"/>
        <w:rPr>
          <w:b/>
          <w:i/>
        </w:rPr>
      </w:pPr>
      <w:r w:rsidRPr="003D1063">
        <w:rPr>
          <w:bCs/>
          <w:iCs/>
        </w:rPr>
        <w:t>the</w:t>
      </w:r>
      <w:r w:rsidR="00687412" w:rsidRPr="003D1063">
        <w:rPr>
          <w:bCs/>
          <w:iCs/>
        </w:rPr>
        <w:t xml:space="preserve"> </w:t>
      </w:r>
      <w:r w:rsidR="00F85D5F" w:rsidRPr="003D1063">
        <w:rPr>
          <w:bCs/>
          <w:iCs/>
        </w:rPr>
        <w:t>in</w:t>
      </w:r>
      <w:r w:rsidR="00687412" w:rsidRPr="003D1063">
        <w:rPr>
          <w:bCs/>
          <w:iCs/>
        </w:rPr>
        <w:t xml:space="preserve">crease of $136.130 million in the </w:t>
      </w:r>
      <w:r w:rsidR="00D42F58" w:rsidRPr="003D1063">
        <w:rPr>
          <w:bCs/>
          <w:iCs/>
        </w:rPr>
        <w:t>2026</w:t>
      </w:r>
      <w:r w:rsidR="00D42F58" w:rsidRPr="003D1063">
        <w:rPr>
          <w:bCs/>
          <w:iCs/>
        </w:rPr>
        <w:noBreakHyphen/>
        <w:t xml:space="preserve">27 Budget </w:t>
      </w:r>
      <w:r w:rsidRPr="003D1063">
        <w:rPr>
          <w:bCs/>
          <w:iCs/>
        </w:rPr>
        <w:t>from</w:t>
      </w:r>
      <w:r w:rsidR="00D42F58" w:rsidRPr="003D1063">
        <w:rPr>
          <w:bCs/>
          <w:iCs/>
        </w:rPr>
        <w:t xml:space="preserve"> the 2025</w:t>
      </w:r>
      <w:r w:rsidR="00D42F58" w:rsidRPr="003D1063">
        <w:rPr>
          <w:bCs/>
          <w:iCs/>
        </w:rPr>
        <w:noBreakHyphen/>
        <w:t>26 estimated outcome</w:t>
      </w:r>
      <w:r w:rsidR="00687412" w:rsidRPr="003D1063">
        <w:rPr>
          <w:bCs/>
          <w:iCs/>
        </w:rPr>
        <w:t xml:space="preserve"> is due to the net impact of transfers in 2025</w:t>
      </w:r>
      <w:r w:rsidR="00687412" w:rsidRPr="003D1063">
        <w:rPr>
          <w:bCs/>
          <w:iCs/>
        </w:rPr>
        <w:noBreakHyphen/>
        <w:t xml:space="preserve">26, as noted above and </w:t>
      </w:r>
      <w:r w:rsidR="000B2630" w:rsidRPr="003D1063">
        <w:rPr>
          <w:bCs/>
          <w:iCs/>
        </w:rPr>
        <w:t>the</w:t>
      </w:r>
      <w:r w:rsidR="00687412" w:rsidRPr="003D1063">
        <w:rPr>
          <w:bCs/>
          <w:iCs/>
        </w:rPr>
        <w:t xml:space="preserve"> transfer of Whitlam School and Narrabundah College to </w:t>
      </w:r>
      <w:r w:rsidR="000B2630" w:rsidRPr="003D1063">
        <w:rPr>
          <w:bCs/>
          <w:iCs/>
        </w:rPr>
        <w:t xml:space="preserve">the </w:t>
      </w:r>
      <w:r w:rsidR="00687412" w:rsidRPr="003D1063">
        <w:rPr>
          <w:bCs/>
          <w:iCs/>
        </w:rPr>
        <w:t>Education Directorate</w:t>
      </w:r>
      <w:r w:rsidR="000B2630" w:rsidRPr="003D1063">
        <w:rPr>
          <w:bCs/>
          <w:iCs/>
        </w:rPr>
        <w:t xml:space="preserve"> in </w:t>
      </w:r>
      <w:r w:rsidRPr="003D1063">
        <w:rPr>
          <w:bCs/>
          <w:iCs/>
        </w:rPr>
        <w:t>2026</w:t>
      </w:r>
      <w:r w:rsidRPr="003D1063">
        <w:rPr>
          <w:bCs/>
          <w:iCs/>
        </w:rPr>
        <w:noBreakHyphen/>
        <w:t>27</w:t>
      </w:r>
      <w:r w:rsidR="000727FC" w:rsidRPr="003D1063">
        <w:rPr>
          <w:bCs/>
          <w:iCs/>
        </w:rPr>
        <w:t>.</w:t>
      </w:r>
    </w:p>
    <w:p w14:paraId="0DCD1E6E" w14:textId="77777777" w:rsidR="00F1701E" w:rsidRPr="003D1063" w:rsidRDefault="009B5C32" w:rsidP="000B55B1">
      <w:pPr>
        <w:pStyle w:val="Heading4"/>
      </w:pPr>
      <w:r w:rsidRPr="003D1063">
        <w:lastRenderedPageBreak/>
        <w:t>Cash Flow Statement</w:t>
      </w:r>
    </w:p>
    <w:p w14:paraId="1115233A" w14:textId="77777777" w:rsidR="00F1701E" w:rsidRPr="003D1063" w:rsidRDefault="009B5C32" w:rsidP="000B55B1">
      <w:pPr>
        <w:pStyle w:val="BSbullet1"/>
        <w:keepNext/>
        <w:keepLines/>
        <w:pBdr>
          <w:top w:val="nil"/>
          <w:left w:val="nil"/>
          <w:bottom w:val="nil"/>
          <w:right w:val="nil"/>
          <w:between w:val="nil"/>
          <w:bar w:val="nil"/>
        </w:pBdr>
        <w:spacing w:before="0"/>
      </w:pPr>
      <w:r w:rsidRPr="003D1063">
        <w:t>loans receivable provided:</w:t>
      </w:r>
    </w:p>
    <w:p w14:paraId="72F52390" w14:textId="36D75873" w:rsidR="00F1701E" w:rsidRPr="003D1063" w:rsidRDefault="009B5C32" w:rsidP="00945D1F">
      <w:pPr>
        <w:pStyle w:val="BSbullet1"/>
        <w:keepLines/>
        <w:numPr>
          <w:ilvl w:val="1"/>
          <w:numId w:val="23"/>
        </w:numPr>
        <w:pBdr>
          <w:top w:val="nil"/>
          <w:left w:val="nil"/>
          <w:bottom w:val="nil"/>
          <w:right w:val="nil"/>
          <w:between w:val="nil"/>
          <w:bar w:val="nil"/>
        </w:pBdr>
        <w:spacing w:before="0"/>
        <w:ind w:left="709"/>
        <w:rPr>
          <w:bCs/>
          <w:iCs/>
        </w:rPr>
      </w:pPr>
      <w:r w:rsidRPr="003D1063">
        <w:rPr>
          <w:bCs/>
          <w:iCs/>
        </w:rPr>
        <w:t>the decrease of $21.114 million in the 2026</w:t>
      </w:r>
      <w:r w:rsidRPr="003D1063">
        <w:rPr>
          <w:bCs/>
          <w:iCs/>
        </w:rPr>
        <w:noBreakHyphen/>
        <w:t>27 Budget from the 2025</w:t>
      </w:r>
      <w:r w:rsidRPr="003D1063">
        <w:rPr>
          <w:bCs/>
          <w:iCs/>
        </w:rPr>
        <w:noBreakHyphen/>
        <w:t xml:space="preserve">26 estimated outcome is primarily attributable to </w:t>
      </w:r>
      <w:r w:rsidR="001D4037" w:rsidRPr="003D1063">
        <w:rPr>
          <w:bCs/>
          <w:iCs/>
        </w:rPr>
        <w:t xml:space="preserve">fewer </w:t>
      </w:r>
      <w:r w:rsidRPr="003D1063">
        <w:rPr>
          <w:bCs/>
          <w:iCs/>
        </w:rPr>
        <w:t xml:space="preserve">loans provided to owners corporations under the concessional loan scheme for the remediation of cladding on private buildings. </w:t>
      </w:r>
    </w:p>
    <w:p w14:paraId="6E7FCC2B" w14:textId="16697739" w:rsidR="00F1701E" w:rsidRPr="003D1063" w:rsidRDefault="009B5C32" w:rsidP="00650923">
      <w:pPr>
        <w:pStyle w:val="BSbullet1"/>
        <w:numPr>
          <w:ilvl w:val="0"/>
          <w:numId w:val="0"/>
        </w:numPr>
        <w:pBdr>
          <w:top w:val="nil"/>
          <w:left w:val="nil"/>
          <w:bottom w:val="nil"/>
          <w:right w:val="nil"/>
          <w:between w:val="nil"/>
          <w:bar w:val="nil"/>
        </w:pBdr>
        <w:spacing w:before="0"/>
      </w:pPr>
      <w:r w:rsidRPr="003D1063">
        <w:t xml:space="preserve">Other </w:t>
      </w:r>
      <w:r w:rsidR="001E3460" w:rsidRPr="003D1063">
        <w:t>v</w:t>
      </w:r>
      <w:r w:rsidRPr="003D1063">
        <w:t>ariations in th</w:t>
      </w:r>
      <w:r w:rsidR="001E3460" w:rsidRPr="003D1063">
        <w:t>is</w:t>
      </w:r>
      <w:r w:rsidRPr="003D1063">
        <w:t xml:space="preserve"> </w:t>
      </w:r>
      <w:r w:rsidR="001E3460" w:rsidRPr="003D1063">
        <w:t>statement</w:t>
      </w:r>
      <w:r w:rsidRPr="003D1063">
        <w:t xml:space="preserve"> are explained in the notes above.</w:t>
      </w:r>
    </w:p>
    <w:sectPr w:rsidR="00F1701E" w:rsidRPr="003D1063" w:rsidSect="008448C2">
      <w:headerReference w:type="even" r:id="rId32"/>
      <w:headerReference w:type="default" r:id="rId33"/>
      <w:footerReference w:type="even" r:id="rId34"/>
      <w:footerReference w:type="default" r:id="rId35"/>
      <w:headerReference w:type="first" r:id="rId36"/>
      <w:footerReference w:type="first" r:id="rId37"/>
      <w:type w:val="continuous"/>
      <w:pgSz w:w="11906" w:h="16838"/>
      <w:pgMar w:top="1151" w:right="1440" w:bottom="1729" w:left="1559" w:header="709" w:footer="709" w:gutter="0"/>
      <w:pgBorders>
        <w:top w:val="nil"/>
        <w:left w:val="nil"/>
        <w:bottom w:val="nil"/>
        <w:right w:val="nil"/>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50F3" w14:textId="77777777" w:rsidR="00E83973" w:rsidRDefault="00E83973">
      <w:pPr>
        <w:spacing w:after="0" w:line="240" w:lineRule="auto"/>
      </w:pPr>
      <w:r>
        <w:separator/>
      </w:r>
    </w:p>
  </w:endnote>
  <w:endnote w:type="continuationSeparator" w:id="0">
    <w:p w14:paraId="5C252553" w14:textId="77777777" w:rsidR="00E83973" w:rsidRDefault="00E8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swiss"/>
    <w:pitch w:val="variable"/>
    <w:sig w:usb0="00000003" w:usb1="00000000" w:usb2="00000000" w:usb3="00000000" w:csb0="00000001"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bold">
    <w:panose1 w:val="00000000000000000000"/>
    <w:charset w:val="00"/>
    <w:family w:val="roman"/>
    <w:notTrueType/>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9B56" w14:textId="77777777" w:rsidR="004E74AC" w:rsidRPr="004B1382" w:rsidRDefault="009B5C32" w:rsidP="00C342BF">
    <w:pPr>
      <w:pStyle w:val="FooterBP"/>
      <w:pBdr>
        <w:top w:val="nil"/>
        <w:left w:val="nil"/>
        <w:bottom w:val="nil"/>
        <w:right w:val="nil"/>
        <w:between w:val="nil"/>
        <w:bar w:val="nil"/>
      </w:pBdr>
      <w:ind w:left="1440" w:hanging="1724"/>
      <w:jc w:val="right"/>
    </w:pPr>
    <w:r>
      <w:t>2026-27 Budget Statements</w:t>
    </w:r>
    <w:r>
      <w:tab/>
    </w:r>
    <w:r>
      <w:fldChar w:fldCharType="begin"/>
    </w:r>
    <w:r>
      <w:instrText xml:space="preserve"> PAGE   \* MERGEFORMAT </w:instrText>
    </w:r>
    <w:r>
      <w:fldChar w:fldCharType="separate"/>
    </w:r>
    <w:r>
      <w:rPr>
        <w:noProof/>
      </w:rPr>
      <w:t>6</w:t>
    </w:r>
    <w:r>
      <w:rPr>
        <w:noProof/>
      </w:rPr>
      <w:fldChar w:fldCharType="end"/>
    </w:r>
    <w:r w:rsidRPr="00C342BF">
      <w:tab/>
    </w:r>
    <w:r w:rsidR="00C342BF" w:rsidRPr="00C342BF">
      <w:t>Infrastructure Canberra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4F5F" w14:textId="2AEFF8D7" w:rsidR="004E74AC" w:rsidRPr="008448C2" w:rsidRDefault="008448C2" w:rsidP="008448C2">
    <w:pPr>
      <w:pStyle w:val="Footer"/>
    </w:pPr>
    <w:r w:rsidRPr="003C783C">
      <w:rPr>
        <w:noProof/>
      </w:rPr>
      <mc:AlternateContent>
        <mc:Choice Requires="wps">
          <w:drawing>
            <wp:inline distT="0" distB="0" distL="0" distR="0" wp14:anchorId="532A2393" wp14:editId="3A1ED981">
              <wp:extent cx="5655310" cy="303653"/>
              <wp:effectExtent l="0" t="0" r="0" b="1270"/>
              <wp:docPr id="1440451094" name="Rectangle 1440451094"/>
              <wp:cNvGraphicFramePr/>
              <a:graphic xmlns:a="http://schemas.openxmlformats.org/drawingml/2006/main">
                <a:graphicData uri="http://schemas.microsoft.com/office/word/2010/wordprocessingShape">
                  <wps:wsp>
                    <wps:cNvSpPr/>
                    <wps:spPr>
                      <a:xfrm>
                        <a:off x="0" y="0"/>
                        <a:ext cx="5655310" cy="303653"/>
                      </a:xfrm>
                      <a:prstGeom prst="rect">
                        <a:avLst/>
                      </a:prstGeom>
                      <a:noFill/>
                      <a:ln w="12700" cap="flat" cmpd="sng" algn="ctr">
                        <a:noFill/>
                        <a:prstDash val="solid"/>
                        <a:miter lim="800000"/>
                      </a:ln>
                      <a:effectLst/>
                    </wps:spPr>
                    <wps:txbx>
                      <w:txbxContent>
                        <w:p w14:paraId="2F328085" w14:textId="098A9DA7" w:rsidR="008448C2" w:rsidRPr="00843427" w:rsidRDefault="008448C2" w:rsidP="008448C2">
                          <w:pPr>
                            <w:pStyle w:val="Footertext"/>
                          </w:pPr>
                          <w:r>
                            <w:t>Infrastructure Canberra</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2A2393" id="Rectangle 1440451094" o:spid="_x0000_s1026" style="width:445.3pt;height:23.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" filled="f" stroked="f" strokeweight="1pt">
              <v:textbox>
                <w:txbxContent>
                  <w:p w14:paraId="2F328085" w14:textId="098A9DA7" w:rsidR="008448C2" w:rsidRPr="00843427" w:rsidRDefault="008448C2" w:rsidP="008448C2">
                    <w:pPr>
                      <w:pStyle w:val="Footertext"/>
                    </w:pPr>
                    <w:r>
                      <w:t>Infrastructure Canberra</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2A16" w14:textId="77777777" w:rsidR="00143C9C" w:rsidRDefault="00143C9C">
    <w:pPr>
      <w:pBdr>
        <w:top w:val="nil"/>
        <w:left w:val="nil"/>
        <w:bottom w:val="nil"/>
        <w:right w:val="nil"/>
        <w:between w:val="nil"/>
        <w:bar w:val="nil"/>
      </w:pBdr>
      <w:spacing w:after="160" w:line="256" w:lineRule="auto"/>
      <w:rPr>
        <w:rFonts w:ascii="Calibri" w:eastAsia="Calibri" w:hAnsi="Calibri" w:cs="Times New Roman"/>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C175" w14:textId="77777777" w:rsidR="00E83973" w:rsidRDefault="00E83973">
      <w:pPr>
        <w:spacing w:after="0" w:line="240" w:lineRule="auto"/>
      </w:pPr>
      <w:r>
        <w:separator/>
      </w:r>
    </w:p>
  </w:footnote>
  <w:footnote w:type="continuationSeparator" w:id="0">
    <w:p w14:paraId="79739383" w14:textId="77777777" w:rsidR="00E83973" w:rsidRDefault="00E8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3FC8" w14:textId="77777777" w:rsidR="00143C9C" w:rsidRDefault="00143C9C">
    <w:pPr>
      <w:suppressLineNumbers/>
      <w:pBdr>
        <w:top w:val="nil"/>
        <w:left w:val="nil"/>
        <w:bottom w:val="nil"/>
        <w:right w:val="nil"/>
        <w:between w:val="nil"/>
        <w:bar w:val="nil"/>
      </w:pBdr>
      <w:spacing w:after="0" w:line="14" w:lineRule="exact"/>
      <w:contextualSpacing/>
      <w:rPr>
        <w:rFonts w:ascii="Calibri" w:eastAsia="Calibri" w:hAnsi="Calibri" w:cs="Times New Roman"/>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7038" w14:textId="77777777" w:rsidR="00143C9C" w:rsidRDefault="00143C9C">
    <w:pPr>
      <w:suppressLineNumbers/>
      <w:pBdr>
        <w:top w:val="nil"/>
        <w:left w:val="nil"/>
        <w:bottom w:val="nil"/>
        <w:right w:val="nil"/>
        <w:between w:val="nil"/>
        <w:bar w:val="nil"/>
      </w:pBdr>
      <w:spacing w:after="0" w:line="14" w:lineRule="exact"/>
      <w:contextualSpacing/>
      <w:rPr>
        <w:rFonts w:ascii="Calibri" w:eastAsia="Calibri" w:hAnsi="Calibri" w:cs="Times New Roman"/>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1C5C" w14:textId="77777777" w:rsidR="00143C9C" w:rsidRDefault="00143C9C">
    <w:pPr>
      <w:pBdr>
        <w:top w:val="nil"/>
        <w:left w:val="nil"/>
        <w:bottom w:val="nil"/>
        <w:right w:val="nil"/>
        <w:between w:val="nil"/>
        <w:bar w:val="nil"/>
      </w:pBdr>
      <w:spacing w:after="160" w:line="256" w:lineRule="auto"/>
      <w:rPr>
        <w:rFonts w:ascii="Calibri" w:eastAsia="Calibri" w:hAnsi="Calibri" w:cs="Times New Roman"/>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2C7"/>
    <w:multiLevelType w:val="hybridMultilevel"/>
    <w:tmpl w:val="490CAEB8"/>
    <w:lvl w:ilvl="0" w:tplc="0C090001">
      <w:start w:val="1"/>
      <w:numFmt w:val="bullet"/>
      <w:lvlText w:val=""/>
      <w:lvlJc w:val="left"/>
      <w:pPr>
        <w:ind w:left="993" w:hanging="360"/>
      </w:pPr>
      <w:rPr>
        <w:rFonts w:ascii="Symbol" w:hAnsi="Symbol" w:hint="default"/>
      </w:rPr>
    </w:lvl>
    <w:lvl w:ilvl="1" w:tplc="0C090003">
      <w:start w:val="1"/>
      <w:numFmt w:val="bullet"/>
      <w:lvlText w:val="o"/>
      <w:lvlJc w:val="left"/>
      <w:pPr>
        <w:ind w:left="1713" w:hanging="360"/>
      </w:pPr>
      <w:rPr>
        <w:rFonts w:ascii="Courier New" w:hAnsi="Courier New" w:cs="Courier New" w:hint="default"/>
      </w:rPr>
    </w:lvl>
    <w:lvl w:ilvl="2" w:tplc="0C090005">
      <w:start w:val="1"/>
      <w:numFmt w:val="bullet"/>
      <w:lvlText w:val=""/>
      <w:lvlJc w:val="left"/>
      <w:pPr>
        <w:ind w:left="2433" w:hanging="360"/>
      </w:pPr>
      <w:rPr>
        <w:rFonts w:ascii="Wingdings" w:hAnsi="Wingdings" w:hint="default"/>
      </w:rPr>
    </w:lvl>
    <w:lvl w:ilvl="3" w:tplc="0C090001">
      <w:start w:val="1"/>
      <w:numFmt w:val="bullet"/>
      <w:lvlText w:val=""/>
      <w:lvlJc w:val="left"/>
      <w:pPr>
        <w:ind w:left="3153" w:hanging="360"/>
      </w:pPr>
      <w:rPr>
        <w:rFonts w:ascii="Symbol" w:hAnsi="Symbol" w:hint="default"/>
      </w:rPr>
    </w:lvl>
    <w:lvl w:ilvl="4" w:tplc="0C090003">
      <w:start w:val="1"/>
      <w:numFmt w:val="bullet"/>
      <w:lvlText w:val="o"/>
      <w:lvlJc w:val="left"/>
      <w:pPr>
        <w:ind w:left="3873" w:hanging="360"/>
      </w:pPr>
      <w:rPr>
        <w:rFonts w:ascii="Courier New" w:hAnsi="Courier New" w:cs="Courier New" w:hint="default"/>
      </w:rPr>
    </w:lvl>
    <w:lvl w:ilvl="5" w:tplc="0C090005">
      <w:start w:val="1"/>
      <w:numFmt w:val="bullet"/>
      <w:lvlText w:val=""/>
      <w:lvlJc w:val="left"/>
      <w:pPr>
        <w:ind w:left="4593" w:hanging="360"/>
      </w:pPr>
      <w:rPr>
        <w:rFonts w:ascii="Wingdings" w:hAnsi="Wingdings" w:hint="default"/>
      </w:rPr>
    </w:lvl>
    <w:lvl w:ilvl="6" w:tplc="0C090001">
      <w:start w:val="1"/>
      <w:numFmt w:val="bullet"/>
      <w:lvlText w:val=""/>
      <w:lvlJc w:val="left"/>
      <w:pPr>
        <w:ind w:left="5313" w:hanging="360"/>
      </w:pPr>
      <w:rPr>
        <w:rFonts w:ascii="Symbol" w:hAnsi="Symbol" w:hint="default"/>
      </w:rPr>
    </w:lvl>
    <w:lvl w:ilvl="7" w:tplc="0C090003">
      <w:start w:val="1"/>
      <w:numFmt w:val="bullet"/>
      <w:lvlText w:val="o"/>
      <w:lvlJc w:val="left"/>
      <w:pPr>
        <w:ind w:left="6033" w:hanging="360"/>
      </w:pPr>
      <w:rPr>
        <w:rFonts w:ascii="Courier New" w:hAnsi="Courier New" w:cs="Courier New" w:hint="default"/>
      </w:rPr>
    </w:lvl>
    <w:lvl w:ilvl="8" w:tplc="0C090005">
      <w:start w:val="1"/>
      <w:numFmt w:val="bullet"/>
      <w:lvlText w:val=""/>
      <w:lvlJc w:val="left"/>
      <w:pPr>
        <w:ind w:left="6753" w:hanging="360"/>
      </w:pPr>
      <w:rPr>
        <w:rFonts w:ascii="Wingdings" w:hAnsi="Wingdings" w:hint="default"/>
      </w:rPr>
    </w:lvl>
  </w:abstractNum>
  <w:abstractNum w:abstractNumId="1" w15:restartNumberingAfterBreak="0">
    <w:nsid w:val="036E45FA"/>
    <w:multiLevelType w:val="hybridMultilevel"/>
    <w:tmpl w:val="9D2056E2"/>
    <w:lvl w:ilvl="0" w:tplc="7DF47C44">
      <w:start w:val="1"/>
      <w:numFmt w:val="lowerLetter"/>
      <w:lvlText w:val="%1."/>
      <w:lvlJc w:val="left"/>
      <w:pPr>
        <w:ind w:left="360" w:hanging="360"/>
      </w:pPr>
    </w:lvl>
    <w:lvl w:ilvl="1" w:tplc="AAD05B92">
      <w:start w:val="1"/>
      <w:numFmt w:val="lowerRoman"/>
      <w:lvlText w:val="%2."/>
      <w:lvlJc w:val="right"/>
      <w:pPr>
        <w:ind w:left="1800" w:hanging="360"/>
      </w:pPr>
    </w:lvl>
    <w:lvl w:ilvl="2" w:tplc="65062B50">
      <w:start w:val="1"/>
      <w:numFmt w:val="lowerRoman"/>
      <w:lvlText w:val="%3."/>
      <w:lvlJc w:val="right"/>
      <w:pPr>
        <w:ind w:left="2520" w:hanging="180"/>
      </w:pPr>
    </w:lvl>
    <w:lvl w:ilvl="3" w:tplc="125210CC">
      <w:start w:val="1"/>
      <w:numFmt w:val="decimal"/>
      <w:lvlText w:val="%4."/>
      <w:lvlJc w:val="left"/>
      <w:pPr>
        <w:ind w:left="3240" w:hanging="360"/>
      </w:pPr>
    </w:lvl>
    <w:lvl w:ilvl="4" w:tplc="A83C99AE">
      <w:start w:val="1"/>
      <w:numFmt w:val="lowerLetter"/>
      <w:lvlText w:val="%5."/>
      <w:lvlJc w:val="left"/>
      <w:pPr>
        <w:ind w:left="3960" w:hanging="360"/>
      </w:pPr>
    </w:lvl>
    <w:lvl w:ilvl="5" w:tplc="206C4102">
      <w:start w:val="1"/>
      <w:numFmt w:val="lowerRoman"/>
      <w:lvlText w:val="%6."/>
      <w:lvlJc w:val="right"/>
      <w:pPr>
        <w:ind w:left="4680" w:hanging="180"/>
      </w:pPr>
    </w:lvl>
    <w:lvl w:ilvl="6" w:tplc="6E5071AA">
      <w:start w:val="1"/>
      <w:numFmt w:val="decimal"/>
      <w:lvlText w:val="%7."/>
      <w:lvlJc w:val="left"/>
      <w:pPr>
        <w:ind w:left="5400" w:hanging="360"/>
      </w:pPr>
    </w:lvl>
    <w:lvl w:ilvl="7" w:tplc="E3D29872">
      <w:start w:val="1"/>
      <w:numFmt w:val="lowerLetter"/>
      <w:lvlText w:val="%8."/>
      <w:lvlJc w:val="left"/>
      <w:pPr>
        <w:ind w:left="6120" w:hanging="360"/>
      </w:pPr>
    </w:lvl>
    <w:lvl w:ilvl="8" w:tplc="D8BC5DD0">
      <w:start w:val="1"/>
      <w:numFmt w:val="lowerRoman"/>
      <w:lvlText w:val="%9."/>
      <w:lvlJc w:val="right"/>
      <w:pPr>
        <w:ind w:left="6840" w:hanging="180"/>
      </w:pPr>
    </w:lvl>
  </w:abstractNum>
  <w:abstractNum w:abstractNumId="2" w15:restartNumberingAfterBreak="0">
    <w:nsid w:val="03C0065C"/>
    <w:multiLevelType w:val="hybridMultilevel"/>
    <w:tmpl w:val="9D2056E2"/>
    <w:lvl w:ilvl="0" w:tplc="1EDC6644">
      <w:start w:val="1"/>
      <w:numFmt w:val="lowerLetter"/>
      <w:lvlText w:val="%1."/>
      <w:lvlJc w:val="left"/>
      <w:pPr>
        <w:ind w:left="360" w:hanging="360"/>
      </w:pPr>
    </w:lvl>
    <w:lvl w:ilvl="1" w:tplc="DF64B4F4">
      <w:start w:val="1"/>
      <w:numFmt w:val="lowerRoman"/>
      <w:lvlText w:val="%2."/>
      <w:lvlJc w:val="right"/>
      <w:pPr>
        <w:ind w:left="1800" w:hanging="360"/>
      </w:pPr>
    </w:lvl>
    <w:lvl w:ilvl="2" w:tplc="A6A22386">
      <w:start w:val="1"/>
      <w:numFmt w:val="lowerRoman"/>
      <w:lvlText w:val="%3."/>
      <w:lvlJc w:val="right"/>
      <w:pPr>
        <w:ind w:left="2520" w:hanging="180"/>
      </w:pPr>
    </w:lvl>
    <w:lvl w:ilvl="3" w:tplc="514EA70E">
      <w:start w:val="1"/>
      <w:numFmt w:val="decimal"/>
      <w:lvlText w:val="%4."/>
      <w:lvlJc w:val="left"/>
      <w:pPr>
        <w:ind w:left="3240" w:hanging="360"/>
      </w:pPr>
    </w:lvl>
    <w:lvl w:ilvl="4" w:tplc="3984D848">
      <w:start w:val="1"/>
      <w:numFmt w:val="lowerLetter"/>
      <w:lvlText w:val="%5."/>
      <w:lvlJc w:val="left"/>
      <w:pPr>
        <w:ind w:left="3960" w:hanging="360"/>
      </w:pPr>
    </w:lvl>
    <w:lvl w:ilvl="5" w:tplc="F38E5256">
      <w:start w:val="1"/>
      <w:numFmt w:val="lowerRoman"/>
      <w:lvlText w:val="%6."/>
      <w:lvlJc w:val="right"/>
      <w:pPr>
        <w:ind w:left="4680" w:hanging="180"/>
      </w:pPr>
    </w:lvl>
    <w:lvl w:ilvl="6" w:tplc="44AA82C2">
      <w:start w:val="1"/>
      <w:numFmt w:val="decimal"/>
      <w:lvlText w:val="%7."/>
      <w:lvlJc w:val="left"/>
      <w:pPr>
        <w:ind w:left="5400" w:hanging="360"/>
      </w:pPr>
    </w:lvl>
    <w:lvl w:ilvl="7" w:tplc="B7D287A4">
      <w:start w:val="1"/>
      <w:numFmt w:val="lowerLetter"/>
      <w:lvlText w:val="%8."/>
      <w:lvlJc w:val="left"/>
      <w:pPr>
        <w:ind w:left="6120" w:hanging="360"/>
      </w:pPr>
    </w:lvl>
    <w:lvl w:ilvl="8" w:tplc="27E24F36">
      <w:start w:val="1"/>
      <w:numFmt w:val="lowerRoman"/>
      <w:lvlText w:val="%9."/>
      <w:lvlJc w:val="right"/>
      <w:pPr>
        <w:ind w:left="6840" w:hanging="180"/>
      </w:pPr>
    </w:lvl>
  </w:abstractNum>
  <w:abstractNum w:abstractNumId="3" w15:restartNumberingAfterBreak="0">
    <w:nsid w:val="0AE94A8D"/>
    <w:multiLevelType w:val="hybridMultilevel"/>
    <w:tmpl w:val="F920C938"/>
    <w:lvl w:ilvl="0" w:tplc="6212A95E">
      <w:start w:val="1"/>
      <w:numFmt w:val="bullet"/>
      <w:pStyle w:val="BBullet1"/>
      <w:lvlText w:val=""/>
      <w:lvlJc w:val="left"/>
      <w:pPr>
        <w:ind w:left="2424" w:hanging="360"/>
      </w:pPr>
      <w:rPr>
        <w:rFonts w:ascii="Symbol" w:hAnsi="Symbol" w:hint="default"/>
      </w:rPr>
    </w:lvl>
    <w:lvl w:ilvl="1" w:tplc="2C0E8BBE">
      <w:start w:val="1"/>
      <w:numFmt w:val="bullet"/>
      <w:lvlText w:val="o"/>
      <w:lvlJc w:val="left"/>
      <w:pPr>
        <w:ind w:left="3144" w:hanging="360"/>
      </w:pPr>
      <w:rPr>
        <w:rFonts w:ascii="Courier New" w:hAnsi="Courier New" w:cs="Courier New" w:hint="default"/>
      </w:rPr>
    </w:lvl>
    <w:lvl w:ilvl="2" w:tplc="5D52A140" w:tentative="1">
      <w:start w:val="1"/>
      <w:numFmt w:val="bullet"/>
      <w:lvlText w:val=""/>
      <w:lvlJc w:val="left"/>
      <w:pPr>
        <w:ind w:left="3864" w:hanging="360"/>
      </w:pPr>
      <w:rPr>
        <w:rFonts w:ascii="Wingdings" w:hAnsi="Wingdings" w:hint="default"/>
      </w:rPr>
    </w:lvl>
    <w:lvl w:ilvl="3" w:tplc="98045C9C" w:tentative="1">
      <w:start w:val="1"/>
      <w:numFmt w:val="bullet"/>
      <w:lvlText w:val=""/>
      <w:lvlJc w:val="left"/>
      <w:pPr>
        <w:ind w:left="4584" w:hanging="360"/>
      </w:pPr>
      <w:rPr>
        <w:rFonts w:ascii="Symbol" w:hAnsi="Symbol" w:hint="default"/>
      </w:rPr>
    </w:lvl>
    <w:lvl w:ilvl="4" w:tplc="25AE00A0" w:tentative="1">
      <w:start w:val="1"/>
      <w:numFmt w:val="bullet"/>
      <w:lvlText w:val="o"/>
      <w:lvlJc w:val="left"/>
      <w:pPr>
        <w:ind w:left="5304" w:hanging="360"/>
      </w:pPr>
      <w:rPr>
        <w:rFonts w:ascii="Courier New" w:hAnsi="Courier New" w:cs="Courier New" w:hint="default"/>
      </w:rPr>
    </w:lvl>
    <w:lvl w:ilvl="5" w:tplc="75F6D49E" w:tentative="1">
      <w:start w:val="1"/>
      <w:numFmt w:val="bullet"/>
      <w:lvlText w:val=""/>
      <w:lvlJc w:val="left"/>
      <w:pPr>
        <w:ind w:left="6024" w:hanging="360"/>
      </w:pPr>
      <w:rPr>
        <w:rFonts w:ascii="Wingdings" w:hAnsi="Wingdings" w:hint="default"/>
      </w:rPr>
    </w:lvl>
    <w:lvl w:ilvl="6" w:tplc="4C0A8C06" w:tentative="1">
      <w:start w:val="1"/>
      <w:numFmt w:val="bullet"/>
      <w:lvlText w:val=""/>
      <w:lvlJc w:val="left"/>
      <w:pPr>
        <w:ind w:left="6744" w:hanging="360"/>
      </w:pPr>
      <w:rPr>
        <w:rFonts w:ascii="Symbol" w:hAnsi="Symbol" w:hint="default"/>
      </w:rPr>
    </w:lvl>
    <w:lvl w:ilvl="7" w:tplc="25C414C6" w:tentative="1">
      <w:start w:val="1"/>
      <w:numFmt w:val="bullet"/>
      <w:lvlText w:val="o"/>
      <w:lvlJc w:val="left"/>
      <w:pPr>
        <w:ind w:left="7464" w:hanging="360"/>
      </w:pPr>
      <w:rPr>
        <w:rFonts w:ascii="Courier New" w:hAnsi="Courier New" w:cs="Courier New" w:hint="default"/>
      </w:rPr>
    </w:lvl>
    <w:lvl w:ilvl="8" w:tplc="46127164" w:tentative="1">
      <w:start w:val="1"/>
      <w:numFmt w:val="bullet"/>
      <w:lvlText w:val=""/>
      <w:lvlJc w:val="left"/>
      <w:pPr>
        <w:ind w:left="8184" w:hanging="360"/>
      </w:pPr>
      <w:rPr>
        <w:rFonts w:ascii="Wingdings" w:hAnsi="Wingdings" w:hint="default"/>
      </w:rPr>
    </w:lvl>
  </w:abstractNum>
  <w:abstractNum w:abstractNumId="4" w15:restartNumberingAfterBreak="0">
    <w:nsid w:val="166857DA"/>
    <w:multiLevelType w:val="multilevel"/>
    <w:tmpl w:val="2A0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B652D2"/>
    <w:multiLevelType w:val="multilevel"/>
    <w:tmpl w:val="34CC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F7AC6"/>
    <w:multiLevelType w:val="hybridMultilevel"/>
    <w:tmpl w:val="DDBE5928"/>
    <w:lvl w:ilvl="0" w:tplc="0C09000F">
      <w:start w:val="1"/>
      <w:numFmt w:val="decimal"/>
      <w:pStyle w:val="BNoteLista"/>
      <w:lvlText w:val="%1."/>
      <w:lvlJc w:val="left"/>
      <w:pPr>
        <w:ind w:left="360" w:hanging="360"/>
      </w:pPr>
    </w:lvl>
    <w:lvl w:ilvl="1" w:tplc="B77CA1C4" w:tentative="1">
      <w:start w:val="1"/>
      <w:numFmt w:val="lowerLetter"/>
      <w:lvlText w:val="%2."/>
      <w:lvlJc w:val="left"/>
      <w:pPr>
        <w:ind w:left="1440" w:hanging="360"/>
      </w:pPr>
    </w:lvl>
    <w:lvl w:ilvl="2" w:tplc="623036C2" w:tentative="1">
      <w:start w:val="1"/>
      <w:numFmt w:val="lowerRoman"/>
      <w:lvlText w:val="%3."/>
      <w:lvlJc w:val="right"/>
      <w:pPr>
        <w:ind w:left="2160" w:hanging="180"/>
      </w:pPr>
    </w:lvl>
    <w:lvl w:ilvl="3" w:tplc="28D28474" w:tentative="1">
      <w:start w:val="1"/>
      <w:numFmt w:val="decimal"/>
      <w:lvlText w:val="%4."/>
      <w:lvlJc w:val="left"/>
      <w:pPr>
        <w:ind w:left="2880" w:hanging="360"/>
      </w:pPr>
    </w:lvl>
    <w:lvl w:ilvl="4" w:tplc="BD8665A0" w:tentative="1">
      <w:start w:val="1"/>
      <w:numFmt w:val="lowerLetter"/>
      <w:lvlText w:val="%5."/>
      <w:lvlJc w:val="left"/>
      <w:pPr>
        <w:ind w:left="3600" w:hanging="360"/>
      </w:pPr>
    </w:lvl>
    <w:lvl w:ilvl="5" w:tplc="18B8D066" w:tentative="1">
      <w:start w:val="1"/>
      <w:numFmt w:val="lowerRoman"/>
      <w:lvlText w:val="%6."/>
      <w:lvlJc w:val="right"/>
      <w:pPr>
        <w:ind w:left="4320" w:hanging="180"/>
      </w:pPr>
    </w:lvl>
    <w:lvl w:ilvl="6" w:tplc="621082A8" w:tentative="1">
      <w:start w:val="1"/>
      <w:numFmt w:val="decimal"/>
      <w:lvlText w:val="%7."/>
      <w:lvlJc w:val="left"/>
      <w:pPr>
        <w:ind w:left="5040" w:hanging="360"/>
      </w:pPr>
    </w:lvl>
    <w:lvl w:ilvl="7" w:tplc="068EB84A" w:tentative="1">
      <w:start w:val="1"/>
      <w:numFmt w:val="lowerLetter"/>
      <w:lvlText w:val="%8."/>
      <w:lvlJc w:val="left"/>
      <w:pPr>
        <w:ind w:left="5760" w:hanging="360"/>
      </w:pPr>
    </w:lvl>
    <w:lvl w:ilvl="8" w:tplc="84C4B3B4" w:tentative="1">
      <w:start w:val="1"/>
      <w:numFmt w:val="lowerRoman"/>
      <w:lvlText w:val="%9."/>
      <w:lvlJc w:val="right"/>
      <w:pPr>
        <w:ind w:left="6480" w:hanging="180"/>
      </w:pPr>
    </w:lvl>
  </w:abstractNum>
  <w:abstractNum w:abstractNumId="7" w15:restartNumberingAfterBreak="0">
    <w:nsid w:val="1E9D11BF"/>
    <w:multiLevelType w:val="hybridMultilevel"/>
    <w:tmpl w:val="0582B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24E3BDC"/>
    <w:multiLevelType w:val="hybridMultilevel"/>
    <w:tmpl w:val="747AF816"/>
    <w:lvl w:ilvl="0" w:tplc="52C259BC">
      <w:start w:val="1"/>
      <w:numFmt w:val="bullet"/>
      <w:pStyle w:val="BodyTextIndent"/>
      <w:lvlText w:val=""/>
      <w:lvlJc w:val="left"/>
      <w:pPr>
        <w:tabs>
          <w:tab w:val="num" w:pos="360"/>
        </w:tabs>
        <w:ind w:left="360" w:hanging="360"/>
      </w:pPr>
      <w:rPr>
        <w:rFonts w:ascii="Symbol" w:hAnsi="Symbol" w:cs="Times New Roman" w:hint="default"/>
      </w:rPr>
    </w:lvl>
    <w:lvl w:ilvl="1" w:tplc="12500638">
      <w:start w:val="1"/>
      <w:numFmt w:val="bullet"/>
      <w:lvlText w:val="o"/>
      <w:lvlJc w:val="left"/>
      <w:pPr>
        <w:tabs>
          <w:tab w:val="num" w:pos="360"/>
        </w:tabs>
        <w:ind w:left="360" w:hanging="360"/>
      </w:pPr>
      <w:rPr>
        <w:rFonts w:ascii="Courier New" w:hAnsi="Courier New" w:hint="default"/>
      </w:rPr>
    </w:lvl>
    <w:lvl w:ilvl="2" w:tplc="105286A4" w:tentative="1">
      <w:start w:val="1"/>
      <w:numFmt w:val="bullet"/>
      <w:lvlText w:val=""/>
      <w:lvlJc w:val="left"/>
      <w:pPr>
        <w:tabs>
          <w:tab w:val="num" w:pos="1080"/>
        </w:tabs>
        <w:ind w:left="1080" w:hanging="360"/>
      </w:pPr>
      <w:rPr>
        <w:rFonts w:ascii="Wingdings" w:hAnsi="Wingdings" w:hint="default"/>
      </w:rPr>
    </w:lvl>
    <w:lvl w:ilvl="3" w:tplc="DF2EABAA" w:tentative="1">
      <w:start w:val="1"/>
      <w:numFmt w:val="bullet"/>
      <w:lvlText w:val=""/>
      <w:lvlJc w:val="left"/>
      <w:pPr>
        <w:tabs>
          <w:tab w:val="num" w:pos="1800"/>
        </w:tabs>
        <w:ind w:left="1800" w:hanging="360"/>
      </w:pPr>
      <w:rPr>
        <w:rFonts w:ascii="Symbol" w:hAnsi="Symbol" w:hint="default"/>
      </w:rPr>
    </w:lvl>
    <w:lvl w:ilvl="4" w:tplc="47CA7620" w:tentative="1">
      <w:start w:val="1"/>
      <w:numFmt w:val="bullet"/>
      <w:lvlText w:val="o"/>
      <w:lvlJc w:val="left"/>
      <w:pPr>
        <w:tabs>
          <w:tab w:val="num" w:pos="2520"/>
        </w:tabs>
        <w:ind w:left="2520" w:hanging="360"/>
      </w:pPr>
      <w:rPr>
        <w:rFonts w:ascii="Courier New" w:hAnsi="Courier New" w:hint="default"/>
      </w:rPr>
    </w:lvl>
    <w:lvl w:ilvl="5" w:tplc="4806A5DE" w:tentative="1">
      <w:start w:val="1"/>
      <w:numFmt w:val="bullet"/>
      <w:lvlText w:val=""/>
      <w:lvlJc w:val="left"/>
      <w:pPr>
        <w:tabs>
          <w:tab w:val="num" w:pos="3240"/>
        </w:tabs>
        <w:ind w:left="3240" w:hanging="360"/>
      </w:pPr>
      <w:rPr>
        <w:rFonts w:ascii="Wingdings" w:hAnsi="Wingdings" w:hint="default"/>
      </w:rPr>
    </w:lvl>
    <w:lvl w:ilvl="6" w:tplc="E8CC716E" w:tentative="1">
      <w:start w:val="1"/>
      <w:numFmt w:val="bullet"/>
      <w:lvlText w:val=""/>
      <w:lvlJc w:val="left"/>
      <w:pPr>
        <w:tabs>
          <w:tab w:val="num" w:pos="3960"/>
        </w:tabs>
        <w:ind w:left="3960" w:hanging="360"/>
      </w:pPr>
      <w:rPr>
        <w:rFonts w:ascii="Symbol" w:hAnsi="Symbol" w:hint="default"/>
      </w:rPr>
    </w:lvl>
    <w:lvl w:ilvl="7" w:tplc="16E25D2A" w:tentative="1">
      <w:start w:val="1"/>
      <w:numFmt w:val="bullet"/>
      <w:lvlText w:val="o"/>
      <w:lvlJc w:val="left"/>
      <w:pPr>
        <w:tabs>
          <w:tab w:val="num" w:pos="4680"/>
        </w:tabs>
        <w:ind w:left="4680" w:hanging="360"/>
      </w:pPr>
      <w:rPr>
        <w:rFonts w:ascii="Courier New" w:hAnsi="Courier New" w:hint="default"/>
      </w:rPr>
    </w:lvl>
    <w:lvl w:ilvl="8" w:tplc="71BA69CC"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76A38C9"/>
    <w:multiLevelType w:val="hybridMultilevel"/>
    <w:tmpl w:val="F6CC7856"/>
    <w:lvl w:ilvl="0" w:tplc="6A98D3D0">
      <w:start w:val="1"/>
      <w:numFmt w:val="decimal"/>
      <w:lvlText w:val="%1."/>
      <w:lvlJc w:val="left"/>
      <w:pPr>
        <w:ind w:left="360" w:hanging="360"/>
      </w:pPr>
    </w:lvl>
    <w:lvl w:ilvl="1" w:tplc="57D26616">
      <w:start w:val="1"/>
      <w:numFmt w:val="lowerLetter"/>
      <w:lvlText w:val="%2."/>
      <w:lvlJc w:val="left"/>
      <w:pPr>
        <w:ind w:left="1080" w:hanging="360"/>
      </w:pPr>
    </w:lvl>
    <w:lvl w:ilvl="2" w:tplc="B14AF2FC">
      <w:start w:val="1"/>
      <w:numFmt w:val="lowerRoman"/>
      <w:lvlText w:val="%3."/>
      <w:lvlJc w:val="right"/>
      <w:pPr>
        <w:ind w:left="1800" w:hanging="180"/>
      </w:pPr>
    </w:lvl>
    <w:lvl w:ilvl="3" w:tplc="7214C55A">
      <w:start w:val="1"/>
      <w:numFmt w:val="decimal"/>
      <w:lvlText w:val="%4."/>
      <w:lvlJc w:val="left"/>
      <w:pPr>
        <w:ind w:left="2520" w:hanging="360"/>
      </w:pPr>
    </w:lvl>
    <w:lvl w:ilvl="4" w:tplc="87ECC858">
      <w:start w:val="1"/>
      <w:numFmt w:val="lowerLetter"/>
      <w:lvlText w:val="%5."/>
      <w:lvlJc w:val="left"/>
      <w:pPr>
        <w:ind w:left="3240" w:hanging="360"/>
      </w:pPr>
    </w:lvl>
    <w:lvl w:ilvl="5" w:tplc="513018CE">
      <w:start w:val="1"/>
      <w:numFmt w:val="lowerRoman"/>
      <w:lvlText w:val="%6."/>
      <w:lvlJc w:val="right"/>
      <w:pPr>
        <w:ind w:left="3960" w:hanging="180"/>
      </w:pPr>
    </w:lvl>
    <w:lvl w:ilvl="6" w:tplc="00D41D86">
      <w:start w:val="1"/>
      <w:numFmt w:val="decimal"/>
      <w:lvlText w:val="%7."/>
      <w:lvlJc w:val="left"/>
      <w:pPr>
        <w:ind w:left="4680" w:hanging="360"/>
      </w:pPr>
    </w:lvl>
    <w:lvl w:ilvl="7" w:tplc="DF822C70">
      <w:start w:val="1"/>
      <w:numFmt w:val="lowerLetter"/>
      <w:lvlText w:val="%8."/>
      <w:lvlJc w:val="left"/>
      <w:pPr>
        <w:ind w:left="5400" w:hanging="360"/>
      </w:pPr>
    </w:lvl>
    <w:lvl w:ilvl="8" w:tplc="168E834A">
      <w:start w:val="1"/>
      <w:numFmt w:val="lowerRoman"/>
      <w:lvlText w:val="%9."/>
      <w:lvlJc w:val="right"/>
      <w:pPr>
        <w:ind w:left="6120" w:hanging="180"/>
      </w:pPr>
    </w:lvl>
  </w:abstractNum>
  <w:abstractNum w:abstractNumId="10" w15:restartNumberingAfterBreak="0">
    <w:nsid w:val="2B0811E2"/>
    <w:multiLevelType w:val="hybridMultilevel"/>
    <w:tmpl w:val="97DA1936"/>
    <w:lvl w:ilvl="0" w:tplc="73087B76">
      <w:start w:val="1"/>
      <w:numFmt w:val="decimal"/>
      <w:lvlText w:val="%1."/>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DB5CFE"/>
    <w:multiLevelType w:val="multilevel"/>
    <w:tmpl w:val="8F18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2613FC"/>
    <w:multiLevelType w:val="hybridMultilevel"/>
    <w:tmpl w:val="52C6E492"/>
    <w:lvl w:ilvl="0" w:tplc="0C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3" w15:restartNumberingAfterBreak="0">
    <w:nsid w:val="429F000E"/>
    <w:multiLevelType w:val="hybridMultilevel"/>
    <w:tmpl w:val="706EB8EA"/>
    <w:lvl w:ilvl="0" w:tplc="4C68C544">
      <w:start w:val="1"/>
      <w:numFmt w:val="bullet"/>
      <w:lvlText w:val=""/>
      <w:lvlJc w:val="left"/>
      <w:pPr>
        <w:ind w:left="720" w:hanging="360"/>
      </w:pPr>
      <w:rPr>
        <w:rFonts w:ascii="Symbol" w:hAnsi="Symbol" w:hint="default"/>
      </w:rPr>
    </w:lvl>
    <w:lvl w:ilvl="1" w:tplc="3C4A35C4" w:tentative="1">
      <w:start w:val="1"/>
      <w:numFmt w:val="bullet"/>
      <w:lvlText w:val="o"/>
      <w:lvlJc w:val="left"/>
      <w:pPr>
        <w:ind w:left="1440" w:hanging="360"/>
      </w:pPr>
      <w:rPr>
        <w:rFonts w:ascii="Courier New" w:hAnsi="Courier New" w:cs="Courier New" w:hint="default"/>
      </w:rPr>
    </w:lvl>
    <w:lvl w:ilvl="2" w:tplc="2DCA1D9A" w:tentative="1">
      <w:start w:val="1"/>
      <w:numFmt w:val="bullet"/>
      <w:lvlText w:val=""/>
      <w:lvlJc w:val="left"/>
      <w:pPr>
        <w:ind w:left="2160" w:hanging="360"/>
      </w:pPr>
      <w:rPr>
        <w:rFonts w:ascii="Wingdings" w:hAnsi="Wingdings" w:hint="default"/>
      </w:rPr>
    </w:lvl>
    <w:lvl w:ilvl="3" w:tplc="E7F2BF58" w:tentative="1">
      <w:start w:val="1"/>
      <w:numFmt w:val="bullet"/>
      <w:lvlText w:val=""/>
      <w:lvlJc w:val="left"/>
      <w:pPr>
        <w:ind w:left="2880" w:hanging="360"/>
      </w:pPr>
      <w:rPr>
        <w:rFonts w:ascii="Symbol" w:hAnsi="Symbol" w:hint="default"/>
      </w:rPr>
    </w:lvl>
    <w:lvl w:ilvl="4" w:tplc="2C4A8634" w:tentative="1">
      <w:start w:val="1"/>
      <w:numFmt w:val="bullet"/>
      <w:lvlText w:val="o"/>
      <w:lvlJc w:val="left"/>
      <w:pPr>
        <w:ind w:left="3600" w:hanging="360"/>
      </w:pPr>
      <w:rPr>
        <w:rFonts w:ascii="Courier New" w:hAnsi="Courier New" w:cs="Courier New" w:hint="default"/>
      </w:rPr>
    </w:lvl>
    <w:lvl w:ilvl="5" w:tplc="DCA440A8" w:tentative="1">
      <w:start w:val="1"/>
      <w:numFmt w:val="bullet"/>
      <w:lvlText w:val=""/>
      <w:lvlJc w:val="left"/>
      <w:pPr>
        <w:ind w:left="4320" w:hanging="360"/>
      </w:pPr>
      <w:rPr>
        <w:rFonts w:ascii="Wingdings" w:hAnsi="Wingdings" w:hint="default"/>
      </w:rPr>
    </w:lvl>
    <w:lvl w:ilvl="6" w:tplc="DC58C2D8" w:tentative="1">
      <w:start w:val="1"/>
      <w:numFmt w:val="bullet"/>
      <w:lvlText w:val=""/>
      <w:lvlJc w:val="left"/>
      <w:pPr>
        <w:ind w:left="5040" w:hanging="360"/>
      </w:pPr>
      <w:rPr>
        <w:rFonts w:ascii="Symbol" w:hAnsi="Symbol" w:hint="default"/>
      </w:rPr>
    </w:lvl>
    <w:lvl w:ilvl="7" w:tplc="8A40261C" w:tentative="1">
      <w:start w:val="1"/>
      <w:numFmt w:val="bullet"/>
      <w:lvlText w:val="o"/>
      <w:lvlJc w:val="left"/>
      <w:pPr>
        <w:ind w:left="5760" w:hanging="360"/>
      </w:pPr>
      <w:rPr>
        <w:rFonts w:ascii="Courier New" w:hAnsi="Courier New" w:cs="Courier New" w:hint="default"/>
      </w:rPr>
    </w:lvl>
    <w:lvl w:ilvl="8" w:tplc="6812064A" w:tentative="1">
      <w:start w:val="1"/>
      <w:numFmt w:val="bullet"/>
      <w:lvlText w:val=""/>
      <w:lvlJc w:val="left"/>
      <w:pPr>
        <w:ind w:left="6480" w:hanging="360"/>
      </w:pPr>
      <w:rPr>
        <w:rFonts w:ascii="Wingdings" w:hAnsi="Wingdings" w:hint="default"/>
      </w:rPr>
    </w:lvl>
  </w:abstractNum>
  <w:abstractNum w:abstractNumId="14" w15:restartNumberingAfterBreak="0">
    <w:nsid w:val="42DC2DDB"/>
    <w:multiLevelType w:val="hybridMultilevel"/>
    <w:tmpl w:val="9D2056E2"/>
    <w:lvl w:ilvl="0" w:tplc="3EAEF176">
      <w:start w:val="1"/>
      <w:numFmt w:val="lowerLetter"/>
      <w:lvlText w:val="%1."/>
      <w:lvlJc w:val="left"/>
      <w:pPr>
        <w:ind w:left="360" w:hanging="360"/>
      </w:pPr>
    </w:lvl>
    <w:lvl w:ilvl="1" w:tplc="D2A0E2C8">
      <w:start w:val="1"/>
      <w:numFmt w:val="lowerRoman"/>
      <w:lvlText w:val="%2."/>
      <w:lvlJc w:val="right"/>
      <w:pPr>
        <w:ind w:left="1800" w:hanging="360"/>
      </w:pPr>
    </w:lvl>
    <w:lvl w:ilvl="2" w:tplc="9ED0FBF4">
      <w:start w:val="1"/>
      <w:numFmt w:val="lowerRoman"/>
      <w:lvlText w:val="%3."/>
      <w:lvlJc w:val="right"/>
      <w:pPr>
        <w:ind w:left="2520" w:hanging="180"/>
      </w:pPr>
    </w:lvl>
    <w:lvl w:ilvl="3" w:tplc="539E50A6">
      <w:start w:val="1"/>
      <w:numFmt w:val="decimal"/>
      <w:lvlText w:val="%4."/>
      <w:lvlJc w:val="left"/>
      <w:pPr>
        <w:ind w:left="3240" w:hanging="360"/>
      </w:pPr>
    </w:lvl>
    <w:lvl w:ilvl="4" w:tplc="547C9174">
      <w:start w:val="1"/>
      <w:numFmt w:val="lowerLetter"/>
      <w:lvlText w:val="%5."/>
      <w:lvlJc w:val="left"/>
      <w:pPr>
        <w:ind w:left="3960" w:hanging="360"/>
      </w:pPr>
    </w:lvl>
    <w:lvl w:ilvl="5" w:tplc="84985DE8">
      <w:start w:val="1"/>
      <w:numFmt w:val="lowerRoman"/>
      <w:lvlText w:val="%6."/>
      <w:lvlJc w:val="right"/>
      <w:pPr>
        <w:ind w:left="4680" w:hanging="180"/>
      </w:pPr>
    </w:lvl>
    <w:lvl w:ilvl="6" w:tplc="E5D4B0C2">
      <w:start w:val="1"/>
      <w:numFmt w:val="decimal"/>
      <w:lvlText w:val="%7."/>
      <w:lvlJc w:val="left"/>
      <w:pPr>
        <w:ind w:left="5400" w:hanging="360"/>
      </w:pPr>
    </w:lvl>
    <w:lvl w:ilvl="7" w:tplc="7910013A">
      <w:start w:val="1"/>
      <w:numFmt w:val="lowerLetter"/>
      <w:lvlText w:val="%8."/>
      <w:lvlJc w:val="left"/>
      <w:pPr>
        <w:ind w:left="6120" w:hanging="360"/>
      </w:pPr>
    </w:lvl>
    <w:lvl w:ilvl="8" w:tplc="684CC2DE">
      <w:start w:val="1"/>
      <w:numFmt w:val="lowerRoman"/>
      <w:lvlText w:val="%9."/>
      <w:lvlJc w:val="right"/>
      <w:pPr>
        <w:ind w:left="6840" w:hanging="180"/>
      </w:pPr>
    </w:lvl>
  </w:abstractNum>
  <w:abstractNum w:abstractNumId="15" w15:restartNumberingAfterBreak="0">
    <w:nsid w:val="47832E97"/>
    <w:multiLevelType w:val="hybridMultilevel"/>
    <w:tmpl w:val="8632D66E"/>
    <w:lvl w:ilvl="0" w:tplc="0C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6" w15:restartNumberingAfterBreak="0">
    <w:nsid w:val="4DAF794E"/>
    <w:multiLevelType w:val="multilevel"/>
    <w:tmpl w:val="D11E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E30AC9"/>
    <w:multiLevelType w:val="hybridMultilevel"/>
    <w:tmpl w:val="2E2A87C4"/>
    <w:lvl w:ilvl="0" w:tplc="5F001FAE">
      <w:start w:val="1"/>
      <w:numFmt w:val="decimal"/>
      <w:lvlText w:val="%1."/>
      <w:lvlJc w:val="left"/>
      <w:pPr>
        <w:ind w:left="360" w:hanging="360"/>
      </w:pPr>
    </w:lvl>
    <w:lvl w:ilvl="1" w:tplc="E0BE7A24" w:tentative="1">
      <w:start w:val="1"/>
      <w:numFmt w:val="lowerLetter"/>
      <w:lvlText w:val="%2."/>
      <w:lvlJc w:val="left"/>
      <w:pPr>
        <w:ind w:left="1440" w:hanging="360"/>
      </w:pPr>
    </w:lvl>
    <w:lvl w:ilvl="2" w:tplc="39D2ACAA" w:tentative="1">
      <w:start w:val="1"/>
      <w:numFmt w:val="lowerRoman"/>
      <w:lvlText w:val="%3."/>
      <w:lvlJc w:val="right"/>
      <w:pPr>
        <w:ind w:left="2160" w:hanging="180"/>
      </w:pPr>
    </w:lvl>
    <w:lvl w:ilvl="3" w:tplc="87F2E938" w:tentative="1">
      <w:start w:val="1"/>
      <w:numFmt w:val="decimal"/>
      <w:lvlText w:val="%4."/>
      <w:lvlJc w:val="left"/>
      <w:pPr>
        <w:ind w:left="2880" w:hanging="360"/>
      </w:pPr>
    </w:lvl>
    <w:lvl w:ilvl="4" w:tplc="90242910" w:tentative="1">
      <w:start w:val="1"/>
      <w:numFmt w:val="lowerLetter"/>
      <w:lvlText w:val="%5."/>
      <w:lvlJc w:val="left"/>
      <w:pPr>
        <w:ind w:left="3600" w:hanging="360"/>
      </w:pPr>
    </w:lvl>
    <w:lvl w:ilvl="5" w:tplc="8D9ACD56" w:tentative="1">
      <w:start w:val="1"/>
      <w:numFmt w:val="lowerRoman"/>
      <w:lvlText w:val="%6."/>
      <w:lvlJc w:val="right"/>
      <w:pPr>
        <w:ind w:left="4320" w:hanging="180"/>
      </w:pPr>
    </w:lvl>
    <w:lvl w:ilvl="6" w:tplc="1C72C582" w:tentative="1">
      <w:start w:val="1"/>
      <w:numFmt w:val="decimal"/>
      <w:lvlText w:val="%7."/>
      <w:lvlJc w:val="left"/>
      <w:pPr>
        <w:ind w:left="5040" w:hanging="360"/>
      </w:pPr>
    </w:lvl>
    <w:lvl w:ilvl="7" w:tplc="93F6C0AC" w:tentative="1">
      <w:start w:val="1"/>
      <w:numFmt w:val="lowerLetter"/>
      <w:lvlText w:val="%8."/>
      <w:lvlJc w:val="left"/>
      <w:pPr>
        <w:ind w:left="5760" w:hanging="360"/>
      </w:pPr>
    </w:lvl>
    <w:lvl w:ilvl="8" w:tplc="2E6422A4" w:tentative="1">
      <w:start w:val="1"/>
      <w:numFmt w:val="lowerRoman"/>
      <w:lvlText w:val="%9."/>
      <w:lvlJc w:val="right"/>
      <w:pPr>
        <w:ind w:left="6480" w:hanging="180"/>
      </w:pPr>
    </w:lvl>
  </w:abstractNum>
  <w:abstractNum w:abstractNumId="18" w15:restartNumberingAfterBreak="0">
    <w:nsid w:val="547546A5"/>
    <w:multiLevelType w:val="hybridMultilevel"/>
    <w:tmpl w:val="C87CC68C"/>
    <w:lvl w:ilvl="0" w:tplc="4C94232A">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C628A3"/>
    <w:multiLevelType w:val="hybridMultilevel"/>
    <w:tmpl w:val="2E2A87C4"/>
    <w:lvl w:ilvl="0" w:tplc="8AA0C670">
      <w:start w:val="1"/>
      <w:numFmt w:val="decimal"/>
      <w:lvlText w:val="%1."/>
      <w:lvlJc w:val="left"/>
      <w:pPr>
        <w:ind w:left="360" w:hanging="360"/>
      </w:pPr>
    </w:lvl>
    <w:lvl w:ilvl="1" w:tplc="336C2376">
      <w:start w:val="1"/>
      <w:numFmt w:val="lowerLetter"/>
      <w:lvlText w:val="%2."/>
      <w:lvlJc w:val="left"/>
      <w:pPr>
        <w:ind w:left="1440" w:hanging="360"/>
      </w:pPr>
    </w:lvl>
    <w:lvl w:ilvl="2" w:tplc="CDC23440">
      <w:start w:val="1"/>
      <w:numFmt w:val="lowerRoman"/>
      <w:lvlText w:val="%3."/>
      <w:lvlJc w:val="right"/>
      <w:pPr>
        <w:ind w:left="2160" w:hanging="180"/>
      </w:pPr>
    </w:lvl>
    <w:lvl w:ilvl="3" w:tplc="FF38900E">
      <w:start w:val="1"/>
      <w:numFmt w:val="decimal"/>
      <w:lvlText w:val="%4."/>
      <w:lvlJc w:val="left"/>
      <w:pPr>
        <w:ind w:left="2880" w:hanging="360"/>
      </w:pPr>
    </w:lvl>
    <w:lvl w:ilvl="4" w:tplc="FFC6161C">
      <w:start w:val="1"/>
      <w:numFmt w:val="lowerLetter"/>
      <w:lvlText w:val="%5."/>
      <w:lvlJc w:val="left"/>
      <w:pPr>
        <w:ind w:left="3600" w:hanging="360"/>
      </w:pPr>
    </w:lvl>
    <w:lvl w:ilvl="5" w:tplc="A8F2CF26">
      <w:start w:val="1"/>
      <w:numFmt w:val="lowerRoman"/>
      <w:lvlText w:val="%6."/>
      <w:lvlJc w:val="right"/>
      <w:pPr>
        <w:ind w:left="4320" w:hanging="180"/>
      </w:pPr>
    </w:lvl>
    <w:lvl w:ilvl="6" w:tplc="9FE6BCEE">
      <w:start w:val="1"/>
      <w:numFmt w:val="decimal"/>
      <w:lvlText w:val="%7."/>
      <w:lvlJc w:val="left"/>
      <w:pPr>
        <w:ind w:left="5040" w:hanging="360"/>
      </w:pPr>
    </w:lvl>
    <w:lvl w:ilvl="7" w:tplc="A1D60E4A">
      <w:start w:val="1"/>
      <w:numFmt w:val="lowerLetter"/>
      <w:lvlText w:val="%8."/>
      <w:lvlJc w:val="left"/>
      <w:pPr>
        <w:ind w:left="5760" w:hanging="360"/>
      </w:pPr>
    </w:lvl>
    <w:lvl w:ilvl="8" w:tplc="B32409F4">
      <w:start w:val="1"/>
      <w:numFmt w:val="lowerRoman"/>
      <w:lvlText w:val="%9."/>
      <w:lvlJc w:val="right"/>
      <w:pPr>
        <w:ind w:left="6480" w:hanging="180"/>
      </w:pPr>
    </w:lvl>
  </w:abstractNum>
  <w:abstractNum w:abstractNumId="20" w15:restartNumberingAfterBreak="0">
    <w:nsid w:val="5B591C03"/>
    <w:multiLevelType w:val="hybridMultilevel"/>
    <w:tmpl w:val="F2B83880"/>
    <w:lvl w:ilvl="0" w:tplc="706658CA">
      <w:start w:val="1"/>
      <w:numFmt w:val="bullet"/>
      <w:lvlText w:val=""/>
      <w:lvlJc w:val="left"/>
      <w:pPr>
        <w:ind w:left="1800" w:hanging="360"/>
      </w:pPr>
      <w:rPr>
        <w:rFonts w:ascii="Symbol" w:hAnsi="Symbol" w:hint="default"/>
      </w:rPr>
    </w:lvl>
    <w:lvl w:ilvl="1" w:tplc="D4A2DECC">
      <w:start w:val="1"/>
      <w:numFmt w:val="bullet"/>
      <w:lvlText w:val="o"/>
      <w:lvlJc w:val="left"/>
      <w:pPr>
        <w:ind w:left="2520" w:hanging="360"/>
      </w:pPr>
      <w:rPr>
        <w:rFonts w:ascii="Courier New" w:hAnsi="Courier New" w:cs="Courier New" w:hint="default"/>
      </w:rPr>
    </w:lvl>
    <w:lvl w:ilvl="2" w:tplc="E146F64A">
      <w:start w:val="1"/>
      <w:numFmt w:val="bullet"/>
      <w:lvlText w:val=""/>
      <w:lvlJc w:val="left"/>
      <w:pPr>
        <w:ind w:left="3240" w:hanging="360"/>
      </w:pPr>
      <w:rPr>
        <w:rFonts w:ascii="Wingdings" w:hAnsi="Wingdings" w:hint="default"/>
      </w:rPr>
    </w:lvl>
    <w:lvl w:ilvl="3" w:tplc="293099E4">
      <w:start w:val="1"/>
      <w:numFmt w:val="bullet"/>
      <w:lvlText w:val=""/>
      <w:lvlJc w:val="left"/>
      <w:pPr>
        <w:ind w:left="3960" w:hanging="360"/>
      </w:pPr>
      <w:rPr>
        <w:rFonts w:ascii="Symbol" w:hAnsi="Symbol" w:hint="default"/>
      </w:rPr>
    </w:lvl>
    <w:lvl w:ilvl="4" w:tplc="27647DB0">
      <w:start w:val="1"/>
      <w:numFmt w:val="bullet"/>
      <w:lvlText w:val="o"/>
      <w:lvlJc w:val="left"/>
      <w:pPr>
        <w:ind w:left="4680" w:hanging="360"/>
      </w:pPr>
      <w:rPr>
        <w:rFonts w:ascii="Courier New" w:hAnsi="Courier New" w:cs="Courier New" w:hint="default"/>
      </w:rPr>
    </w:lvl>
    <w:lvl w:ilvl="5" w:tplc="5DD88B40">
      <w:start w:val="1"/>
      <w:numFmt w:val="bullet"/>
      <w:lvlText w:val=""/>
      <w:lvlJc w:val="left"/>
      <w:pPr>
        <w:ind w:left="5400" w:hanging="360"/>
      </w:pPr>
      <w:rPr>
        <w:rFonts w:ascii="Wingdings" w:hAnsi="Wingdings" w:hint="default"/>
      </w:rPr>
    </w:lvl>
    <w:lvl w:ilvl="6" w:tplc="999A509E">
      <w:start w:val="1"/>
      <w:numFmt w:val="bullet"/>
      <w:lvlText w:val=""/>
      <w:lvlJc w:val="left"/>
      <w:pPr>
        <w:ind w:left="6120" w:hanging="360"/>
      </w:pPr>
      <w:rPr>
        <w:rFonts w:ascii="Symbol" w:hAnsi="Symbol" w:hint="default"/>
      </w:rPr>
    </w:lvl>
    <w:lvl w:ilvl="7" w:tplc="1D08FC54">
      <w:start w:val="1"/>
      <w:numFmt w:val="bullet"/>
      <w:lvlText w:val="o"/>
      <w:lvlJc w:val="left"/>
      <w:pPr>
        <w:ind w:left="6840" w:hanging="360"/>
      </w:pPr>
      <w:rPr>
        <w:rFonts w:ascii="Courier New" w:hAnsi="Courier New" w:cs="Courier New" w:hint="default"/>
      </w:rPr>
    </w:lvl>
    <w:lvl w:ilvl="8" w:tplc="E7A66962">
      <w:start w:val="1"/>
      <w:numFmt w:val="bullet"/>
      <w:lvlText w:val=""/>
      <w:lvlJc w:val="left"/>
      <w:pPr>
        <w:ind w:left="7560" w:hanging="360"/>
      </w:pPr>
      <w:rPr>
        <w:rFonts w:ascii="Wingdings" w:hAnsi="Wingdings" w:hint="default"/>
      </w:rPr>
    </w:lvl>
  </w:abstractNum>
  <w:abstractNum w:abstractNumId="21" w15:restartNumberingAfterBreak="0">
    <w:nsid w:val="5BE40D9D"/>
    <w:multiLevelType w:val="hybridMultilevel"/>
    <w:tmpl w:val="CA6C13F0"/>
    <w:lvl w:ilvl="0" w:tplc="56103026">
      <w:start w:val="1"/>
      <w:numFmt w:val="lowerRoman"/>
      <w:lvlText w:val="%1."/>
      <w:lvlJc w:val="left"/>
      <w:pPr>
        <w:ind w:left="1080" w:hanging="360"/>
      </w:pPr>
      <w:rPr>
        <w:rFonts w:ascii="Calibri" w:eastAsia="Calibri" w:hAnsi="Calibri"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DDC0512"/>
    <w:multiLevelType w:val="multilevel"/>
    <w:tmpl w:val="211C97D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E17E90"/>
    <w:multiLevelType w:val="hybridMultilevel"/>
    <w:tmpl w:val="5EC05ACA"/>
    <w:lvl w:ilvl="0" w:tplc="0D105D9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F552B7"/>
    <w:multiLevelType w:val="hybridMultilevel"/>
    <w:tmpl w:val="9D2056E2"/>
    <w:lvl w:ilvl="0" w:tplc="65C813A2">
      <w:start w:val="1"/>
      <w:numFmt w:val="lowerLetter"/>
      <w:lvlText w:val="%1."/>
      <w:lvlJc w:val="left"/>
      <w:pPr>
        <w:ind w:left="360" w:hanging="360"/>
      </w:pPr>
    </w:lvl>
    <w:lvl w:ilvl="1" w:tplc="AE6CDAE8">
      <w:start w:val="1"/>
      <w:numFmt w:val="lowerRoman"/>
      <w:lvlText w:val="%2."/>
      <w:lvlJc w:val="right"/>
      <w:pPr>
        <w:ind w:left="1800" w:hanging="360"/>
      </w:pPr>
    </w:lvl>
    <w:lvl w:ilvl="2" w:tplc="82547A1C">
      <w:start w:val="1"/>
      <w:numFmt w:val="lowerRoman"/>
      <w:lvlText w:val="%3."/>
      <w:lvlJc w:val="right"/>
      <w:pPr>
        <w:ind w:left="2520" w:hanging="180"/>
      </w:pPr>
    </w:lvl>
    <w:lvl w:ilvl="3" w:tplc="1782160C">
      <w:start w:val="1"/>
      <w:numFmt w:val="decimal"/>
      <w:lvlText w:val="%4."/>
      <w:lvlJc w:val="left"/>
      <w:pPr>
        <w:ind w:left="3240" w:hanging="360"/>
      </w:pPr>
    </w:lvl>
    <w:lvl w:ilvl="4" w:tplc="4C7EDB52">
      <w:start w:val="1"/>
      <w:numFmt w:val="lowerLetter"/>
      <w:lvlText w:val="%5."/>
      <w:lvlJc w:val="left"/>
      <w:pPr>
        <w:ind w:left="3960" w:hanging="360"/>
      </w:pPr>
    </w:lvl>
    <w:lvl w:ilvl="5" w:tplc="92621E14">
      <w:start w:val="1"/>
      <w:numFmt w:val="lowerRoman"/>
      <w:lvlText w:val="%6."/>
      <w:lvlJc w:val="right"/>
      <w:pPr>
        <w:ind w:left="4680" w:hanging="180"/>
      </w:pPr>
    </w:lvl>
    <w:lvl w:ilvl="6" w:tplc="3F46AD4E">
      <w:start w:val="1"/>
      <w:numFmt w:val="decimal"/>
      <w:lvlText w:val="%7."/>
      <w:lvlJc w:val="left"/>
      <w:pPr>
        <w:ind w:left="5400" w:hanging="360"/>
      </w:pPr>
    </w:lvl>
    <w:lvl w:ilvl="7" w:tplc="1012CD8C">
      <w:start w:val="1"/>
      <w:numFmt w:val="lowerLetter"/>
      <w:lvlText w:val="%8."/>
      <w:lvlJc w:val="left"/>
      <w:pPr>
        <w:ind w:left="6120" w:hanging="360"/>
      </w:pPr>
    </w:lvl>
    <w:lvl w:ilvl="8" w:tplc="1E8E9B6C">
      <w:start w:val="1"/>
      <w:numFmt w:val="lowerRoman"/>
      <w:lvlText w:val="%9."/>
      <w:lvlJc w:val="right"/>
      <w:pPr>
        <w:ind w:left="6840" w:hanging="180"/>
      </w:pPr>
    </w:lvl>
  </w:abstractNum>
  <w:abstractNum w:abstractNumId="25" w15:restartNumberingAfterBreak="0">
    <w:nsid w:val="6442172E"/>
    <w:multiLevelType w:val="multilevel"/>
    <w:tmpl w:val="F8F6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9D420E"/>
    <w:multiLevelType w:val="hybridMultilevel"/>
    <w:tmpl w:val="2058121E"/>
    <w:lvl w:ilvl="0" w:tplc="A9604E88">
      <w:start w:val="1"/>
      <w:numFmt w:val="bullet"/>
      <w:pStyle w:val="BSbullet1"/>
      <w:lvlText w:val=""/>
      <w:lvlJc w:val="left"/>
      <w:pPr>
        <w:tabs>
          <w:tab w:val="num" w:pos="360"/>
        </w:tabs>
        <w:ind w:left="357" w:hanging="357"/>
      </w:pPr>
      <w:rPr>
        <w:rFonts w:ascii="Symbol" w:hAnsi="Symbol" w:hint="default"/>
        <w:sz w:val="24"/>
      </w:rPr>
    </w:lvl>
    <w:lvl w:ilvl="1" w:tplc="33F21DB8">
      <w:start w:val="1"/>
      <w:numFmt w:val="bullet"/>
      <w:lvlText w:val=""/>
      <w:lvlJc w:val="left"/>
      <w:pPr>
        <w:ind w:left="1800" w:hanging="360"/>
      </w:pPr>
      <w:rPr>
        <w:rFonts w:ascii="Symbol" w:hAnsi="Symbol" w:hint="default"/>
      </w:rPr>
    </w:lvl>
    <w:lvl w:ilvl="2" w:tplc="B0D67FC6">
      <w:start w:val="1"/>
      <w:numFmt w:val="bullet"/>
      <w:lvlText w:val=""/>
      <w:lvlJc w:val="left"/>
      <w:pPr>
        <w:tabs>
          <w:tab w:val="num" w:pos="2520"/>
        </w:tabs>
        <w:ind w:left="2520" w:hanging="360"/>
      </w:pPr>
      <w:rPr>
        <w:rFonts w:ascii="Wingdings" w:hAnsi="Wingdings" w:hint="default"/>
      </w:rPr>
    </w:lvl>
    <w:lvl w:ilvl="3" w:tplc="5B8EE704">
      <w:start w:val="1"/>
      <w:numFmt w:val="bullet"/>
      <w:lvlText w:val=""/>
      <w:lvlJc w:val="left"/>
      <w:pPr>
        <w:tabs>
          <w:tab w:val="num" w:pos="3240"/>
        </w:tabs>
        <w:ind w:left="3240" w:hanging="360"/>
      </w:pPr>
      <w:rPr>
        <w:rFonts w:ascii="Symbol" w:hAnsi="Symbol" w:hint="default"/>
      </w:rPr>
    </w:lvl>
    <w:lvl w:ilvl="4" w:tplc="320E9CFE">
      <w:start w:val="1"/>
      <w:numFmt w:val="bullet"/>
      <w:lvlText w:val="o"/>
      <w:lvlJc w:val="left"/>
      <w:pPr>
        <w:tabs>
          <w:tab w:val="num" w:pos="3960"/>
        </w:tabs>
        <w:ind w:left="3960" w:hanging="360"/>
      </w:pPr>
      <w:rPr>
        <w:rFonts w:ascii="Courier New" w:hAnsi="Courier New" w:hint="default"/>
      </w:rPr>
    </w:lvl>
    <w:lvl w:ilvl="5" w:tplc="476C53DC">
      <w:start w:val="1"/>
      <w:numFmt w:val="bullet"/>
      <w:lvlText w:val=""/>
      <w:lvlJc w:val="left"/>
      <w:pPr>
        <w:tabs>
          <w:tab w:val="num" w:pos="4680"/>
        </w:tabs>
        <w:ind w:left="4680" w:hanging="360"/>
      </w:pPr>
      <w:rPr>
        <w:rFonts w:ascii="Wingdings" w:hAnsi="Wingdings" w:hint="default"/>
      </w:rPr>
    </w:lvl>
    <w:lvl w:ilvl="6" w:tplc="B532C98C">
      <w:start w:val="1"/>
      <w:numFmt w:val="bullet"/>
      <w:lvlText w:val=""/>
      <w:lvlJc w:val="left"/>
      <w:pPr>
        <w:tabs>
          <w:tab w:val="num" w:pos="5400"/>
        </w:tabs>
        <w:ind w:left="5400" w:hanging="360"/>
      </w:pPr>
      <w:rPr>
        <w:rFonts w:ascii="Symbol" w:hAnsi="Symbol" w:hint="default"/>
      </w:rPr>
    </w:lvl>
    <w:lvl w:ilvl="7" w:tplc="898A04EC">
      <w:start w:val="1"/>
      <w:numFmt w:val="bullet"/>
      <w:lvlText w:val="o"/>
      <w:lvlJc w:val="left"/>
      <w:pPr>
        <w:tabs>
          <w:tab w:val="num" w:pos="6120"/>
        </w:tabs>
        <w:ind w:left="6120" w:hanging="360"/>
      </w:pPr>
      <w:rPr>
        <w:rFonts w:ascii="Courier New" w:hAnsi="Courier New" w:hint="default"/>
      </w:rPr>
    </w:lvl>
    <w:lvl w:ilvl="8" w:tplc="52D07056">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8BD5E39"/>
    <w:multiLevelType w:val="hybridMultilevel"/>
    <w:tmpl w:val="170CA6FE"/>
    <w:lvl w:ilvl="0" w:tplc="0F382C7E">
      <w:start w:val="1"/>
      <w:numFmt w:val="lowerLetter"/>
      <w:lvlText w:val="%1."/>
      <w:lvlJc w:val="left"/>
      <w:pPr>
        <w:ind w:left="360" w:hanging="360"/>
      </w:pPr>
      <w:rPr>
        <w:rFonts w:hint="default"/>
        <w:b w:val="0"/>
        <w:bCs w:val="0"/>
      </w:rPr>
    </w:lvl>
    <w:lvl w:ilvl="1" w:tplc="0C09001B">
      <w:start w:val="1"/>
      <w:numFmt w:val="lowerRoman"/>
      <w:lvlText w:val="%2."/>
      <w:lvlJc w:val="right"/>
      <w:pPr>
        <w:ind w:left="1440" w:hanging="360"/>
      </w:pPr>
    </w:lvl>
    <w:lvl w:ilvl="2" w:tplc="A29CE61C" w:tentative="1">
      <w:start w:val="1"/>
      <w:numFmt w:val="lowerRoman"/>
      <w:lvlText w:val="%3."/>
      <w:lvlJc w:val="right"/>
      <w:pPr>
        <w:ind w:left="2160" w:hanging="180"/>
      </w:pPr>
    </w:lvl>
    <w:lvl w:ilvl="3" w:tplc="65B8DA62" w:tentative="1">
      <w:start w:val="1"/>
      <w:numFmt w:val="decimal"/>
      <w:lvlText w:val="%4."/>
      <w:lvlJc w:val="left"/>
      <w:pPr>
        <w:ind w:left="2880" w:hanging="360"/>
      </w:pPr>
    </w:lvl>
    <w:lvl w:ilvl="4" w:tplc="6DAA6EAC" w:tentative="1">
      <w:start w:val="1"/>
      <w:numFmt w:val="lowerLetter"/>
      <w:lvlText w:val="%5."/>
      <w:lvlJc w:val="left"/>
      <w:pPr>
        <w:ind w:left="3600" w:hanging="360"/>
      </w:pPr>
    </w:lvl>
    <w:lvl w:ilvl="5" w:tplc="2CFE6752" w:tentative="1">
      <w:start w:val="1"/>
      <w:numFmt w:val="lowerRoman"/>
      <w:lvlText w:val="%6."/>
      <w:lvlJc w:val="right"/>
      <w:pPr>
        <w:ind w:left="4320" w:hanging="180"/>
      </w:pPr>
    </w:lvl>
    <w:lvl w:ilvl="6" w:tplc="2D4E704C" w:tentative="1">
      <w:start w:val="1"/>
      <w:numFmt w:val="decimal"/>
      <w:lvlText w:val="%7."/>
      <w:lvlJc w:val="left"/>
      <w:pPr>
        <w:ind w:left="5040" w:hanging="360"/>
      </w:pPr>
    </w:lvl>
    <w:lvl w:ilvl="7" w:tplc="A5F63752" w:tentative="1">
      <w:start w:val="1"/>
      <w:numFmt w:val="lowerLetter"/>
      <w:lvlText w:val="%8."/>
      <w:lvlJc w:val="left"/>
      <w:pPr>
        <w:ind w:left="5760" w:hanging="360"/>
      </w:pPr>
    </w:lvl>
    <w:lvl w:ilvl="8" w:tplc="CAC22274" w:tentative="1">
      <w:start w:val="1"/>
      <w:numFmt w:val="lowerRoman"/>
      <w:lvlText w:val="%9."/>
      <w:lvlJc w:val="right"/>
      <w:pPr>
        <w:ind w:left="6480" w:hanging="180"/>
      </w:pPr>
    </w:lvl>
  </w:abstractNum>
  <w:abstractNum w:abstractNumId="28" w15:restartNumberingAfterBreak="0">
    <w:nsid w:val="6A994674"/>
    <w:multiLevelType w:val="hybridMultilevel"/>
    <w:tmpl w:val="09381100"/>
    <w:lvl w:ilvl="0" w:tplc="B6CC2F62">
      <w:start w:val="1"/>
      <w:numFmt w:val="lowerLetter"/>
      <w:pStyle w:val="BTableList"/>
      <w:lvlText w:val="%1."/>
      <w:lvlJc w:val="left"/>
      <w:pPr>
        <w:ind w:left="360" w:hanging="360"/>
      </w:pPr>
    </w:lvl>
    <w:lvl w:ilvl="1" w:tplc="1354E102">
      <w:start w:val="1"/>
      <w:numFmt w:val="lowerRoman"/>
      <w:lvlText w:val="%2."/>
      <w:lvlJc w:val="right"/>
      <w:pPr>
        <w:ind w:left="1800" w:hanging="360"/>
      </w:pPr>
    </w:lvl>
    <w:lvl w:ilvl="2" w:tplc="A19C7DAA" w:tentative="1">
      <w:start w:val="1"/>
      <w:numFmt w:val="lowerRoman"/>
      <w:lvlText w:val="%3."/>
      <w:lvlJc w:val="right"/>
      <w:pPr>
        <w:ind w:left="2520" w:hanging="180"/>
      </w:pPr>
    </w:lvl>
    <w:lvl w:ilvl="3" w:tplc="7C82F560" w:tentative="1">
      <w:start w:val="1"/>
      <w:numFmt w:val="decimal"/>
      <w:lvlText w:val="%4."/>
      <w:lvlJc w:val="left"/>
      <w:pPr>
        <w:ind w:left="3240" w:hanging="360"/>
      </w:pPr>
    </w:lvl>
    <w:lvl w:ilvl="4" w:tplc="05E689C0" w:tentative="1">
      <w:start w:val="1"/>
      <w:numFmt w:val="lowerLetter"/>
      <w:lvlText w:val="%5."/>
      <w:lvlJc w:val="left"/>
      <w:pPr>
        <w:ind w:left="3960" w:hanging="360"/>
      </w:pPr>
    </w:lvl>
    <w:lvl w:ilvl="5" w:tplc="27925FF6" w:tentative="1">
      <w:start w:val="1"/>
      <w:numFmt w:val="lowerRoman"/>
      <w:lvlText w:val="%6."/>
      <w:lvlJc w:val="right"/>
      <w:pPr>
        <w:ind w:left="4680" w:hanging="180"/>
      </w:pPr>
    </w:lvl>
    <w:lvl w:ilvl="6" w:tplc="F7ECCF0E" w:tentative="1">
      <w:start w:val="1"/>
      <w:numFmt w:val="decimal"/>
      <w:lvlText w:val="%7."/>
      <w:lvlJc w:val="left"/>
      <w:pPr>
        <w:ind w:left="5400" w:hanging="360"/>
      </w:pPr>
    </w:lvl>
    <w:lvl w:ilvl="7" w:tplc="DB644396" w:tentative="1">
      <w:start w:val="1"/>
      <w:numFmt w:val="lowerLetter"/>
      <w:lvlText w:val="%8."/>
      <w:lvlJc w:val="left"/>
      <w:pPr>
        <w:ind w:left="6120" w:hanging="360"/>
      </w:pPr>
    </w:lvl>
    <w:lvl w:ilvl="8" w:tplc="1C567A42" w:tentative="1">
      <w:start w:val="1"/>
      <w:numFmt w:val="lowerRoman"/>
      <w:lvlText w:val="%9."/>
      <w:lvlJc w:val="right"/>
      <w:pPr>
        <w:ind w:left="6840" w:hanging="180"/>
      </w:pPr>
    </w:lvl>
  </w:abstractNum>
  <w:abstractNum w:abstractNumId="29" w15:restartNumberingAfterBreak="0">
    <w:nsid w:val="6CBF2B22"/>
    <w:multiLevelType w:val="multilevel"/>
    <w:tmpl w:val="C264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0B020C"/>
    <w:multiLevelType w:val="hybridMultilevel"/>
    <w:tmpl w:val="D60048B2"/>
    <w:lvl w:ilvl="0" w:tplc="EC6ED6FA">
      <w:start w:val="1"/>
      <w:numFmt w:val="decimal"/>
      <w:lvlText w:val="%1."/>
      <w:lvlJc w:val="left"/>
      <w:pPr>
        <w:ind w:left="360" w:hanging="360"/>
      </w:pPr>
    </w:lvl>
    <w:lvl w:ilvl="1" w:tplc="F1F6F1B4" w:tentative="1">
      <w:start w:val="1"/>
      <w:numFmt w:val="lowerLetter"/>
      <w:lvlText w:val="%2."/>
      <w:lvlJc w:val="left"/>
      <w:pPr>
        <w:ind w:left="1440" w:hanging="360"/>
      </w:pPr>
    </w:lvl>
    <w:lvl w:ilvl="2" w:tplc="05E21062" w:tentative="1">
      <w:start w:val="1"/>
      <w:numFmt w:val="lowerRoman"/>
      <w:lvlText w:val="%3."/>
      <w:lvlJc w:val="right"/>
      <w:pPr>
        <w:ind w:left="2160" w:hanging="180"/>
      </w:pPr>
    </w:lvl>
    <w:lvl w:ilvl="3" w:tplc="E6EEDC36" w:tentative="1">
      <w:start w:val="1"/>
      <w:numFmt w:val="decimal"/>
      <w:lvlText w:val="%4."/>
      <w:lvlJc w:val="left"/>
      <w:pPr>
        <w:ind w:left="2880" w:hanging="360"/>
      </w:pPr>
    </w:lvl>
    <w:lvl w:ilvl="4" w:tplc="7C0A24E8" w:tentative="1">
      <w:start w:val="1"/>
      <w:numFmt w:val="lowerLetter"/>
      <w:lvlText w:val="%5."/>
      <w:lvlJc w:val="left"/>
      <w:pPr>
        <w:ind w:left="3600" w:hanging="360"/>
      </w:pPr>
    </w:lvl>
    <w:lvl w:ilvl="5" w:tplc="40DC8FFE" w:tentative="1">
      <w:start w:val="1"/>
      <w:numFmt w:val="lowerRoman"/>
      <w:lvlText w:val="%6."/>
      <w:lvlJc w:val="right"/>
      <w:pPr>
        <w:ind w:left="4320" w:hanging="180"/>
      </w:pPr>
    </w:lvl>
    <w:lvl w:ilvl="6" w:tplc="64F2F4C2" w:tentative="1">
      <w:start w:val="1"/>
      <w:numFmt w:val="decimal"/>
      <w:lvlText w:val="%7."/>
      <w:lvlJc w:val="left"/>
      <w:pPr>
        <w:ind w:left="5040" w:hanging="360"/>
      </w:pPr>
    </w:lvl>
    <w:lvl w:ilvl="7" w:tplc="388E1E06" w:tentative="1">
      <w:start w:val="1"/>
      <w:numFmt w:val="lowerLetter"/>
      <w:lvlText w:val="%8."/>
      <w:lvlJc w:val="left"/>
      <w:pPr>
        <w:ind w:left="5760" w:hanging="360"/>
      </w:pPr>
    </w:lvl>
    <w:lvl w:ilvl="8" w:tplc="2CF2A8D4" w:tentative="1">
      <w:start w:val="1"/>
      <w:numFmt w:val="lowerRoman"/>
      <w:lvlText w:val="%9."/>
      <w:lvlJc w:val="right"/>
      <w:pPr>
        <w:ind w:left="6480" w:hanging="180"/>
      </w:pPr>
    </w:lvl>
  </w:abstractNum>
  <w:abstractNum w:abstractNumId="31" w15:restartNumberingAfterBreak="0">
    <w:nsid w:val="70431881"/>
    <w:multiLevelType w:val="hybridMultilevel"/>
    <w:tmpl w:val="9D2056E2"/>
    <w:lvl w:ilvl="0" w:tplc="64FEF7AC">
      <w:start w:val="1"/>
      <w:numFmt w:val="lowerLetter"/>
      <w:lvlText w:val="%1."/>
      <w:lvlJc w:val="left"/>
      <w:pPr>
        <w:ind w:left="360" w:hanging="360"/>
      </w:pPr>
    </w:lvl>
    <w:lvl w:ilvl="1" w:tplc="0BB0D8EA">
      <w:start w:val="1"/>
      <w:numFmt w:val="lowerRoman"/>
      <w:lvlText w:val="%2."/>
      <w:lvlJc w:val="right"/>
      <w:pPr>
        <w:ind w:left="1800" w:hanging="360"/>
      </w:pPr>
    </w:lvl>
    <w:lvl w:ilvl="2" w:tplc="285C9E5E">
      <w:start w:val="1"/>
      <w:numFmt w:val="lowerRoman"/>
      <w:lvlText w:val="%3."/>
      <w:lvlJc w:val="right"/>
      <w:pPr>
        <w:ind w:left="2520" w:hanging="180"/>
      </w:pPr>
    </w:lvl>
    <w:lvl w:ilvl="3" w:tplc="2E306B5C">
      <w:start w:val="1"/>
      <w:numFmt w:val="decimal"/>
      <w:lvlText w:val="%4."/>
      <w:lvlJc w:val="left"/>
      <w:pPr>
        <w:ind w:left="3240" w:hanging="360"/>
      </w:pPr>
    </w:lvl>
    <w:lvl w:ilvl="4" w:tplc="4210BB10">
      <w:start w:val="1"/>
      <w:numFmt w:val="lowerLetter"/>
      <w:lvlText w:val="%5."/>
      <w:lvlJc w:val="left"/>
      <w:pPr>
        <w:ind w:left="3960" w:hanging="360"/>
      </w:pPr>
    </w:lvl>
    <w:lvl w:ilvl="5" w:tplc="EA7A0EC2">
      <w:start w:val="1"/>
      <w:numFmt w:val="lowerRoman"/>
      <w:lvlText w:val="%6."/>
      <w:lvlJc w:val="right"/>
      <w:pPr>
        <w:ind w:left="4680" w:hanging="180"/>
      </w:pPr>
    </w:lvl>
    <w:lvl w:ilvl="6" w:tplc="6AF22FE4">
      <w:start w:val="1"/>
      <w:numFmt w:val="decimal"/>
      <w:lvlText w:val="%7."/>
      <w:lvlJc w:val="left"/>
      <w:pPr>
        <w:ind w:left="5400" w:hanging="360"/>
      </w:pPr>
    </w:lvl>
    <w:lvl w:ilvl="7" w:tplc="BC72D0DE">
      <w:start w:val="1"/>
      <w:numFmt w:val="lowerLetter"/>
      <w:lvlText w:val="%8."/>
      <w:lvlJc w:val="left"/>
      <w:pPr>
        <w:ind w:left="6120" w:hanging="360"/>
      </w:pPr>
    </w:lvl>
    <w:lvl w:ilvl="8" w:tplc="61C098AC">
      <w:start w:val="1"/>
      <w:numFmt w:val="lowerRoman"/>
      <w:lvlText w:val="%9."/>
      <w:lvlJc w:val="right"/>
      <w:pPr>
        <w:ind w:left="6840" w:hanging="180"/>
      </w:pPr>
    </w:lvl>
  </w:abstractNum>
  <w:abstractNum w:abstractNumId="32" w15:restartNumberingAfterBreak="0">
    <w:nsid w:val="784C4C9B"/>
    <w:multiLevelType w:val="multilevel"/>
    <w:tmpl w:val="4DDA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A7903F"/>
    <w:multiLevelType w:val="hybridMultilevel"/>
    <w:tmpl w:val="A080C4C0"/>
    <w:lvl w:ilvl="0" w:tplc="2F36B63E">
      <w:start w:val="1"/>
      <w:numFmt w:val="decimal"/>
      <w:lvlText w:val="%1."/>
      <w:lvlJc w:val="left"/>
      <w:pPr>
        <w:ind w:left="720" w:hanging="360"/>
      </w:pPr>
      <w:rPr>
        <w:rFonts w:asciiTheme="minorHAnsi" w:eastAsia="Calibri" w:hAnsiTheme="minorHAnsi" w:cstheme="minorHAnsi"/>
      </w:rPr>
    </w:lvl>
    <w:lvl w:ilvl="1" w:tplc="FC2A6692">
      <w:start w:val="1"/>
      <w:numFmt w:val="lowerLetter"/>
      <w:lvlText w:val="%2."/>
      <w:lvlJc w:val="left"/>
      <w:pPr>
        <w:ind w:left="1440" w:hanging="360"/>
      </w:pPr>
    </w:lvl>
    <w:lvl w:ilvl="2" w:tplc="4C94232A">
      <w:start w:val="1"/>
      <w:numFmt w:val="lowerRoman"/>
      <w:lvlText w:val="%3."/>
      <w:lvlJc w:val="right"/>
      <w:pPr>
        <w:ind w:left="2160" w:hanging="180"/>
      </w:pPr>
    </w:lvl>
    <w:lvl w:ilvl="3" w:tplc="84A42ED6">
      <w:start w:val="1"/>
      <w:numFmt w:val="decimal"/>
      <w:lvlText w:val="%4."/>
      <w:lvlJc w:val="left"/>
      <w:pPr>
        <w:ind w:left="2880" w:hanging="360"/>
      </w:pPr>
    </w:lvl>
    <w:lvl w:ilvl="4" w:tplc="0D1E872A">
      <w:start w:val="1"/>
      <w:numFmt w:val="lowerLetter"/>
      <w:lvlText w:val="%5."/>
      <w:lvlJc w:val="left"/>
      <w:pPr>
        <w:ind w:left="3600" w:hanging="360"/>
      </w:pPr>
    </w:lvl>
    <w:lvl w:ilvl="5" w:tplc="EA66DC8E">
      <w:start w:val="1"/>
      <w:numFmt w:val="lowerRoman"/>
      <w:lvlText w:val="%6."/>
      <w:lvlJc w:val="right"/>
      <w:pPr>
        <w:ind w:left="4320" w:hanging="180"/>
      </w:pPr>
    </w:lvl>
    <w:lvl w:ilvl="6" w:tplc="B67C5006">
      <w:start w:val="1"/>
      <w:numFmt w:val="decimal"/>
      <w:lvlText w:val="%7."/>
      <w:lvlJc w:val="left"/>
      <w:pPr>
        <w:ind w:left="5040" w:hanging="360"/>
      </w:pPr>
    </w:lvl>
    <w:lvl w:ilvl="7" w:tplc="66F66578">
      <w:start w:val="1"/>
      <w:numFmt w:val="lowerLetter"/>
      <w:lvlText w:val="%8."/>
      <w:lvlJc w:val="left"/>
      <w:pPr>
        <w:ind w:left="5760" w:hanging="360"/>
      </w:pPr>
    </w:lvl>
    <w:lvl w:ilvl="8" w:tplc="43266F38">
      <w:start w:val="1"/>
      <w:numFmt w:val="lowerRoman"/>
      <w:lvlText w:val="%9."/>
      <w:lvlJc w:val="right"/>
      <w:pPr>
        <w:ind w:left="6480" w:hanging="180"/>
      </w:pPr>
    </w:lvl>
  </w:abstractNum>
  <w:num w:numId="1" w16cid:durableId="1066336496">
    <w:abstractNumId w:val="29"/>
  </w:num>
  <w:num w:numId="2" w16cid:durableId="1564556954">
    <w:abstractNumId w:val="25"/>
  </w:num>
  <w:num w:numId="3" w16cid:durableId="998926421">
    <w:abstractNumId w:val="5"/>
  </w:num>
  <w:num w:numId="4" w16cid:durableId="359429472">
    <w:abstractNumId w:val="16"/>
  </w:num>
  <w:num w:numId="5" w16cid:durableId="721290777">
    <w:abstractNumId w:val="22"/>
  </w:num>
  <w:num w:numId="6" w16cid:durableId="4609992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6352255">
    <w:abstractNumId w:val="3"/>
  </w:num>
  <w:num w:numId="8" w16cid:durableId="1738475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3578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987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6554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55461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8873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8707595">
    <w:abstractNumId w:val="13"/>
  </w:num>
  <w:num w:numId="15" w16cid:durableId="11892921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9093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4502199">
    <w:abstractNumId w:val="28"/>
  </w:num>
  <w:num w:numId="18" w16cid:durableId="1425808455">
    <w:abstractNumId w:val="6"/>
  </w:num>
  <w:num w:numId="19" w16cid:durableId="390084884">
    <w:abstractNumId w:val="27"/>
  </w:num>
  <w:num w:numId="20" w16cid:durableId="120194986">
    <w:abstractNumId w:val="20"/>
  </w:num>
  <w:num w:numId="21" w16cid:durableId="20482133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2161555">
    <w:abstractNumId w:val="8"/>
  </w:num>
  <w:num w:numId="23" w16cid:durableId="45570184">
    <w:abstractNumId w:val="26"/>
  </w:num>
  <w:num w:numId="24" w16cid:durableId="1710950605">
    <w:abstractNumId w:val="33"/>
  </w:num>
  <w:num w:numId="25" w16cid:durableId="670378257">
    <w:abstractNumId w:val="23"/>
  </w:num>
  <w:num w:numId="26" w16cid:durableId="1643537980">
    <w:abstractNumId w:val="18"/>
  </w:num>
  <w:num w:numId="27" w16cid:durableId="624580340">
    <w:abstractNumId w:val="7"/>
  </w:num>
  <w:num w:numId="28" w16cid:durableId="1840073812">
    <w:abstractNumId w:val="0"/>
  </w:num>
  <w:num w:numId="29" w16cid:durableId="1707172510">
    <w:abstractNumId w:val="26"/>
  </w:num>
  <w:num w:numId="30" w16cid:durableId="453986033">
    <w:abstractNumId w:val="26"/>
  </w:num>
  <w:num w:numId="31" w16cid:durableId="1621915608">
    <w:abstractNumId w:val="26"/>
  </w:num>
  <w:num w:numId="32" w16cid:durableId="1316953198">
    <w:abstractNumId w:val="1"/>
  </w:num>
  <w:num w:numId="33" w16cid:durableId="130832820">
    <w:abstractNumId w:val="24"/>
  </w:num>
  <w:num w:numId="34" w16cid:durableId="1141310163">
    <w:abstractNumId w:val="31"/>
  </w:num>
  <w:num w:numId="35" w16cid:durableId="1338655887">
    <w:abstractNumId w:val="10"/>
  </w:num>
  <w:num w:numId="36" w16cid:durableId="444425233">
    <w:abstractNumId w:val="3"/>
  </w:num>
  <w:num w:numId="37" w16cid:durableId="1552382404">
    <w:abstractNumId w:val="12"/>
  </w:num>
  <w:num w:numId="38" w16cid:durableId="395008514">
    <w:abstractNumId w:val="15"/>
  </w:num>
  <w:num w:numId="39" w16cid:durableId="1247761025">
    <w:abstractNumId w:val="21"/>
  </w:num>
  <w:num w:numId="40" w16cid:durableId="2008090171">
    <w:abstractNumId w:val="6"/>
  </w:num>
  <w:num w:numId="41" w16cid:durableId="783766569">
    <w:abstractNumId w:val="11"/>
  </w:num>
  <w:num w:numId="42" w16cid:durableId="120730197">
    <w:abstractNumId w:val="32"/>
  </w:num>
  <w:num w:numId="43" w16cid:durableId="1836457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4E"/>
    <w:rsid w:val="00014C30"/>
    <w:rsid w:val="0002214A"/>
    <w:rsid w:val="000249AE"/>
    <w:rsid w:val="00026BC5"/>
    <w:rsid w:val="00030360"/>
    <w:rsid w:val="000328F3"/>
    <w:rsid w:val="0003608F"/>
    <w:rsid w:val="00036D1E"/>
    <w:rsid w:val="000430F5"/>
    <w:rsid w:val="0005175E"/>
    <w:rsid w:val="00053868"/>
    <w:rsid w:val="00055863"/>
    <w:rsid w:val="0006090D"/>
    <w:rsid w:val="00070688"/>
    <w:rsid w:val="000727FC"/>
    <w:rsid w:val="00075E4D"/>
    <w:rsid w:val="00077642"/>
    <w:rsid w:val="00086EC8"/>
    <w:rsid w:val="000926B2"/>
    <w:rsid w:val="000A2BC3"/>
    <w:rsid w:val="000A3410"/>
    <w:rsid w:val="000B0550"/>
    <w:rsid w:val="000B1FAF"/>
    <w:rsid w:val="000B2630"/>
    <w:rsid w:val="000B55B1"/>
    <w:rsid w:val="000B7709"/>
    <w:rsid w:val="000B7D5F"/>
    <w:rsid w:val="000C0596"/>
    <w:rsid w:val="000C50DB"/>
    <w:rsid w:val="000C576B"/>
    <w:rsid w:val="000D014F"/>
    <w:rsid w:val="000E1E6E"/>
    <w:rsid w:val="000E43CF"/>
    <w:rsid w:val="000E5792"/>
    <w:rsid w:val="000E6C0C"/>
    <w:rsid w:val="000F1159"/>
    <w:rsid w:val="00103D53"/>
    <w:rsid w:val="00105A8C"/>
    <w:rsid w:val="00111592"/>
    <w:rsid w:val="00112E0F"/>
    <w:rsid w:val="001146FB"/>
    <w:rsid w:val="00114C7C"/>
    <w:rsid w:val="00117799"/>
    <w:rsid w:val="001229B1"/>
    <w:rsid w:val="00124D57"/>
    <w:rsid w:val="00132914"/>
    <w:rsid w:val="00133320"/>
    <w:rsid w:val="00133A87"/>
    <w:rsid w:val="00134B1C"/>
    <w:rsid w:val="00136055"/>
    <w:rsid w:val="00143C9C"/>
    <w:rsid w:val="00151179"/>
    <w:rsid w:val="0016081A"/>
    <w:rsid w:val="0016146B"/>
    <w:rsid w:val="00173012"/>
    <w:rsid w:val="001773D1"/>
    <w:rsid w:val="00184108"/>
    <w:rsid w:val="001879E4"/>
    <w:rsid w:val="00194459"/>
    <w:rsid w:val="00196D1A"/>
    <w:rsid w:val="001B1EF5"/>
    <w:rsid w:val="001B24E1"/>
    <w:rsid w:val="001B2D41"/>
    <w:rsid w:val="001B3ED6"/>
    <w:rsid w:val="001B7A12"/>
    <w:rsid w:val="001C0D8B"/>
    <w:rsid w:val="001C356D"/>
    <w:rsid w:val="001C63A9"/>
    <w:rsid w:val="001D2CAC"/>
    <w:rsid w:val="001D4037"/>
    <w:rsid w:val="001E1F13"/>
    <w:rsid w:val="001E2617"/>
    <w:rsid w:val="001E3460"/>
    <w:rsid w:val="001E43A5"/>
    <w:rsid w:val="001E7FB6"/>
    <w:rsid w:val="001F12F9"/>
    <w:rsid w:val="001F407A"/>
    <w:rsid w:val="001F4186"/>
    <w:rsid w:val="001F68C3"/>
    <w:rsid w:val="001F69E9"/>
    <w:rsid w:val="001F79DE"/>
    <w:rsid w:val="0020321F"/>
    <w:rsid w:val="0020658C"/>
    <w:rsid w:val="00206C1B"/>
    <w:rsid w:val="0021258A"/>
    <w:rsid w:val="00217BD1"/>
    <w:rsid w:val="002254F9"/>
    <w:rsid w:val="002315E7"/>
    <w:rsid w:val="00233828"/>
    <w:rsid w:val="00236269"/>
    <w:rsid w:val="002366C1"/>
    <w:rsid w:val="00236F5F"/>
    <w:rsid w:val="002416D1"/>
    <w:rsid w:val="002419E4"/>
    <w:rsid w:val="00244B5B"/>
    <w:rsid w:val="00251747"/>
    <w:rsid w:val="00251D2B"/>
    <w:rsid w:val="002601BC"/>
    <w:rsid w:val="00264B0F"/>
    <w:rsid w:val="002651FF"/>
    <w:rsid w:val="0027096B"/>
    <w:rsid w:val="0027286C"/>
    <w:rsid w:val="002756BC"/>
    <w:rsid w:val="002757A5"/>
    <w:rsid w:val="00283594"/>
    <w:rsid w:val="00284F45"/>
    <w:rsid w:val="002872BB"/>
    <w:rsid w:val="002877D0"/>
    <w:rsid w:val="00296656"/>
    <w:rsid w:val="00296965"/>
    <w:rsid w:val="002A2490"/>
    <w:rsid w:val="002C6B87"/>
    <w:rsid w:val="002D3E6C"/>
    <w:rsid w:val="002D6EAA"/>
    <w:rsid w:val="002F189B"/>
    <w:rsid w:val="002F3F95"/>
    <w:rsid w:val="002F4588"/>
    <w:rsid w:val="002F6210"/>
    <w:rsid w:val="00304BDC"/>
    <w:rsid w:val="0030582F"/>
    <w:rsid w:val="00314B1B"/>
    <w:rsid w:val="00320C3E"/>
    <w:rsid w:val="00321B99"/>
    <w:rsid w:val="003271D7"/>
    <w:rsid w:val="003320F3"/>
    <w:rsid w:val="003348E5"/>
    <w:rsid w:val="0033593C"/>
    <w:rsid w:val="00336B96"/>
    <w:rsid w:val="0034358F"/>
    <w:rsid w:val="00347BFF"/>
    <w:rsid w:val="003535D4"/>
    <w:rsid w:val="00354B1E"/>
    <w:rsid w:val="00365268"/>
    <w:rsid w:val="00371968"/>
    <w:rsid w:val="00384B84"/>
    <w:rsid w:val="0039256E"/>
    <w:rsid w:val="00395273"/>
    <w:rsid w:val="00397811"/>
    <w:rsid w:val="003B30FD"/>
    <w:rsid w:val="003C5C38"/>
    <w:rsid w:val="003D1063"/>
    <w:rsid w:val="003D45AB"/>
    <w:rsid w:val="003D5816"/>
    <w:rsid w:val="003D76BB"/>
    <w:rsid w:val="003E1082"/>
    <w:rsid w:val="003F6279"/>
    <w:rsid w:val="003F6820"/>
    <w:rsid w:val="004004C3"/>
    <w:rsid w:val="0040097E"/>
    <w:rsid w:val="004018E9"/>
    <w:rsid w:val="0040359A"/>
    <w:rsid w:val="00403F6E"/>
    <w:rsid w:val="00407542"/>
    <w:rsid w:val="00414BD2"/>
    <w:rsid w:val="00415E9A"/>
    <w:rsid w:val="0042122A"/>
    <w:rsid w:val="00426C1A"/>
    <w:rsid w:val="00431842"/>
    <w:rsid w:val="004563CC"/>
    <w:rsid w:val="00464A8E"/>
    <w:rsid w:val="00474AD7"/>
    <w:rsid w:val="004815ED"/>
    <w:rsid w:val="00481D19"/>
    <w:rsid w:val="00483D15"/>
    <w:rsid w:val="00487FF7"/>
    <w:rsid w:val="004A1169"/>
    <w:rsid w:val="004A2337"/>
    <w:rsid w:val="004A54DC"/>
    <w:rsid w:val="004B1382"/>
    <w:rsid w:val="004B6C5C"/>
    <w:rsid w:val="004C2A1D"/>
    <w:rsid w:val="004C7C43"/>
    <w:rsid w:val="004D4C42"/>
    <w:rsid w:val="004E50FA"/>
    <w:rsid w:val="004E5F99"/>
    <w:rsid w:val="004E72CB"/>
    <w:rsid w:val="004E74AC"/>
    <w:rsid w:val="004F07EA"/>
    <w:rsid w:val="004F67E5"/>
    <w:rsid w:val="00501651"/>
    <w:rsid w:val="0050187F"/>
    <w:rsid w:val="0050274B"/>
    <w:rsid w:val="00505563"/>
    <w:rsid w:val="00511AF1"/>
    <w:rsid w:val="00516221"/>
    <w:rsid w:val="00520A2E"/>
    <w:rsid w:val="0052425F"/>
    <w:rsid w:val="005307AD"/>
    <w:rsid w:val="00535959"/>
    <w:rsid w:val="0055030F"/>
    <w:rsid w:val="00553588"/>
    <w:rsid w:val="00556842"/>
    <w:rsid w:val="00556B6B"/>
    <w:rsid w:val="005609FB"/>
    <w:rsid w:val="00571243"/>
    <w:rsid w:val="00573415"/>
    <w:rsid w:val="00575A0E"/>
    <w:rsid w:val="005814A4"/>
    <w:rsid w:val="00590A84"/>
    <w:rsid w:val="00591396"/>
    <w:rsid w:val="00595E9C"/>
    <w:rsid w:val="00596C42"/>
    <w:rsid w:val="005B21A7"/>
    <w:rsid w:val="005C4360"/>
    <w:rsid w:val="005D01C5"/>
    <w:rsid w:val="005D2287"/>
    <w:rsid w:val="005D4B41"/>
    <w:rsid w:val="005E0D79"/>
    <w:rsid w:val="005F278C"/>
    <w:rsid w:val="006050C8"/>
    <w:rsid w:val="006112F5"/>
    <w:rsid w:val="00616B57"/>
    <w:rsid w:val="00627D90"/>
    <w:rsid w:val="00630D01"/>
    <w:rsid w:val="00632ED2"/>
    <w:rsid w:val="00633F76"/>
    <w:rsid w:val="00646013"/>
    <w:rsid w:val="00650923"/>
    <w:rsid w:val="00657E13"/>
    <w:rsid w:val="00674579"/>
    <w:rsid w:val="0068000A"/>
    <w:rsid w:val="006837BC"/>
    <w:rsid w:val="00684A8E"/>
    <w:rsid w:val="00687412"/>
    <w:rsid w:val="00692E80"/>
    <w:rsid w:val="006A72A6"/>
    <w:rsid w:val="006A734B"/>
    <w:rsid w:val="006A7392"/>
    <w:rsid w:val="006C0F42"/>
    <w:rsid w:val="006C5ABC"/>
    <w:rsid w:val="006C601D"/>
    <w:rsid w:val="006D413A"/>
    <w:rsid w:val="006D511F"/>
    <w:rsid w:val="006D5E74"/>
    <w:rsid w:val="006E7477"/>
    <w:rsid w:val="006E7797"/>
    <w:rsid w:val="006F7265"/>
    <w:rsid w:val="00703338"/>
    <w:rsid w:val="0070485F"/>
    <w:rsid w:val="00705D18"/>
    <w:rsid w:val="00720CD7"/>
    <w:rsid w:val="00720F84"/>
    <w:rsid w:val="00721733"/>
    <w:rsid w:val="00727DD5"/>
    <w:rsid w:val="00730D19"/>
    <w:rsid w:val="00740FAD"/>
    <w:rsid w:val="00752391"/>
    <w:rsid w:val="0075292A"/>
    <w:rsid w:val="007702E9"/>
    <w:rsid w:val="00780DDB"/>
    <w:rsid w:val="007874B2"/>
    <w:rsid w:val="007947D9"/>
    <w:rsid w:val="00795394"/>
    <w:rsid w:val="00795712"/>
    <w:rsid w:val="007A013D"/>
    <w:rsid w:val="007A3713"/>
    <w:rsid w:val="007A5722"/>
    <w:rsid w:val="007A72DE"/>
    <w:rsid w:val="007D2EEE"/>
    <w:rsid w:val="007D3BD8"/>
    <w:rsid w:val="007D4EFA"/>
    <w:rsid w:val="007E1C90"/>
    <w:rsid w:val="007E527E"/>
    <w:rsid w:val="007E6F51"/>
    <w:rsid w:val="007F12D3"/>
    <w:rsid w:val="007F43CB"/>
    <w:rsid w:val="007F475C"/>
    <w:rsid w:val="00800B2C"/>
    <w:rsid w:val="00807994"/>
    <w:rsid w:val="0081323B"/>
    <w:rsid w:val="0081374E"/>
    <w:rsid w:val="00813D4B"/>
    <w:rsid w:val="00815525"/>
    <w:rsid w:val="00824A1E"/>
    <w:rsid w:val="008343BD"/>
    <w:rsid w:val="00837085"/>
    <w:rsid w:val="008426F0"/>
    <w:rsid w:val="008448C2"/>
    <w:rsid w:val="0084628E"/>
    <w:rsid w:val="00852AC2"/>
    <w:rsid w:val="00852C39"/>
    <w:rsid w:val="00855781"/>
    <w:rsid w:val="008632CB"/>
    <w:rsid w:val="00866BAE"/>
    <w:rsid w:val="00871967"/>
    <w:rsid w:val="00873D7D"/>
    <w:rsid w:val="008808CB"/>
    <w:rsid w:val="00884B68"/>
    <w:rsid w:val="00885D0B"/>
    <w:rsid w:val="00895719"/>
    <w:rsid w:val="00897636"/>
    <w:rsid w:val="008A1C71"/>
    <w:rsid w:val="008A30F2"/>
    <w:rsid w:val="008B2D01"/>
    <w:rsid w:val="008C021D"/>
    <w:rsid w:val="008F281A"/>
    <w:rsid w:val="008F28D6"/>
    <w:rsid w:val="008F5356"/>
    <w:rsid w:val="00901699"/>
    <w:rsid w:val="00902ED4"/>
    <w:rsid w:val="009254B5"/>
    <w:rsid w:val="00926F3D"/>
    <w:rsid w:val="009305A9"/>
    <w:rsid w:val="00935BF7"/>
    <w:rsid w:val="009374E0"/>
    <w:rsid w:val="009377FF"/>
    <w:rsid w:val="0094109D"/>
    <w:rsid w:val="00943647"/>
    <w:rsid w:val="00944322"/>
    <w:rsid w:val="00945D1F"/>
    <w:rsid w:val="009542D8"/>
    <w:rsid w:val="00957A4B"/>
    <w:rsid w:val="00961BC5"/>
    <w:rsid w:val="00963D13"/>
    <w:rsid w:val="00971FE9"/>
    <w:rsid w:val="0097250E"/>
    <w:rsid w:val="00975585"/>
    <w:rsid w:val="00986A68"/>
    <w:rsid w:val="009870DF"/>
    <w:rsid w:val="00992C03"/>
    <w:rsid w:val="009A21FC"/>
    <w:rsid w:val="009B5C32"/>
    <w:rsid w:val="009B6CFA"/>
    <w:rsid w:val="009B6D72"/>
    <w:rsid w:val="009D1AAB"/>
    <w:rsid w:val="009D4458"/>
    <w:rsid w:val="009E1C45"/>
    <w:rsid w:val="009F0F63"/>
    <w:rsid w:val="00A009E7"/>
    <w:rsid w:val="00A02012"/>
    <w:rsid w:val="00A049AB"/>
    <w:rsid w:val="00A065CC"/>
    <w:rsid w:val="00A06B94"/>
    <w:rsid w:val="00A241EC"/>
    <w:rsid w:val="00A24359"/>
    <w:rsid w:val="00A24F93"/>
    <w:rsid w:val="00A26D68"/>
    <w:rsid w:val="00A31A6A"/>
    <w:rsid w:val="00A326D7"/>
    <w:rsid w:val="00A37DC9"/>
    <w:rsid w:val="00A40034"/>
    <w:rsid w:val="00A403E2"/>
    <w:rsid w:val="00A439AE"/>
    <w:rsid w:val="00A51A66"/>
    <w:rsid w:val="00A658D2"/>
    <w:rsid w:val="00A73B8E"/>
    <w:rsid w:val="00A80017"/>
    <w:rsid w:val="00A831C2"/>
    <w:rsid w:val="00A92E9C"/>
    <w:rsid w:val="00AA2005"/>
    <w:rsid w:val="00AA6F76"/>
    <w:rsid w:val="00AB5CC1"/>
    <w:rsid w:val="00AD1C19"/>
    <w:rsid w:val="00AE1979"/>
    <w:rsid w:val="00AE72B7"/>
    <w:rsid w:val="00B00D81"/>
    <w:rsid w:val="00B01874"/>
    <w:rsid w:val="00B02A39"/>
    <w:rsid w:val="00B12717"/>
    <w:rsid w:val="00B20F6B"/>
    <w:rsid w:val="00B23084"/>
    <w:rsid w:val="00B23D00"/>
    <w:rsid w:val="00B31E24"/>
    <w:rsid w:val="00B4343B"/>
    <w:rsid w:val="00B5020F"/>
    <w:rsid w:val="00B601FC"/>
    <w:rsid w:val="00B625CA"/>
    <w:rsid w:val="00B6294D"/>
    <w:rsid w:val="00B64F4F"/>
    <w:rsid w:val="00B65DE0"/>
    <w:rsid w:val="00B6615B"/>
    <w:rsid w:val="00B66BFF"/>
    <w:rsid w:val="00B763C1"/>
    <w:rsid w:val="00B82CC5"/>
    <w:rsid w:val="00B83620"/>
    <w:rsid w:val="00B87A3E"/>
    <w:rsid w:val="00B95A00"/>
    <w:rsid w:val="00BA1A44"/>
    <w:rsid w:val="00BA2254"/>
    <w:rsid w:val="00BB5934"/>
    <w:rsid w:val="00BC51F2"/>
    <w:rsid w:val="00BD484D"/>
    <w:rsid w:val="00BE0059"/>
    <w:rsid w:val="00BE1335"/>
    <w:rsid w:val="00BE2852"/>
    <w:rsid w:val="00BE669B"/>
    <w:rsid w:val="00BE6BE1"/>
    <w:rsid w:val="00BE6F10"/>
    <w:rsid w:val="00BF7989"/>
    <w:rsid w:val="00C21F66"/>
    <w:rsid w:val="00C24113"/>
    <w:rsid w:val="00C342BF"/>
    <w:rsid w:val="00C35DC3"/>
    <w:rsid w:val="00C37946"/>
    <w:rsid w:val="00C4404E"/>
    <w:rsid w:val="00C479CB"/>
    <w:rsid w:val="00C64927"/>
    <w:rsid w:val="00C66462"/>
    <w:rsid w:val="00C740E8"/>
    <w:rsid w:val="00C80A10"/>
    <w:rsid w:val="00C8415A"/>
    <w:rsid w:val="00C87FA5"/>
    <w:rsid w:val="00C93688"/>
    <w:rsid w:val="00C93C56"/>
    <w:rsid w:val="00CA1D24"/>
    <w:rsid w:val="00CA3A39"/>
    <w:rsid w:val="00CA6CA8"/>
    <w:rsid w:val="00CA75AA"/>
    <w:rsid w:val="00CC087B"/>
    <w:rsid w:val="00CC2EED"/>
    <w:rsid w:val="00CC416C"/>
    <w:rsid w:val="00CC642F"/>
    <w:rsid w:val="00CC7595"/>
    <w:rsid w:val="00CD2D2D"/>
    <w:rsid w:val="00CD4BC3"/>
    <w:rsid w:val="00CD6C00"/>
    <w:rsid w:val="00CE21A5"/>
    <w:rsid w:val="00CE413F"/>
    <w:rsid w:val="00CE4B9F"/>
    <w:rsid w:val="00CE510C"/>
    <w:rsid w:val="00CF2E05"/>
    <w:rsid w:val="00CF57C0"/>
    <w:rsid w:val="00D00C2D"/>
    <w:rsid w:val="00D03A22"/>
    <w:rsid w:val="00D1425B"/>
    <w:rsid w:val="00D171D7"/>
    <w:rsid w:val="00D227CE"/>
    <w:rsid w:val="00D309B1"/>
    <w:rsid w:val="00D42F58"/>
    <w:rsid w:val="00D437D3"/>
    <w:rsid w:val="00D44ECF"/>
    <w:rsid w:val="00D54223"/>
    <w:rsid w:val="00D5444E"/>
    <w:rsid w:val="00D60D56"/>
    <w:rsid w:val="00D67AE0"/>
    <w:rsid w:val="00D71E06"/>
    <w:rsid w:val="00D74A9A"/>
    <w:rsid w:val="00D841D7"/>
    <w:rsid w:val="00D85B12"/>
    <w:rsid w:val="00D86095"/>
    <w:rsid w:val="00D86C4F"/>
    <w:rsid w:val="00D934FA"/>
    <w:rsid w:val="00D96C07"/>
    <w:rsid w:val="00D973CF"/>
    <w:rsid w:val="00DB7D37"/>
    <w:rsid w:val="00DC4611"/>
    <w:rsid w:val="00DD1CF6"/>
    <w:rsid w:val="00DD6DA7"/>
    <w:rsid w:val="00DD709A"/>
    <w:rsid w:val="00E00DD5"/>
    <w:rsid w:val="00E14D6B"/>
    <w:rsid w:val="00E20830"/>
    <w:rsid w:val="00E26386"/>
    <w:rsid w:val="00E315D5"/>
    <w:rsid w:val="00E33D2D"/>
    <w:rsid w:val="00E42D2D"/>
    <w:rsid w:val="00E4365E"/>
    <w:rsid w:val="00E436DB"/>
    <w:rsid w:val="00E500AC"/>
    <w:rsid w:val="00E5270D"/>
    <w:rsid w:val="00E605DB"/>
    <w:rsid w:val="00E610ED"/>
    <w:rsid w:val="00E64799"/>
    <w:rsid w:val="00E83973"/>
    <w:rsid w:val="00E86CA1"/>
    <w:rsid w:val="00E87343"/>
    <w:rsid w:val="00E90A33"/>
    <w:rsid w:val="00EA2213"/>
    <w:rsid w:val="00EB2603"/>
    <w:rsid w:val="00EB79AA"/>
    <w:rsid w:val="00EC3247"/>
    <w:rsid w:val="00EC6579"/>
    <w:rsid w:val="00EE087C"/>
    <w:rsid w:val="00EE09E4"/>
    <w:rsid w:val="00EF672B"/>
    <w:rsid w:val="00F00569"/>
    <w:rsid w:val="00F014C5"/>
    <w:rsid w:val="00F02647"/>
    <w:rsid w:val="00F03C49"/>
    <w:rsid w:val="00F0682D"/>
    <w:rsid w:val="00F123AF"/>
    <w:rsid w:val="00F1701E"/>
    <w:rsid w:val="00F2429B"/>
    <w:rsid w:val="00F3366D"/>
    <w:rsid w:val="00F33746"/>
    <w:rsid w:val="00F37B0C"/>
    <w:rsid w:val="00F40EB2"/>
    <w:rsid w:val="00F46401"/>
    <w:rsid w:val="00F5786F"/>
    <w:rsid w:val="00F611C2"/>
    <w:rsid w:val="00F63E0B"/>
    <w:rsid w:val="00F65912"/>
    <w:rsid w:val="00F67237"/>
    <w:rsid w:val="00F75733"/>
    <w:rsid w:val="00F80AB8"/>
    <w:rsid w:val="00F81452"/>
    <w:rsid w:val="00F82BFD"/>
    <w:rsid w:val="00F85D5F"/>
    <w:rsid w:val="00FA0AF5"/>
    <w:rsid w:val="00FB31E9"/>
    <w:rsid w:val="00FB3F34"/>
    <w:rsid w:val="00FB7229"/>
    <w:rsid w:val="00FC3607"/>
    <w:rsid w:val="00FC367D"/>
    <w:rsid w:val="00FD0B15"/>
    <w:rsid w:val="00FD7C12"/>
    <w:rsid w:val="00FE56CB"/>
    <w:rsid w:val="00FE62CF"/>
    <w:rsid w:val="00FF09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2FF16"/>
  <w15:docId w15:val="{998FFF05-4C33-49AE-BBDC-AAF3D3C8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095"/>
  </w:style>
  <w:style w:type="paragraph" w:styleId="Heading1">
    <w:name w:val="heading 1"/>
    <w:basedOn w:val="Normal"/>
    <w:next w:val="Normal"/>
    <w:link w:val="Heading1Char"/>
    <w:uiPriority w:val="9"/>
    <w:qFormat/>
    <w:rsid w:val="00215D2A"/>
    <w:pPr>
      <w:keepNext/>
      <w:keepLines/>
      <w:spacing w:after="240" w:line="240" w:lineRule="auto"/>
      <w:outlineLvl w:val="0"/>
    </w:pPr>
    <w:rPr>
      <w:rFonts w:ascii="Calibri" w:eastAsia="Times New Roman" w:hAnsi="Calibri" w:cs="Times New Roman"/>
      <w:b/>
      <w:caps/>
      <w:kern w:val="28"/>
      <w:sz w:val="36"/>
      <w:szCs w:val="32"/>
      <w:lang w:val="en-AU"/>
    </w:rPr>
  </w:style>
  <w:style w:type="paragraph" w:styleId="Heading2">
    <w:name w:val="heading 2"/>
    <w:basedOn w:val="Normal"/>
    <w:next w:val="Normal"/>
    <w:link w:val="Heading2Char"/>
    <w:uiPriority w:val="9"/>
    <w:unhideWhenUsed/>
    <w:qFormat/>
    <w:rsid w:val="00215D2A"/>
    <w:pPr>
      <w:keepNext/>
      <w:keepLines/>
      <w:spacing w:before="360" w:line="240" w:lineRule="auto"/>
      <w:ind w:left="576" w:hanging="576"/>
      <w:outlineLvl w:val="1"/>
    </w:pPr>
    <w:rPr>
      <w:rFonts w:ascii="Calibri" w:eastAsia="Times New Roman" w:hAnsi="Calibri" w:cs="Times New Roman"/>
      <w:b/>
      <w:sz w:val="32"/>
      <w:szCs w:val="32"/>
      <w:lang w:val="en-AU"/>
    </w:rPr>
  </w:style>
  <w:style w:type="paragraph" w:styleId="Heading3">
    <w:name w:val="heading 3"/>
    <w:basedOn w:val="Normal"/>
    <w:next w:val="Normal"/>
    <w:link w:val="Heading3Char"/>
    <w:uiPriority w:val="9"/>
    <w:unhideWhenUsed/>
    <w:qFormat/>
    <w:rsid w:val="005B5506"/>
    <w:pPr>
      <w:keepNext/>
      <w:keepLines/>
      <w:spacing w:before="360" w:line="240" w:lineRule="auto"/>
      <w:outlineLvl w:val="2"/>
    </w:pPr>
    <w:rPr>
      <w:rFonts w:ascii="Calibri" w:eastAsia="Times New Roman" w:hAnsi="Calibri" w:cs="Times New Roman"/>
      <w:b/>
      <w:sz w:val="28"/>
      <w:szCs w:val="24"/>
      <w:lang w:val="en-AU"/>
    </w:rPr>
  </w:style>
  <w:style w:type="paragraph" w:styleId="Heading4">
    <w:name w:val="heading 4"/>
    <w:basedOn w:val="Normal"/>
    <w:next w:val="Normal"/>
    <w:link w:val="Heading4Char"/>
    <w:autoRedefine/>
    <w:qFormat/>
    <w:rsid w:val="00055863"/>
    <w:pPr>
      <w:keepNext/>
      <w:keepLines/>
      <w:pBdr>
        <w:top w:val="nil"/>
        <w:left w:val="nil"/>
        <w:bottom w:val="nil"/>
        <w:right w:val="nil"/>
        <w:between w:val="nil"/>
        <w:bar w:val="nil"/>
      </w:pBdr>
      <w:spacing w:before="240" w:after="120" w:line="240" w:lineRule="auto"/>
      <w:jc w:val="both"/>
      <w:outlineLvl w:val="3"/>
    </w:pPr>
    <w:rPr>
      <w:rFonts w:ascii="Calibri" w:eastAsia="SimSun" w:hAnsi="Calibri" w:cs="Times New Roman"/>
      <w:b/>
      <w:i/>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39EF"/>
    <w:pPr>
      <w:tabs>
        <w:tab w:val="center" w:pos="4513"/>
        <w:tab w:val="right" w:pos="9026"/>
      </w:tabs>
      <w:spacing w:after="0" w:line="240" w:lineRule="auto"/>
    </w:pPr>
    <w:rPr>
      <w:rFonts w:ascii="Calibri" w:eastAsia="Calibri" w:hAnsi="Calibri" w:cs="Times New Roman"/>
      <w:lang w:val="en-AU"/>
    </w:rPr>
  </w:style>
  <w:style w:type="character" w:customStyle="1" w:styleId="FooterChar">
    <w:name w:val="Footer Char"/>
    <w:basedOn w:val="DefaultParagraphFont"/>
    <w:link w:val="Footer"/>
    <w:uiPriority w:val="99"/>
    <w:rsid w:val="00C339EF"/>
    <w:rPr>
      <w:rFonts w:ascii="Calibri" w:eastAsia="Calibri" w:hAnsi="Calibri" w:cs="Times New Roman"/>
      <w:lang w:val="en-AU"/>
    </w:rPr>
  </w:style>
  <w:style w:type="character" w:customStyle="1" w:styleId="Heading1Char">
    <w:name w:val="Heading 1 Char"/>
    <w:basedOn w:val="DefaultParagraphFont"/>
    <w:link w:val="Heading1"/>
    <w:uiPriority w:val="9"/>
    <w:rsid w:val="00215D2A"/>
    <w:rPr>
      <w:rFonts w:ascii="Calibri" w:eastAsia="Times New Roman" w:hAnsi="Calibri" w:cs="Times New Roman"/>
      <w:b/>
      <w:caps/>
      <w:kern w:val="28"/>
      <w:sz w:val="36"/>
      <w:szCs w:val="32"/>
      <w:lang w:val="en-AU"/>
    </w:rPr>
  </w:style>
  <w:style w:type="paragraph" w:styleId="TOCHeading">
    <w:name w:val="TOC Heading"/>
    <w:basedOn w:val="Heading1"/>
    <w:next w:val="Normal"/>
    <w:uiPriority w:val="39"/>
    <w:unhideWhenUsed/>
    <w:qFormat/>
    <w:rsid w:val="00F123AF"/>
    <w:pPr>
      <w:spacing w:before="480" w:after="0" w:line="276" w:lineRule="auto"/>
      <w:outlineLvl w:val="9"/>
    </w:pPr>
    <w:rPr>
      <w:bCs/>
      <w:caps w:val="0"/>
      <w:kern w:val="0"/>
      <w:sz w:val="40"/>
      <w:szCs w:val="28"/>
      <w:lang w:val="en-US"/>
    </w:rPr>
  </w:style>
  <w:style w:type="character" w:customStyle="1" w:styleId="Heading2Char">
    <w:name w:val="Heading 2 Char"/>
    <w:basedOn w:val="DefaultParagraphFont"/>
    <w:link w:val="Heading2"/>
    <w:uiPriority w:val="9"/>
    <w:rsid w:val="00215D2A"/>
    <w:rPr>
      <w:rFonts w:ascii="Calibri" w:eastAsia="Times New Roman" w:hAnsi="Calibri" w:cs="Times New Roman"/>
      <w:b/>
      <w:sz w:val="32"/>
      <w:szCs w:val="32"/>
      <w:lang w:val="en-AU"/>
    </w:rPr>
  </w:style>
  <w:style w:type="paragraph" w:customStyle="1" w:styleId="Bbodytext">
    <w:name w:val="B_body_text"/>
    <w:basedOn w:val="Normal"/>
    <w:link w:val="BbodytextChar"/>
    <w:qFormat/>
    <w:rsid w:val="001B45B0"/>
    <w:pPr>
      <w:spacing w:before="120" w:after="120" w:line="240" w:lineRule="auto"/>
    </w:pPr>
    <w:rPr>
      <w:rFonts w:ascii="Calibri" w:eastAsia="Calibri" w:hAnsi="Calibri" w:cs="Times New Roman"/>
      <w:sz w:val="24"/>
      <w:lang w:val="en-AU"/>
    </w:rPr>
  </w:style>
  <w:style w:type="character" w:customStyle="1" w:styleId="BbodytextChar">
    <w:name w:val="B_body_text Char"/>
    <w:basedOn w:val="DefaultParagraphFont"/>
    <w:link w:val="Bbodytext"/>
    <w:rsid w:val="001B45B0"/>
    <w:rPr>
      <w:rFonts w:ascii="Calibri" w:eastAsia="Calibri" w:hAnsi="Calibri" w:cs="Times New Roman"/>
      <w:sz w:val="24"/>
      <w:lang w:val="en-AU"/>
    </w:rPr>
  </w:style>
  <w:style w:type="paragraph" w:customStyle="1" w:styleId="BBullet1">
    <w:name w:val="B_Bullet_1"/>
    <w:basedOn w:val="Bbodytext"/>
    <w:link w:val="BBullet1Char"/>
    <w:qFormat/>
    <w:rsid w:val="007A7C30"/>
    <w:pPr>
      <w:numPr>
        <w:numId w:val="7"/>
      </w:numPr>
      <w:tabs>
        <w:tab w:val="left" w:pos="426"/>
      </w:tabs>
      <w:spacing w:before="0"/>
    </w:pPr>
    <w:rPr>
      <w:sz w:val="22"/>
    </w:rPr>
  </w:style>
  <w:style w:type="character" w:customStyle="1" w:styleId="BBullet1Char">
    <w:name w:val="B_Bullet_1 Char"/>
    <w:basedOn w:val="BbodytextChar"/>
    <w:link w:val="BBullet1"/>
    <w:rsid w:val="007A7C30"/>
    <w:rPr>
      <w:rFonts w:ascii="Calibri" w:eastAsia="Calibri" w:hAnsi="Calibri" w:cs="Times New Roman"/>
      <w:sz w:val="24"/>
      <w:lang w:val="en-AU"/>
    </w:rPr>
  </w:style>
  <w:style w:type="paragraph" w:styleId="Caption">
    <w:name w:val="caption"/>
    <w:basedOn w:val="Normal"/>
    <w:next w:val="Normal"/>
    <w:uiPriority w:val="35"/>
    <w:unhideWhenUsed/>
    <w:qFormat/>
    <w:rsid w:val="00407B81"/>
    <w:pPr>
      <w:keepNext/>
      <w:spacing w:before="240" w:line="240" w:lineRule="auto"/>
    </w:pPr>
    <w:rPr>
      <w:rFonts w:ascii="Calibri" w:eastAsia="Calibri" w:hAnsi="Calibri" w:cs="Times New Roman"/>
      <w:b/>
      <w:iCs/>
      <w:szCs w:val="18"/>
      <w:lang w:val="en-AU"/>
    </w:rPr>
  </w:style>
  <w:style w:type="paragraph" w:styleId="NoSpacing">
    <w:name w:val="No Spacing"/>
    <w:uiPriority w:val="1"/>
    <w:rsid w:val="001E43A5"/>
    <w:pPr>
      <w:spacing w:after="0" w:line="240" w:lineRule="auto"/>
    </w:pPr>
    <w:rPr>
      <w:rFonts w:ascii="Calibri" w:eastAsia="Calibri" w:hAnsi="Calibri" w:cs="Times New Roman"/>
      <w:lang w:val="en-AU"/>
    </w:rPr>
  </w:style>
  <w:style w:type="paragraph" w:customStyle="1" w:styleId="BStableheading1">
    <w:name w:val="BS_table heading 1"/>
    <w:basedOn w:val="NoSpacing"/>
    <w:link w:val="BStableheading1Char"/>
    <w:rsid w:val="001E43A5"/>
    <w:pPr>
      <w:framePr w:wrap="around" w:vAnchor="text" w:hAnchor="text" w:y="1"/>
      <w:jc w:val="right"/>
    </w:pPr>
    <w:rPr>
      <w:rFonts w:cs="Calibri"/>
      <w:b/>
      <w:bCs/>
    </w:rPr>
  </w:style>
  <w:style w:type="character" w:customStyle="1" w:styleId="BStableheading1Char">
    <w:name w:val="BS_table heading 1 Char"/>
    <w:basedOn w:val="DefaultParagraphFont"/>
    <w:link w:val="BStableheading1"/>
    <w:locked/>
    <w:rsid w:val="001E43A5"/>
    <w:rPr>
      <w:rFonts w:ascii="Calibri" w:eastAsia="Calibri" w:hAnsi="Calibri" w:cs="Calibri"/>
      <w:b/>
      <w:bCs/>
      <w:lang w:val="en-AU"/>
    </w:rPr>
  </w:style>
  <w:style w:type="paragraph" w:customStyle="1" w:styleId="BTableHeaderText">
    <w:name w:val="B_Table Header Text"/>
    <w:basedOn w:val="Normal"/>
    <w:link w:val="BTableHeaderTextChar"/>
    <w:qFormat/>
    <w:rsid w:val="00746E81"/>
    <w:pPr>
      <w:spacing w:after="0" w:line="240" w:lineRule="auto"/>
      <w:jc w:val="right"/>
    </w:pPr>
    <w:rPr>
      <w:rFonts w:ascii="Calibri" w:eastAsia="Calibri" w:hAnsi="Calibri" w:cs="Times New Roman"/>
      <w:b/>
      <w:bCs/>
      <w:sz w:val="20"/>
      <w:szCs w:val="20"/>
      <w:lang w:val="en-AU"/>
    </w:rPr>
  </w:style>
  <w:style w:type="character" w:customStyle="1" w:styleId="BTableHeaderTextChar">
    <w:name w:val="B_Table Header Text Char"/>
    <w:basedOn w:val="DefaultParagraphFont"/>
    <w:link w:val="BTableHeaderText"/>
    <w:rsid w:val="00746E81"/>
    <w:rPr>
      <w:rFonts w:ascii="Calibri" w:eastAsia="Calibri" w:hAnsi="Calibri" w:cs="Times New Roman"/>
      <w:b/>
      <w:bCs/>
      <w:sz w:val="20"/>
      <w:szCs w:val="20"/>
      <w:lang w:val="en-AU"/>
    </w:rPr>
  </w:style>
  <w:style w:type="table" w:styleId="TableGrid">
    <w:name w:val="Table Grid"/>
    <w:basedOn w:val="TableNormal"/>
    <w:uiPriority w:val="39"/>
    <w:rsid w:val="00FB1AF3"/>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ote">
    <w:name w:val="B_Note"/>
    <w:basedOn w:val="Normal"/>
    <w:qFormat/>
    <w:rsid w:val="00293572"/>
    <w:pPr>
      <w:keepNext/>
      <w:spacing w:before="120" w:after="0" w:line="240" w:lineRule="auto"/>
    </w:pPr>
    <w:rPr>
      <w:rFonts w:ascii="Calibri" w:eastAsia="Calibri" w:hAnsi="Calibri" w:cs="Times New Roman"/>
      <w:sz w:val="18"/>
      <w:lang w:val="en-AU"/>
    </w:rPr>
  </w:style>
  <w:style w:type="paragraph" w:customStyle="1" w:styleId="BNoteBold">
    <w:name w:val="B_Note Bold"/>
    <w:basedOn w:val="Normal"/>
    <w:link w:val="BNoteBoldChar"/>
    <w:qFormat/>
    <w:rsid w:val="006925B5"/>
    <w:pPr>
      <w:keepNext/>
      <w:spacing w:before="120" w:after="0" w:line="240" w:lineRule="auto"/>
    </w:pPr>
    <w:rPr>
      <w:rFonts w:ascii="Calibri" w:eastAsia="Calibri" w:hAnsi="Calibri" w:cs="Times New Roman"/>
      <w:b/>
      <w:sz w:val="18"/>
      <w:lang w:val="en-AU"/>
    </w:rPr>
  </w:style>
  <w:style w:type="character" w:customStyle="1" w:styleId="BNoteBoldChar">
    <w:name w:val="B_Note Bold Char"/>
    <w:basedOn w:val="DefaultParagraphFont"/>
    <w:link w:val="BNoteBold"/>
    <w:rsid w:val="00793445"/>
    <w:rPr>
      <w:rFonts w:ascii="Calibri" w:eastAsia="Calibri" w:hAnsi="Calibri" w:cs="Times New Roman"/>
      <w:b/>
      <w:sz w:val="18"/>
      <w:lang w:val="en-AU"/>
    </w:rPr>
  </w:style>
  <w:style w:type="paragraph" w:customStyle="1" w:styleId="BNotelist">
    <w:name w:val="B_Note list"/>
    <w:basedOn w:val="BNoteBold"/>
    <w:link w:val="BNotelistChar"/>
    <w:qFormat/>
    <w:rsid w:val="006925B5"/>
    <w:pPr>
      <w:spacing w:before="0"/>
    </w:pPr>
    <w:rPr>
      <w:b w:val="0"/>
    </w:rPr>
  </w:style>
  <w:style w:type="character" w:customStyle="1" w:styleId="BNotelistChar">
    <w:name w:val="B_Note list Char"/>
    <w:basedOn w:val="BNoteBoldChar"/>
    <w:link w:val="BNotelist"/>
    <w:rsid w:val="00793445"/>
    <w:rPr>
      <w:rFonts w:ascii="Calibri" w:eastAsia="Calibri" w:hAnsi="Calibri" w:cs="Times New Roman"/>
      <w:b w:val="0"/>
      <w:sz w:val="18"/>
      <w:lang w:val="en-AU"/>
    </w:rPr>
  </w:style>
  <w:style w:type="character" w:customStyle="1" w:styleId="Heading3Char">
    <w:name w:val="Heading 3 Char"/>
    <w:basedOn w:val="DefaultParagraphFont"/>
    <w:link w:val="Heading3"/>
    <w:uiPriority w:val="9"/>
    <w:rsid w:val="005B5506"/>
    <w:rPr>
      <w:rFonts w:ascii="Calibri" w:eastAsia="Times New Roman" w:hAnsi="Calibri" w:cs="Times New Roman"/>
      <w:b/>
      <w:sz w:val="28"/>
      <w:szCs w:val="24"/>
      <w:lang w:val="en-AU"/>
    </w:rPr>
  </w:style>
  <w:style w:type="paragraph" w:customStyle="1" w:styleId="FooterBP">
    <w:name w:val="Footer BP"/>
    <w:basedOn w:val="Normal"/>
    <w:next w:val="Normal"/>
    <w:rsid w:val="009023BE"/>
    <w:pPr>
      <w:tabs>
        <w:tab w:val="center" w:pos="4536"/>
        <w:tab w:val="right" w:pos="9356"/>
      </w:tabs>
      <w:spacing w:before="200" w:line="240" w:lineRule="auto"/>
      <w:ind w:left="-284" w:right="-329"/>
    </w:pPr>
    <w:rPr>
      <w:rFonts w:ascii="Calibri" w:eastAsia="Times New Roman" w:hAnsi="Calibri" w:cs="Times New Roman"/>
      <w:sz w:val="20"/>
      <w:szCs w:val="20"/>
      <w:lang w:val="en-AU"/>
    </w:rPr>
  </w:style>
  <w:style w:type="paragraph" w:styleId="ListParagraph">
    <w:name w:val="List Paragraph"/>
    <w:basedOn w:val="Normal"/>
    <w:uiPriority w:val="34"/>
    <w:qFormat/>
    <w:rsid w:val="00F177D2"/>
    <w:pPr>
      <w:spacing w:after="160" w:line="259" w:lineRule="auto"/>
      <w:ind w:left="720"/>
      <w:contextualSpacing/>
    </w:pPr>
    <w:rPr>
      <w:rFonts w:ascii="Calibri" w:eastAsia="Calibri" w:hAnsi="Calibri" w:cs="Times New Roman"/>
      <w:sz w:val="20"/>
      <w:lang w:val="en-AU"/>
    </w:rPr>
  </w:style>
  <w:style w:type="paragraph" w:customStyle="1" w:styleId="BSnoteslist">
    <w:name w:val="BS_notes list"/>
    <w:basedOn w:val="Normal"/>
    <w:link w:val="BSnoteslistChar"/>
    <w:qFormat/>
    <w:rsid w:val="008B3AAA"/>
    <w:pPr>
      <w:spacing w:after="0" w:line="240" w:lineRule="auto"/>
    </w:pPr>
    <w:rPr>
      <w:rFonts w:ascii="Calibri" w:eastAsia="Calibri" w:hAnsi="Calibri" w:cs="Calibri"/>
      <w:sz w:val="18"/>
      <w:szCs w:val="24"/>
      <w:lang w:val="en-AU"/>
    </w:rPr>
  </w:style>
  <w:style w:type="character" w:customStyle="1" w:styleId="BSnoteslistChar">
    <w:name w:val="BS_notes list Char"/>
    <w:basedOn w:val="DefaultParagraphFont"/>
    <w:link w:val="BSnoteslist"/>
    <w:locked/>
    <w:rsid w:val="008B3AAA"/>
    <w:rPr>
      <w:rFonts w:ascii="Calibri" w:eastAsia="Calibri" w:hAnsi="Calibri" w:cs="Calibri"/>
      <w:sz w:val="18"/>
      <w:szCs w:val="24"/>
      <w:lang w:val="en-AU"/>
    </w:rPr>
  </w:style>
  <w:style w:type="paragraph" w:customStyle="1" w:styleId="BTableList">
    <w:name w:val="B_Table List"/>
    <w:basedOn w:val="ListParagraph"/>
    <w:qFormat/>
    <w:rsid w:val="00F71764"/>
    <w:pPr>
      <w:numPr>
        <w:numId w:val="17"/>
      </w:numPr>
      <w:spacing w:after="0" w:line="240" w:lineRule="auto"/>
    </w:pPr>
  </w:style>
  <w:style w:type="character" w:styleId="EndnoteReference">
    <w:name w:val="endnote reference"/>
    <w:basedOn w:val="DefaultParagraphFont"/>
    <w:uiPriority w:val="99"/>
    <w:semiHidden/>
    <w:unhideWhenUsed/>
    <w:rsid w:val="0097250E"/>
    <w:rPr>
      <w:vertAlign w:val="superscript"/>
    </w:rPr>
  </w:style>
  <w:style w:type="paragraph" w:styleId="EndnoteText">
    <w:name w:val="endnote text"/>
    <w:basedOn w:val="Normal"/>
    <w:link w:val="EndnoteTextChar"/>
    <w:uiPriority w:val="99"/>
    <w:semiHidden/>
    <w:unhideWhenUsed/>
    <w:rsid w:val="0097250E"/>
    <w:pPr>
      <w:spacing w:after="0" w:line="240" w:lineRule="auto"/>
    </w:pPr>
    <w:rPr>
      <w:rFonts w:ascii="Calibri" w:eastAsia="Calibri" w:hAnsi="Calibri" w:cs="Times New Roman"/>
      <w:sz w:val="20"/>
      <w:szCs w:val="20"/>
      <w:lang w:val="en-AU"/>
    </w:rPr>
  </w:style>
  <w:style w:type="character" w:customStyle="1" w:styleId="EndnoteTextChar">
    <w:name w:val="Endnote Text Char"/>
    <w:basedOn w:val="DefaultParagraphFont"/>
    <w:link w:val="EndnoteText"/>
    <w:uiPriority w:val="99"/>
    <w:semiHidden/>
    <w:rsid w:val="0097250E"/>
    <w:rPr>
      <w:rFonts w:ascii="Calibri" w:eastAsia="Calibri" w:hAnsi="Calibri" w:cs="Times New Roman"/>
      <w:sz w:val="20"/>
      <w:szCs w:val="20"/>
      <w:lang w:val="en-AU"/>
    </w:rPr>
  </w:style>
  <w:style w:type="paragraph" w:customStyle="1" w:styleId="BNoteLista">
    <w:name w:val="B_Note List (a"/>
    <w:basedOn w:val="BNotelist"/>
    <w:link w:val="BNoteListaChar"/>
    <w:qFormat/>
    <w:rsid w:val="002C1B5C"/>
    <w:pPr>
      <w:numPr>
        <w:numId w:val="18"/>
      </w:numPr>
    </w:pPr>
  </w:style>
  <w:style w:type="character" w:customStyle="1" w:styleId="BNoteListaChar">
    <w:name w:val="B_Note List (a Char"/>
    <w:basedOn w:val="BNotelistChar"/>
    <w:link w:val="BNoteLista"/>
    <w:rsid w:val="002C1B5C"/>
    <w:rPr>
      <w:rFonts w:ascii="Calibri" w:eastAsia="Calibri" w:hAnsi="Calibri" w:cs="Times New Roman"/>
      <w:b w:val="0"/>
      <w:sz w:val="18"/>
      <w:lang w:val="en-AU"/>
    </w:rPr>
  </w:style>
  <w:style w:type="table" w:customStyle="1" w:styleId="CDMRange1">
    <w:name w:val="CDM Range 1"/>
    <w:basedOn w:val="TableNormal"/>
    <w:next w:val="TableNormal"/>
    <w:uiPriority w:val="99"/>
    <w:semiHidden/>
    <w:unhideWhenUsed/>
    <w:pPr>
      <w:spacing w:after="0" w:line="240" w:lineRule="auto"/>
    </w:pPr>
    <w:rPr>
      <w:rFonts w:ascii="Times New Roman" w:eastAsia="Times New Roman" w:hAnsi="Times New Roman" w:cs="Times New Roman"/>
      <w:sz w:val="20"/>
      <w:szCs w:val="20"/>
      <w:lang w:val="en-AU" w:eastAsia="en-AU"/>
    </w:rPr>
    <w:tblPr/>
  </w:style>
  <w:style w:type="paragraph" w:customStyle="1" w:styleId="NoteHeading2">
    <w:name w:val="Note Heading2"/>
    <w:basedOn w:val="Normal"/>
    <w:next w:val="Normal"/>
    <w:link w:val="NoteHeadingChar"/>
    <w:rsid w:val="00FB4CEC"/>
    <w:pPr>
      <w:spacing w:before="120" w:line="240" w:lineRule="auto"/>
    </w:pPr>
    <w:rPr>
      <w:rFonts w:ascii="Calibri" w:eastAsia="Times New Roman" w:hAnsi="Calibri" w:cs="Times New Roman"/>
      <w:b/>
      <w:sz w:val="16"/>
      <w:szCs w:val="20"/>
      <w:lang w:val="en-AU"/>
    </w:rPr>
  </w:style>
  <w:style w:type="character" w:customStyle="1" w:styleId="NoteHeadingChar">
    <w:name w:val="Note Heading Char"/>
    <w:link w:val="NoteHeading2"/>
    <w:locked/>
    <w:rsid w:val="007316E2"/>
    <w:rPr>
      <w:rFonts w:ascii="Calibri" w:eastAsia="Times New Roman" w:hAnsi="Calibri" w:cs="Times New Roman"/>
      <w:b/>
      <w:sz w:val="16"/>
      <w:szCs w:val="20"/>
      <w:lang w:val="en-AU"/>
    </w:rPr>
  </w:style>
  <w:style w:type="paragraph" w:customStyle="1" w:styleId="BSnote">
    <w:name w:val="BS_note"/>
    <w:basedOn w:val="NoteHeading2"/>
    <w:link w:val="BSnoteChar"/>
    <w:qFormat/>
    <w:rsid w:val="00EE4D16"/>
    <w:pPr>
      <w:keepNext/>
      <w:spacing w:after="0"/>
    </w:pPr>
    <w:rPr>
      <w:sz w:val="18"/>
      <w:szCs w:val="16"/>
    </w:rPr>
  </w:style>
  <w:style w:type="character" w:customStyle="1" w:styleId="BSnoteChar">
    <w:name w:val="BS_note Char"/>
    <w:link w:val="BSnote"/>
    <w:rsid w:val="00EE4D16"/>
    <w:rPr>
      <w:rFonts w:ascii="Calibri" w:eastAsia="Times New Roman" w:hAnsi="Calibri" w:cs="Times New Roman"/>
      <w:b/>
      <w:sz w:val="18"/>
      <w:szCs w:val="16"/>
      <w:lang w:val="en-AU"/>
    </w:rPr>
  </w:style>
  <w:style w:type="table" w:customStyle="1" w:styleId="CDMRange2">
    <w:name w:val="CDM Range 2"/>
    <w:basedOn w:val="TableNormal"/>
    <w:next w:val="TableNormal"/>
    <w:uiPriority w:val="99"/>
    <w:semiHidden/>
    <w:unhideWhenUsed/>
    <w:pPr>
      <w:spacing w:after="160" w:line="259" w:lineRule="auto"/>
    </w:pPr>
    <w:rPr>
      <w:rFonts w:ascii="Calibri" w:eastAsia="Calibri" w:hAnsi="Calibri" w:cs="Times New Roman"/>
      <w:lang w:val="en-AU"/>
    </w:rPr>
    <w:tblPr/>
  </w:style>
  <w:style w:type="character" w:customStyle="1" w:styleId="Heading4Char">
    <w:name w:val="Heading 4 Char"/>
    <w:link w:val="Heading4"/>
    <w:locked/>
    <w:rsid w:val="00055863"/>
    <w:rPr>
      <w:rFonts w:ascii="Calibri" w:eastAsia="SimSun" w:hAnsi="Calibri" w:cs="Times New Roman"/>
      <w:b/>
      <w:i/>
      <w:sz w:val="24"/>
      <w:szCs w:val="24"/>
      <w:lang w:val="en-AU"/>
    </w:rPr>
  </w:style>
  <w:style w:type="paragraph" w:styleId="BodyTextIndent">
    <w:name w:val="Body Text Indent"/>
    <w:basedOn w:val="Normal"/>
    <w:next w:val="BodyText"/>
    <w:link w:val="BodyTextIndentChar"/>
    <w:rsid w:val="00FB4CEC"/>
    <w:pPr>
      <w:keepNext/>
      <w:keepLines/>
      <w:numPr>
        <w:numId w:val="22"/>
      </w:numPr>
      <w:spacing w:before="200" w:after="120" w:line="240" w:lineRule="auto"/>
      <w:jc w:val="both"/>
    </w:pPr>
    <w:rPr>
      <w:rFonts w:ascii="Calibri" w:eastAsia="SimSun" w:hAnsi="Calibri" w:cs="Times New Roman"/>
      <w:sz w:val="24"/>
      <w:szCs w:val="24"/>
      <w:lang w:val="en-AU"/>
    </w:rPr>
  </w:style>
  <w:style w:type="paragraph" w:styleId="BodyText">
    <w:name w:val="Body Text"/>
    <w:basedOn w:val="Normal"/>
    <w:link w:val="BodyTextChar"/>
    <w:uiPriority w:val="99"/>
    <w:rsid w:val="00FB4CEC"/>
    <w:pPr>
      <w:keepNext/>
      <w:keepLines/>
      <w:spacing w:before="120" w:after="120" w:line="240" w:lineRule="auto"/>
      <w:jc w:val="both"/>
    </w:pPr>
    <w:rPr>
      <w:rFonts w:ascii="Calibri" w:eastAsia="SimSun" w:hAnsi="Calibri" w:cs="Times New Roman"/>
      <w:sz w:val="24"/>
      <w:szCs w:val="20"/>
      <w:lang w:val="en-AU"/>
    </w:rPr>
  </w:style>
  <w:style w:type="character" w:customStyle="1" w:styleId="BodyTextChar">
    <w:name w:val="Body Text Char"/>
    <w:link w:val="BodyText"/>
    <w:uiPriority w:val="99"/>
    <w:locked/>
    <w:rsid w:val="007316E2"/>
    <w:rPr>
      <w:rFonts w:ascii="Calibri" w:eastAsia="SimSun" w:hAnsi="Calibri" w:cs="Times New Roman"/>
      <w:sz w:val="24"/>
      <w:szCs w:val="20"/>
      <w:lang w:val="en-AU"/>
    </w:rPr>
  </w:style>
  <w:style w:type="character" w:customStyle="1" w:styleId="BodyTextIndentChar">
    <w:name w:val="Body Text Indent Char"/>
    <w:link w:val="BodyTextIndent"/>
    <w:locked/>
    <w:rsid w:val="00BF50D3"/>
    <w:rPr>
      <w:rFonts w:ascii="Calibri" w:eastAsia="SimSun" w:hAnsi="Calibri" w:cs="Times New Roman"/>
      <w:sz w:val="24"/>
      <w:szCs w:val="24"/>
      <w:lang w:val="en-AU"/>
    </w:rPr>
  </w:style>
  <w:style w:type="paragraph" w:customStyle="1" w:styleId="BSbullet1">
    <w:name w:val="BS_bullet 1"/>
    <w:basedOn w:val="BodyTextIndent"/>
    <w:link w:val="BSbullet1Char"/>
    <w:qFormat/>
    <w:rsid w:val="009E567D"/>
    <w:pPr>
      <w:keepNext w:val="0"/>
      <w:keepLines w:val="0"/>
      <w:numPr>
        <w:numId w:val="31"/>
      </w:numPr>
    </w:pPr>
  </w:style>
  <w:style w:type="character" w:customStyle="1" w:styleId="BSbullet1Char">
    <w:name w:val="BS_bullet 1 Char"/>
    <w:basedOn w:val="BodyTextIndentChar"/>
    <w:link w:val="BSbullet1"/>
    <w:rsid w:val="009E567D"/>
    <w:rPr>
      <w:rFonts w:ascii="Calibri" w:eastAsia="SimSun" w:hAnsi="Calibri" w:cs="Times New Roman"/>
      <w:sz w:val="24"/>
      <w:szCs w:val="24"/>
      <w:lang w:val="en-AU"/>
    </w:rPr>
  </w:style>
  <w:style w:type="paragraph" w:styleId="Header">
    <w:name w:val="header"/>
    <w:basedOn w:val="Normal"/>
    <w:link w:val="HeaderChar"/>
    <w:uiPriority w:val="99"/>
    <w:unhideWhenUsed/>
    <w:rsid w:val="009B5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C32"/>
  </w:style>
  <w:style w:type="paragraph" w:styleId="Revision">
    <w:name w:val="Revision"/>
    <w:hidden/>
    <w:uiPriority w:val="99"/>
    <w:semiHidden/>
    <w:rsid w:val="003535D4"/>
    <w:pPr>
      <w:spacing w:after="0" w:line="240" w:lineRule="auto"/>
    </w:pPr>
  </w:style>
  <w:style w:type="character" w:styleId="CommentReference">
    <w:name w:val="annotation reference"/>
    <w:basedOn w:val="DefaultParagraphFont"/>
    <w:uiPriority w:val="99"/>
    <w:semiHidden/>
    <w:unhideWhenUsed/>
    <w:rsid w:val="00B23D00"/>
    <w:rPr>
      <w:sz w:val="16"/>
      <w:szCs w:val="16"/>
    </w:rPr>
  </w:style>
  <w:style w:type="paragraph" w:styleId="CommentText">
    <w:name w:val="annotation text"/>
    <w:basedOn w:val="Normal"/>
    <w:link w:val="CommentTextChar"/>
    <w:uiPriority w:val="99"/>
    <w:unhideWhenUsed/>
    <w:rsid w:val="00B23D00"/>
    <w:pPr>
      <w:spacing w:line="240" w:lineRule="auto"/>
    </w:pPr>
    <w:rPr>
      <w:sz w:val="20"/>
      <w:szCs w:val="20"/>
    </w:rPr>
  </w:style>
  <w:style w:type="character" w:customStyle="1" w:styleId="CommentTextChar">
    <w:name w:val="Comment Text Char"/>
    <w:basedOn w:val="DefaultParagraphFont"/>
    <w:link w:val="CommentText"/>
    <w:uiPriority w:val="99"/>
    <w:rsid w:val="00B23D00"/>
    <w:rPr>
      <w:sz w:val="20"/>
      <w:szCs w:val="20"/>
    </w:rPr>
  </w:style>
  <w:style w:type="paragraph" w:styleId="CommentSubject">
    <w:name w:val="annotation subject"/>
    <w:basedOn w:val="CommentText"/>
    <w:next w:val="CommentText"/>
    <w:link w:val="CommentSubjectChar"/>
    <w:uiPriority w:val="99"/>
    <w:semiHidden/>
    <w:unhideWhenUsed/>
    <w:rsid w:val="00B23D00"/>
    <w:rPr>
      <w:b/>
      <w:bCs/>
    </w:rPr>
  </w:style>
  <w:style w:type="character" w:customStyle="1" w:styleId="CommentSubjectChar">
    <w:name w:val="Comment Subject Char"/>
    <w:basedOn w:val="CommentTextChar"/>
    <w:link w:val="CommentSubject"/>
    <w:uiPriority w:val="99"/>
    <w:semiHidden/>
    <w:rsid w:val="00B23D00"/>
    <w:rPr>
      <w:b/>
      <w:bCs/>
      <w:sz w:val="20"/>
      <w:szCs w:val="20"/>
    </w:rPr>
  </w:style>
  <w:style w:type="character" w:styleId="Hyperlink">
    <w:name w:val="Hyperlink"/>
    <w:uiPriority w:val="99"/>
    <w:rsid w:val="000430F5"/>
    <w:rPr>
      <w:color w:val="141414"/>
      <w:u w:val="single"/>
    </w:rPr>
  </w:style>
  <w:style w:type="character" w:customStyle="1" w:styleId="apple-converted-space">
    <w:name w:val="apple-converted-space"/>
    <w:basedOn w:val="DefaultParagraphFont"/>
    <w:rsid w:val="000430F5"/>
  </w:style>
  <w:style w:type="paragraph" w:styleId="TOC1">
    <w:name w:val="toc 1"/>
    <w:basedOn w:val="Normal"/>
    <w:next w:val="Normal"/>
    <w:autoRedefine/>
    <w:uiPriority w:val="39"/>
    <w:unhideWhenUsed/>
    <w:rsid w:val="000430F5"/>
    <w:pPr>
      <w:spacing w:after="100"/>
    </w:pPr>
  </w:style>
  <w:style w:type="paragraph" w:styleId="TOC2">
    <w:name w:val="toc 2"/>
    <w:basedOn w:val="Normal"/>
    <w:next w:val="Normal"/>
    <w:autoRedefine/>
    <w:uiPriority w:val="39"/>
    <w:unhideWhenUsed/>
    <w:rsid w:val="00650923"/>
    <w:pPr>
      <w:tabs>
        <w:tab w:val="right" w:leader="dot" w:pos="9016"/>
      </w:tabs>
      <w:spacing w:after="100"/>
      <w:ind w:left="220"/>
    </w:pPr>
    <w:rPr>
      <w:rFonts w:ascii="Calibri" w:eastAsia="Times New Roman" w:hAnsi="Calibri" w:cs="Times New Roman"/>
      <w:noProof/>
    </w:rPr>
  </w:style>
  <w:style w:type="paragraph" w:styleId="TOC3">
    <w:name w:val="toc 3"/>
    <w:basedOn w:val="Normal"/>
    <w:next w:val="Normal"/>
    <w:autoRedefine/>
    <w:uiPriority w:val="39"/>
    <w:unhideWhenUsed/>
    <w:rsid w:val="000430F5"/>
    <w:pPr>
      <w:spacing w:after="100"/>
      <w:ind w:left="440"/>
    </w:pPr>
  </w:style>
  <w:style w:type="character" w:styleId="FollowedHyperlink">
    <w:name w:val="FollowedHyperlink"/>
    <w:basedOn w:val="DefaultParagraphFont"/>
    <w:uiPriority w:val="99"/>
    <w:semiHidden/>
    <w:unhideWhenUsed/>
    <w:rsid w:val="0020321F"/>
    <w:rPr>
      <w:color w:val="800080" w:themeColor="followedHyperlink"/>
      <w:u w:val="single"/>
    </w:rPr>
  </w:style>
  <w:style w:type="character" w:styleId="UnresolvedMention">
    <w:name w:val="Unresolved Mention"/>
    <w:basedOn w:val="DefaultParagraphFont"/>
    <w:uiPriority w:val="99"/>
    <w:semiHidden/>
    <w:unhideWhenUsed/>
    <w:rsid w:val="0020321F"/>
    <w:rPr>
      <w:color w:val="605E5C"/>
      <w:shd w:val="clear" w:color="auto" w:fill="E1DFDD"/>
    </w:rPr>
  </w:style>
  <w:style w:type="paragraph" w:customStyle="1" w:styleId="Footertext">
    <w:name w:val="Footer text"/>
    <w:basedOn w:val="Normal"/>
    <w:qFormat/>
    <w:rsid w:val="008448C2"/>
    <w:pPr>
      <w:tabs>
        <w:tab w:val="center" w:pos="4410"/>
        <w:tab w:val="right" w:pos="8751"/>
      </w:tabs>
      <w:spacing w:after="0" w:line="240" w:lineRule="auto"/>
    </w:pPr>
    <w:rPr>
      <w:rFonts w:ascii="Calibri" w:eastAsia="Calibri" w:hAnsi="Calibri" w:cs="Calibri"/>
      <w:bCs/>
      <w:iCs/>
      <w:noProof/>
      <w:sz w:val="18"/>
      <w:szCs w:val="18"/>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yperlink" Target="tel:132281" TargetMode="External"/><Relationship Id="rId39" Type="http://schemas.openxmlformats.org/officeDocument/2006/relationships/theme" Target="theme/theme1.xml"/><Relationship Id="rId21" Type="http://schemas.openxmlformats.org/officeDocument/2006/relationships/hyperlink" Target="https://www.accesshub.gov.au/about-the-nrs"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hyperlink" Target="tel:1300555727"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tel:131450"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ccesshub.gov.au/"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treasury.act.gov.au/budget" TargetMode="External"/><Relationship Id="rId23" Type="http://schemas.openxmlformats.org/officeDocument/2006/relationships/hyperlink" Target="tel:132281" TargetMode="External"/><Relationship Id="rId28" Type="http://schemas.openxmlformats.org/officeDocument/2006/relationships/hyperlink" Target="https://www.accesshub.gov.au/"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tisnational.gov.au/" TargetMode="External"/><Relationship Id="rId31" Type="http://schemas.openxmlformats.org/officeDocument/2006/relationships/hyperlink" Target="http://www.act.gov.au/infrastructurecanberr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mteddcorporate@act.gov.au" TargetMode="External"/><Relationship Id="rId22" Type="http://schemas.openxmlformats.org/officeDocument/2006/relationships/hyperlink" Target="tel:133677" TargetMode="External"/><Relationship Id="rId27" Type="http://schemas.openxmlformats.org/officeDocument/2006/relationships/hyperlink" Target="tel:132281" TargetMode="External"/><Relationship Id="rId30" Type="http://schemas.openxmlformats.org/officeDocument/2006/relationships/hyperlink" Target="https://creativecommons.org/licenses/by/4.0/"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entControlRegistry xmlns="cdm://schemas.certent.com/registry/content-control">
  <Registrations>
    <Registration>
      <Id>1875839563</Id>
      <Name>CORE_RO_56703</Name>
    </Registration>
    <Registration>
      <Id>694857175</Id>
      <Name>CORE_RO_56704</Name>
    </Registration>
    <Registration>
      <Id>1412538805</Id>
      <Name>CORE_RO_56707</Name>
    </Registration>
    <Registration>
      <Id>396833059</Id>
      <Name>CORE_RO_56710</Name>
    </Registration>
    <Registration>
      <Id>1490478031</Id>
      <Name>CORE_RO_56718</Name>
    </Registration>
    <Registration>
      <Id>225281280</Id>
      <Name>CORE_RO_56721</Name>
    </Registration>
    <Registration>
      <Id>1852920174</Id>
      <Name>CORE_RO_56730</Name>
    </Registration>
    <Registration>
      <Id>403957823</Id>
      <Name>CORE_RO_56739</Name>
    </Registration>
    <Registration>
      <Id>793429410</Id>
      <Name>CORE_RO_56746</Name>
    </Registration>
    <Registration>
      <Id>1732087060</Id>
      <Name>CORE_RO_56751</Name>
    </Registration>
    <Registration>
      <Id>1759129438</Id>
      <Name>CORE_RO_56767</Name>
    </Registration>
  </Registrations>
</ContentControlRegistry>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b298f1-966e-4cf4-bb26-ee5103b8355b">
      <Terms xmlns="http://schemas.microsoft.com/office/infopath/2007/PartnerControls"/>
    </lcf76f155ced4ddcb4097134ff3c332f>
    <TaxCatchAll xmlns="aa1bc45a-6f1e-4052-b93b-50a49d8599e2" xsi:nil="true"/>
    <Date xmlns="3cb298f1-966e-4cf4-bb26-ee5103b8355b" xsi:nil="true"/>
    <Reviewed xmlns="3cb298f1-966e-4cf4-bb26-ee5103b835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20" ma:contentTypeDescription="Create a new document." ma:contentTypeScope="" ma:versionID="2f7f006ad15caa1b794c7ae775ae5a3f">
  <xsd:schema xmlns:xsd="http://www.w3.org/2001/XMLSchema" xmlns:xs="http://www.w3.org/2001/XMLSchema" xmlns:p="http://schemas.microsoft.com/office/2006/metadata/properties" xmlns:ns2="3cb298f1-966e-4cf4-bb26-ee5103b8355b" xmlns:ns3="aa1bc45a-6f1e-4052-b93b-50a49d8599e2" targetNamespace="http://schemas.microsoft.com/office/2006/metadata/properties" ma:root="true" ma:fieldsID="b6d9889f3ba9e3c45af52af033ec1381" ns2:_="" ns3:_="">
    <xsd:import namespace="3cb298f1-966e-4cf4-bb26-ee5103b8355b"/>
    <xsd:import namespace="aa1bc45a-6f1e-4052-b93b-50a49d859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 ma:index="27" nillable="true" ma:displayName="Reviewed" ma:format="Dropdown" ma:internalName="Review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1bc45a-6f1e-4052-b93b-50a49d8599e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45bd9f-ce9b-4c51-b753-1099a3954f2f}" ma:internalName="TaxCatchAll" ma:showField="CatchAllData" ma:web="aa1bc45a-6f1e-4052-b93b-50a49d859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138A3-E864-4BC5-AF8C-65B97A42DC98}">
  <ds:schemaRefs>
    <ds:schemaRef ds:uri="http://schemas.openxmlformats.org/officeDocument/2006/bibliography"/>
  </ds:schemaRefs>
</ds:datastoreItem>
</file>

<file path=customXml/itemProps2.xml><?xml version="1.0" encoding="utf-8"?>
<ds:datastoreItem xmlns:ds="http://schemas.openxmlformats.org/officeDocument/2006/customXml" ds:itemID="{AD785377-BDDB-4096-A378-4920B18AA9B6}">
  <ds:schemaRefs>
    <ds:schemaRef ds:uri="cdm://schemas.certent.com/registry/content-control"/>
  </ds:schemaRefs>
</ds:datastoreItem>
</file>

<file path=customXml/itemProps3.xml><?xml version="1.0" encoding="utf-8"?>
<ds:datastoreItem xmlns:ds="http://schemas.openxmlformats.org/officeDocument/2006/customXml" ds:itemID="{7F6A1720-0879-4FED-BB3B-25D5925D1532}">
  <ds:schemaRefs>
    <ds:schemaRef ds:uri="http://schemas.microsoft.com/office/2006/metadata/properties"/>
    <ds:schemaRef ds:uri="http://schemas.microsoft.com/office/infopath/2007/PartnerControls"/>
    <ds:schemaRef ds:uri="3cb298f1-966e-4cf4-bb26-ee5103b8355b"/>
    <ds:schemaRef ds:uri="aa1bc45a-6f1e-4052-b93b-50a49d8599e2"/>
  </ds:schemaRefs>
</ds:datastoreItem>
</file>

<file path=customXml/itemProps4.xml><?xml version="1.0" encoding="utf-8"?>
<ds:datastoreItem xmlns:ds="http://schemas.openxmlformats.org/officeDocument/2006/customXml" ds:itemID="{F52BAC20-6DA7-4952-8D61-F709ABAC5760}">
  <ds:schemaRefs>
    <ds:schemaRef ds:uri="http://schemas.microsoft.com/sharepoint/v3/contenttype/forms"/>
  </ds:schemaRefs>
</ds:datastoreItem>
</file>

<file path=customXml/itemProps5.xml><?xml version="1.0" encoding="utf-8"?>
<ds:datastoreItem xmlns:ds="http://schemas.openxmlformats.org/officeDocument/2006/customXml" ds:itemID="{AB6BEDDB-F842-4B35-B83A-F8D0985A1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aa1bc45a-6f1e-4052-b93b-50a49d859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33</Pages>
  <Words>8402</Words>
  <Characters>47894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56184</CharactersWithSpaces>
  <SharedDoc>false</SharedDoc>
  <HLinks>
    <vt:vector size="144" baseType="variant">
      <vt:variant>
        <vt:i4>1507380</vt:i4>
      </vt:variant>
      <vt:variant>
        <vt:i4>98</vt:i4>
      </vt:variant>
      <vt:variant>
        <vt:i4>0</vt:i4>
      </vt:variant>
      <vt:variant>
        <vt:i4>5</vt:i4>
      </vt:variant>
      <vt:variant>
        <vt:lpwstr/>
      </vt:variant>
      <vt:variant>
        <vt:lpwstr>_Toc231374046</vt:lpwstr>
      </vt:variant>
      <vt:variant>
        <vt:i4>1507380</vt:i4>
      </vt:variant>
      <vt:variant>
        <vt:i4>92</vt:i4>
      </vt:variant>
      <vt:variant>
        <vt:i4>0</vt:i4>
      </vt:variant>
      <vt:variant>
        <vt:i4>5</vt:i4>
      </vt:variant>
      <vt:variant>
        <vt:lpwstr/>
      </vt:variant>
      <vt:variant>
        <vt:lpwstr>_Toc231374045</vt:lpwstr>
      </vt:variant>
      <vt:variant>
        <vt:i4>1507380</vt:i4>
      </vt:variant>
      <vt:variant>
        <vt:i4>86</vt:i4>
      </vt:variant>
      <vt:variant>
        <vt:i4>0</vt:i4>
      </vt:variant>
      <vt:variant>
        <vt:i4>5</vt:i4>
      </vt:variant>
      <vt:variant>
        <vt:lpwstr/>
      </vt:variant>
      <vt:variant>
        <vt:lpwstr>_Toc231374044</vt:lpwstr>
      </vt:variant>
      <vt:variant>
        <vt:i4>1507380</vt:i4>
      </vt:variant>
      <vt:variant>
        <vt:i4>80</vt:i4>
      </vt:variant>
      <vt:variant>
        <vt:i4>0</vt:i4>
      </vt:variant>
      <vt:variant>
        <vt:i4>5</vt:i4>
      </vt:variant>
      <vt:variant>
        <vt:lpwstr/>
      </vt:variant>
      <vt:variant>
        <vt:lpwstr>_Toc231374043</vt:lpwstr>
      </vt:variant>
      <vt:variant>
        <vt:i4>1507380</vt:i4>
      </vt:variant>
      <vt:variant>
        <vt:i4>74</vt:i4>
      </vt:variant>
      <vt:variant>
        <vt:i4>0</vt:i4>
      </vt:variant>
      <vt:variant>
        <vt:i4>5</vt:i4>
      </vt:variant>
      <vt:variant>
        <vt:lpwstr/>
      </vt:variant>
      <vt:variant>
        <vt:lpwstr>_Toc231374042</vt:lpwstr>
      </vt:variant>
      <vt:variant>
        <vt:i4>1507380</vt:i4>
      </vt:variant>
      <vt:variant>
        <vt:i4>68</vt:i4>
      </vt:variant>
      <vt:variant>
        <vt:i4>0</vt:i4>
      </vt:variant>
      <vt:variant>
        <vt:i4>5</vt:i4>
      </vt:variant>
      <vt:variant>
        <vt:lpwstr/>
      </vt:variant>
      <vt:variant>
        <vt:lpwstr>_Toc231374041</vt:lpwstr>
      </vt:variant>
      <vt:variant>
        <vt:i4>1507380</vt:i4>
      </vt:variant>
      <vt:variant>
        <vt:i4>62</vt:i4>
      </vt:variant>
      <vt:variant>
        <vt:i4>0</vt:i4>
      </vt:variant>
      <vt:variant>
        <vt:i4>5</vt:i4>
      </vt:variant>
      <vt:variant>
        <vt:lpwstr/>
      </vt:variant>
      <vt:variant>
        <vt:lpwstr>_Toc231374040</vt:lpwstr>
      </vt:variant>
      <vt:variant>
        <vt:i4>1048628</vt:i4>
      </vt:variant>
      <vt:variant>
        <vt:i4>56</vt:i4>
      </vt:variant>
      <vt:variant>
        <vt:i4>0</vt:i4>
      </vt:variant>
      <vt:variant>
        <vt:i4>5</vt:i4>
      </vt:variant>
      <vt:variant>
        <vt:lpwstr/>
      </vt:variant>
      <vt:variant>
        <vt:lpwstr>_Toc231374039</vt:lpwstr>
      </vt:variant>
      <vt:variant>
        <vt:i4>1048628</vt:i4>
      </vt:variant>
      <vt:variant>
        <vt:i4>50</vt:i4>
      </vt:variant>
      <vt:variant>
        <vt:i4>0</vt:i4>
      </vt:variant>
      <vt:variant>
        <vt:i4>5</vt:i4>
      </vt:variant>
      <vt:variant>
        <vt:lpwstr/>
      </vt:variant>
      <vt:variant>
        <vt:lpwstr>_Toc231374038</vt:lpwstr>
      </vt:variant>
      <vt:variant>
        <vt:i4>1048628</vt:i4>
      </vt:variant>
      <vt:variant>
        <vt:i4>44</vt:i4>
      </vt:variant>
      <vt:variant>
        <vt:i4>0</vt:i4>
      </vt:variant>
      <vt:variant>
        <vt:i4>5</vt:i4>
      </vt:variant>
      <vt:variant>
        <vt:lpwstr/>
      </vt:variant>
      <vt:variant>
        <vt:lpwstr>_Toc231374037</vt:lpwstr>
      </vt:variant>
      <vt:variant>
        <vt:i4>2031706</vt:i4>
      </vt:variant>
      <vt:variant>
        <vt:i4>39</vt:i4>
      </vt:variant>
      <vt:variant>
        <vt:i4>0</vt:i4>
      </vt:variant>
      <vt:variant>
        <vt:i4>5</vt:i4>
      </vt:variant>
      <vt:variant>
        <vt:lpwstr>http://www.act.gov.au/infrastructurecanberra</vt:lpwstr>
      </vt:variant>
      <vt:variant>
        <vt:lpwstr/>
      </vt:variant>
      <vt:variant>
        <vt:i4>5308424</vt:i4>
      </vt:variant>
      <vt:variant>
        <vt:i4>36</vt:i4>
      </vt:variant>
      <vt:variant>
        <vt:i4>0</vt:i4>
      </vt:variant>
      <vt:variant>
        <vt:i4>5</vt:i4>
      </vt:variant>
      <vt:variant>
        <vt:lpwstr>https://creativecommons.org/licenses/by/4.0/</vt:lpwstr>
      </vt:variant>
      <vt:variant>
        <vt:lpwstr/>
      </vt:variant>
      <vt:variant>
        <vt:i4>5374027</vt:i4>
      </vt:variant>
      <vt:variant>
        <vt:i4>33</vt:i4>
      </vt:variant>
      <vt:variant>
        <vt:i4>0</vt:i4>
      </vt:variant>
      <vt:variant>
        <vt:i4>5</vt:i4>
      </vt:variant>
      <vt:variant>
        <vt:lpwstr>https://www.accesshub.gov.au/</vt:lpwstr>
      </vt:variant>
      <vt:variant>
        <vt:lpwstr/>
      </vt:variant>
      <vt:variant>
        <vt:i4>7274531</vt:i4>
      </vt:variant>
      <vt:variant>
        <vt:i4>30</vt:i4>
      </vt:variant>
      <vt:variant>
        <vt:i4>0</vt:i4>
      </vt:variant>
      <vt:variant>
        <vt:i4>5</vt:i4>
      </vt:variant>
      <vt:variant>
        <vt:lpwstr>tel:132281</vt:lpwstr>
      </vt:variant>
      <vt:variant>
        <vt:lpwstr/>
      </vt:variant>
      <vt:variant>
        <vt:i4>7274531</vt:i4>
      </vt:variant>
      <vt:variant>
        <vt:i4>27</vt:i4>
      </vt:variant>
      <vt:variant>
        <vt:i4>0</vt:i4>
      </vt:variant>
      <vt:variant>
        <vt:i4>5</vt:i4>
      </vt:variant>
      <vt:variant>
        <vt:lpwstr>tel:132281</vt:lpwstr>
      </vt:variant>
      <vt:variant>
        <vt:lpwstr/>
      </vt:variant>
      <vt:variant>
        <vt:i4>6881323</vt:i4>
      </vt:variant>
      <vt:variant>
        <vt:i4>24</vt:i4>
      </vt:variant>
      <vt:variant>
        <vt:i4>0</vt:i4>
      </vt:variant>
      <vt:variant>
        <vt:i4>5</vt:i4>
      </vt:variant>
      <vt:variant>
        <vt:lpwstr>tel:1300555727</vt:lpwstr>
      </vt:variant>
      <vt:variant>
        <vt:lpwstr/>
      </vt:variant>
      <vt:variant>
        <vt:i4>5374027</vt:i4>
      </vt:variant>
      <vt:variant>
        <vt:i4>21</vt:i4>
      </vt:variant>
      <vt:variant>
        <vt:i4>0</vt:i4>
      </vt:variant>
      <vt:variant>
        <vt:i4>5</vt:i4>
      </vt:variant>
      <vt:variant>
        <vt:lpwstr>https://www.accesshub.gov.au/</vt:lpwstr>
      </vt:variant>
      <vt:variant>
        <vt:lpwstr/>
      </vt:variant>
      <vt:variant>
        <vt:i4>7274531</vt:i4>
      </vt:variant>
      <vt:variant>
        <vt:i4>18</vt:i4>
      </vt:variant>
      <vt:variant>
        <vt:i4>0</vt:i4>
      </vt:variant>
      <vt:variant>
        <vt:i4>5</vt:i4>
      </vt:variant>
      <vt:variant>
        <vt:lpwstr>tel:132281</vt:lpwstr>
      </vt:variant>
      <vt:variant>
        <vt:lpwstr/>
      </vt:variant>
      <vt:variant>
        <vt:i4>7143469</vt:i4>
      </vt:variant>
      <vt:variant>
        <vt:i4>15</vt:i4>
      </vt:variant>
      <vt:variant>
        <vt:i4>0</vt:i4>
      </vt:variant>
      <vt:variant>
        <vt:i4>5</vt:i4>
      </vt:variant>
      <vt:variant>
        <vt:lpwstr>tel:133677</vt:lpwstr>
      </vt:variant>
      <vt:variant>
        <vt:lpwstr/>
      </vt:variant>
      <vt:variant>
        <vt:i4>2359401</vt:i4>
      </vt:variant>
      <vt:variant>
        <vt:i4>12</vt:i4>
      </vt:variant>
      <vt:variant>
        <vt:i4>0</vt:i4>
      </vt:variant>
      <vt:variant>
        <vt:i4>5</vt:i4>
      </vt:variant>
      <vt:variant>
        <vt:lpwstr>https://www.accesshub.gov.au/about-the-nrs</vt:lpwstr>
      </vt:variant>
      <vt:variant>
        <vt:lpwstr/>
      </vt:variant>
      <vt:variant>
        <vt:i4>6815789</vt:i4>
      </vt:variant>
      <vt:variant>
        <vt:i4>9</vt:i4>
      </vt:variant>
      <vt:variant>
        <vt:i4>0</vt:i4>
      </vt:variant>
      <vt:variant>
        <vt:i4>5</vt:i4>
      </vt:variant>
      <vt:variant>
        <vt:lpwstr>tel:131450</vt:lpwstr>
      </vt:variant>
      <vt:variant>
        <vt:lpwstr/>
      </vt:variant>
      <vt:variant>
        <vt:i4>7929911</vt:i4>
      </vt:variant>
      <vt:variant>
        <vt:i4>6</vt:i4>
      </vt:variant>
      <vt:variant>
        <vt:i4>0</vt:i4>
      </vt:variant>
      <vt:variant>
        <vt:i4>5</vt:i4>
      </vt:variant>
      <vt:variant>
        <vt:lpwstr>http://www.tisnational.gov.au/</vt:lpwstr>
      </vt:variant>
      <vt:variant>
        <vt:lpwstr/>
      </vt:variant>
      <vt:variant>
        <vt:i4>8061028</vt:i4>
      </vt:variant>
      <vt:variant>
        <vt:i4>3</vt:i4>
      </vt:variant>
      <vt:variant>
        <vt:i4>0</vt:i4>
      </vt:variant>
      <vt:variant>
        <vt:i4>5</vt:i4>
      </vt:variant>
      <vt:variant>
        <vt:lpwstr>https://www.treasury.act.gov.au/budget</vt:lpwstr>
      </vt:variant>
      <vt:variant>
        <vt:lpwstr/>
      </vt:variant>
      <vt:variant>
        <vt:i4>917619</vt:i4>
      </vt:variant>
      <vt:variant>
        <vt:i4>0</vt:i4>
      </vt:variant>
      <vt:variant>
        <vt:i4>0</vt:i4>
      </vt:variant>
      <vt:variant>
        <vt:i4>5</vt:i4>
      </vt:variant>
      <vt:variant>
        <vt:lpwstr>mailto:cmteddcorporate@act.gov.au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Budget 2026-27 - Statement G</dc:title>
  <dc:subject/>
  <dc:creator>ACT Government</dc:creator>
  <cp:keywords/>
  <cp:lastModifiedBy>Fitzgibbon, Kathleen</cp:lastModifiedBy>
  <cp:revision>54</cp:revision>
  <cp:lastPrinted>2026-06-05T20:39:00Z</cp:lastPrinted>
  <dcterms:created xsi:type="dcterms:W3CDTF">2026-06-06T13:10:00Z</dcterms:created>
  <dcterms:modified xsi:type="dcterms:W3CDTF">2026-06-09T04:52:00Z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2026-05-31T07:30:05Z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de4cfd47-c3c4-4569-9992-db135881fe7c</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A62258174</vt:lpwstr>
  </property>
  <property fmtid="{D5CDD505-2E9C-101B-9397-08002B2CF9AE}" pid="11" name="Objective-Title">
    <vt:lpwstr>2026-27- Budget-Statements updated 1.06.2026</vt:lpwstr>
  </property>
  <property fmtid="{D5CDD505-2E9C-101B-9397-08002B2CF9AE}" pid="12" name="Objective-Comment">
    <vt:lpwstr/>
  </property>
  <property fmtid="{D5CDD505-2E9C-101B-9397-08002B2CF9AE}" pid="13" name="Objective-CreationStamp">
    <vt:filetime>2026-06-01T02:46:42Z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2026-06-04T09:22:01Z</vt:filetime>
  </property>
  <property fmtid="{D5CDD505-2E9C-101B-9397-08002B2CF9AE}" pid="18" name="Objective-Owner">
    <vt:lpwstr>Elizabeth Liu</vt:lpwstr>
  </property>
  <property fmtid="{D5CDD505-2E9C-101B-9397-08002B2CF9AE}" pid="19" name="Objective-Path">
    <vt:lpwstr>Whole of ACT Government:iCBR - Infrastructure Canberra:02. Project Development and Support:03. Finance:Budget:2026-27 Budget:9. Budget Statement:</vt:lpwstr>
  </property>
  <property fmtid="{D5CDD505-2E9C-101B-9397-08002B2CF9AE}" pid="20" name="Objective-Parent">
    <vt:lpwstr>9. Budget Statement</vt:lpwstr>
  </property>
  <property fmtid="{D5CDD505-2E9C-101B-9397-08002B2CF9AE}" pid="21" name="Objective-State">
    <vt:lpwstr>Being Edited</vt:lpwstr>
  </property>
  <property fmtid="{D5CDD505-2E9C-101B-9397-08002B2CF9AE}" pid="22" name="Objective-Version">
    <vt:lpwstr>30.1</vt:lpwstr>
  </property>
  <property fmtid="{D5CDD505-2E9C-101B-9397-08002B2CF9AE}" pid="23" name="Objective-VersionNumber">
    <vt:r8>44</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iCBR</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Status">
    <vt:lpwstr/>
  </property>
  <property fmtid="{D5CDD505-2E9C-101B-9397-08002B2CF9AE}" pid="40" name="Objective-S28 Exemption Number">
    <vt:lpwstr/>
  </property>
  <property fmtid="{D5CDD505-2E9C-101B-9397-08002B2CF9AE}" pid="41" name="Objective-S28 Exemption">
    <vt:lpwstr/>
  </property>
  <property fmtid="{D5CDD505-2E9C-101B-9397-08002B2CF9AE}" pid="42" name="Objective-S28 Exemption Reason">
    <vt:lpwstr/>
  </property>
  <property fmtid="{D5CDD505-2E9C-101B-9397-08002B2CF9AE}" pid="43" name="Objective-S28 Comments if partial exemption">
    <vt:lpwstr/>
  </property>
  <property fmtid="{D5CDD505-2E9C-101B-9397-08002B2CF9AE}" pid="44" name="Objective-S28 Date Approved">
    <vt:lpwstr/>
  </property>
  <property fmtid="{D5CDD505-2E9C-101B-9397-08002B2CF9AE}" pid="45" name="ContentTypeId">
    <vt:lpwstr>0x0101003CE6BA43E5E85A49A2E8A3C1B33FEB81</vt:lpwstr>
  </property>
  <property fmtid="{D5CDD505-2E9C-101B-9397-08002B2CF9AE}" pid="46" name="MediaServiceImageTags">
    <vt:lpwstr/>
  </property>
</Properties>
</file>