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6809" w14:textId="3D9E1CBE" w:rsidR="001E627E" w:rsidRDefault="001E627E" w:rsidP="00FE5F82">
      <w:pPr>
        <w:pStyle w:val="Bbodytext"/>
      </w:pPr>
    </w:p>
    <w:p w14:paraId="75C1798A" w14:textId="1A609F24" w:rsidR="001E627E" w:rsidRDefault="001E627E" w:rsidP="00FE5F82">
      <w:pPr>
        <w:pStyle w:val="Bbodytext"/>
      </w:pPr>
    </w:p>
    <w:p w14:paraId="07C5F33C" w14:textId="5010FF64" w:rsidR="001E627E" w:rsidRDefault="001E627E" w:rsidP="00FE5F82">
      <w:pPr>
        <w:pStyle w:val="Bbodytext"/>
      </w:pPr>
    </w:p>
    <w:p w14:paraId="37227AD1" w14:textId="393F8AA1" w:rsidR="001E627E" w:rsidRDefault="001E627E" w:rsidP="00FE5F82">
      <w:pPr>
        <w:pStyle w:val="Bbodytext"/>
      </w:pPr>
    </w:p>
    <w:p w14:paraId="55B61548" w14:textId="77777777" w:rsidR="001E627E" w:rsidRDefault="001E627E" w:rsidP="00FE5F82">
      <w:pPr>
        <w:pStyle w:val="Bbodytext"/>
      </w:pPr>
    </w:p>
    <w:p w14:paraId="4B7C883B" w14:textId="038315E8" w:rsidR="001E627E" w:rsidRDefault="001E627E" w:rsidP="00FE5F82">
      <w:pPr>
        <w:pStyle w:val="Bbodytext"/>
      </w:pPr>
    </w:p>
    <w:p w14:paraId="0CEF664B" w14:textId="77777777" w:rsidR="00950882" w:rsidRDefault="00950882" w:rsidP="00FE5F82">
      <w:pPr>
        <w:spacing w:after="0"/>
        <w:jc w:val="center"/>
      </w:pPr>
    </w:p>
    <w:p w14:paraId="56EC09EC" w14:textId="08625EDB" w:rsidR="001E627E" w:rsidRDefault="001E627E" w:rsidP="00FE5F82">
      <w:pPr>
        <w:spacing w:after="0"/>
        <w:jc w:val="center"/>
      </w:pPr>
    </w:p>
    <w:p w14:paraId="3FBF547B" w14:textId="77777777" w:rsidR="001E627E" w:rsidRDefault="001E627E" w:rsidP="00FE5F82">
      <w:pPr>
        <w:pStyle w:val="Bbodytext"/>
      </w:pPr>
    </w:p>
    <w:p w14:paraId="1D86EB71" w14:textId="3854D757" w:rsidR="00FE5F82" w:rsidRPr="001E627E" w:rsidRDefault="00645940" w:rsidP="00645940">
      <w:pPr>
        <w:pStyle w:val="Bbodytext"/>
        <w:jc w:val="center"/>
      </w:pPr>
      <w:r w:rsidRPr="00C74F61">
        <w:rPr>
          <w:noProof/>
        </w:rPr>
        <w:drawing>
          <wp:inline distT="0" distB="0" distL="0" distR="0" wp14:anchorId="74B4E666" wp14:editId="02D8009A">
            <wp:extent cx="2864408" cy="1104759"/>
            <wp:effectExtent l="0" t="0" r="0" b="635"/>
            <wp:docPr id="1864014793" name="Picture 4" descr="The ACT Government Chief Minister, Treasury and Economic Developement Dir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14793" name="Picture 4" descr="The ACT Government Chief Minister, Treasury and Economic Developement Directorat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0825" cy="1114948"/>
                    </a:xfrm>
                    <a:prstGeom prst="rect">
                      <a:avLst/>
                    </a:prstGeom>
                    <a:noFill/>
                    <a:ln>
                      <a:noFill/>
                    </a:ln>
                  </pic:spPr>
                </pic:pic>
              </a:graphicData>
            </a:graphic>
          </wp:inline>
        </w:drawing>
      </w:r>
    </w:p>
    <w:p w14:paraId="44B53282" w14:textId="77777777" w:rsidR="00645940" w:rsidRPr="001E627E" w:rsidRDefault="00645940" w:rsidP="00645940">
      <w:pPr>
        <w:pStyle w:val="Bbodytext"/>
        <w:jc w:val="center"/>
      </w:pPr>
    </w:p>
    <w:p w14:paraId="3E658F67" w14:textId="2AD19260" w:rsidR="00BA556D" w:rsidRPr="005918CE" w:rsidRDefault="00625FFC" w:rsidP="00FE5F82">
      <w:pPr>
        <w:pStyle w:val="BCoversheetHeading1"/>
        <w:spacing w:before="0" w:after="0"/>
        <w:rPr>
          <w:sz w:val="40"/>
          <w:szCs w:val="40"/>
        </w:rPr>
      </w:pPr>
      <w:r w:rsidRPr="005918CE">
        <w:rPr>
          <w:sz w:val="40"/>
          <w:szCs w:val="40"/>
        </w:rPr>
        <w:t>2026-27 Budget – Medium</w:t>
      </w:r>
      <w:r w:rsidR="00003312" w:rsidRPr="005918CE">
        <w:rPr>
          <w:sz w:val="40"/>
          <w:szCs w:val="40"/>
        </w:rPr>
        <w:t>-</w:t>
      </w:r>
      <w:r w:rsidRPr="005918CE">
        <w:rPr>
          <w:sz w:val="40"/>
          <w:szCs w:val="40"/>
        </w:rPr>
        <w:t>Term Projections</w:t>
      </w:r>
    </w:p>
    <w:p w14:paraId="47DCB636" w14:textId="6F6E25C4" w:rsidR="0040027D" w:rsidRDefault="0022337F">
      <w:r>
        <w:br w:type="page"/>
      </w:r>
    </w:p>
    <w:p w14:paraId="4D18DF4D" w14:textId="76DC23F6" w:rsidR="00D56F72" w:rsidRDefault="009711BA" w:rsidP="005A222A">
      <w:pPr>
        <w:pStyle w:val="Heading1"/>
        <w:numPr>
          <w:ilvl w:val="0"/>
          <w:numId w:val="0"/>
        </w:numPr>
        <w:ind w:left="431" w:hanging="431"/>
      </w:pPr>
      <w:r>
        <w:lastRenderedPageBreak/>
        <w:t>Medium</w:t>
      </w:r>
      <w:r w:rsidR="00003312">
        <w:t>-</w:t>
      </w:r>
      <w:r>
        <w:t>T</w:t>
      </w:r>
      <w:r w:rsidR="00453588">
        <w:t>erm</w:t>
      </w:r>
      <w:r>
        <w:t xml:space="preserve"> </w:t>
      </w:r>
      <w:r w:rsidR="00940065">
        <w:t>Projections</w:t>
      </w:r>
    </w:p>
    <w:p w14:paraId="1517B58E" w14:textId="16390F0A" w:rsidR="000E4BD3" w:rsidRDefault="002C52FA" w:rsidP="000E4BD3">
      <w:pPr>
        <w:pStyle w:val="Bbodytext"/>
      </w:pPr>
      <w:r>
        <w:t xml:space="preserve">The </w:t>
      </w:r>
      <w:r w:rsidR="00003312">
        <w:t>Medium-Term</w:t>
      </w:r>
      <w:r>
        <w:t xml:space="preserve"> Projections in this publication</w:t>
      </w:r>
      <w:r w:rsidR="00011BB0">
        <w:t xml:space="preserve"> </w:t>
      </w:r>
      <w:r w:rsidR="00784071">
        <w:t>set</w:t>
      </w:r>
      <w:r w:rsidR="00011BB0">
        <w:t xml:space="preserve"> out the </w:t>
      </w:r>
      <w:r w:rsidR="00784071">
        <w:t xml:space="preserve">2026-27 Budget estimates and </w:t>
      </w:r>
      <w:r w:rsidR="00C82AA1">
        <w:t>forecast</w:t>
      </w:r>
      <w:r w:rsidR="001346A0">
        <w:t>s</w:t>
      </w:r>
      <w:r w:rsidR="00C82AA1">
        <w:t xml:space="preserve"> </w:t>
      </w:r>
      <w:r w:rsidR="00784071">
        <w:t>across a 10-year period from 2026-27 to 2035-36</w:t>
      </w:r>
      <w:r w:rsidR="00235DD6">
        <w:t xml:space="preserve"> and</w:t>
      </w:r>
      <w:r w:rsidR="00235DD6" w:rsidRPr="00870499">
        <w:t xml:space="preserve"> </w:t>
      </w:r>
      <w:r w:rsidR="001C1BA6">
        <w:t>present</w:t>
      </w:r>
      <w:r w:rsidR="00B433F8" w:rsidRPr="00235DD6">
        <w:t xml:space="preserve"> two </w:t>
      </w:r>
      <w:r w:rsidR="00CF4098">
        <w:t xml:space="preserve">stylised illustrative </w:t>
      </w:r>
      <w:r w:rsidR="00B433F8" w:rsidRPr="00235DD6">
        <w:t xml:space="preserve">scenarios </w:t>
      </w:r>
      <w:r w:rsidR="00311985">
        <w:t>showing</w:t>
      </w:r>
      <w:r w:rsidR="00863955" w:rsidRPr="00235DD6">
        <w:t xml:space="preserve"> </w:t>
      </w:r>
      <w:r w:rsidR="00C05BCA">
        <w:t>high</w:t>
      </w:r>
      <w:r w:rsidR="00C05BCA" w:rsidRPr="00235DD6">
        <w:t xml:space="preserve"> </w:t>
      </w:r>
      <w:r w:rsidR="00863955" w:rsidRPr="00235DD6">
        <w:t xml:space="preserve">and </w:t>
      </w:r>
      <w:r w:rsidR="00C05BCA">
        <w:t>low</w:t>
      </w:r>
      <w:r w:rsidR="00863955" w:rsidRPr="00235DD6">
        <w:t xml:space="preserve"> growth </w:t>
      </w:r>
      <w:r w:rsidR="005E1DD8" w:rsidRPr="00235DD6">
        <w:t>in revenue</w:t>
      </w:r>
      <w:r w:rsidR="007A2321">
        <w:t xml:space="preserve">, </w:t>
      </w:r>
      <w:r w:rsidR="005E1DD8" w:rsidRPr="00235DD6">
        <w:t>expenses</w:t>
      </w:r>
      <w:r w:rsidR="007A2321">
        <w:t xml:space="preserve"> and</w:t>
      </w:r>
      <w:r w:rsidR="00391E01">
        <w:t xml:space="preserve"> </w:t>
      </w:r>
      <w:r w:rsidR="00AF0F9A">
        <w:t>levels of</w:t>
      </w:r>
      <w:r w:rsidR="00391E01">
        <w:t xml:space="preserve"> the</w:t>
      </w:r>
      <w:r w:rsidR="007A2321">
        <w:t xml:space="preserve"> capital works program </w:t>
      </w:r>
      <w:r w:rsidR="005E1DD8" w:rsidRPr="00235DD6">
        <w:t>over the medium</w:t>
      </w:r>
      <w:r w:rsidR="00CB4599">
        <w:t xml:space="preserve"> </w:t>
      </w:r>
      <w:r w:rsidR="005E1DD8" w:rsidRPr="00235DD6">
        <w:t>term</w:t>
      </w:r>
      <w:r w:rsidR="00784071">
        <w:t xml:space="preserve">. </w:t>
      </w:r>
    </w:p>
    <w:p w14:paraId="1AAD228C" w14:textId="64A65134" w:rsidR="002C52FA" w:rsidRDefault="00230C18" w:rsidP="000E4BD3">
      <w:pPr>
        <w:pStyle w:val="Bbodytext"/>
      </w:pPr>
      <w:r>
        <w:t>On</w:t>
      </w:r>
      <w:r w:rsidR="00E076FA">
        <w:t xml:space="preserve"> 15 May 2025</w:t>
      </w:r>
      <w:r>
        <w:t>,</w:t>
      </w:r>
      <w:r w:rsidR="00E076FA">
        <w:t xml:space="preserve"> </w:t>
      </w:r>
      <w:r>
        <w:t>the Legislative Assembly</w:t>
      </w:r>
      <w:r w:rsidR="00003312">
        <w:t xml:space="preserve"> passed a resolution that</w:t>
      </w:r>
      <w:r>
        <w:t xml:space="preserve"> </w:t>
      </w:r>
      <w:r w:rsidR="00003312">
        <w:t>requested,</w:t>
      </w:r>
      <w:r w:rsidR="00E076FA">
        <w:t xml:space="preserve"> </w:t>
      </w:r>
      <w:r w:rsidR="00E076FA">
        <w:rPr>
          <w:i/>
          <w:iCs/>
        </w:rPr>
        <w:t>‘A medium-term (10-year) forecast of revenue, expenses, the net operating balance</w:t>
      </w:r>
      <w:r>
        <w:rPr>
          <w:i/>
          <w:iCs/>
        </w:rPr>
        <w:t xml:space="preserve"> (excluding Superannuation Return Adjustment), and total government debt’</w:t>
      </w:r>
      <w:r>
        <w:t xml:space="preserve">. </w:t>
      </w:r>
    </w:p>
    <w:p w14:paraId="77EEAF0F" w14:textId="3B7B18C5" w:rsidR="00230C18" w:rsidRPr="00230C18" w:rsidRDefault="00230C18" w:rsidP="000E4BD3">
      <w:pPr>
        <w:pStyle w:val="Bbodytext"/>
      </w:pPr>
      <w:r>
        <w:t xml:space="preserve">On 21 October 2025, the Government </w:t>
      </w:r>
      <w:r w:rsidR="009A54F5">
        <w:t xml:space="preserve">Response </w:t>
      </w:r>
      <w:r w:rsidR="00003312">
        <w:t>to the resolution stated that the Government will provide</w:t>
      </w:r>
      <w:r w:rsidR="009A54F5">
        <w:t xml:space="preserve"> additional information</w:t>
      </w:r>
      <w:r w:rsidR="00003312">
        <w:t xml:space="preserve"> </w:t>
      </w:r>
      <w:r w:rsidR="009A54F5">
        <w:t xml:space="preserve">on key fiscal measures beyond the forward estimates period </w:t>
      </w:r>
      <w:r w:rsidR="00003312">
        <w:t xml:space="preserve">in the 2026-27 Budget. </w:t>
      </w:r>
    </w:p>
    <w:p w14:paraId="7F3BD834" w14:textId="31EFC28F" w:rsidR="00560A21" w:rsidRDefault="00B03959" w:rsidP="005A222A">
      <w:pPr>
        <w:pStyle w:val="Heading2"/>
        <w:numPr>
          <w:ilvl w:val="0"/>
          <w:numId w:val="0"/>
        </w:numPr>
        <w:ind w:left="576" w:hanging="576"/>
      </w:pPr>
      <w:r>
        <w:t xml:space="preserve">Key </w:t>
      </w:r>
      <w:r w:rsidR="00560A21">
        <w:t>Assumptions</w:t>
      </w:r>
    </w:p>
    <w:p w14:paraId="4338508A" w14:textId="54CA8ADE" w:rsidR="00992288" w:rsidRDefault="0049218E" w:rsidP="00CC6D77">
      <w:pPr>
        <w:pStyle w:val="Bbodytext"/>
      </w:pPr>
      <w:r>
        <w:t xml:space="preserve">For the purposes of this publication, the </w:t>
      </w:r>
      <w:r w:rsidR="00B03959">
        <w:t xml:space="preserve">figures </w:t>
      </w:r>
      <w:r w:rsidR="00E15322">
        <w:t xml:space="preserve">for the </w:t>
      </w:r>
      <w:r w:rsidR="00B03959">
        <w:t>period 2026-27 to 20</w:t>
      </w:r>
      <w:r w:rsidR="00EF76F5">
        <w:t>29-30</w:t>
      </w:r>
      <w:r w:rsidR="00E15322">
        <w:t xml:space="preserve"> are the same as those published in the 2026-27 Budget</w:t>
      </w:r>
      <w:r w:rsidR="00D410E3">
        <w:t xml:space="preserve"> </w:t>
      </w:r>
      <w:r w:rsidR="00202E5E">
        <w:t xml:space="preserve">and </w:t>
      </w:r>
      <w:r w:rsidR="00EC6DE5">
        <w:t>reflect the</w:t>
      </w:r>
      <w:r w:rsidR="00D410E3">
        <w:t xml:space="preserve"> </w:t>
      </w:r>
      <w:r w:rsidR="00B8437C">
        <w:t>G</w:t>
      </w:r>
      <w:r w:rsidR="00D410E3">
        <w:t xml:space="preserve">eneral </w:t>
      </w:r>
      <w:r w:rsidR="00B8437C">
        <w:t>G</w:t>
      </w:r>
      <w:r w:rsidR="008E3E35">
        <w:t xml:space="preserve">overnment </w:t>
      </w:r>
      <w:r w:rsidR="00B8437C">
        <w:t>S</w:t>
      </w:r>
      <w:r w:rsidR="008E3E35">
        <w:t xml:space="preserve">ector only, except for </w:t>
      </w:r>
      <w:r w:rsidR="00236311">
        <w:t>T</w:t>
      </w:r>
      <w:r w:rsidR="008E3E35">
        <w:t xml:space="preserve">otal </w:t>
      </w:r>
      <w:r w:rsidR="00DA7A7F">
        <w:t>T</w:t>
      </w:r>
      <w:r w:rsidR="008E3E35">
        <w:t xml:space="preserve">erritory debt. </w:t>
      </w:r>
    </w:p>
    <w:p w14:paraId="4CE237BF" w14:textId="02422993" w:rsidR="00E03FF1" w:rsidRDefault="00297FFE" w:rsidP="00992288">
      <w:pPr>
        <w:pStyle w:val="Bbodytext"/>
      </w:pPr>
      <w:r>
        <w:t xml:space="preserve">The forecasts beyond the 2026-27 Budget period </w:t>
      </w:r>
      <w:r w:rsidR="00992288">
        <w:t xml:space="preserve">assume no new ‘policy decisions’ </w:t>
      </w:r>
      <w:r w:rsidR="00F80462">
        <w:t xml:space="preserve">additional to </w:t>
      </w:r>
      <w:r w:rsidR="00992288">
        <w:t xml:space="preserve">those included in the 2026-27 </w:t>
      </w:r>
      <w:r w:rsidR="00083D45">
        <w:t>Budget and</w:t>
      </w:r>
      <w:r w:rsidR="0034750A">
        <w:t xml:space="preserve"> </w:t>
      </w:r>
      <w:r w:rsidR="00786CD4">
        <w:t xml:space="preserve">include common </w:t>
      </w:r>
      <w:r w:rsidR="00E03FF1">
        <w:t xml:space="preserve">and specific </w:t>
      </w:r>
      <w:r w:rsidR="00786CD4">
        <w:t xml:space="preserve">assumptions across </w:t>
      </w:r>
      <w:r w:rsidR="00E03FF1">
        <w:t xml:space="preserve">the scenarios. </w:t>
      </w:r>
    </w:p>
    <w:p w14:paraId="2A191406" w14:textId="1C7193AA" w:rsidR="00FF70C9" w:rsidRDefault="00E03FF1" w:rsidP="00E03FF1">
      <w:pPr>
        <w:pStyle w:val="Bbodytext"/>
      </w:pPr>
      <w:r>
        <w:t xml:space="preserve">The common assumptions are </w:t>
      </w:r>
      <w:r w:rsidR="007F3903">
        <w:t xml:space="preserve">outlined </w:t>
      </w:r>
      <w:r>
        <w:t>below</w:t>
      </w:r>
      <w:r w:rsidR="00F55566">
        <w:t>,</w:t>
      </w:r>
      <w:r>
        <w:t xml:space="preserve"> with details included </w:t>
      </w:r>
      <w:r w:rsidR="00F55566">
        <w:t>under each scenario</w:t>
      </w:r>
      <w:r w:rsidR="00FF70C9">
        <w:t>:</w:t>
      </w:r>
    </w:p>
    <w:p w14:paraId="4C6220F4" w14:textId="671D12FB" w:rsidR="00ED2C57" w:rsidRDefault="00062C12" w:rsidP="00F66755">
      <w:pPr>
        <w:pStyle w:val="BBullet1"/>
      </w:pPr>
      <w:r>
        <w:t>investment revenue</w:t>
      </w:r>
      <w:r w:rsidR="00FF70C9">
        <w:t xml:space="preserve"> </w:t>
      </w:r>
      <w:proofErr w:type="gramStart"/>
      <w:r w:rsidR="00FF70C9">
        <w:t>projections</w:t>
      </w:r>
      <w:r w:rsidR="00ED2C57">
        <w:t>;</w:t>
      </w:r>
      <w:proofErr w:type="gramEnd"/>
    </w:p>
    <w:p w14:paraId="787AC9A5" w14:textId="77777777" w:rsidR="00ED2C57" w:rsidRDefault="00ED1CB5" w:rsidP="00F66755">
      <w:pPr>
        <w:pStyle w:val="BBullet1"/>
      </w:pPr>
      <w:r>
        <w:t xml:space="preserve">superannuation capital </w:t>
      </w:r>
      <w:proofErr w:type="gramStart"/>
      <w:r>
        <w:t>requirements</w:t>
      </w:r>
      <w:r w:rsidR="00ED2C57">
        <w:t>;</w:t>
      </w:r>
      <w:proofErr w:type="gramEnd"/>
    </w:p>
    <w:p w14:paraId="50E8130C" w14:textId="7D70C268" w:rsidR="001E3381" w:rsidRDefault="0019587A" w:rsidP="00F66755">
      <w:pPr>
        <w:pStyle w:val="BBullet1"/>
      </w:pPr>
      <w:r>
        <w:t>interest rates used for interest revenue and expenses; and</w:t>
      </w:r>
    </w:p>
    <w:p w14:paraId="1A35902B" w14:textId="6FD3A3AE" w:rsidR="00992288" w:rsidRDefault="005E6ADD" w:rsidP="00F66755">
      <w:pPr>
        <w:pStyle w:val="BBullet1"/>
      </w:pPr>
      <w:r>
        <w:t xml:space="preserve">annual </w:t>
      </w:r>
      <w:r w:rsidR="00312CA7">
        <w:t>additional</w:t>
      </w:r>
      <w:r w:rsidR="00ED1CB5">
        <w:t xml:space="preserve"> </w:t>
      </w:r>
      <w:r w:rsidR="00FF70C9">
        <w:t xml:space="preserve">borrowings </w:t>
      </w:r>
      <w:r w:rsidR="001200DD">
        <w:t>for</w:t>
      </w:r>
      <w:r w:rsidR="00FF70C9">
        <w:t xml:space="preserve"> </w:t>
      </w:r>
      <w:r w:rsidR="00D56E3D">
        <w:t>G</w:t>
      </w:r>
      <w:r w:rsidR="00FF70C9">
        <w:t xml:space="preserve">overnment </w:t>
      </w:r>
      <w:r w:rsidR="00D56E3D">
        <w:t>B</w:t>
      </w:r>
      <w:r w:rsidR="00FF70C9">
        <w:t xml:space="preserve">usiness </w:t>
      </w:r>
      <w:r w:rsidR="00D56E3D">
        <w:t>Enterprises</w:t>
      </w:r>
      <w:r w:rsidR="00FF70C9">
        <w:t xml:space="preserve">. </w:t>
      </w:r>
    </w:p>
    <w:p w14:paraId="0BCDB4B5" w14:textId="133D05AC" w:rsidR="008F6917" w:rsidRDefault="00966C85" w:rsidP="00CC6D77">
      <w:pPr>
        <w:pStyle w:val="Bbodytext"/>
      </w:pPr>
      <w:r>
        <w:t>N</w:t>
      </w:r>
      <w:r w:rsidR="00FE145B">
        <w:t>o</w:t>
      </w:r>
      <w:r w:rsidR="007B7E4D">
        <w:t xml:space="preserve"> judgement</w:t>
      </w:r>
      <w:r>
        <w:t>s are</w:t>
      </w:r>
      <w:r w:rsidR="007B7E4D">
        <w:t xml:space="preserve"> </w:t>
      </w:r>
      <w:r w:rsidR="00FE145B">
        <w:t xml:space="preserve">made </w:t>
      </w:r>
      <w:r w:rsidR="007B7E4D">
        <w:t xml:space="preserve">on the </w:t>
      </w:r>
      <w:r w:rsidR="004B637D">
        <w:t>likelihood</w:t>
      </w:r>
      <w:r w:rsidR="007B7E4D">
        <w:t xml:space="preserve"> of either </w:t>
      </w:r>
      <w:r w:rsidR="004B637D">
        <w:t>of these scenarios</w:t>
      </w:r>
      <w:r w:rsidR="00E557BD">
        <w:t xml:space="preserve"> as they are presented as stylised illustrative scenarios based on</w:t>
      </w:r>
      <w:r w:rsidR="00CF733D">
        <w:t xml:space="preserve"> short-term aggregates from the</w:t>
      </w:r>
      <w:r w:rsidR="00E557BD">
        <w:t xml:space="preserve"> </w:t>
      </w:r>
      <w:r w:rsidR="00CF733D">
        <w:t>2025</w:t>
      </w:r>
      <w:r w:rsidR="00C65472">
        <w:noBreakHyphen/>
      </w:r>
      <w:r w:rsidR="00CF733D">
        <w:t xml:space="preserve">26 </w:t>
      </w:r>
      <w:r w:rsidR="009C3785">
        <w:t xml:space="preserve">Budget Review </w:t>
      </w:r>
      <w:r w:rsidR="00C15E2C">
        <w:t>and</w:t>
      </w:r>
      <w:r w:rsidR="00CF733D">
        <w:t xml:space="preserve"> </w:t>
      </w:r>
      <w:r w:rsidR="00F71ACF">
        <w:t xml:space="preserve">longer </w:t>
      </w:r>
      <w:r w:rsidR="00C15E2C">
        <w:t>historical aggregates</w:t>
      </w:r>
      <w:r w:rsidR="004B637D">
        <w:t>.</w:t>
      </w:r>
      <w:r w:rsidR="00FE145B">
        <w:t xml:space="preserve"> </w:t>
      </w:r>
      <w:r w:rsidR="005135CB">
        <w:t xml:space="preserve">They are used to demonstrate the implications of </w:t>
      </w:r>
      <w:r w:rsidR="00C1535E">
        <w:t xml:space="preserve">the level of the capital program and </w:t>
      </w:r>
      <w:r w:rsidR="00DA7A7F">
        <w:t>total</w:t>
      </w:r>
      <w:r w:rsidR="000D1A4E">
        <w:t xml:space="preserve"> revenue,</w:t>
      </w:r>
      <w:r w:rsidR="00DA7A7F">
        <w:t xml:space="preserve"> total</w:t>
      </w:r>
      <w:r w:rsidR="000D1A4E">
        <w:t xml:space="preserve"> expenses </w:t>
      </w:r>
      <w:r w:rsidR="00166C94">
        <w:t xml:space="preserve">on </w:t>
      </w:r>
      <w:r w:rsidR="00921302">
        <w:t>key fiscal measures including</w:t>
      </w:r>
      <w:r w:rsidR="00DA7A7F">
        <w:t xml:space="preserve"> total</w:t>
      </w:r>
      <w:r w:rsidR="000D1A4E">
        <w:t xml:space="preserve"> </w:t>
      </w:r>
      <w:r w:rsidR="00DA7A7F">
        <w:t>T</w:t>
      </w:r>
      <w:r w:rsidR="00DC5170">
        <w:t xml:space="preserve">erritory debt. </w:t>
      </w:r>
      <w:r w:rsidR="000D1A4E">
        <w:t xml:space="preserve"> </w:t>
      </w:r>
    </w:p>
    <w:p w14:paraId="53EF6BC7" w14:textId="2085D91B" w:rsidR="006C09CA" w:rsidRDefault="006C09CA" w:rsidP="005A222A">
      <w:pPr>
        <w:pStyle w:val="Heading4"/>
      </w:pPr>
      <w:r>
        <w:t xml:space="preserve">Scenario </w:t>
      </w:r>
      <w:r w:rsidR="004D7B34">
        <w:t>One</w:t>
      </w:r>
      <w:r>
        <w:t xml:space="preserve"> </w:t>
      </w:r>
      <w:r w:rsidR="00416568">
        <w:t xml:space="preserve">– High </w:t>
      </w:r>
    </w:p>
    <w:p w14:paraId="4F3A16A1" w14:textId="72A38F1B" w:rsidR="006F1123" w:rsidRDefault="00D6741F" w:rsidP="0022337F">
      <w:pPr>
        <w:pStyle w:val="Bbodytext"/>
      </w:pPr>
      <w:r>
        <w:t xml:space="preserve">Scenario </w:t>
      </w:r>
      <w:r w:rsidR="004D7B34">
        <w:t>One</w:t>
      </w:r>
      <w:r>
        <w:t xml:space="preserve"> (</w:t>
      </w:r>
      <w:r w:rsidR="00E237AF">
        <w:t>H</w:t>
      </w:r>
      <w:r w:rsidR="008722AB">
        <w:t>igh</w:t>
      </w:r>
      <w:r>
        <w:t>)</w:t>
      </w:r>
      <w:r w:rsidR="000D6AAB">
        <w:t xml:space="preserve">, as </w:t>
      </w:r>
      <w:r w:rsidR="00672331">
        <w:t xml:space="preserve">presented </w:t>
      </w:r>
      <w:r w:rsidR="00BC5F25">
        <w:t xml:space="preserve">in </w:t>
      </w:r>
      <w:r w:rsidR="000F761B">
        <w:t>this publication</w:t>
      </w:r>
      <w:r w:rsidR="00173A6C">
        <w:t>,</w:t>
      </w:r>
      <w:r w:rsidR="000F761B">
        <w:t xml:space="preserve"> </w:t>
      </w:r>
      <w:r w:rsidR="00234049">
        <w:t>incorporates</w:t>
      </w:r>
      <w:r w:rsidR="000F761B">
        <w:t xml:space="preserve"> the following key assumptions for the years 2030-31 to </w:t>
      </w:r>
      <w:r w:rsidR="00451B67">
        <w:t>2</w:t>
      </w:r>
      <w:r w:rsidR="00234049">
        <w:t xml:space="preserve">035-36. </w:t>
      </w:r>
    </w:p>
    <w:p w14:paraId="519B03A1" w14:textId="297620AE" w:rsidR="008838FA" w:rsidRDefault="00234049" w:rsidP="00F66755">
      <w:pPr>
        <w:pStyle w:val="BBullet1"/>
      </w:pPr>
      <w:r>
        <w:t xml:space="preserve">Total revenue is indexed </w:t>
      </w:r>
      <w:r w:rsidR="00DC68DC">
        <w:t xml:space="preserve">at the 10-year historical growth rate </w:t>
      </w:r>
      <w:r w:rsidR="00317026">
        <w:t xml:space="preserve">(2015-16 to 2024-25) </w:t>
      </w:r>
      <w:r w:rsidR="007E4767">
        <w:t>of</w:t>
      </w:r>
      <w:r w:rsidR="00DC68DC">
        <w:t xml:space="preserve"> 5.76 per cent per annum, </w:t>
      </w:r>
      <w:r w:rsidR="00BC791A">
        <w:t>except for</w:t>
      </w:r>
      <w:r w:rsidR="00DC68DC">
        <w:t xml:space="preserve"> </w:t>
      </w:r>
      <w:r w:rsidR="00063A85">
        <w:t>investment and interest</w:t>
      </w:r>
      <w:r w:rsidR="00DC68DC">
        <w:t xml:space="preserve"> revenue</w:t>
      </w:r>
      <w:r w:rsidR="00063A85">
        <w:t xml:space="preserve">. </w:t>
      </w:r>
    </w:p>
    <w:p w14:paraId="6D270111" w14:textId="53D5E9F4" w:rsidR="008838FA" w:rsidRDefault="00B62D27" w:rsidP="00463B0A">
      <w:pPr>
        <w:pStyle w:val="BBullet2"/>
      </w:pPr>
      <w:r>
        <w:t xml:space="preserve">Investment </w:t>
      </w:r>
      <w:r w:rsidR="008838FA">
        <w:t xml:space="preserve">revenue </w:t>
      </w:r>
      <w:r w:rsidR="006F1879">
        <w:t xml:space="preserve">projections are based on the long-term investment return objective for the Superannuation Provision Account </w:t>
      </w:r>
      <w:r w:rsidR="00024FC9">
        <w:t xml:space="preserve">(SPA) </w:t>
      </w:r>
      <w:r w:rsidR="006F1879">
        <w:t>of Consumer Price Index</w:t>
      </w:r>
      <w:r w:rsidR="00024FC9">
        <w:t xml:space="preserve"> (CPI)</w:t>
      </w:r>
      <w:r w:rsidR="006F1879">
        <w:t xml:space="preserve"> plus 4.75 per cent per annum</w:t>
      </w:r>
      <w:r w:rsidR="0071507F">
        <w:t xml:space="preserve">, </w:t>
      </w:r>
      <w:r w:rsidR="00EF49BD">
        <w:t>assumed as 7.62</w:t>
      </w:r>
      <w:r w:rsidR="00F476EA">
        <w:t> </w:t>
      </w:r>
      <w:r w:rsidR="00EF49BD">
        <w:t>per cent per annum for this publication. Investment revenue</w:t>
      </w:r>
      <w:r w:rsidR="0071507F">
        <w:t xml:space="preserve"> represents a</w:t>
      </w:r>
      <w:r w:rsidR="0071507F" w:rsidRPr="00A93562">
        <w:t xml:space="preserve">round </w:t>
      </w:r>
      <w:r w:rsidR="0095590B">
        <w:t>2</w:t>
      </w:r>
      <w:r w:rsidR="003C2627">
        <w:t xml:space="preserve"> </w:t>
      </w:r>
      <w:r w:rsidR="0071507F" w:rsidRPr="00A93562">
        <w:t>per cent of total revenue</w:t>
      </w:r>
      <w:r w:rsidR="0071507F">
        <w:t>.</w:t>
      </w:r>
    </w:p>
    <w:p w14:paraId="4D4D848B" w14:textId="7D74AC92" w:rsidR="00020106" w:rsidRDefault="008838FA" w:rsidP="00463B0A">
      <w:pPr>
        <w:pStyle w:val="BBullet2"/>
      </w:pPr>
      <w:r>
        <w:lastRenderedPageBreak/>
        <w:t>I</w:t>
      </w:r>
      <w:r w:rsidR="00B62D27">
        <w:t>nterest revenue</w:t>
      </w:r>
      <w:r w:rsidR="00161860">
        <w:t xml:space="preserve"> receive</w:t>
      </w:r>
      <w:r w:rsidR="00595ECD">
        <w:t>d</w:t>
      </w:r>
      <w:r w:rsidR="00B62D27">
        <w:t xml:space="preserve"> </w:t>
      </w:r>
      <w:r w:rsidR="00020106">
        <w:t>is</w:t>
      </w:r>
      <w:r w:rsidR="00161860">
        <w:t xml:space="preserve"> </w:t>
      </w:r>
      <w:r w:rsidR="004B6B98">
        <w:t xml:space="preserve">calculated </w:t>
      </w:r>
      <w:r w:rsidR="004F64BC">
        <w:t xml:space="preserve">from the base </w:t>
      </w:r>
      <w:r w:rsidR="009512FD" w:rsidRPr="00330233">
        <w:t>R</w:t>
      </w:r>
      <w:r w:rsidR="00870967">
        <w:t xml:space="preserve">eserve </w:t>
      </w:r>
      <w:r w:rsidR="009512FD" w:rsidRPr="00330233">
        <w:t>B</w:t>
      </w:r>
      <w:r w:rsidR="00870967">
        <w:t>ank of Australia</w:t>
      </w:r>
      <w:r w:rsidR="009512FD" w:rsidRPr="00330233">
        <w:t xml:space="preserve"> Target Cash Rate</w:t>
      </w:r>
      <w:r w:rsidR="00161860">
        <w:t xml:space="preserve">, which is assumed for this publication at </w:t>
      </w:r>
      <w:r w:rsidR="00566282">
        <w:t>4.35</w:t>
      </w:r>
      <w:r w:rsidR="00161860">
        <w:t xml:space="preserve"> per cent. </w:t>
      </w:r>
      <w:r w:rsidR="006C3F4A" w:rsidRPr="006C3F4A">
        <w:t xml:space="preserve">Interest revenue </w:t>
      </w:r>
      <w:r w:rsidR="004C645D">
        <w:t>represents</w:t>
      </w:r>
      <w:r w:rsidR="006C3F4A" w:rsidRPr="006C3F4A">
        <w:t xml:space="preserve"> around 4 per cent of total revenue and is projected to decline </w:t>
      </w:r>
      <w:r w:rsidR="00E21E0C">
        <w:t>beyond the forward estimates</w:t>
      </w:r>
      <w:r w:rsidR="006C3F4A" w:rsidRPr="006C3F4A">
        <w:t xml:space="preserve">, at approximately </w:t>
      </w:r>
      <w:r w:rsidR="00870967">
        <w:t>-</w:t>
      </w:r>
      <w:r w:rsidR="006C3F4A" w:rsidRPr="006C3F4A">
        <w:t>0.2 per cent per annum.</w:t>
      </w:r>
    </w:p>
    <w:p w14:paraId="04780D0A" w14:textId="56953B2F" w:rsidR="00835647" w:rsidRDefault="009D765E" w:rsidP="00463B0A">
      <w:pPr>
        <w:pStyle w:val="BBullet2"/>
      </w:pPr>
      <w:r>
        <w:t>Incorporating</w:t>
      </w:r>
      <w:r w:rsidR="00DD4394">
        <w:t xml:space="preserve"> the above, b</w:t>
      </w:r>
      <w:r w:rsidR="009934A4">
        <w:t xml:space="preserve">eyond the forward estimates, </w:t>
      </w:r>
      <w:r w:rsidR="00835647" w:rsidRPr="00835647">
        <w:t xml:space="preserve">total revenue </w:t>
      </w:r>
      <w:r w:rsidR="008513DB">
        <w:t>is projected to grow at an average annual rate of</w:t>
      </w:r>
      <w:r w:rsidR="00835647" w:rsidRPr="00835647">
        <w:t xml:space="preserve"> 5.5</w:t>
      </w:r>
      <w:r w:rsidR="00737CE9">
        <w:t>3</w:t>
      </w:r>
      <w:r w:rsidR="00835647" w:rsidRPr="00835647">
        <w:t xml:space="preserve"> per cent</w:t>
      </w:r>
      <w:r w:rsidR="007B2B96">
        <w:t xml:space="preserve"> </w:t>
      </w:r>
      <w:r w:rsidR="001D2C03">
        <w:t>reflecting</w:t>
      </w:r>
      <w:r w:rsidR="001D2C03" w:rsidRPr="00835647">
        <w:t xml:space="preserve"> </w:t>
      </w:r>
      <w:r w:rsidR="00835647" w:rsidRPr="00835647">
        <w:t>the</w:t>
      </w:r>
      <w:r w:rsidR="009D0083">
        <w:t xml:space="preserve"> negative growth in </w:t>
      </w:r>
      <w:r w:rsidR="00835647" w:rsidRPr="00835647">
        <w:t>interest revenue.</w:t>
      </w:r>
    </w:p>
    <w:p w14:paraId="4A0199FF" w14:textId="653DB37E" w:rsidR="00B177F6" w:rsidRDefault="00063A85" w:rsidP="00F66755">
      <w:pPr>
        <w:pStyle w:val="BBullet1"/>
      </w:pPr>
      <w:r>
        <w:t xml:space="preserve">Total expenses are indexed at the 10-year historical growth rate </w:t>
      </w:r>
      <w:r w:rsidR="0095221F">
        <w:t>(2015-16 to 2024</w:t>
      </w:r>
      <w:r w:rsidR="0095221F">
        <w:noBreakHyphen/>
        <w:t xml:space="preserve">25) </w:t>
      </w:r>
      <w:r>
        <w:t>of 6.18 per cent per annum, except for interest expenses.</w:t>
      </w:r>
    </w:p>
    <w:p w14:paraId="62062D5F" w14:textId="6F0CD508" w:rsidR="001E58A8" w:rsidRDefault="001E58A8" w:rsidP="00463B0A">
      <w:pPr>
        <w:pStyle w:val="BBullet2"/>
      </w:pPr>
      <w:r>
        <w:t>Interest</w:t>
      </w:r>
      <w:r w:rsidR="00B75AF7">
        <w:t xml:space="preserve"> and </w:t>
      </w:r>
      <w:r w:rsidR="00C80816">
        <w:t>SPA</w:t>
      </w:r>
      <w:r>
        <w:t xml:space="preserve"> expenses</w:t>
      </w:r>
      <w:r w:rsidR="007B7B55">
        <w:t xml:space="preserve"> </w:t>
      </w:r>
      <w:r w:rsidR="004C645D">
        <w:t>represent</w:t>
      </w:r>
      <w:r w:rsidR="007B7B55">
        <w:t xml:space="preserve"> about 1</w:t>
      </w:r>
      <w:r w:rsidR="00D30452">
        <w:t>6</w:t>
      </w:r>
      <w:r w:rsidR="007B7B55">
        <w:t xml:space="preserve"> per cent of total expenses</w:t>
      </w:r>
      <w:r w:rsidR="007039FE">
        <w:t xml:space="preserve">. Growth in </w:t>
      </w:r>
      <w:r w:rsidR="00877C75">
        <w:t>interest</w:t>
      </w:r>
      <w:r w:rsidR="007039FE">
        <w:t xml:space="preserve"> expenses</w:t>
      </w:r>
      <w:r>
        <w:t xml:space="preserve"> reflect</w:t>
      </w:r>
      <w:r w:rsidR="00347EB4">
        <w:t>s</w:t>
      </w:r>
      <w:r>
        <w:t xml:space="preserve"> the total </w:t>
      </w:r>
      <w:r w:rsidR="00DA7A7F">
        <w:t>T</w:t>
      </w:r>
      <w:r>
        <w:t>erritory debt levels under this scenario</w:t>
      </w:r>
      <w:r w:rsidR="00347EB4">
        <w:t xml:space="preserve">. This </w:t>
      </w:r>
      <w:r>
        <w:t xml:space="preserve">is a combination of interest on existing and new borrowings required, and expenses relating to the </w:t>
      </w:r>
      <w:r w:rsidR="00031988">
        <w:t>SPA</w:t>
      </w:r>
      <w:r w:rsidR="00AD2A3D">
        <w:t>, noting that no new capital injections are required for the SPA from 2033-34 onwards</w:t>
      </w:r>
      <w:r>
        <w:t>. The interest rate for borrowings is based on the forward sovereign rate</w:t>
      </w:r>
      <w:r w:rsidR="005539EE">
        <w:t>s</w:t>
      </w:r>
      <w:r>
        <w:t xml:space="preserve"> plus the ACT borrowing margin – this is consistent with </w:t>
      </w:r>
      <w:r w:rsidR="00F01A2E">
        <w:t xml:space="preserve">the </w:t>
      </w:r>
      <w:r>
        <w:t>method used in the 2026</w:t>
      </w:r>
      <w:r w:rsidR="00F66755">
        <w:noBreakHyphen/>
      </w:r>
      <w:r>
        <w:t>27</w:t>
      </w:r>
      <w:r w:rsidR="00F66755">
        <w:t> </w:t>
      </w:r>
      <w:r>
        <w:t xml:space="preserve">Budget. </w:t>
      </w:r>
    </w:p>
    <w:p w14:paraId="7B76D699" w14:textId="6BEC8F24" w:rsidR="008A72CE" w:rsidRDefault="009D765E" w:rsidP="00463B0A">
      <w:pPr>
        <w:pStyle w:val="BBullet2"/>
      </w:pPr>
      <w:r>
        <w:t>Incorporating the above, b</w:t>
      </w:r>
      <w:r w:rsidR="008513DB" w:rsidRPr="008513DB">
        <w:t xml:space="preserve">eyond the forward estimates, </w:t>
      </w:r>
      <w:r w:rsidR="00EA39B3">
        <w:t xml:space="preserve">total expenses </w:t>
      </w:r>
      <w:r w:rsidR="00347EB4">
        <w:t>are</w:t>
      </w:r>
      <w:r w:rsidR="00EA39B3">
        <w:t xml:space="preserve"> projected to grow at an average annual rate of</w:t>
      </w:r>
      <w:r w:rsidR="00EA39B3" w:rsidRPr="00835647">
        <w:t xml:space="preserve"> 5.5</w:t>
      </w:r>
      <w:r w:rsidR="00EA39B3">
        <w:t>5</w:t>
      </w:r>
      <w:r w:rsidR="00EA39B3" w:rsidRPr="00835647">
        <w:t xml:space="preserve"> per cent,</w:t>
      </w:r>
      <w:r w:rsidR="008513DB" w:rsidRPr="008513DB">
        <w:t xml:space="preserve"> reflecting </w:t>
      </w:r>
      <w:r w:rsidR="008A72CE">
        <w:t>lower growth in interest</w:t>
      </w:r>
      <w:r w:rsidR="00C80816">
        <w:t xml:space="preserve"> </w:t>
      </w:r>
      <w:r w:rsidR="008A72CE">
        <w:t>expenses</w:t>
      </w:r>
      <w:r w:rsidR="00C376BA">
        <w:t xml:space="preserve"> of 2.2 per cent per annum</w:t>
      </w:r>
      <w:r w:rsidR="008A72CE">
        <w:t xml:space="preserve">. </w:t>
      </w:r>
    </w:p>
    <w:p w14:paraId="28145F37" w14:textId="5EFB61EE" w:rsidR="00063A85" w:rsidRDefault="00B177F6" w:rsidP="00F66755">
      <w:pPr>
        <w:pStyle w:val="BBullet1"/>
      </w:pPr>
      <w:r>
        <w:t xml:space="preserve">Total Territory debt is calculated based on total revenue and expenses, </w:t>
      </w:r>
      <w:r w:rsidR="00BA1B33">
        <w:t xml:space="preserve">expected average borrowings of </w:t>
      </w:r>
      <w:r w:rsidR="00105906">
        <w:t>G</w:t>
      </w:r>
      <w:r w:rsidR="00BA1B33">
        <w:t xml:space="preserve">overnment </w:t>
      </w:r>
      <w:r w:rsidR="00105906">
        <w:t>B</w:t>
      </w:r>
      <w:r w:rsidR="00BA1B33">
        <w:t xml:space="preserve">usiness </w:t>
      </w:r>
      <w:r w:rsidR="00105906">
        <w:t>Enterprises</w:t>
      </w:r>
      <w:r w:rsidR="009F356C">
        <w:t xml:space="preserve"> (</w:t>
      </w:r>
      <w:r w:rsidR="00105906">
        <w:t>common under</w:t>
      </w:r>
      <w:r w:rsidR="009F356C">
        <w:t xml:space="preserve"> </w:t>
      </w:r>
      <w:r w:rsidR="00105906">
        <w:t xml:space="preserve">both </w:t>
      </w:r>
      <w:r w:rsidR="009F356C">
        <w:t>scenario</w:t>
      </w:r>
      <w:r w:rsidR="00105906">
        <w:t>s</w:t>
      </w:r>
      <w:r w:rsidR="009F356C">
        <w:t>)</w:t>
      </w:r>
      <w:r w:rsidR="00024FC9">
        <w:t xml:space="preserve">, </w:t>
      </w:r>
      <w:r w:rsidR="00BA1B33">
        <w:t>a capital works program of $1</w:t>
      </w:r>
      <w:r w:rsidR="00024FC9">
        <w:t> </w:t>
      </w:r>
      <w:r w:rsidR="00BA1B33">
        <w:t>billion per annum</w:t>
      </w:r>
      <w:r w:rsidR="007361A8">
        <w:t>,</w:t>
      </w:r>
      <w:r w:rsidR="00024FC9">
        <w:t xml:space="preserve"> and superannuation capital injections </w:t>
      </w:r>
      <w:r w:rsidR="007361A8">
        <w:t xml:space="preserve">to </w:t>
      </w:r>
      <w:r w:rsidR="00024FC9">
        <w:t>reduce to zero from 203</w:t>
      </w:r>
      <w:r w:rsidR="00EF3F9E">
        <w:t>3</w:t>
      </w:r>
      <w:r w:rsidR="00024FC9">
        <w:t>-3</w:t>
      </w:r>
      <w:r w:rsidR="00EF3F9E">
        <w:t>4</w:t>
      </w:r>
      <w:r w:rsidR="00024FC9">
        <w:t xml:space="preserve"> onwards as the SPA is </w:t>
      </w:r>
      <w:r w:rsidR="005833A6">
        <w:t>estimated</w:t>
      </w:r>
      <w:r w:rsidR="00024FC9">
        <w:t xml:space="preserve"> to be self</w:t>
      </w:r>
      <w:r w:rsidR="00341EE2">
        <w:noBreakHyphen/>
      </w:r>
      <w:r w:rsidR="00024FC9">
        <w:t>funded</w:t>
      </w:r>
      <w:r w:rsidR="007361A8">
        <w:t xml:space="preserve"> from that time</w:t>
      </w:r>
      <w:r w:rsidR="00024FC9">
        <w:t xml:space="preserve">. </w:t>
      </w:r>
      <w:r w:rsidR="00BA1B33">
        <w:t xml:space="preserve"> </w:t>
      </w:r>
      <w:r w:rsidR="00063A85">
        <w:t xml:space="preserve"> </w:t>
      </w:r>
    </w:p>
    <w:p w14:paraId="2C048BF4" w14:textId="25BA18DF" w:rsidR="006C09CA" w:rsidRDefault="006C09CA" w:rsidP="006C09CA">
      <w:pPr>
        <w:pStyle w:val="Heading4"/>
      </w:pPr>
      <w:r>
        <w:t xml:space="preserve">Scenario </w:t>
      </w:r>
      <w:r w:rsidR="004D7B34">
        <w:t>Two</w:t>
      </w:r>
      <w:r w:rsidR="00416568">
        <w:t xml:space="preserve"> – Low </w:t>
      </w:r>
    </w:p>
    <w:p w14:paraId="41C233F0" w14:textId="7B92B9E6" w:rsidR="00B62D27" w:rsidRDefault="00B62D27" w:rsidP="00B62D27">
      <w:pPr>
        <w:pStyle w:val="Bbodytext"/>
      </w:pPr>
      <w:r>
        <w:t xml:space="preserve">Scenario </w:t>
      </w:r>
      <w:r w:rsidR="004D7B34">
        <w:t>Two</w:t>
      </w:r>
      <w:r>
        <w:t xml:space="preserve"> (</w:t>
      </w:r>
      <w:r w:rsidR="00E237AF">
        <w:t>L</w:t>
      </w:r>
      <w:r w:rsidR="008722AB">
        <w:t>ow</w:t>
      </w:r>
      <w:r>
        <w:t>)</w:t>
      </w:r>
      <w:r w:rsidR="000D6AAB">
        <w:t>, as</w:t>
      </w:r>
      <w:r>
        <w:t xml:space="preserve"> presented in this publication</w:t>
      </w:r>
      <w:r w:rsidR="00173A6C">
        <w:t>,</w:t>
      </w:r>
      <w:r>
        <w:t xml:space="preserve"> incorporates the following key assumptions for the years 2030-31 to </w:t>
      </w:r>
      <w:r w:rsidR="00451B67">
        <w:t>2</w:t>
      </w:r>
      <w:r>
        <w:t xml:space="preserve">035-36. </w:t>
      </w:r>
    </w:p>
    <w:p w14:paraId="524F4E0F" w14:textId="33A2E8C8" w:rsidR="00B62D27" w:rsidRDefault="00B62D27" w:rsidP="00F66755">
      <w:pPr>
        <w:pStyle w:val="BBullet1"/>
      </w:pPr>
      <w:r>
        <w:t xml:space="preserve">Total revenue is indexed at the </w:t>
      </w:r>
      <w:r w:rsidR="0095221F">
        <w:t>2025-26 Budget Review</w:t>
      </w:r>
      <w:r>
        <w:t xml:space="preserve"> growth rate </w:t>
      </w:r>
      <w:r w:rsidR="00F92702">
        <w:t>(</w:t>
      </w:r>
      <w:r w:rsidR="00B44F1D">
        <w:t xml:space="preserve">which covered </w:t>
      </w:r>
      <w:r w:rsidR="0095221F">
        <w:t>2025-26 to 20</w:t>
      </w:r>
      <w:r w:rsidR="00FF5633">
        <w:t>28-29</w:t>
      </w:r>
      <w:r w:rsidR="00317026">
        <w:t xml:space="preserve">) </w:t>
      </w:r>
      <w:r w:rsidR="007E4767">
        <w:t>of</w:t>
      </w:r>
      <w:r>
        <w:t xml:space="preserve"> 5.03 per cent per annum, except for investment and interest revenue. </w:t>
      </w:r>
    </w:p>
    <w:p w14:paraId="07A3E3A6" w14:textId="7DC36929" w:rsidR="006F1879" w:rsidRDefault="006F1879" w:rsidP="00463B0A">
      <w:pPr>
        <w:pStyle w:val="BBullet2"/>
      </w:pPr>
      <w:r>
        <w:t xml:space="preserve">Investment revenue projections are based on the long-term investment return objective for the </w:t>
      </w:r>
      <w:r w:rsidR="00024FC9">
        <w:t>SPA</w:t>
      </w:r>
      <w:r>
        <w:t xml:space="preserve"> of </w:t>
      </w:r>
      <w:r w:rsidR="00024FC9">
        <w:t>CPI</w:t>
      </w:r>
      <w:r>
        <w:t xml:space="preserve"> plus 4.75 per cent per annum</w:t>
      </w:r>
      <w:r w:rsidR="00933ABD">
        <w:t xml:space="preserve">, </w:t>
      </w:r>
      <w:r w:rsidR="00867E1F">
        <w:t xml:space="preserve">assumed as </w:t>
      </w:r>
      <w:r w:rsidR="00867E1F" w:rsidRPr="00A93562">
        <w:t>7.62</w:t>
      </w:r>
      <w:r w:rsidR="00463B0A">
        <w:t> </w:t>
      </w:r>
      <w:r w:rsidR="00867E1F" w:rsidRPr="00A93562">
        <w:t>per</w:t>
      </w:r>
      <w:r w:rsidR="00463B0A">
        <w:t> </w:t>
      </w:r>
      <w:r w:rsidR="00867E1F" w:rsidRPr="00A93562">
        <w:t>cent per annum</w:t>
      </w:r>
      <w:r w:rsidR="00867E1F">
        <w:t xml:space="preserve"> for this publication. Investment revenue</w:t>
      </w:r>
      <w:r w:rsidR="00933ABD">
        <w:t xml:space="preserve"> represents a</w:t>
      </w:r>
      <w:r w:rsidR="00305049" w:rsidRPr="00A93562">
        <w:t xml:space="preserve">round </w:t>
      </w:r>
      <w:r w:rsidR="00411507">
        <w:t>2</w:t>
      </w:r>
      <w:r w:rsidR="00305049" w:rsidRPr="00A93562">
        <w:t xml:space="preserve"> per cent of total revenue</w:t>
      </w:r>
      <w:r w:rsidR="0071507F">
        <w:t>.</w:t>
      </w:r>
    </w:p>
    <w:p w14:paraId="62DCB25C" w14:textId="1B5E4482" w:rsidR="00305049" w:rsidRDefault="006F6904" w:rsidP="00463B0A">
      <w:pPr>
        <w:pStyle w:val="BBullet2"/>
      </w:pPr>
      <w:r>
        <w:t xml:space="preserve">Interest revenue received is calculated from the base </w:t>
      </w:r>
      <w:r w:rsidR="00330233" w:rsidRPr="00134081">
        <w:t>R</w:t>
      </w:r>
      <w:r w:rsidR="00A10C25">
        <w:t>eserve Bank of Australia (R</w:t>
      </w:r>
      <w:r w:rsidR="00330233" w:rsidRPr="00134081">
        <w:t>BA</w:t>
      </w:r>
      <w:r w:rsidR="00A10C25">
        <w:t>)</w:t>
      </w:r>
      <w:r w:rsidR="00330233" w:rsidRPr="00134081">
        <w:t xml:space="preserve"> Target Cash Rate</w:t>
      </w:r>
      <w:r>
        <w:t xml:space="preserve">, which is assumed for this publication at 4.35 per cent. </w:t>
      </w:r>
      <w:r w:rsidR="00305049" w:rsidRPr="006C3F4A">
        <w:t xml:space="preserve">Interest revenue </w:t>
      </w:r>
      <w:r w:rsidR="004C645D">
        <w:t>represents</w:t>
      </w:r>
      <w:r w:rsidR="00305049" w:rsidRPr="006C3F4A">
        <w:t xml:space="preserve"> around 4 per cent of total revenue and is projected to </w:t>
      </w:r>
      <w:r w:rsidR="00837436">
        <w:t>increase</w:t>
      </w:r>
      <w:r w:rsidR="00305049" w:rsidRPr="006C3F4A">
        <w:t xml:space="preserve"> </w:t>
      </w:r>
      <w:r w:rsidR="00305049">
        <w:t>beyond the forward estimates</w:t>
      </w:r>
      <w:r w:rsidR="00305049" w:rsidRPr="006C3F4A">
        <w:t>, at approximately 0.</w:t>
      </w:r>
      <w:r w:rsidR="00EE536D">
        <w:t>1</w:t>
      </w:r>
      <w:r w:rsidR="00305049" w:rsidRPr="006C3F4A">
        <w:t xml:space="preserve"> per cent per annum.</w:t>
      </w:r>
    </w:p>
    <w:p w14:paraId="2038BAB4" w14:textId="05C2420C" w:rsidR="006F6904" w:rsidRDefault="006F412B" w:rsidP="00463B0A">
      <w:pPr>
        <w:pStyle w:val="BBullet2"/>
      </w:pPr>
      <w:r>
        <w:t>Incorporating the above, b</w:t>
      </w:r>
      <w:r w:rsidR="00305049">
        <w:t xml:space="preserve">eyond the forward estimates, </w:t>
      </w:r>
      <w:r w:rsidR="00305049" w:rsidRPr="00835647">
        <w:t xml:space="preserve">total revenue </w:t>
      </w:r>
      <w:r w:rsidR="00305049">
        <w:t>is projected to grow at an average annual rate of</w:t>
      </w:r>
      <w:r w:rsidR="00305049" w:rsidRPr="00835647">
        <w:t xml:space="preserve"> </w:t>
      </w:r>
      <w:r w:rsidR="003E4466">
        <w:t>4.86</w:t>
      </w:r>
      <w:r w:rsidR="00305049" w:rsidRPr="00835647">
        <w:t xml:space="preserve"> per cent, reflecting the</w:t>
      </w:r>
      <w:r w:rsidR="00305049">
        <w:t xml:space="preserve"> </w:t>
      </w:r>
      <w:r w:rsidR="005C1548">
        <w:t xml:space="preserve">lower </w:t>
      </w:r>
      <w:r w:rsidR="00305049">
        <w:t xml:space="preserve">growth in </w:t>
      </w:r>
      <w:r w:rsidR="00305049" w:rsidRPr="00835647">
        <w:t>interest revenue.</w:t>
      </w:r>
    </w:p>
    <w:p w14:paraId="5305323D" w14:textId="078F4FEC" w:rsidR="00FF5633" w:rsidRDefault="00B62D27" w:rsidP="00F66755">
      <w:pPr>
        <w:pStyle w:val="BBullet1"/>
      </w:pPr>
      <w:r>
        <w:lastRenderedPageBreak/>
        <w:t xml:space="preserve">Total expenses are indexed at the </w:t>
      </w:r>
      <w:r w:rsidR="00FF5633">
        <w:t>2025-26 Budget Review growth rate (</w:t>
      </w:r>
      <w:r w:rsidR="00B44F1D">
        <w:t xml:space="preserve">which covered </w:t>
      </w:r>
      <w:r w:rsidR="00FF5633">
        <w:t xml:space="preserve">2025-26 to 2028-29) </w:t>
      </w:r>
      <w:r>
        <w:t xml:space="preserve">of 2.29 per cent per annum, except for interest expenses. </w:t>
      </w:r>
    </w:p>
    <w:p w14:paraId="05A7CE66" w14:textId="79FCEF6E" w:rsidR="00F92702" w:rsidRDefault="00B62D27" w:rsidP="00463B0A">
      <w:pPr>
        <w:pStyle w:val="BBullet2"/>
      </w:pPr>
      <w:r>
        <w:t xml:space="preserve">Interest </w:t>
      </w:r>
      <w:r w:rsidR="00F622D3">
        <w:t xml:space="preserve">and </w:t>
      </w:r>
      <w:r w:rsidR="00C80816">
        <w:t>SPA</w:t>
      </w:r>
      <w:r w:rsidR="00F622D3">
        <w:t xml:space="preserve"> </w:t>
      </w:r>
      <w:r>
        <w:t>expenses</w:t>
      </w:r>
      <w:r w:rsidR="00907920">
        <w:t xml:space="preserve"> </w:t>
      </w:r>
      <w:r w:rsidR="004C645D">
        <w:t>represent</w:t>
      </w:r>
      <w:r w:rsidR="00907920">
        <w:t xml:space="preserve"> about 16 per cent of total expenses</w:t>
      </w:r>
      <w:r w:rsidR="000A4E3E">
        <w:t xml:space="preserve">. Growth in </w:t>
      </w:r>
      <w:r w:rsidR="008C274F">
        <w:t>interest</w:t>
      </w:r>
      <w:r w:rsidR="000A4E3E">
        <w:t xml:space="preserve"> expenses</w:t>
      </w:r>
      <w:r>
        <w:t xml:space="preserve"> </w:t>
      </w:r>
      <w:r w:rsidR="002E66C2">
        <w:t>reflect</w:t>
      </w:r>
      <w:r w:rsidR="00373BE5">
        <w:t>s</w:t>
      </w:r>
      <w:r>
        <w:t xml:space="preserve"> the total </w:t>
      </w:r>
      <w:r w:rsidR="00DA7A7F">
        <w:t>T</w:t>
      </w:r>
      <w:r>
        <w:t>erritory debt levels</w:t>
      </w:r>
      <w:r w:rsidR="002E66C2">
        <w:t xml:space="preserve"> under this scenario</w:t>
      </w:r>
      <w:r w:rsidR="00853737">
        <w:t>. This</w:t>
      </w:r>
      <w:r w:rsidR="00F93CDB">
        <w:t xml:space="preserve"> </w:t>
      </w:r>
      <w:r w:rsidR="00F92702">
        <w:t xml:space="preserve">is a combination of interest on existing and new borrowings required, and expenses relating to the </w:t>
      </w:r>
      <w:r w:rsidR="00031988">
        <w:t>SPA</w:t>
      </w:r>
      <w:r w:rsidR="00AD2A3D">
        <w:t>, noting that no new capital injections are required for the SPA from 2033-34 onwards</w:t>
      </w:r>
      <w:r w:rsidR="00F92702">
        <w:t>. The interest rate for borrowings is based on the forward sovereign rate</w:t>
      </w:r>
      <w:r w:rsidR="005539EE">
        <w:t>s</w:t>
      </w:r>
      <w:r w:rsidR="00F92702">
        <w:t xml:space="preserve"> plus the ACT borrowing margin – this is consistent with</w:t>
      </w:r>
      <w:r w:rsidR="00F01A2E">
        <w:t xml:space="preserve"> the</w:t>
      </w:r>
      <w:r w:rsidR="00F92702">
        <w:t xml:space="preserve"> method used in the 2026</w:t>
      </w:r>
      <w:r w:rsidR="00341EE2">
        <w:noBreakHyphen/>
      </w:r>
      <w:r w:rsidR="00F92702">
        <w:t>27</w:t>
      </w:r>
      <w:r w:rsidR="00F66755">
        <w:t> </w:t>
      </w:r>
      <w:r w:rsidR="00F92702">
        <w:t xml:space="preserve">Budget. </w:t>
      </w:r>
    </w:p>
    <w:p w14:paraId="22BC5AF9" w14:textId="000D5CCC" w:rsidR="005077E0" w:rsidRDefault="00050C87" w:rsidP="00463B0A">
      <w:pPr>
        <w:pStyle w:val="BBullet2"/>
      </w:pPr>
      <w:r>
        <w:t>Incorporating the above, b</w:t>
      </w:r>
      <w:r w:rsidR="005077E0" w:rsidRPr="008513DB">
        <w:t xml:space="preserve">eyond the forward estimates, </w:t>
      </w:r>
      <w:r w:rsidR="005077E0">
        <w:t>total expenses are projected to grow at an average annual rate of</w:t>
      </w:r>
      <w:r w:rsidR="005077E0" w:rsidRPr="00835647">
        <w:t xml:space="preserve"> </w:t>
      </w:r>
      <w:r w:rsidR="00F10891">
        <w:t>1.7</w:t>
      </w:r>
      <w:r w:rsidR="005077E0" w:rsidRPr="00835647">
        <w:t xml:space="preserve"> per cent,</w:t>
      </w:r>
      <w:r w:rsidR="005077E0" w:rsidRPr="008513DB">
        <w:t xml:space="preserve"> reflecting </w:t>
      </w:r>
      <w:r w:rsidR="00264164">
        <w:t>a decline in</w:t>
      </w:r>
      <w:r w:rsidR="005077E0">
        <w:t xml:space="preserve"> interest expenses of </w:t>
      </w:r>
      <w:r w:rsidR="00870967">
        <w:t>-</w:t>
      </w:r>
      <w:r w:rsidR="00B573CE">
        <w:t>1.</w:t>
      </w:r>
      <w:r w:rsidR="003C2627">
        <w:t xml:space="preserve">4 </w:t>
      </w:r>
      <w:r w:rsidR="005077E0">
        <w:t xml:space="preserve">per cent per annum. </w:t>
      </w:r>
    </w:p>
    <w:p w14:paraId="5989AF27" w14:textId="76F712CA" w:rsidR="00784071" w:rsidRDefault="00B62D27" w:rsidP="00F66755">
      <w:pPr>
        <w:pStyle w:val="BBullet1"/>
        <w:sectPr w:rsidR="00784071" w:rsidSect="0068575E">
          <w:footerReference w:type="default" r:id="rId12"/>
          <w:pgSz w:w="11906" w:h="16838" w:code="9"/>
          <w:pgMar w:top="1151" w:right="1440" w:bottom="1729" w:left="1440" w:header="720" w:footer="720" w:gutter="0"/>
          <w:cols w:space="708"/>
          <w:titlePg/>
          <w:docGrid w:linePitch="360"/>
        </w:sectPr>
      </w:pPr>
      <w:r>
        <w:t xml:space="preserve">Total Territory debt is calculated based on total revenue and expenses, expected average borrowings of </w:t>
      </w:r>
      <w:r w:rsidR="00CB4948">
        <w:t>G</w:t>
      </w:r>
      <w:r>
        <w:t xml:space="preserve">overnment </w:t>
      </w:r>
      <w:r w:rsidR="00CB4948">
        <w:t>B</w:t>
      </w:r>
      <w:r>
        <w:t xml:space="preserve">usiness </w:t>
      </w:r>
      <w:r w:rsidR="00CB4948">
        <w:t>Enterprises</w:t>
      </w:r>
      <w:r w:rsidR="009F356C">
        <w:t xml:space="preserve"> (</w:t>
      </w:r>
      <w:r w:rsidR="00CB4948">
        <w:t xml:space="preserve">common under both </w:t>
      </w:r>
      <w:r w:rsidR="009F356C">
        <w:t>scenario</w:t>
      </w:r>
      <w:r w:rsidR="00CB4948">
        <w:t>s</w:t>
      </w:r>
      <w:r w:rsidR="009F356C">
        <w:t>),</w:t>
      </w:r>
      <w:r w:rsidR="00024FC9">
        <w:t xml:space="preserve"> </w:t>
      </w:r>
      <w:r>
        <w:t xml:space="preserve">a capital works program of $700 million </w:t>
      </w:r>
      <w:r w:rsidR="00024FC9">
        <w:t>per annum</w:t>
      </w:r>
      <w:r w:rsidR="001A2861">
        <w:t>,</w:t>
      </w:r>
      <w:r w:rsidR="00024FC9">
        <w:t xml:space="preserve"> and superannuation capital injections </w:t>
      </w:r>
      <w:r w:rsidR="001A2861">
        <w:t xml:space="preserve">to </w:t>
      </w:r>
      <w:r w:rsidR="00024FC9">
        <w:t>reduce to zero from 203</w:t>
      </w:r>
      <w:r w:rsidR="00426820">
        <w:t>3</w:t>
      </w:r>
      <w:r w:rsidR="00024FC9">
        <w:t>-3</w:t>
      </w:r>
      <w:r w:rsidR="00EF3F9E">
        <w:t>4</w:t>
      </w:r>
      <w:r w:rsidR="00024FC9">
        <w:t xml:space="preserve"> onwards as the SPA is </w:t>
      </w:r>
      <w:r w:rsidR="005833A6">
        <w:t>estimated</w:t>
      </w:r>
      <w:r w:rsidR="00024FC9">
        <w:t xml:space="preserve"> to be self</w:t>
      </w:r>
      <w:r w:rsidR="009F356C">
        <w:noBreakHyphen/>
      </w:r>
      <w:r w:rsidR="00024FC9">
        <w:t>funded</w:t>
      </w:r>
      <w:r w:rsidR="001A2861">
        <w:t xml:space="preserve"> from that time</w:t>
      </w:r>
      <w:r w:rsidR="00024FC9">
        <w:t xml:space="preserve">.   </w:t>
      </w:r>
    </w:p>
    <w:p w14:paraId="658BAE08" w14:textId="43E86C95" w:rsidR="00954AD2" w:rsidRDefault="001346A0" w:rsidP="00870967">
      <w:pPr>
        <w:pStyle w:val="Heading2"/>
        <w:numPr>
          <w:ilvl w:val="0"/>
          <w:numId w:val="0"/>
        </w:numPr>
        <w:ind w:left="578" w:hanging="578"/>
      </w:pPr>
      <w:r>
        <w:lastRenderedPageBreak/>
        <w:t>Medium-</w:t>
      </w:r>
      <w:r w:rsidR="00954AD2">
        <w:t>Term Projections</w:t>
      </w:r>
      <w:r w:rsidR="00597F86">
        <w:t>:</w:t>
      </w:r>
      <w:r w:rsidR="00954AD2">
        <w:t xml:space="preserve"> 2026-27 to 2035-</w:t>
      </w:r>
      <w:r w:rsidR="00940065">
        <w:t>3</w:t>
      </w:r>
      <w:r w:rsidR="00954AD2">
        <w:t>6</w:t>
      </w:r>
    </w:p>
    <w:p w14:paraId="3AA04BBD" w14:textId="504F69A9" w:rsidR="00954AD2" w:rsidRPr="00870499" w:rsidRDefault="00954AD2" w:rsidP="00463B0A">
      <w:pPr>
        <w:pStyle w:val="Caption"/>
      </w:pPr>
      <w:r w:rsidRPr="00870499">
        <w:t xml:space="preserve">Table 1: </w:t>
      </w:r>
      <w:r w:rsidR="00597F86" w:rsidRPr="00870499">
        <w:t>Medium-</w:t>
      </w:r>
      <w:r w:rsidRPr="00870499">
        <w:t>Term Projections</w:t>
      </w:r>
      <w:r w:rsidR="005A475F" w:rsidRPr="00870499">
        <w:t xml:space="preserve"> – Total </w:t>
      </w:r>
      <w:r w:rsidR="002F2AFD" w:rsidRPr="00870499">
        <w:t>r</w:t>
      </w:r>
      <w:r w:rsidR="005A475F" w:rsidRPr="00870499">
        <w:t xml:space="preserve">evenue, Total </w:t>
      </w:r>
      <w:r w:rsidR="002F2AFD" w:rsidRPr="00870499">
        <w:t>e</w:t>
      </w:r>
      <w:r w:rsidR="005A475F" w:rsidRPr="00870499">
        <w:t>xpenses, Net Operating Balance (NOB)</w:t>
      </w:r>
      <w:r w:rsidR="0050113E" w:rsidRPr="00870499">
        <w:t xml:space="preserve">, </w:t>
      </w:r>
      <w:r w:rsidR="005A475F" w:rsidRPr="00870499">
        <w:t>Headline Net Operating Balance (HNOB</w:t>
      </w:r>
      <w:r w:rsidR="0050113E" w:rsidRPr="00870499">
        <w:t xml:space="preserve">) and Total Territory </w:t>
      </w:r>
      <w:r w:rsidR="0023477A" w:rsidRPr="00870499">
        <w:t>d</w:t>
      </w:r>
      <w:r w:rsidR="0050113E" w:rsidRPr="00870499">
        <w:t>ebt</w:t>
      </w:r>
      <w:r w:rsidR="00784071" w:rsidRPr="00870499">
        <w:t xml:space="preserve"> – </w:t>
      </w:r>
      <w:r w:rsidR="00B35D0F">
        <w:t>Scenario</w:t>
      </w:r>
      <w:r w:rsidR="00784071">
        <w:t xml:space="preserve"> </w:t>
      </w:r>
      <w:r w:rsidR="004D7B34">
        <w:t>One</w:t>
      </w:r>
      <w:r w:rsidR="00784071">
        <w:t xml:space="preserve"> (</w:t>
      </w:r>
      <w:r w:rsidR="00E237AF">
        <w:t>H</w:t>
      </w:r>
      <w:r w:rsidR="008722AB">
        <w:t>igh</w:t>
      </w:r>
      <w:r w:rsidR="00784071">
        <w:t>)</w:t>
      </w:r>
      <w:r w:rsidR="004D7B34">
        <w:t xml:space="preserve"> ($m)</w:t>
      </w:r>
    </w:p>
    <w:tbl>
      <w:tblPr>
        <w:tblW w:w="5000" w:type="pct"/>
        <w:tblLayout w:type="fixed"/>
        <w:tblLook w:val="00A0" w:firstRow="1" w:lastRow="0" w:firstColumn="1" w:lastColumn="0" w:noHBand="0" w:noVBand="0"/>
        <w:tblCaption w:val="Table 1: Medium-Term Projections – Total revenue, Total expenses, Net Operating Balance (NOB), Headline Net Operating Balance (HNOB) and Total Territory debt – Scenario 1 (High)"/>
        <w:tblDescription w:val="Medium-Term Projections for Scenario 1 (high) Total revenue (general government sector (GGS)), Total expenses (GGS), net operating balance (GGS) and headline net operating balance (GGS) and total territory debt. "/>
      </w:tblPr>
      <w:tblGrid>
        <w:gridCol w:w="2266"/>
        <w:gridCol w:w="1169"/>
        <w:gridCol w:w="1169"/>
        <w:gridCol w:w="1170"/>
        <w:gridCol w:w="1170"/>
        <w:gridCol w:w="1170"/>
        <w:gridCol w:w="1170"/>
        <w:gridCol w:w="1170"/>
        <w:gridCol w:w="1170"/>
        <w:gridCol w:w="1170"/>
        <w:gridCol w:w="1164"/>
      </w:tblGrid>
      <w:tr w:rsidR="00B51AC5" w:rsidRPr="00861C2F" w14:paraId="397D2CFD" w14:textId="77777777" w:rsidTr="00870967">
        <w:trPr>
          <w:trHeight w:val="493"/>
        </w:trPr>
        <w:tc>
          <w:tcPr>
            <w:tcW w:w="812" w:type="pct"/>
            <w:tcBorders>
              <w:top w:val="single" w:sz="4" w:space="0" w:color="auto"/>
              <w:bottom w:val="single" w:sz="4" w:space="0" w:color="auto"/>
            </w:tcBorders>
            <w:shd w:val="clear" w:color="auto" w:fill="6E46E0"/>
          </w:tcPr>
          <w:p w14:paraId="32865B8A" w14:textId="77777777" w:rsidR="00D53F80" w:rsidRPr="00870967" w:rsidRDefault="00D53F80" w:rsidP="008A2385">
            <w:pPr>
              <w:pStyle w:val="BStabletext"/>
              <w:rPr>
                <w:color w:val="FFFFFF" w:themeColor="background1"/>
              </w:rPr>
            </w:pPr>
          </w:p>
        </w:tc>
        <w:tc>
          <w:tcPr>
            <w:tcW w:w="419" w:type="pct"/>
            <w:tcBorders>
              <w:top w:val="single" w:sz="4" w:space="0" w:color="auto"/>
              <w:bottom w:val="single" w:sz="4" w:space="0" w:color="auto"/>
            </w:tcBorders>
            <w:shd w:val="clear" w:color="auto" w:fill="6E46E0"/>
          </w:tcPr>
          <w:p w14:paraId="0042A0E6" w14:textId="77777777" w:rsidR="00D53F80" w:rsidRPr="00870967" w:rsidRDefault="00D53F80" w:rsidP="008A2385">
            <w:pPr>
              <w:pStyle w:val="BStableheading1"/>
              <w:keepNext/>
              <w:keepLines/>
              <w:framePr w:wrap="around"/>
              <w:rPr>
                <w:color w:val="FFFFFF" w:themeColor="background1"/>
                <w:lang w:val="en-AU" w:eastAsia="en-US"/>
              </w:rPr>
            </w:pPr>
            <w:r w:rsidRPr="00870967">
              <w:rPr>
                <w:color w:val="FFFFFF" w:themeColor="background1"/>
                <w:lang w:val="en-AU" w:eastAsia="en-US"/>
              </w:rPr>
              <w:t>2026-27</w:t>
            </w:r>
          </w:p>
          <w:p w14:paraId="32A659AA" w14:textId="4F85BF1B" w:rsidR="00B51AC5" w:rsidRPr="00870967" w:rsidRDefault="00B51AC5" w:rsidP="008A2385">
            <w:pPr>
              <w:pStyle w:val="BStableheading1"/>
              <w:keepNext/>
              <w:keepLines/>
              <w:framePr w:wrap="around"/>
              <w:rPr>
                <w:color w:val="FFFFFF" w:themeColor="background1"/>
                <w:lang w:val="en-AU" w:eastAsia="en-US"/>
              </w:rPr>
            </w:pPr>
            <w:r w:rsidRPr="00870967">
              <w:rPr>
                <w:color w:val="FFFFFF" w:themeColor="background1"/>
                <w:lang w:val="en-AU" w:eastAsia="en-US"/>
              </w:rPr>
              <w:t>Budget</w:t>
            </w:r>
          </w:p>
        </w:tc>
        <w:tc>
          <w:tcPr>
            <w:tcW w:w="419" w:type="pct"/>
            <w:tcBorders>
              <w:top w:val="single" w:sz="4" w:space="0" w:color="auto"/>
              <w:bottom w:val="single" w:sz="4" w:space="0" w:color="auto"/>
            </w:tcBorders>
            <w:shd w:val="clear" w:color="auto" w:fill="6E46E0"/>
          </w:tcPr>
          <w:p w14:paraId="6234CAF0" w14:textId="77777777" w:rsidR="00D53F80" w:rsidRPr="00870967" w:rsidRDefault="00D53F80" w:rsidP="008A2385">
            <w:pPr>
              <w:pStyle w:val="BStableheading1"/>
              <w:keepNext/>
              <w:keepLines/>
              <w:framePr w:wrap="around"/>
              <w:rPr>
                <w:color w:val="FFFFFF" w:themeColor="background1"/>
                <w:lang w:val="en-AU" w:eastAsia="en-US"/>
              </w:rPr>
            </w:pPr>
            <w:r w:rsidRPr="00870967">
              <w:rPr>
                <w:color w:val="FFFFFF" w:themeColor="background1"/>
                <w:lang w:val="en-AU" w:eastAsia="en-US"/>
              </w:rPr>
              <w:t>2027-28</w:t>
            </w:r>
          </w:p>
          <w:p w14:paraId="2EA9CF6F" w14:textId="0687F70C" w:rsidR="00B51AC5" w:rsidRPr="00870967" w:rsidRDefault="00B51AC5" w:rsidP="008A2385">
            <w:pPr>
              <w:pStyle w:val="BStableheading1"/>
              <w:keepNext/>
              <w:keepLines/>
              <w:framePr w:wrap="around"/>
              <w:rPr>
                <w:color w:val="FFFFFF" w:themeColor="background1"/>
                <w:lang w:val="en-AU" w:eastAsia="en-US"/>
              </w:rPr>
            </w:pPr>
            <w:r w:rsidRPr="00870967">
              <w:rPr>
                <w:color w:val="FFFFFF" w:themeColor="background1"/>
                <w:lang w:val="en-AU" w:eastAsia="en-US"/>
              </w:rPr>
              <w:t>Estimate</w:t>
            </w:r>
          </w:p>
        </w:tc>
        <w:tc>
          <w:tcPr>
            <w:tcW w:w="419" w:type="pct"/>
            <w:tcBorders>
              <w:top w:val="single" w:sz="4" w:space="0" w:color="auto"/>
              <w:bottom w:val="single" w:sz="4" w:space="0" w:color="auto"/>
            </w:tcBorders>
            <w:shd w:val="clear" w:color="auto" w:fill="6E46E0"/>
          </w:tcPr>
          <w:p w14:paraId="198204D1" w14:textId="77777777" w:rsidR="00D53F80" w:rsidRPr="00870967" w:rsidRDefault="00D53F80" w:rsidP="008A2385">
            <w:pPr>
              <w:pStyle w:val="BStableheading1"/>
              <w:keepNext/>
              <w:keepLines/>
              <w:framePr w:wrap="around"/>
              <w:rPr>
                <w:color w:val="FFFFFF" w:themeColor="background1"/>
                <w:lang w:val="en-AU" w:eastAsia="en-US"/>
              </w:rPr>
            </w:pPr>
            <w:r w:rsidRPr="00870967">
              <w:rPr>
                <w:color w:val="FFFFFF" w:themeColor="background1"/>
                <w:lang w:val="en-AU" w:eastAsia="en-US"/>
              </w:rPr>
              <w:t>2028-29</w:t>
            </w:r>
          </w:p>
          <w:p w14:paraId="3665F20C" w14:textId="291D2B8D" w:rsidR="00B51AC5" w:rsidRPr="00870967" w:rsidRDefault="00B51AC5" w:rsidP="008A2385">
            <w:pPr>
              <w:pStyle w:val="BStableheading1"/>
              <w:keepNext/>
              <w:keepLines/>
              <w:framePr w:wrap="around"/>
              <w:rPr>
                <w:color w:val="FFFFFF" w:themeColor="background1"/>
                <w:lang w:val="en-AU" w:eastAsia="en-US"/>
              </w:rPr>
            </w:pPr>
            <w:r w:rsidRPr="00870967">
              <w:rPr>
                <w:color w:val="FFFFFF" w:themeColor="background1"/>
                <w:lang w:val="en-AU" w:eastAsia="en-US"/>
              </w:rPr>
              <w:t>Estimate</w:t>
            </w:r>
          </w:p>
        </w:tc>
        <w:tc>
          <w:tcPr>
            <w:tcW w:w="419" w:type="pct"/>
            <w:tcBorders>
              <w:top w:val="single" w:sz="4" w:space="0" w:color="auto"/>
              <w:bottom w:val="single" w:sz="4" w:space="0" w:color="auto"/>
            </w:tcBorders>
            <w:shd w:val="clear" w:color="auto" w:fill="6E46E0"/>
          </w:tcPr>
          <w:p w14:paraId="113403A8" w14:textId="77777777" w:rsidR="00D53F80" w:rsidRPr="00870967" w:rsidRDefault="00D53F80" w:rsidP="008A2385">
            <w:pPr>
              <w:pStyle w:val="BStableheading1"/>
              <w:keepNext/>
              <w:keepLines/>
              <w:framePr w:wrap="around"/>
              <w:rPr>
                <w:color w:val="FFFFFF" w:themeColor="background1"/>
                <w:lang w:val="en-AU" w:eastAsia="en-US"/>
              </w:rPr>
            </w:pPr>
            <w:r w:rsidRPr="00870967">
              <w:rPr>
                <w:color w:val="FFFFFF" w:themeColor="background1"/>
                <w:lang w:val="en-AU" w:eastAsia="en-US"/>
              </w:rPr>
              <w:t>2029-30</w:t>
            </w:r>
          </w:p>
          <w:p w14:paraId="0C58702B" w14:textId="18A34508" w:rsidR="00B51AC5" w:rsidRPr="00870967" w:rsidRDefault="00B51AC5" w:rsidP="008A2385">
            <w:pPr>
              <w:pStyle w:val="BStableheading1"/>
              <w:keepNext/>
              <w:keepLines/>
              <w:framePr w:wrap="around"/>
              <w:rPr>
                <w:color w:val="FFFFFF" w:themeColor="background1"/>
                <w:lang w:val="en-AU" w:eastAsia="en-US"/>
              </w:rPr>
            </w:pPr>
            <w:r w:rsidRPr="00870967">
              <w:rPr>
                <w:color w:val="FFFFFF" w:themeColor="background1"/>
                <w:lang w:val="en-AU" w:eastAsia="en-US"/>
              </w:rPr>
              <w:t>Estimate</w:t>
            </w:r>
          </w:p>
        </w:tc>
        <w:tc>
          <w:tcPr>
            <w:tcW w:w="419" w:type="pct"/>
            <w:tcBorders>
              <w:top w:val="single" w:sz="4" w:space="0" w:color="auto"/>
              <w:bottom w:val="single" w:sz="4" w:space="0" w:color="auto"/>
            </w:tcBorders>
            <w:shd w:val="clear" w:color="auto" w:fill="6E46E0"/>
          </w:tcPr>
          <w:p w14:paraId="62EF8670" w14:textId="77777777" w:rsidR="00D53F80" w:rsidRPr="00870967" w:rsidRDefault="00D53F80" w:rsidP="008A2385">
            <w:pPr>
              <w:pStyle w:val="BStableheading1"/>
              <w:keepNext/>
              <w:keepLines/>
              <w:framePr w:wrap="around"/>
              <w:rPr>
                <w:color w:val="FFFFFF" w:themeColor="background1"/>
                <w:lang w:val="en-AU" w:eastAsia="en-US"/>
              </w:rPr>
            </w:pPr>
            <w:r w:rsidRPr="00870967">
              <w:rPr>
                <w:color w:val="FFFFFF" w:themeColor="background1"/>
                <w:lang w:val="en-AU" w:eastAsia="en-US"/>
              </w:rPr>
              <w:t>2030-31</w:t>
            </w:r>
          </w:p>
          <w:p w14:paraId="29FB28D5" w14:textId="4A9BF7E8" w:rsidR="00B51AC5" w:rsidRPr="00870967" w:rsidRDefault="007E275B" w:rsidP="008A2385">
            <w:pPr>
              <w:pStyle w:val="BStableheading1"/>
              <w:keepNext/>
              <w:keepLines/>
              <w:framePr w:wrap="around"/>
              <w:rPr>
                <w:b w:val="0"/>
                <w:bCs w:val="0"/>
                <w:color w:val="FFFFFF" w:themeColor="background1"/>
                <w:lang w:val="en-AU" w:eastAsia="en-US"/>
              </w:rPr>
            </w:pPr>
            <w:r w:rsidRPr="00870967">
              <w:rPr>
                <w:color w:val="FFFFFF" w:themeColor="background1"/>
                <w:lang w:val="en-AU" w:eastAsia="en-US"/>
              </w:rPr>
              <w:t>Forecast</w:t>
            </w:r>
          </w:p>
        </w:tc>
        <w:tc>
          <w:tcPr>
            <w:tcW w:w="419" w:type="pct"/>
            <w:tcBorders>
              <w:top w:val="single" w:sz="4" w:space="0" w:color="auto"/>
              <w:bottom w:val="single" w:sz="4" w:space="0" w:color="auto"/>
            </w:tcBorders>
            <w:shd w:val="clear" w:color="auto" w:fill="6E46E0"/>
          </w:tcPr>
          <w:p w14:paraId="1881E20C" w14:textId="77777777" w:rsidR="00D53F80" w:rsidRPr="00870967" w:rsidRDefault="00D53F80" w:rsidP="008A2385">
            <w:pPr>
              <w:pStyle w:val="BStableheading1"/>
              <w:keepNext/>
              <w:keepLines/>
              <w:framePr w:wrap="around"/>
              <w:rPr>
                <w:color w:val="FFFFFF" w:themeColor="background1"/>
                <w:lang w:val="en-AU" w:eastAsia="en-US"/>
              </w:rPr>
            </w:pPr>
            <w:r w:rsidRPr="00870967">
              <w:rPr>
                <w:color w:val="FFFFFF" w:themeColor="background1"/>
                <w:lang w:val="en-AU" w:eastAsia="en-US"/>
              </w:rPr>
              <w:t>2031-32</w:t>
            </w:r>
          </w:p>
          <w:p w14:paraId="09BDBF7F" w14:textId="5C825B5E" w:rsidR="00B51AC5" w:rsidRPr="00870967" w:rsidRDefault="00662D38" w:rsidP="008A2385">
            <w:pPr>
              <w:pStyle w:val="BStableheading1"/>
              <w:keepNext/>
              <w:keepLines/>
              <w:framePr w:wrap="around"/>
              <w:rPr>
                <w:color w:val="FFFFFF" w:themeColor="background1"/>
                <w:lang w:val="en-AU" w:eastAsia="en-US"/>
              </w:rPr>
            </w:pPr>
            <w:r w:rsidRPr="00870967">
              <w:rPr>
                <w:color w:val="FFFFFF" w:themeColor="background1"/>
                <w:lang w:val="en-AU" w:eastAsia="en-US"/>
              </w:rPr>
              <w:t>Forecast</w:t>
            </w:r>
          </w:p>
        </w:tc>
        <w:tc>
          <w:tcPr>
            <w:tcW w:w="419" w:type="pct"/>
            <w:tcBorders>
              <w:top w:val="single" w:sz="4" w:space="0" w:color="auto"/>
              <w:bottom w:val="single" w:sz="4" w:space="0" w:color="auto"/>
            </w:tcBorders>
            <w:shd w:val="clear" w:color="auto" w:fill="6E46E0"/>
          </w:tcPr>
          <w:p w14:paraId="46803E9A" w14:textId="77777777" w:rsidR="00D53F80" w:rsidRPr="00870967" w:rsidRDefault="00D53F80" w:rsidP="008A2385">
            <w:pPr>
              <w:pStyle w:val="BStableheading1"/>
              <w:keepNext/>
              <w:keepLines/>
              <w:framePr w:wrap="around"/>
              <w:rPr>
                <w:color w:val="FFFFFF" w:themeColor="background1"/>
                <w:lang w:val="en-AU" w:eastAsia="en-US"/>
              </w:rPr>
            </w:pPr>
            <w:r w:rsidRPr="00870967">
              <w:rPr>
                <w:color w:val="FFFFFF" w:themeColor="background1"/>
                <w:lang w:val="en-AU" w:eastAsia="en-US"/>
              </w:rPr>
              <w:t>2032-33</w:t>
            </w:r>
          </w:p>
          <w:p w14:paraId="6C034AC7" w14:textId="0FF8080F" w:rsidR="00B51AC5" w:rsidRPr="00870967" w:rsidRDefault="00662D38" w:rsidP="008A2385">
            <w:pPr>
              <w:pStyle w:val="BStableheading1"/>
              <w:keepNext/>
              <w:keepLines/>
              <w:framePr w:wrap="around"/>
              <w:rPr>
                <w:color w:val="FFFFFF" w:themeColor="background1"/>
                <w:lang w:val="en-AU" w:eastAsia="en-US"/>
              </w:rPr>
            </w:pPr>
            <w:r w:rsidRPr="00870967">
              <w:rPr>
                <w:color w:val="FFFFFF" w:themeColor="background1"/>
                <w:lang w:val="en-AU" w:eastAsia="en-US"/>
              </w:rPr>
              <w:t>Forecast</w:t>
            </w:r>
          </w:p>
        </w:tc>
        <w:tc>
          <w:tcPr>
            <w:tcW w:w="419" w:type="pct"/>
            <w:tcBorders>
              <w:top w:val="single" w:sz="4" w:space="0" w:color="auto"/>
              <w:bottom w:val="single" w:sz="4" w:space="0" w:color="auto"/>
            </w:tcBorders>
            <w:shd w:val="clear" w:color="auto" w:fill="6E46E0"/>
          </w:tcPr>
          <w:p w14:paraId="6A62B71B" w14:textId="77777777" w:rsidR="00D53F80" w:rsidRPr="00870967" w:rsidRDefault="00D53F80" w:rsidP="008A2385">
            <w:pPr>
              <w:pStyle w:val="BStableheading1"/>
              <w:keepNext/>
              <w:keepLines/>
              <w:framePr w:wrap="around"/>
              <w:rPr>
                <w:color w:val="FFFFFF" w:themeColor="background1"/>
                <w:lang w:val="en-AU" w:eastAsia="en-US"/>
              </w:rPr>
            </w:pPr>
            <w:r w:rsidRPr="00870967">
              <w:rPr>
                <w:color w:val="FFFFFF" w:themeColor="background1"/>
                <w:lang w:val="en-AU" w:eastAsia="en-US"/>
              </w:rPr>
              <w:t>2033-34</w:t>
            </w:r>
          </w:p>
          <w:p w14:paraId="4B484C6C" w14:textId="3959D1EF" w:rsidR="00B51AC5" w:rsidRPr="00870967" w:rsidRDefault="00662D38" w:rsidP="008A2385">
            <w:pPr>
              <w:pStyle w:val="BStableheading1"/>
              <w:keepNext/>
              <w:keepLines/>
              <w:framePr w:wrap="around"/>
              <w:rPr>
                <w:color w:val="FFFFFF" w:themeColor="background1"/>
                <w:lang w:val="en-AU" w:eastAsia="en-US"/>
              </w:rPr>
            </w:pPr>
            <w:r w:rsidRPr="00870967">
              <w:rPr>
                <w:color w:val="FFFFFF" w:themeColor="background1"/>
                <w:lang w:val="en-AU" w:eastAsia="en-US"/>
              </w:rPr>
              <w:t>Forecast</w:t>
            </w:r>
          </w:p>
        </w:tc>
        <w:tc>
          <w:tcPr>
            <w:tcW w:w="419" w:type="pct"/>
            <w:tcBorders>
              <w:top w:val="single" w:sz="4" w:space="0" w:color="auto"/>
              <w:bottom w:val="single" w:sz="4" w:space="0" w:color="auto"/>
            </w:tcBorders>
            <w:shd w:val="clear" w:color="auto" w:fill="6E46E0"/>
          </w:tcPr>
          <w:p w14:paraId="482253E5" w14:textId="77777777" w:rsidR="00D53F80" w:rsidRPr="00870967" w:rsidRDefault="00D53F80" w:rsidP="008A2385">
            <w:pPr>
              <w:pStyle w:val="BStableheading1"/>
              <w:keepNext/>
              <w:keepLines/>
              <w:framePr w:wrap="around"/>
              <w:rPr>
                <w:color w:val="FFFFFF" w:themeColor="background1"/>
                <w:lang w:val="en-AU" w:eastAsia="en-US"/>
              </w:rPr>
            </w:pPr>
            <w:r w:rsidRPr="00870967">
              <w:rPr>
                <w:color w:val="FFFFFF" w:themeColor="background1"/>
                <w:lang w:val="en-AU" w:eastAsia="en-US"/>
              </w:rPr>
              <w:t>2034-35</w:t>
            </w:r>
          </w:p>
          <w:p w14:paraId="7C73086D" w14:textId="45D7974A" w:rsidR="00B51AC5" w:rsidRPr="00870967" w:rsidRDefault="00662D38" w:rsidP="008A2385">
            <w:pPr>
              <w:pStyle w:val="BStableheading1"/>
              <w:keepNext/>
              <w:keepLines/>
              <w:framePr w:wrap="around"/>
              <w:rPr>
                <w:color w:val="FFFFFF" w:themeColor="background1"/>
                <w:lang w:val="en-AU" w:eastAsia="en-US"/>
              </w:rPr>
            </w:pPr>
            <w:r w:rsidRPr="00870967">
              <w:rPr>
                <w:color w:val="FFFFFF" w:themeColor="background1"/>
                <w:lang w:val="en-AU" w:eastAsia="en-US"/>
              </w:rPr>
              <w:t>Forecast</w:t>
            </w:r>
          </w:p>
        </w:tc>
        <w:tc>
          <w:tcPr>
            <w:tcW w:w="417" w:type="pct"/>
            <w:tcBorders>
              <w:top w:val="single" w:sz="4" w:space="0" w:color="auto"/>
              <w:bottom w:val="single" w:sz="4" w:space="0" w:color="auto"/>
            </w:tcBorders>
            <w:shd w:val="clear" w:color="auto" w:fill="6E46E0"/>
          </w:tcPr>
          <w:p w14:paraId="55F84A72" w14:textId="77777777" w:rsidR="00D53F80" w:rsidRPr="00870967" w:rsidRDefault="00D53F80" w:rsidP="008A2385">
            <w:pPr>
              <w:pStyle w:val="BStableheading1"/>
              <w:keepNext/>
              <w:keepLines/>
              <w:framePr w:wrap="around"/>
              <w:rPr>
                <w:color w:val="FFFFFF" w:themeColor="background1"/>
                <w:lang w:val="en-AU" w:eastAsia="en-US"/>
              </w:rPr>
            </w:pPr>
            <w:r w:rsidRPr="00870967">
              <w:rPr>
                <w:color w:val="FFFFFF" w:themeColor="background1"/>
                <w:lang w:val="en-AU" w:eastAsia="en-US"/>
              </w:rPr>
              <w:t>2035-36</w:t>
            </w:r>
          </w:p>
          <w:p w14:paraId="46189E49" w14:textId="7AD3C713" w:rsidR="00B51AC5" w:rsidRPr="00870967" w:rsidRDefault="00662D38" w:rsidP="008A2385">
            <w:pPr>
              <w:pStyle w:val="BStableheading1"/>
              <w:keepNext/>
              <w:keepLines/>
              <w:framePr w:wrap="around"/>
              <w:rPr>
                <w:color w:val="FFFFFF" w:themeColor="background1"/>
                <w:lang w:val="en-AU" w:eastAsia="en-US"/>
              </w:rPr>
            </w:pPr>
            <w:r w:rsidRPr="00870967">
              <w:rPr>
                <w:color w:val="FFFFFF" w:themeColor="background1"/>
                <w:lang w:val="en-AU" w:eastAsia="en-US"/>
              </w:rPr>
              <w:t>Forecas</w:t>
            </w:r>
            <w:r w:rsidR="004D7B34" w:rsidRPr="00870967">
              <w:rPr>
                <w:color w:val="FFFFFF" w:themeColor="background1"/>
                <w:lang w:val="en-AU" w:eastAsia="en-US"/>
              </w:rPr>
              <w:t>t</w:t>
            </w:r>
          </w:p>
        </w:tc>
      </w:tr>
      <w:tr w:rsidR="007D19A5" w:rsidRPr="007D19A5" w14:paraId="6B602369" w14:textId="77777777" w:rsidTr="00AF0AAE">
        <w:tc>
          <w:tcPr>
            <w:tcW w:w="812" w:type="pct"/>
          </w:tcPr>
          <w:p w14:paraId="5AD0F445" w14:textId="2A57FBFD" w:rsidR="007D19A5" w:rsidRPr="000E4BD3" w:rsidRDefault="007D19A5" w:rsidP="008A2385">
            <w:pPr>
              <w:pStyle w:val="BStablelist"/>
              <w:keepNext/>
              <w:keepLines/>
              <w:numPr>
                <w:ilvl w:val="0"/>
                <w:numId w:val="0"/>
              </w:numPr>
              <w:spacing w:before="0" w:after="0"/>
              <w:rPr>
                <w:b/>
                <w:bCs/>
                <w:lang w:val="en-AU" w:eastAsia="en-US"/>
              </w:rPr>
            </w:pPr>
            <w:r w:rsidRPr="000E4BD3">
              <w:rPr>
                <w:b/>
                <w:bCs/>
                <w:lang w:val="en-AU" w:eastAsia="en-US"/>
              </w:rPr>
              <w:t xml:space="preserve">Total </w:t>
            </w:r>
            <w:r>
              <w:rPr>
                <w:b/>
                <w:bCs/>
                <w:lang w:val="en-AU" w:eastAsia="en-US"/>
              </w:rPr>
              <w:t>r</w:t>
            </w:r>
            <w:r w:rsidRPr="000E4BD3">
              <w:rPr>
                <w:b/>
                <w:bCs/>
                <w:lang w:val="en-AU" w:eastAsia="en-US"/>
              </w:rPr>
              <w:t>evenue (GGS)</w:t>
            </w:r>
          </w:p>
        </w:tc>
        <w:tc>
          <w:tcPr>
            <w:tcW w:w="419" w:type="pct"/>
          </w:tcPr>
          <w:p w14:paraId="1D37F234" w14:textId="2EFDA993" w:rsidR="007D19A5" w:rsidRPr="007D19A5" w:rsidRDefault="007D19A5" w:rsidP="008A2385">
            <w:pPr>
              <w:pStyle w:val="BStablefigures"/>
              <w:rPr>
                <w:b w:val="0"/>
                <w:bCs w:val="0"/>
                <w:highlight w:val="yellow"/>
              </w:rPr>
            </w:pPr>
            <w:r w:rsidRPr="00682277">
              <w:rPr>
                <w:b w:val="0"/>
                <w:bCs w:val="0"/>
              </w:rPr>
              <w:t xml:space="preserve"> 9,596 </w:t>
            </w:r>
          </w:p>
        </w:tc>
        <w:tc>
          <w:tcPr>
            <w:tcW w:w="419" w:type="pct"/>
          </w:tcPr>
          <w:p w14:paraId="06538764" w14:textId="545F4963" w:rsidR="007D19A5" w:rsidRPr="007D19A5" w:rsidRDefault="007D19A5" w:rsidP="008A2385">
            <w:pPr>
              <w:pStyle w:val="BStablefigures"/>
              <w:rPr>
                <w:b w:val="0"/>
                <w:bCs w:val="0"/>
                <w:highlight w:val="yellow"/>
              </w:rPr>
            </w:pPr>
            <w:r w:rsidRPr="00682277">
              <w:rPr>
                <w:b w:val="0"/>
                <w:bCs w:val="0"/>
              </w:rPr>
              <w:t xml:space="preserve"> 10,090 </w:t>
            </w:r>
          </w:p>
        </w:tc>
        <w:tc>
          <w:tcPr>
            <w:tcW w:w="419" w:type="pct"/>
          </w:tcPr>
          <w:p w14:paraId="2CD896C3" w14:textId="668F44C3" w:rsidR="007D19A5" w:rsidRPr="007D19A5" w:rsidRDefault="007D19A5" w:rsidP="008A2385">
            <w:pPr>
              <w:pStyle w:val="BStablefigures"/>
              <w:rPr>
                <w:b w:val="0"/>
                <w:bCs w:val="0"/>
                <w:highlight w:val="yellow"/>
              </w:rPr>
            </w:pPr>
            <w:r w:rsidRPr="00682277">
              <w:rPr>
                <w:b w:val="0"/>
                <w:bCs w:val="0"/>
              </w:rPr>
              <w:t xml:space="preserve"> 10,734 </w:t>
            </w:r>
          </w:p>
        </w:tc>
        <w:tc>
          <w:tcPr>
            <w:tcW w:w="419" w:type="pct"/>
          </w:tcPr>
          <w:p w14:paraId="2E54ABC4" w14:textId="214DD8F7" w:rsidR="007D19A5" w:rsidRPr="007D19A5" w:rsidRDefault="007D19A5" w:rsidP="008A2385">
            <w:pPr>
              <w:pStyle w:val="BStablefigures"/>
              <w:rPr>
                <w:b w:val="0"/>
                <w:bCs w:val="0"/>
                <w:highlight w:val="yellow"/>
              </w:rPr>
            </w:pPr>
            <w:r w:rsidRPr="00682277">
              <w:rPr>
                <w:b w:val="0"/>
                <w:bCs w:val="0"/>
              </w:rPr>
              <w:t xml:space="preserve"> 10,921 </w:t>
            </w:r>
          </w:p>
        </w:tc>
        <w:tc>
          <w:tcPr>
            <w:tcW w:w="419" w:type="pct"/>
          </w:tcPr>
          <w:p w14:paraId="77E2EAFD" w14:textId="42893354" w:rsidR="007D19A5" w:rsidRPr="007D19A5" w:rsidRDefault="007D19A5" w:rsidP="008A2385">
            <w:pPr>
              <w:pStyle w:val="BStablefigures"/>
              <w:rPr>
                <w:b w:val="0"/>
                <w:bCs w:val="0"/>
                <w:highlight w:val="yellow"/>
              </w:rPr>
            </w:pPr>
            <w:r w:rsidRPr="00682277">
              <w:rPr>
                <w:b w:val="0"/>
                <w:bCs w:val="0"/>
              </w:rPr>
              <w:t xml:space="preserve"> 11,469 </w:t>
            </w:r>
          </w:p>
        </w:tc>
        <w:tc>
          <w:tcPr>
            <w:tcW w:w="419" w:type="pct"/>
          </w:tcPr>
          <w:p w14:paraId="20C16BF2" w14:textId="2482EED1" w:rsidR="007D19A5" w:rsidRPr="007D19A5" w:rsidRDefault="007D19A5" w:rsidP="008A2385">
            <w:pPr>
              <w:pStyle w:val="BStablefigures"/>
              <w:rPr>
                <w:b w:val="0"/>
                <w:bCs w:val="0"/>
                <w:highlight w:val="yellow"/>
              </w:rPr>
            </w:pPr>
            <w:r w:rsidRPr="00682277">
              <w:rPr>
                <w:b w:val="0"/>
                <w:bCs w:val="0"/>
              </w:rPr>
              <w:t xml:space="preserve"> 12,123 </w:t>
            </w:r>
          </w:p>
        </w:tc>
        <w:tc>
          <w:tcPr>
            <w:tcW w:w="419" w:type="pct"/>
          </w:tcPr>
          <w:p w14:paraId="00B2F76F" w14:textId="4E107E79" w:rsidR="007D19A5" w:rsidRPr="007D19A5" w:rsidRDefault="007D19A5" w:rsidP="008A2385">
            <w:pPr>
              <w:pStyle w:val="BStablefigures"/>
              <w:rPr>
                <w:b w:val="0"/>
                <w:bCs w:val="0"/>
                <w:highlight w:val="yellow"/>
              </w:rPr>
            </w:pPr>
            <w:r w:rsidRPr="00682277">
              <w:rPr>
                <w:b w:val="0"/>
                <w:bCs w:val="0"/>
              </w:rPr>
              <w:t xml:space="preserve"> 12,794 </w:t>
            </w:r>
          </w:p>
        </w:tc>
        <w:tc>
          <w:tcPr>
            <w:tcW w:w="419" w:type="pct"/>
          </w:tcPr>
          <w:p w14:paraId="65A87ECB" w14:textId="69D0CAC9" w:rsidR="007D19A5" w:rsidRPr="007D19A5" w:rsidRDefault="007D19A5" w:rsidP="008A2385">
            <w:pPr>
              <w:pStyle w:val="BStablefigures"/>
              <w:rPr>
                <w:b w:val="0"/>
                <w:bCs w:val="0"/>
                <w:highlight w:val="yellow"/>
              </w:rPr>
            </w:pPr>
            <w:r w:rsidRPr="00682277">
              <w:rPr>
                <w:b w:val="0"/>
                <w:bCs w:val="0"/>
              </w:rPr>
              <w:t xml:space="preserve"> 13,532 </w:t>
            </w:r>
          </w:p>
        </w:tc>
        <w:tc>
          <w:tcPr>
            <w:tcW w:w="419" w:type="pct"/>
          </w:tcPr>
          <w:p w14:paraId="3E440CA8" w14:textId="0A007144" w:rsidR="007D19A5" w:rsidRPr="007D19A5" w:rsidRDefault="007D19A5" w:rsidP="008A2385">
            <w:pPr>
              <w:pStyle w:val="BStablefigures"/>
              <w:rPr>
                <w:b w:val="0"/>
                <w:bCs w:val="0"/>
                <w:highlight w:val="yellow"/>
              </w:rPr>
            </w:pPr>
            <w:r w:rsidRPr="00682277">
              <w:rPr>
                <w:b w:val="0"/>
                <w:bCs w:val="0"/>
              </w:rPr>
              <w:t xml:space="preserve"> 14,292 </w:t>
            </w:r>
          </w:p>
        </w:tc>
        <w:tc>
          <w:tcPr>
            <w:tcW w:w="417" w:type="pct"/>
          </w:tcPr>
          <w:p w14:paraId="4D7DBA47" w14:textId="4E05F4ED" w:rsidR="007D19A5" w:rsidRPr="007D19A5" w:rsidRDefault="007D19A5" w:rsidP="008A2385">
            <w:pPr>
              <w:pStyle w:val="BStablefigures"/>
              <w:rPr>
                <w:b w:val="0"/>
                <w:bCs w:val="0"/>
                <w:highlight w:val="yellow"/>
              </w:rPr>
            </w:pPr>
            <w:r w:rsidRPr="00682277">
              <w:rPr>
                <w:b w:val="0"/>
                <w:bCs w:val="0"/>
              </w:rPr>
              <w:t xml:space="preserve"> 15,086 </w:t>
            </w:r>
          </w:p>
        </w:tc>
      </w:tr>
      <w:tr w:rsidR="007D19A5" w:rsidRPr="007D19A5" w14:paraId="4796BFCA" w14:textId="77777777" w:rsidTr="00AF0AAE">
        <w:tc>
          <w:tcPr>
            <w:tcW w:w="812" w:type="pct"/>
          </w:tcPr>
          <w:p w14:paraId="054E4481" w14:textId="77777777" w:rsidR="007D19A5" w:rsidRPr="000E4BD3" w:rsidRDefault="007D19A5" w:rsidP="008A2385">
            <w:pPr>
              <w:pStyle w:val="BStablelist"/>
              <w:keepNext/>
              <w:keepLines/>
              <w:numPr>
                <w:ilvl w:val="0"/>
                <w:numId w:val="0"/>
              </w:numPr>
              <w:spacing w:before="0" w:after="0"/>
              <w:rPr>
                <w:b/>
                <w:bCs/>
                <w:lang w:val="en-AU" w:eastAsia="en-US"/>
              </w:rPr>
            </w:pPr>
          </w:p>
        </w:tc>
        <w:tc>
          <w:tcPr>
            <w:tcW w:w="419" w:type="pct"/>
          </w:tcPr>
          <w:p w14:paraId="26A6B36D" w14:textId="5A8B1AB0" w:rsidR="007D19A5" w:rsidRPr="007D19A5" w:rsidRDefault="007D19A5" w:rsidP="008A2385">
            <w:pPr>
              <w:pStyle w:val="BStablefigures"/>
              <w:rPr>
                <w:b w:val="0"/>
                <w:bCs w:val="0"/>
                <w:highlight w:val="yellow"/>
              </w:rPr>
            </w:pPr>
          </w:p>
        </w:tc>
        <w:tc>
          <w:tcPr>
            <w:tcW w:w="419" w:type="pct"/>
          </w:tcPr>
          <w:p w14:paraId="643E16AA" w14:textId="258BC40E" w:rsidR="007D19A5" w:rsidRPr="007D19A5" w:rsidRDefault="007D19A5" w:rsidP="008A2385">
            <w:pPr>
              <w:pStyle w:val="BStablefigures"/>
              <w:rPr>
                <w:b w:val="0"/>
                <w:bCs w:val="0"/>
                <w:highlight w:val="yellow"/>
              </w:rPr>
            </w:pPr>
          </w:p>
        </w:tc>
        <w:tc>
          <w:tcPr>
            <w:tcW w:w="419" w:type="pct"/>
          </w:tcPr>
          <w:p w14:paraId="3CF86F32" w14:textId="7DED190F" w:rsidR="007D19A5" w:rsidRPr="007D19A5" w:rsidRDefault="007D19A5" w:rsidP="008A2385">
            <w:pPr>
              <w:pStyle w:val="BStablefigures"/>
              <w:rPr>
                <w:b w:val="0"/>
                <w:bCs w:val="0"/>
                <w:highlight w:val="yellow"/>
              </w:rPr>
            </w:pPr>
          </w:p>
        </w:tc>
        <w:tc>
          <w:tcPr>
            <w:tcW w:w="419" w:type="pct"/>
          </w:tcPr>
          <w:p w14:paraId="21CE992C" w14:textId="0BE75BB3" w:rsidR="007D19A5" w:rsidRPr="007D19A5" w:rsidRDefault="007D19A5" w:rsidP="008A2385">
            <w:pPr>
              <w:pStyle w:val="BStablefigures"/>
              <w:rPr>
                <w:b w:val="0"/>
                <w:bCs w:val="0"/>
                <w:highlight w:val="yellow"/>
              </w:rPr>
            </w:pPr>
          </w:p>
        </w:tc>
        <w:tc>
          <w:tcPr>
            <w:tcW w:w="419" w:type="pct"/>
          </w:tcPr>
          <w:p w14:paraId="0DD6F5D1" w14:textId="45B59042" w:rsidR="007D19A5" w:rsidRPr="007D19A5" w:rsidRDefault="007D19A5" w:rsidP="008A2385">
            <w:pPr>
              <w:pStyle w:val="BStablefigures"/>
              <w:rPr>
                <w:b w:val="0"/>
                <w:bCs w:val="0"/>
                <w:highlight w:val="yellow"/>
              </w:rPr>
            </w:pPr>
          </w:p>
        </w:tc>
        <w:tc>
          <w:tcPr>
            <w:tcW w:w="419" w:type="pct"/>
          </w:tcPr>
          <w:p w14:paraId="0AA11BAF" w14:textId="616C1096" w:rsidR="007D19A5" w:rsidRPr="007D19A5" w:rsidRDefault="007D19A5" w:rsidP="008A2385">
            <w:pPr>
              <w:pStyle w:val="BStablefigures"/>
              <w:rPr>
                <w:b w:val="0"/>
                <w:bCs w:val="0"/>
                <w:highlight w:val="yellow"/>
              </w:rPr>
            </w:pPr>
          </w:p>
        </w:tc>
        <w:tc>
          <w:tcPr>
            <w:tcW w:w="419" w:type="pct"/>
          </w:tcPr>
          <w:p w14:paraId="61AFCA5C" w14:textId="09C537D1" w:rsidR="007D19A5" w:rsidRPr="007D19A5" w:rsidRDefault="007D19A5" w:rsidP="008A2385">
            <w:pPr>
              <w:pStyle w:val="BStablefigures"/>
              <w:rPr>
                <w:b w:val="0"/>
                <w:bCs w:val="0"/>
                <w:highlight w:val="yellow"/>
              </w:rPr>
            </w:pPr>
          </w:p>
        </w:tc>
        <w:tc>
          <w:tcPr>
            <w:tcW w:w="419" w:type="pct"/>
          </w:tcPr>
          <w:p w14:paraId="2FF317B2" w14:textId="6DFB00EC" w:rsidR="007D19A5" w:rsidRPr="007D19A5" w:rsidRDefault="007D19A5" w:rsidP="008A2385">
            <w:pPr>
              <w:pStyle w:val="BStablefigures"/>
              <w:rPr>
                <w:b w:val="0"/>
                <w:bCs w:val="0"/>
                <w:highlight w:val="yellow"/>
              </w:rPr>
            </w:pPr>
          </w:p>
        </w:tc>
        <w:tc>
          <w:tcPr>
            <w:tcW w:w="419" w:type="pct"/>
          </w:tcPr>
          <w:p w14:paraId="1BE0CD33" w14:textId="515F602F" w:rsidR="007D19A5" w:rsidRPr="007D19A5" w:rsidRDefault="007D19A5" w:rsidP="008A2385">
            <w:pPr>
              <w:pStyle w:val="BStablefigures"/>
              <w:rPr>
                <w:b w:val="0"/>
                <w:bCs w:val="0"/>
                <w:highlight w:val="yellow"/>
              </w:rPr>
            </w:pPr>
          </w:p>
        </w:tc>
        <w:tc>
          <w:tcPr>
            <w:tcW w:w="417" w:type="pct"/>
          </w:tcPr>
          <w:p w14:paraId="1A2CE696" w14:textId="52F9CE0E" w:rsidR="007D19A5" w:rsidRPr="007D19A5" w:rsidRDefault="007D19A5" w:rsidP="008A2385">
            <w:pPr>
              <w:pStyle w:val="BStablefigures"/>
              <w:rPr>
                <w:b w:val="0"/>
                <w:bCs w:val="0"/>
                <w:highlight w:val="yellow"/>
              </w:rPr>
            </w:pPr>
          </w:p>
        </w:tc>
      </w:tr>
      <w:tr w:rsidR="007D19A5" w:rsidRPr="007D19A5" w14:paraId="748385D3" w14:textId="77777777" w:rsidTr="00AF0AAE">
        <w:tc>
          <w:tcPr>
            <w:tcW w:w="812" w:type="pct"/>
          </w:tcPr>
          <w:p w14:paraId="1EC7CCFB" w14:textId="2ED800A0" w:rsidR="007D19A5" w:rsidRPr="000E4BD3" w:rsidRDefault="007D19A5" w:rsidP="008A2385">
            <w:pPr>
              <w:pStyle w:val="BStablelist"/>
              <w:keepNext/>
              <w:keepLines/>
              <w:numPr>
                <w:ilvl w:val="0"/>
                <w:numId w:val="0"/>
              </w:numPr>
              <w:spacing w:before="0" w:after="0"/>
              <w:rPr>
                <w:b/>
                <w:bCs/>
                <w:lang w:val="en-AU" w:eastAsia="en-US"/>
              </w:rPr>
            </w:pPr>
            <w:r w:rsidRPr="000E4BD3">
              <w:rPr>
                <w:b/>
                <w:bCs/>
                <w:lang w:val="en-AU" w:eastAsia="en-US"/>
              </w:rPr>
              <w:t xml:space="preserve">Total </w:t>
            </w:r>
            <w:r>
              <w:rPr>
                <w:b/>
                <w:bCs/>
                <w:lang w:val="en-AU" w:eastAsia="en-US"/>
              </w:rPr>
              <w:t>e</w:t>
            </w:r>
            <w:r w:rsidRPr="000E4BD3">
              <w:rPr>
                <w:b/>
                <w:bCs/>
                <w:lang w:val="en-AU" w:eastAsia="en-US"/>
              </w:rPr>
              <w:t>xpenses (GGS)</w:t>
            </w:r>
          </w:p>
        </w:tc>
        <w:tc>
          <w:tcPr>
            <w:tcW w:w="419" w:type="pct"/>
          </w:tcPr>
          <w:p w14:paraId="720F74E6" w14:textId="5591FCEA" w:rsidR="007D19A5" w:rsidRPr="007D19A5" w:rsidRDefault="007D19A5" w:rsidP="008A2385">
            <w:pPr>
              <w:pStyle w:val="BStablefigures"/>
              <w:rPr>
                <w:b w:val="0"/>
                <w:bCs w:val="0"/>
                <w:highlight w:val="yellow"/>
              </w:rPr>
            </w:pPr>
            <w:r w:rsidRPr="00682277">
              <w:rPr>
                <w:b w:val="0"/>
                <w:bCs w:val="0"/>
              </w:rPr>
              <w:t xml:space="preserve"> 10,208 </w:t>
            </w:r>
          </w:p>
        </w:tc>
        <w:tc>
          <w:tcPr>
            <w:tcW w:w="419" w:type="pct"/>
          </w:tcPr>
          <w:p w14:paraId="560492D7" w14:textId="5CA08E86" w:rsidR="007D19A5" w:rsidRPr="007D19A5" w:rsidRDefault="007D19A5" w:rsidP="008A2385">
            <w:pPr>
              <w:pStyle w:val="BStablefigures"/>
              <w:rPr>
                <w:b w:val="0"/>
                <w:bCs w:val="0"/>
                <w:highlight w:val="yellow"/>
              </w:rPr>
            </w:pPr>
            <w:r w:rsidRPr="00682277">
              <w:rPr>
                <w:b w:val="0"/>
                <w:bCs w:val="0"/>
              </w:rPr>
              <w:t xml:space="preserve"> 10,422 </w:t>
            </w:r>
          </w:p>
        </w:tc>
        <w:tc>
          <w:tcPr>
            <w:tcW w:w="419" w:type="pct"/>
          </w:tcPr>
          <w:p w14:paraId="0882228B" w14:textId="16888BA4" w:rsidR="007D19A5" w:rsidRPr="007D19A5" w:rsidRDefault="007D19A5" w:rsidP="008A2385">
            <w:pPr>
              <w:pStyle w:val="BStablefigures"/>
              <w:rPr>
                <w:b w:val="0"/>
                <w:bCs w:val="0"/>
                <w:highlight w:val="yellow"/>
              </w:rPr>
            </w:pPr>
            <w:r w:rsidRPr="00682277">
              <w:rPr>
                <w:b w:val="0"/>
                <w:bCs w:val="0"/>
              </w:rPr>
              <w:t xml:space="preserve"> 10,825 </w:t>
            </w:r>
          </w:p>
        </w:tc>
        <w:tc>
          <w:tcPr>
            <w:tcW w:w="419" w:type="pct"/>
          </w:tcPr>
          <w:p w14:paraId="0373D936" w14:textId="0F61C7B5" w:rsidR="007D19A5" w:rsidRPr="007D19A5" w:rsidRDefault="007D19A5" w:rsidP="008A2385">
            <w:pPr>
              <w:pStyle w:val="BStablefigures"/>
              <w:rPr>
                <w:b w:val="0"/>
                <w:bCs w:val="0"/>
                <w:highlight w:val="yellow"/>
              </w:rPr>
            </w:pPr>
            <w:r w:rsidRPr="00682277">
              <w:rPr>
                <w:b w:val="0"/>
                <w:bCs w:val="0"/>
              </w:rPr>
              <w:t xml:space="preserve"> 10,925 </w:t>
            </w:r>
          </w:p>
        </w:tc>
        <w:tc>
          <w:tcPr>
            <w:tcW w:w="419" w:type="pct"/>
          </w:tcPr>
          <w:p w14:paraId="0E608E43" w14:textId="353715EA" w:rsidR="007D19A5" w:rsidRPr="007D19A5" w:rsidRDefault="007D19A5" w:rsidP="008A2385">
            <w:pPr>
              <w:pStyle w:val="BStablefigures"/>
              <w:rPr>
                <w:b w:val="0"/>
                <w:bCs w:val="0"/>
                <w:highlight w:val="yellow"/>
              </w:rPr>
            </w:pPr>
            <w:r w:rsidRPr="00682277">
              <w:rPr>
                <w:b w:val="0"/>
                <w:bCs w:val="0"/>
              </w:rPr>
              <w:t xml:space="preserve"> 11,508 </w:t>
            </w:r>
          </w:p>
        </w:tc>
        <w:tc>
          <w:tcPr>
            <w:tcW w:w="419" w:type="pct"/>
          </w:tcPr>
          <w:p w14:paraId="293E692C" w14:textId="1D507D77" w:rsidR="007D19A5" w:rsidRPr="007D19A5" w:rsidRDefault="007D19A5" w:rsidP="008A2385">
            <w:pPr>
              <w:pStyle w:val="BStablefigures"/>
              <w:rPr>
                <w:b w:val="0"/>
                <w:bCs w:val="0"/>
                <w:highlight w:val="yellow"/>
              </w:rPr>
            </w:pPr>
            <w:r w:rsidRPr="00682277">
              <w:rPr>
                <w:b w:val="0"/>
                <w:bCs w:val="0"/>
              </w:rPr>
              <w:t xml:space="preserve"> 12,183 </w:t>
            </w:r>
          </w:p>
        </w:tc>
        <w:tc>
          <w:tcPr>
            <w:tcW w:w="419" w:type="pct"/>
          </w:tcPr>
          <w:p w14:paraId="5A5585BD" w14:textId="33E9EE56" w:rsidR="007D19A5" w:rsidRPr="007D19A5" w:rsidRDefault="007D19A5" w:rsidP="008A2385">
            <w:pPr>
              <w:pStyle w:val="BStablefigures"/>
              <w:rPr>
                <w:b w:val="0"/>
                <w:bCs w:val="0"/>
                <w:highlight w:val="yellow"/>
              </w:rPr>
            </w:pPr>
            <w:r w:rsidRPr="00682277">
              <w:rPr>
                <w:b w:val="0"/>
                <w:bCs w:val="0"/>
              </w:rPr>
              <w:t xml:space="preserve"> 12,890 </w:t>
            </w:r>
          </w:p>
        </w:tc>
        <w:tc>
          <w:tcPr>
            <w:tcW w:w="419" w:type="pct"/>
          </w:tcPr>
          <w:p w14:paraId="1DF88BD0" w14:textId="3069243F" w:rsidR="007D19A5" w:rsidRPr="007D19A5" w:rsidRDefault="007D19A5" w:rsidP="008A2385">
            <w:pPr>
              <w:pStyle w:val="BStablefigures"/>
              <w:rPr>
                <w:b w:val="0"/>
                <w:bCs w:val="0"/>
                <w:highlight w:val="yellow"/>
              </w:rPr>
            </w:pPr>
            <w:r w:rsidRPr="00682277">
              <w:rPr>
                <w:b w:val="0"/>
                <w:bCs w:val="0"/>
              </w:rPr>
              <w:t xml:space="preserve"> 13,637 </w:t>
            </w:r>
          </w:p>
        </w:tc>
        <w:tc>
          <w:tcPr>
            <w:tcW w:w="419" w:type="pct"/>
          </w:tcPr>
          <w:p w14:paraId="63187078" w14:textId="4CA057E8" w:rsidR="007D19A5" w:rsidRPr="007D19A5" w:rsidRDefault="007D19A5" w:rsidP="008A2385">
            <w:pPr>
              <w:pStyle w:val="BStablefigures"/>
              <w:rPr>
                <w:b w:val="0"/>
                <w:bCs w:val="0"/>
                <w:highlight w:val="yellow"/>
              </w:rPr>
            </w:pPr>
            <w:r w:rsidRPr="00682277">
              <w:rPr>
                <w:b w:val="0"/>
                <w:bCs w:val="0"/>
              </w:rPr>
              <w:t xml:space="preserve"> 14,369 </w:t>
            </w:r>
          </w:p>
        </w:tc>
        <w:tc>
          <w:tcPr>
            <w:tcW w:w="417" w:type="pct"/>
          </w:tcPr>
          <w:p w14:paraId="3B9F977E" w14:textId="3E594303" w:rsidR="007D19A5" w:rsidRPr="007D19A5" w:rsidRDefault="007D19A5" w:rsidP="008A2385">
            <w:pPr>
              <w:pStyle w:val="BStablefigures"/>
              <w:rPr>
                <w:b w:val="0"/>
                <w:bCs w:val="0"/>
                <w:highlight w:val="yellow"/>
              </w:rPr>
            </w:pPr>
            <w:r w:rsidRPr="00682277">
              <w:rPr>
                <w:b w:val="0"/>
                <w:bCs w:val="0"/>
              </w:rPr>
              <w:t xml:space="preserve"> 15,104 </w:t>
            </w:r>
          </w:p>
        </w:tc>
      </w:tr>
      <w:tr w:rsidR="007D19A5" w:rsidRPr="007D19A5" w14:paraId="1A21B1CD" w14:textId="77777777" w:rsidTr="00AF0AAE">
        <w:tc>
          <w:tcPr>
            <w:tcW w:w="812" w:type="pct"/>
          </w:tcPr>
          <w:p w14:paraId="660BE120" w14:textId="77777777" w:rsidR="007D19A5" w:rsidRPr="000E4BD3" w:rsidRDefault="007D19A5" w:rsidP="008A2385">
            <w:pPr>
              <w:pStyle w:val="BStablelist"/>
              <w:keepNext/>
              <w:keepLines/>
              <w:numPr>
                <w:ilvl w:val="0"/>
                <w:numId w:val="0"/>
              </w:numPr>
              <w:spacing w:before="0" w:after="0"/>
              <w:ind w:left="360" w:hanging="360"/>
              <w:rPr>
                <w:b/>
                <w:bCs/>
                <w:lang w:val="en-AU" w:eastAsia="en-US"/>
              </w:rPr>
            </w:pPr>
          </w:p>
        </w:tc>
        <w:tc>
          <w:tcPr>
            <w:tcW w:w="419" w:type="pct"/>
          </w:tcPr>
          <w:p w14:paraId="70C87F29" w14:textId="1CD6EC7F" w:rsidR="007D19A5" w:rsidRPr="007D19A5" w:rsidRDefault="007D19A5" w:rsidP="008A2385">
            <w:pPr>
              <w:pStyle w:val="BStablefigures"/>
              <w:rPr>
                <w:b w:val="0"/>
                <w:bCs w:val="0"/>
                <w:highlight w:val="yellow"/>
              </w:rPr>
            </w:pPr>
          </w:p>
        </w:tc>
        <w:tc>
          <w:tcPr>
            <w:tcW w:w="419" w:type="pct"/>
          </w:tcPr>
          <w:p w14:paraId="56C32F5F" w14:textId="7C3B95A8" w:rsidR="007D19A5" w:rsidRPr="007D19A5" w:rsidRDefault="007D19A5" w:rsidP="008A2385">
            <w:pPr>
              <w:pStyle w:val="BStablefigures"/>
              <w:rPr>
                <w:b w:val="0"/>
                <w:bCs w:val="0"/>
                <w:highlight w:val="yellow"/>
              </w:rPr>
            </w:pPr>
          </w:p>
        </w:tc>
        <w:tc>
          <w:tcPr>
            <w:tcW w:w="419" w:type="pct"/>
          </w:tcPr>
          <w:p w14:paraId="18FD2382" w14:textId="14E93FDA" w:rsidR="007D19A5" w:rsidRPr="007D19A5" w:rsidRDefault="007D19A5" w:rsidP="008A2385">
            <w:pPr>
              <w:pStyle w:val="BStablefigures"/>
              <w:rPr>
                <w:b w:val="0"/>
                <w:bCs w:val="0"/>
                <w:highlight w:val="yellow"/>
              </w:rPr>
            </w:pPr>
          </w:p>
        </w:tc>
        <w:tc>
          <w:tcPr>
            <w:tcW w:w="419" w:type="pct"/>
          </w:tcPr>
          <w:p w14:paraId="4247FD74" w14:textId="53433E60" w:rsidR="007D19A5" w:rsidRPr="007D19A5" w:rsidRDefault="007D19A5" w:rsidP="008A2385">
            <w:pPr>
              <w:pStyle w:val="BStablefigures"/>
              <w:rPr>
                <w:b w:val="0"/>
                <w:bCs w:val="0"/>
                <w:highlight w:val="yellow"/>
              </w:rPr>
            </w:pPr>
          </w:p>
        </w:tc>
        <w:tc>
          <w:tcPr>
            <w:tcW w:w="419" w:type="pct"/>
          </w:tcPr>
          <w:p w14:paraId="5ED33311" w14:textId="55BCBAD8" w:rsidR="007D19A5" w:rsidRPr="007D19A5" w:rsidRDefault="007D19A5" w:rsidP="008A2385">
            <w:pPr>
              <w:pStyle w:val="BStablefigures"/>
              <w:rPr>
                <w:b w:val="0"/>
                <w:bCs w:val="0"/>
                <w:highlight w:val="yellow"/>
              </w:rPr>
            </w:pPr>
          </w:p>
        </w:tc>
        <w:tc>
          <w:tcPr>
            <w:tcW w:w="419" w:type="pct"/>
          </w:tcPr>
          <w:p w14:paraId="675AEA8A" w14:textId="4458E5BB" w:rsidR="007D19A5" w:rsidRPr="007D19A5" w:rsidRDefault="007D19A5" w:rsidP="008A2385">
            <w:pPr>
              <w:pStyle w:val="BStablefigures"/>
              <w:rPr>
                <w:b w:val="0"/>
                <w:bCs w:val="0"/>
                <w:highlight w:val="yellow"/>
              </w:rPr>
            </w:pPr>
          </w:p>
        </w:tc>
        <w:tc>
          <w:tcPr>
            <w:tcW w:w="419" w:type="pct"/>
          </w:tcPr>
          <w:p w14:paraId="25E4A865" w14:textId="21721B0A" w:rsidR="007D19A5" w:rsidRPr="007D19A5" w:rsidRDefault="007D19A5" w:rsidP="008A2385">
            <w:pPr>
              <w:pStyle w:val="BStablefigures"/>
              <w:rPr>
                <w:b w:val="0"/>
                <w:bCs w:val="0"/>
                <w:highlight w:val="yellow"/>
              </w:rPr>
            </w:pPr>
          </w:p>
        </w:tc>
        <w:tc>
          <w:tcPr>
            <w:tcW w:w="419" w:type="pct"/>
          </w:tcPr>
          <w:p w14:paraId="501CF29F" w14:textId="31841BE3" w:rsidR="007D19A5" w:rsidRPr="007D19A5" w:rsidRDefault="007D19A5" w:rsidP="008A2385">
            <w:pPr>
              <w:pStyle w:val="BStablefigures"/>
              <w:rPr>
                <w:b w:val="0"/>
                <w:bCs w:val="0"/>
                <w:highlight w:val="yellow"/>
              </w:rPr>
            </w:pPr>
          </w:p>
        </w:tc>
        <w:tc>
          <w:tcPr>
            <w:tcW w:w="419" w:type="pct"/>
          </w:tcPr>
          <w:p w14:paraId="0194A5FE" w14:textId="342E915B" w:rsidR="007D19A5" w:rsidRPr="007D19A5" w:rsidRDefault="007D19A5" w:rsidP="008A2385">
            <w:pPr>
              <w:pStyle w:val="BStablefigures"/>
              <w:rPr>
                <w:b w:val="0"/>
                <w:bCs w:val="0"/>
                <w:highlight w:val="yellow"/>
              </w:rPr>
            </w:pPr>
          </w:p>
        </w:tc>
        <w:tc>
          <w:tcPr>
            <w:tcW w:w="417" w:type="pct"/>
          </w:tcPr>
          <w:p w14:paraId="3EB0A7C9" w14:textId="798B2B3E" w:rsidR="007D19A5" w:rsidRPr="007D19A5" w:rsidRDefault="007D19A5" w:rsidP="008A2385">
            <w:pPr>
              <w:pStyle w:val="BStablefigures"/>
              <w:rPr>
                <w:b w:val="0"/>
                <w:bCs w:val="0"/>
                <w:highlight w:val="yellow"/>
              </w:rPr>
            </w:pPr>
          </w:p>
        </w:tc>
      </w:tr>
      <w:tr w:rsidR="007D19A5" w:rsidRPr="007D19A5" w14:paraId="6DAE80AB" w14:textId="77777777" w:rsidTr="00AF0AAE">
        <w:tc>
          <w:tcPr>
            <w:tcW w:w="812" w:type="pct"/>
          </w:tcPr>
          <w:p w14:paraId="74B1F3AC" w14:textId="48C6F2A4" w:rsidR="007D19A5" w:rsidRPr="00861C2F" w:rsidRDefault="007D19A5" w:rsidP="008A2385">
            <w:pPr>
              <w:pStyle w:val="BStablelist"/>
              <w:keepNext/>
              <w:keepLines/>
              <w:numPr>
                <w:ilvl w:val="0"/>
                <w:numId w:val="0"/>
              </w:numPr>
              <w:spacing w:before="0" w:after="0"/>
              <w:ind w:left="360" w:hanging="360"/>
              <w:rPr>
                <w:lang w:val="en-AU" w:eastAsia="en-US"/>
              </w:rPr>
            </w:pPr>
            <w:r w:rsidRPr="005A475F">
              <w:rPr>
                <w:b/>
                <w:bCs/>
                <w:lang w:val="en-AU" w:eastAsia="en-US"/>
              </w:rPr>
              <w:t xml:space="preserve">Net </w:t>
            </w:r>
            <w:r>
              <w:rPr>
                <w:b/>
                <w:bCs/>
                <w:lang w:val="en-AU" w:eastAsia="en-US"/>
              </w:rPr>
              <w:t>O</w:t>
            </w:r>
            <w:r w:rsidRPr="005A475F">
              <w:rPr>
                <w:b/>
                <w:bCs/>
                <w:lang w:val="en-AU" w:eastAsia="en-US"/>
              </w:rPr>
              <w:t>perating Balance</w:t>
            </w:r>
            <w:r>
              <w:rPr>
                <w:b/>
                <w:bCs/>
                <w:lang w:val="en-AU" w:eastAsia="en-US"/>
              </w:rPr>
              <w:t xml:space="preserve"> (GGS)</w:t>
            </w:r>
          </w:p>
        </w:tc>
        <w:tc>
          <w:tcPr>
            <w:tcW w:w="419" w:type="pct"/>
          </w:tcPr>
          <w:p w14:paraId="69DE0FC8" w14:textId="016C9ADE" w:rsidR="007D19A5" w:rsidRPr="007D19A5" w:rsidRDefault="007D19A5" w:rsidP="008A2385">
            <w:pPr>
              <w:pStyle w:val="BStablefigures"/>
              <w:rPr>
                <w:b w:val="0"/>
                <w:bCs w:val="0"/>
                <w:highlight w:val="yellow"/>
              </w:rPr>
            </w:pPr>
            <w:r w:rsidRPr="00682277">
              <w:rPr>
                <w:b w:val="0"/>
                <w:bCs w:val="0"/>
              </w:rPr>
              <w:t xml:space="preserve">-612 </w:t>
            </w:r>
          </w:p>
        </w:tc>
        <w:tc>
          <w:tcPr>
            <w:tcW w:w="419" w:type="pct"/>
          </w:tcPr>
          <w:p w14:paraId="07106711" w14:textId="3E7DE2C8" w:rsidR="007D19A5" w:rsidRPr="007D19A5" w:rsidRDefault="007D19A5" w:rsidP="008A2385">
            <w:pPr>
              <w:pStyle w:val="BStablefigures"/>
              <w:rPr>
                <w:b w:val="0"/>
                <w:bCs w:val="0"/>
                <w:highlight w:val="yellow"/>
              </w:rPr>
            </w:pPr>
            <w:r w:rsidRPr="00682277">
              <w:rPr>
                <w:b w:val="0"/>
                <w:bCs w:val="0"/>
              </w:rPr>
              <w:t xml:space="preserve">-331 </w:t>
            </w:r>
          </w:p>
        </w:tc>
        <w:tc>
          <w:tcPr>
            <w:tcW w:w="419" w:type="pct"/>
          </w:tcPr>
          <w:p w14:paraId="1B4EB0E0" w14:textId="7E71EBF8" w:rsidR="007D19A5" w:rsidRPr="007D19A5" w:rsidRDefault="007D19A5" w:rsidP="008A2385">
            <w:pPr>
              <w:pStyle w:val="BStablefigures"/>
              <w:rPr>
                <w:b w:val="0"/>
                <w:bCs w:val="0"/>
                <w:highlight w:val="yellow"/>
              </w:rPr>
            </w:pPr>
            <w:r w:rsidRPr="00682277">
              <w:rPr>
                <w:b w:val="0"/>
                <w:bCs w:val="0"/>
              </w:rPr>
              <w:t xml:space="preserve">-90 </w:t>
            </w:r>
          </w:p>
        </w:tc>
        <w:tc>
          <w:tcPr>
            <w:tcW w:w="419" w:type="pct"/>
          </w:tcPr>
          <w:p w14:paraId="34E42F9B" w14:textId="7376822D" w:rsidR="007D19A5" w:rsidRPr="007D19A5" w:rsidRDefault="007D19A5" w:rsidP="008A2385">
            <w:pPr>
              <w:pStyle w:val="BStablefigures"/>
              <w:rPr>
                <w:b w:val="0"/>
                <w:bCs w:val="0"/>
                <w:highlight w:val="yellow"/>
              </w:rPr>
            </w:pPr>
            <w:r w:rsidRPr="00682277">
              <w:rPr>
                <w:b w:val="0"/>
                <w:bCs w:val="0"/>
              </w:rPr>
              <w:t xml:space="preserve">-4 </w:t>
            </w:r>
          </w:p>
        </w:tc>
        <w:tc>
          <w:tcPr>
            <w:tcW w:w="419" w:type="pct"/>
          </w:tcPr>
          <w:p w14:paraId="310329EC" w14:textId="246CE692" w:rsidR="007D19A5" w:rsidRPr="007D19A5" w:rsidRDefault="007D19A5" w:rsidP="008A2385">
            <w:pPr>
              <w:pStyle w:val="BStablefigures"/>
              <w:rPr>
                <w:b w:val="0"/>
                <w:bCs w:val="0"/>
                <w:highlight w:val="yellow"/>
              </w:rPr>
            </w:pPr>
            <w:r w:rsidRPr="00682277">
              <w:rPr>
                <w:b w:val="0"/>
                <w:bCs w:val="0"/>
              </w:rPr>
              <w:t xml:space="preserve">-39 </w:t>
            </w:r>
          </w:p>
        </w:tc>
        <w:tc>
          <w:tcPr>
            <w:tcW w:w="419" w:type="pct"/>
          </w:tcPr>
          <w:p w14:paraId="616C09B1" w14:textId="00D62A03" w:rsidR="007D19A5" w:rsidRPr="007D19A5" w:rsidRDefault="007D19A5" w:rsidP="008A2385">
            <w:pPr>
              <w:pStyle w:val="BStablefigures"/>
              <w:rPr>
                <w:b w:val="0"/>
                <w:bCs w:val="0"/>
                <w:highlight w:val="yellow"/>
              </w:rPr>
            </w:pPr>
            <w:r w:rsidRPr="00682277">
              <w:rPr>
                <w:b w:val="0"/>
                <w:bCs w:val="0"/>
              </w:rPr>
              <w:t xml:space="preserve">-60 </w:t>
            </w:r>
          </w:p>
        </w:tc>
        <w:tc>
          <w:tcPr>
            <w:tcW w:w="419" w:type="pct"/>
          </w:tcPr>
          <w:p w14:paraId="08BCA5AB" w14:textId="331666B2" w:rsidR="007D19A5" w:rsidRPr="007D19A5" w:rsidRDefault="007D19A5" w:rsidP="008A2385">
            <w:pPr>
              <w:pStyle w:val="BStablefigures"/>
              <w:rPr>
                <w:b w:val="0"/>
                <w:bCs w:val="0"/>
                <w:highlight w:val="yellow"/>
              </w:rPr>
            </w:pPr>
            <w:r w:rsidRPr="00682277">
              <w:rPr>
                <w:b w:val="0"/>
                <w:bCs w:val="0"/>
              </w:rPr>
              <w:t xml:space="preserve">-96 </w:t>
            </w:r>
          </w:p>
        </w:tc>
        <w:tc>
          <w:tcPr>
            <w:tcW w:w="419" w:type="pct"/>
          </w:tcPr>
          <w:p w14:paraId="482C46D8" w14:textId="7D6E7794" w:rsidR="007D19A5" w:rsidRPr="007D19A5" w:rsidRDefault="007D19A5" w:rsidP="008A2385">
            <w:pPr>
              <w:pStyle w:val="BStablefigures"/>
              <w:rPr>
                <w:b w:val="0"/>
                <w:bCs w:val="0"/>
                <w:highlight w:val="yellow"/>
              </w:rPr>
            </w:pPr>
            <w:r w:rsidRPr="00682277">
              <w:rPr>
                <w:b w:val="0"/>
                <w:bCs w:val="0"/>
              </w:rPr>
              <w:t xml:space="preserve">-104 </w:t>
            </w:r>
          </w:p>
        </w:tc>
        <w:tc>
          <w:tcPr>
            <w:tcW w:w="419" w:type="pct"/>
          </w:tcPr>
          <w:p w14:paraId="65A6AF5F" w14:textId="11EE67F6" w:rsidR="007D19A5" w:rsidRPr="007D19A5" w:rsidRDefault="007D19A5" w:rsidP="008A2385">
            <w:pPr>
              <w:pStyle w:val="BStablefigures"/>
              <w:rPr>
                <w:b w:val="0"/>
                <w:bCs w:val="0"/>
                <w:highlight w:val="yellow"/>
              </w:rPr>
            </w:pPr>
            <w:r w:rsidRPr="00682277">
              <w:rPr>
                <w:b w:val="0"/>
                <w:bCs w:val="0"/>
              </w:rPr>
              <w:t xml:space="preserve">-78 </w:t>
            </w:r>
          </w:p>
        </w:tc>
        <w:tc>
          <w:tcPr>
            <w:tcW w:w="417" w:type="pct"/>
          </w:tcPr>
          <w:p w14:paraId="46A2C6B9" w14:textId="0216F58E" w:rsidR="007D19A5" w:rsidRPr="007D19A5" w:rsidRDefault="007D19A5" w:rsidP="008A2385">
            <w:pPr>
              <w:pStyle w:val="BStablefigures"/>
              <w:rPr>
                <w:b w:val="0"/>
                <w:bCs w:val="0"/>
                <w:highlight w:val="yellow"/>
              </w:rPr>
            </w:pPr>
            <w:r w:rsidRPr="00682277">
              <w:rPr>
                <w:b w:val="0"/>
                <w:bCs w:val="0"/>
              </w:rPr>
              <w:t xml:space="preserve">-18 </w:t>
            </w:r>
          </w:p>
        </w:tc>
      </w:tr>
      <w:tr w:rsidR="007D19A5" w:rsidRPr="007D19A5" w14:paraId="0F4A8536" w14:textId="77777777" w:rsidTr="00AF0AAE">
        <w:tc>
          <w:tcPr>
            <w:tcW w:w="812" w:type="pct"/>
          </w:tcPr>
          <w:p w14:paraId="28F53C9C" w14:textId="77777777" w:rsidR="007D19A5" w:rsidRDefault="007D19A5" w:rsidP="008A2385">
            <w:pPr>
              <w:pStyle w:val="BStablelist"/>
              <w:keepNext/>
              <w:keepLines/>
              <w:numPr>
                <w:ilvl w:val="0"/>
                <w:numId w:val="0"/>
              </w:numPr>
              <w:spacing w:before="0" w:after="0"/>
              <w:ind w:left="360" w:hanging="360"/>
              <w:rPr>
                <w:b/>
                <w:bCs/>
                <w:lang w:val="en-AU" w:eastAsia="en-US"/>
              </w:rPr>
            </w:pPr>
          </w:p>
        </w:tc>
        <w:tc>
          <w:tcPr>
            <w:tcW w:w="419" w:type="pct"/>
          </w:tcPr>
          <w:p w14:paraId="6322ED8F" w14:textId="09E97D54" w:rsidR="007D19A5" w:rsidRPr="007D19A5" w:rsidRDefault="007D19A5" w:rsidP="008A2385">
            <w:pPr>
              <w:pStyle w:val="BStablefigures"/>
              <w:rPr>
                <w:b w:val="0"/>
                <w:bCs w:val="0"/>
                <w:highlight w:val="yellow"/>
              </w:rPr>
            </w:pPr>
          </w:p>
        </w:tc>
        <w:tc>
          <w:tcPr>
            <w:tcW w:w="419" w:type="pct"/>
          </w:tcPr>
          <w:p w14:paraId="4E006C54" w14:textId="5D79B0E4" w:rsidR="007D19A5" w:rsidRPr="007D19A5" w:rsidRDefault="007D19A5" w:rsidP="008A2385">
            <w:pPr>
              <w:pStyle w:val="BStablefigures"/>
              <w:rPr>
                <w:b w:val="0"/>
                <w:bCs w:val="0"/>
                <w:highlight w:val="yellow"/>
              </w:rPr>
            </w:pPr>
          </w:p>
        </w:tc>
        <w:tc>
          <w:tcPr>
            <w:tcW w:w="419" w:type="pct"/>
          </w:tcPr>
          <w:p w14:paraId="0148A325" w14:textId="20840F92" w:rsidR="007D19A5" w:rsidRPr="007D19A5" w:rsidRDefault="007D19A5" w:rsidP="008A2385">
            <w:pPr>
              <w:pStyle w:val="BStablefigures"/>
              <w:rPr>
                <w:b w:val="0"/>
                <w:bCs w:val="0"/>
                <w:highlight w:val="yellow"/>
              </w:rPr>
            </w:pPr>
          </w:p>
        </w:tc>
        <w:tc>
          <w:tcPr>
            <w:tcW w:w="419" w:type="pct"/>
          </w:tcPr>
          <w:p w14:paraId="5AA760A3" w14:textId="0556075E" w:rsidR="007D19A5" w:rsidRPr="007D19A5" w:rsidRDefault="007D19A5" w:rsidP="008A2385">
            <w:pPr>
              <w:pStyle w:val="BStablefigures"/>
              <w:rPr>
                <w:b w:val="0"/>
                <w:bCs w:val="0"/>
                <w:highlight w:val="yellow"/>
              </w:rPr>
            </w:pPr>
          </w:p>
        </w:tc>
        <w:tc>
          <w:tcPr>
            <w:tcW w:w="419" w:type="pct"/>
          </w:tcPr>
          <w:p w14:paraId="62332EC5" w14:textId="506564E2" w:rsidR="007D19A5" w:rsidRPr="007D19A5" w:rsidRDefault="007D19A5" w:rsidP="008A2385">
            <w:pPr>
              <w:pStyle w:val="BStablefigures"/>
              <w:rPr>
                <w:b w:val="0"/>
                <w:bCs w:val="0"/>
                <w:highlight w:val="yellow"/>
              </w:rPr>
            </w:pPr>
          </w:p>
        </w:tc>
        <w:tc>
          <w:tcPr>
            <w:tcW w:w="419" w:type="pct"/>
          </w:tcPr>
          <w:p w14:paraId="609633E6" w14:textId="5CDC13BB" w:rsidR="007D19A5" w:rsidRPr="007D19A5" w:rsidRDefault="007D19A5" w:rsidP="008A2385">
            <w:pPr>
              <w:pStyle w:val="BStablefigures"/>
              <w:rPr>
                <w:b w:val="0"/>
                <w:bCs w:val="0"/>
                <w:highlight w:val="yellow"/>
              </w:rPr>
            </w:pPr>
          </w:p>
        </w:tc>
        <w:tc>
          <w:tcPr>
            <w:tcW w:w="419" w:type="pct"/>
          </w:tcPr>
          <w:p w14:paraId="7D51F3D0" w14:textId="01EDE0C7" w:rsidR="007D19A5" w:rsidRPr="007D19A5" w:rsidRDefault="007D19A5" w:rsidP="008A2385">
            <w:pPr>
              <w:pStyle w:val="BStablefigures"/>
              <w:rPr>
                <w:b w:val="0"/>
                <w:bCs w:val="0"/>
                <w:highlight w:val="yellow"/>
              </w:rPr>
            </w:pPr>
          </w:p>
        </w:tc>
        <w:tc>
          <w:tcPr>
            <w:tcW w:w="419" w:type="pct"/>
          </w:tcPr>
          <w:p w14:paraId="4C037D08" w14:textId="1DD4DEBA" w:rsidR="007D19A5" w:rsidRPr="007D19A5" w:rsidRDefault="007D19A5" w:rsidP="008A2385">
            <w:pPr>
              <w:pStyle w:val="BStablefigures"/>
              <w:rPr>
                <w:b w:val="0"/>
                <w:bCs w:val="0"/>
                <w:highlight w:val="yellow"/>
              </w:rPr>
            </w:pPr>
          </w:p>
        </w:tc>
        <w:tc>
          <w:tcPr>
            <w:tcW w:w="419" w:type="pct"/>
          </w:tcPr>
          <w:p w14:paraId="3CE06928" w14:textId="0A715467" w:rsidR="007D19A5" w:rsidRPr="007D19A5" w:rsidRDefault="007D19A5" w:rsidP="008A2385">
            <w:pPr>
              <w:pStyle w:val="BStablefigures"/>
              <w:rPr>
                <w:b w:val="0"/>
                <w:bCs w:val="0"/>
                <w:highlight w:val="yellow"/>
              </w:rPr>
            </w:pPr>
          </w:p>
        </w:tc>
        <w:tc>
          <w:tcPr>
            <w:tcW w:w="417" w:type="pct"/>
          </w:tcPr>
          <w:p w14:paraId="082F07CA" w14:textId="38BF9AD5" w:rsidR="007D19A5" w:rsidRPr="007D19A5" w:rsidRDefault="007D19A5" w:rsidP="008A2385">
            <w:pPr>
              <w:pStyle w:val="BStablefigures"/>
              <w:rPr>
                <w:b w:val="0"/>
                <w:bCs w:val="0"/>
                <w:highlight w:val="yellow"/>
              </w:rPr>
            </w:pPr>
          </w:p>
        </w:tc>
      </w:tr>
      <w:tr w:rsidR="007D19A5" w:rsidRPr="007D19A5" w14:paraId="42EF05B0" w14:textId="77777777" w:rsidTr="00AF0AAE">
        <w:tc>
          <w:tcPr>
            <w:tcW w:w="812" w:type="pct"/>
          </w:tcPr>
          <w:p w14:paraId="623B6961" w14:textId="7F98C79A" w:rsidR="007D19A5" w:rsidRPr="005A475F" w:rsidRDefault="007D19A5" w:rsidP="008A2385">
            <w:pPr>
              <w:pStyle w:val="BStablelist"/>
              <w:keepNext/>
              <w:keepLines/>
              <w:numPr>
                <w:ilvl w:val="0"/>
                <w:numId w:val="0"/>
              </w:numPr>
              <w:spacing w:before="0" w:after="0"/>
              <w:ind w:left="360" w:hanging="360"/>
              <w:rPr>
                <w:b/>
                <w:bCs/>
                <w:lang w:val="en-AU" w:eastAsia="en-US"/>
              </w:rPr>
            </w:pPr>
            <w:r>
              <w:rPr>
                <w:b/>
                <w:bCs/>
                <w:lang w:val="en-AU" w:eastAsia="en-US"/>
              </w:rPr>
              <w:t xml:space="preserve">Headline </w:t>
            </w:r>
            <w:r w:rsidRPr="005A475F">
              <w:rPr>
                <w:b/>
                <w:bCs/>
                <w:lang w:val="en-AU" w:eastAsia="en-US"/>
              </w:rPr>
              <w:t xml:space="preserve">Net </w:t>
            </w:r>
            <w:r w:rsidR="00A20ECD">
              <w:rPr>
                <w:b/>
                <w:bCs/>
                <w:lang w:val="en-AU" w:eastAsia="en-US"/>
              </w:rPr>
              <w:t>O</w:t>
            </w:r>
            <w:r w:rsidRPr="005A475F">
              <w:rPr>
                <w:b/>
                <w:bCs/>
                <w:lang w:val="en-AU" w:eastAsia="en-US"/>
              </w:rPr>
              <w:t>perating Balance</w:t>
            </w:r>
            <w:r>
              <w:rPr>
                <w:b/>
                <w:bCs/>
                <w:lang w:val="en-AU" w:eastAsia="en-US"/>
              </w:rPr>
              <w:t xml:space="preserve"> (GGS)</w:t>
            </w:r>
          </w:p>
        </w:tc>
        <w:tc>
          <w:tcPr>
            <w:tcW w:w="419" w:type="pct"/>
          </w:tcPr>
          <w:p w14:paraId="1C46A05B" w14:textId="45D6EA01" w:rsidR="007D19A5" w:rsidRPr="007D19A5" w:rsidRDefault="007D19A5" w:rsidP="008A2385">
            <w:pPr>
              <w:pStyle w:val="BStablefigures"/>
              <w:rPr>
                <w:b w:val="0"/>
                <w:bCs w:val="0"/>
                <w:highlight w:val="yellow"/>
              </w:rPr>
            </w:pPr>
            <w:r w:rsidRPr="00682277">
              <w:rPr>
                <w:b w:val="0"/>
                <w:bCs w:val="0"/>
              </w:rPr>
              <w:t xml:space="preserve">-323 </w:t>
            </w:r>
          </w:p>
        </w:tc>
        <w:tc>
          <w:tcPr>
            <w:tcW w:w="419" w:type="pct"/>
          </w:tcPr>
          <w:p w14:paraId="5C828F09" w14:textId="60DC02A7" w:rsidR="007D19A5" w:rsidRPr="007D19A5" w:rsidRDefault="007D19A5" w:rsidP="008A2385">
            <w:pPr>
              <w:pStyle w:val="BStablefigures"/>
              <w:rPr>
                <w:b w:val="0"/>
                <w:bCs w:val="0"/>
                <w:highlight w:val="yellow"/>
              </w:rPr>
            </w:pPr>
            <w:r w:rsidRPr="00682277">
              <w:rPr>
                <w:b w:val="0"/>
                <w:bCs w:val="0"/>
              </w:rPr>
              <w:t xml:space="preserve">-21 </w:t>
            </w:r>
          </w:p>
        </w:tc>
        <w:tc>
          <w:tcPr>
            <w:tcW w:w="419" w:type="pct"/>
          </w:tcPr>
          <w:p w14:paraId="15C8C3D9" w14:textId="735EACC9" w:rsidR="007D19A5" w:rsidRPr="007D19A5" w:rsidRDefault="007D19A5" w:rsidP="008A2385">
            <w:pPr>
              <w:pStyle w:val="BStablefigures"/>
              <w:rPr>
                <w:b w:val="0"/>
                <w:bCs w:val="0"/>
                <w:highlight w:val="yellow"/>
              </w:rPr>
            </w:pPr>
            <w:r w:rsidRPr="00682277">
              <w:rPr>
                <w:b w:val="0"/>
                <w:bCs w:val="0"/>
              </w:rPr>
              <w:t xml:space="preserve"> 244 </w:t>
            </w:r>
          </w:p>
        </w:tc>
        <w:tc>
          <w:tcPr>
            <w:tcW w:w="419" w:type="pct"/>
          </w:tcPr>
          <w:p w14:paraId="3A83B132" w14:textId="12179F59" w:rsidR="007D19A5" w:rsidRPr="007D19A5" w:rsidRDefault="007D19A5" w:rsidP="008A2385">
            <w:pPr>
              <w:pStyle w:val="BStablefigures"/>
              <w:rPr>
                <w:b w:val="0"/>
                <w:bCs w:val="0"/>
                <w:highlight w:val="yellow"/>
              </w:rPr>
            </w:pPr>
            <w:r w:rsidRPr="00682277">
              <w:rPr>
                <w:b w:val="0"/>
                <w:bCs w:val="0"/>
              </w:rPr>
              <w:t xml:space="preserve"> 356 </w:t>
            </w:r>
          </w:p>
        </w:tc>
        <w:tc>
          <w:tcPr>
            <w:tcW w:w="419" w:type="pct"/>
          </w:tcPr>
          <w:p w14:paraId="0E9B6EDA" w14:textId="2F48C46B" w:rsidR="007D19A5" w:rsidRPr="007D19A5" w:rsidRDefault="007D19A5" w:rsidP="008A2385">
            <w:pPr>
              <w:pStyle w:val="BStablefigures"/>
              <w:rPr>
                <w:b w:val="0"/>
                <w:bCs w:val="0"/>
                <w:highlight w:val="yellow"/>
              </w:rPr>
            </w:pPr>
            <w:r w:rsidRPr="00682277">
              <w:rPr>
                <w:b w:val="0"/>
                <w:bCs w:val="0"/>
              </w:rPr>
              <w:t xml:space="preserve"> 348 </w:t>
            </w:r>
          </w:p>
        </w:tc>
        <w:tc>
          <w:tcPr>
            <w:tcW w:w="419" w:type="pct"/>
          </w:tcPr>
          <w:p w14:paraId="5F24A594" w14:textId="15A4015C" w:rsidR="007D19A5" w:rsidRPr="007D19A5" w:rsidRDefault="007D19A5" w:rsidP="008A2385">
            <w:pPr>
              <w:pStyle w:val="BStablefigures"/>
              <w:rPr>
                <w:b w:val="0"/>
                <w:bCs w:val="0"/>
                <w:highlight w:val="yellow"/>
              </w:rPr>
            </w:pPr>
            <w:r w:rsidRPr="00682277">
              <w:rPr>
                <w:b w:val="0"/>
                <w:bCs w:val="0"/>
              </w:rPr>
              <w:t xml:space="preserve"> 356 </w:t>
            </w:r>
          </w:p>
        </w:tc>
        <w:tc>
          <w:tcPr>
            <w:tcW w:w="419" w:type="pct"/>
          </w:tcPr>
          <w:p w14:paraId="108ABB36" w14:textId="4FD4DAA5" w:rsidR="007D19A5" w:rsidRPr="007D19A5" w:rsidRDefault="007D19A5" w:rsidP="008A2385">
            <w:pPr>
              <w:pStyle w:val="BStablefigures"/>
              <w:rPr>
                <w:b w:val="0"/>
                <w:bCs w:val="0"/>
                <w:highlight w:val="yellow"/>
              </w:rPr>
            </w:pPr>
            <w:r w:rsidRPr="00682277">
              <w:rPr>
                <w:b w:val="0"/>
                <w:bCs w:val="0"/>
              </w:rPr>
              <w:t xml:space="preserve"> 353 </w:t>
            </w:r>
          </w:p>
        </w:tc>
        <w:tc>
          <w:tcPr>
            <w:tcW w:w="419" w:type="pct"/>
          </w:tcPr>
          <w:p w14:paraId="7E2CEA7C" w14:textId="33D4DCEF" w:rsidR="007D19A5" w:rsidRPr="007D19A5" w:rsidRDefault="007D19A5" w:rsidP="008A2385">
            <w:pPr>
              <w:pStyle w:val="BStablefigures"/>
              <w:rPr>
                <w:b w:val="0"/>
                <w:bCs w:val="0"/>
                <w:highlight w:val="yellow"/>
              </w:rPr>
            </w:pPr>
            <w:r w:rsidRPr="00682277">
              <w:rPr>
                <w:b w:val="0"/>
                <w:bCs w:val="0"/>
              </w:rPr>
              <w:t xml:space="preserve"> 378 </w:t>
            </w:r>
          </w:p>
        </w:tc>
        <w:tc>
          <w:tcPr>
            <w:tcW w:w="419" w:type="pct"/>
          </w:tcPr>
          <w:p w14:paraId="58DB78AA" w14:textId="082C935F" w:rsidR="007D19A5" w:rsidRPr="007D19A5" w:rsidRDefault="007D19A5" w:rsidP="008A2385">
            <w:pPr>
              <w:pStyle w:val="BStablefigures"/>
              <w:rPr>
                <w:b w:val="0"/>
                <w:bCs w:val="0"/>
                <w:highlight w:val="yellow"/>
              </w:rPr>
            </w:pPr>
            <w:r w:rsidRPr="00682277">
              <w:rPr>
                <w:b w:val="0"/>
                <w:bCs w:val="0"/>
              </w:rPr>
              <w:t xml:space="preserve"> 416 </w:t>
            </w:r>
          </w:p>
        </w:tc>
        <w:tc>
          <w:tcPr>
            <w:tcW w:w="417" w:type="pct"/>
          </w:tcPr>
          <w:p w14:paraId="17B62D28" w14:textId="311E4F1F" w:rsidR="007D19A5" w:rsidRPr="007D19A5" w:rsidRDefault="007D19A5" w:rsidP="008A2385">
            <w:pPr>
              <w:pStyle w:val="BStablefigures"/>
              <w:rPr>
                <w:b w:val="0"/>
                <w:bCs w:val="0"/>
                <w:highlight w:val="yellow"/>
              </w:rPr>
            </w:pPr>
            <w:r w:rsidRPr="00682277">
              <w:rPr>
                <w:b w:val="0"/>
                <w:bCs w:val="0"/>
              </w:rPr>
              <w:t xml:space="preserve"> 485 </w:t>
            </w:r>
          </w:p>
        </w:tc>
      </w:tr>
      <w:tr w:rsidR="007D19A5" w:rsidRPr="007D19A5" w14:paraId="75FD595E" w14:textId="77777777" w:rsidTr="00AF0AAE">
        <w:tc>
          <w:tcPr>
            <w:tcW w:w="812" w:type="pct"/>
          </w:tcPr>
          <w:p w14:paraId="09A6094E" w14:textId="77777777" w:rsidR="007D19A5" w:rsidRDefault="007D19A5" w:rsidP="008A2385">
            <w:pPr>
              <w:pStyle w:val="BStablelist"/>
              <w:keepNext/>
              <w:keepLines/>
              <w:numPr>
                <w:ilvl w:val="0"/>
                <w:numId w:val="0"/>
              </w:numPr>
              <w:spacing w:before="0" w:after="0"/>
              <w:rPr>
                <w:b/>
                <w:bCs/>
                <w:lang w:val="en-AU" w:eastAsia="en-US"/>
              </w:rPr>
            </w:pPr>
          </w:p>
        </w:tc>
        <w:tc>
          <w:tcPr>
            <w:tcW w:w="419" w:type="pct"/>
          </w:tcPr>
          <w:p w14:paraId="41BF9E8C" w14:textId="79A1FEAF" w:rsidR="007D19A5" w:rsidRPr="007D19A5" w:rsidRDefault="007D19A5" w:rsidP="008A2385">
            <w:pPr>
              <w:pStyle w:val="BStablefigures"/>
              <w:rPr>
                <w:b w:val="0"/>
                <w:bCs w:val="0"/>
                <w:highlight w:val="yellow"/>
              </w:rPr>
            </w:pPr>
          </w:p>
        </w:tc>
        <w:tc>
          <w:tcPr>
            <w:tcW w:w="419" w:type="pct"/>
          </w:tcPr>
          <w:p w14:paraId="6F3236F3" w14:textId="56B4755C" w:rsidR="007D19A5" w:rsidRPr="007D19A5" w:rsidRDefault="007D19A5" w:rsidP="008A2385">
            <w:pPr>
              <w:pStyle w:val="BStablefigures"/>
              <w:rPr>
                <w:b w:val="0"/>
                <w:bCs w:val="0"/>
                <w:highlight w:val="yellow"/>
              </w:rPr>
            </w:pPr>
          </w:p>
        </w:tc>
        <w:tc>
          <w:tcPr>
            <w:tcW w:w="419" w:type="pct"/>
          </w:tcPr>
          <w:p w14:paraId="7472FD2A" w14:textId="640738F0" w:rsidR="007D19A5" w:rsidRPr="007D19A5" w:rsidRDefault="007D19A5" w:rsidP="008A2385">
            <w:pPr>
              <w:pStyle w:val="BStablefigures"/>
              <w:rPr>
                <w:b w:val="0"/>
                <w:bCs w:val="0"/>
                <w:highlight w:val="yellow"/>
              </w:rPr>
            </w:pPr>
          </w:p>
        </w:tc>
        <w:tc>
          <w:tcPr>
            <w:tcW w:w="419" w:type="pct"/>
          </w:tcPr>
          <w:p w14:paraId="7A671BE1" w14:textId="04204C52" w:rsidR="007D19A5" w:rsidRPr="007D19A5" w:rsidRDefault="007D19A5" w:rsidP="008A2385">
            <w:pPr>
              <w:pStyle w:val="BStablefigures"/>
              <w:rPr>
                <w:b w:val="0"/>
                <w:bCs w:val="0"/>
                <w:highlight w:val="yellow"/>
              </w:rPr>
            </w:pPr>
          </w:p>
        </w:tc>
        <w:tc>
          <w:tcPr>
            <w:tcW w:w="419" w:type="pct"/>
          </w:tcPr>
          <w:p w14:paraId="60A58F08" w14:textId="661CA64D" w:rsidR="007D19A5" w:rsidRPr="007D19A5" w:rsidRDefault="007D19A5" w:rsidP="008A2385">
            <w:pPr>
              <w:pStyle w:val="BStablefigures"/>
              <w:rPr>
                <w:b w:val="0"/>
                <w:bCs w:val="0"/>
                <w:highlight w:val="yellow"/>
              </w:rPr>
            </w:pPr>
          </w:p>
        </w:tc>
        <w:tc>
          <w:tcPr>
            <w:tcW w:w="419" w:type="pct"/>
          </w:tcPr>
          <w:p w14:paraId="4A6D0F54" w14:textId="7424C0DF" w:rsidR="007D19A5" w:rsidRPr="007D19A5" w:rsidRDefault="007D19A5" w:rsidP="008A2385">
            <w:pPr>
              <w:pStyle w:val="BStablefigures"/>
              <w:rPr>
                <w:b w:val="0"/>
                <w:bCs w:val="0"/>
                <w:highlight w:val="yellow"/>
              </w:rPr>
            </w:pPr>
          </w:p>
        </w:tc>
        <w:tc>
          <w:tcPr>
            <w:tcW w:w="419" w:type="pct"/>
          </w:tcPr>
          <w:p w14:paraId="54F1F928" w14:textId="4108103D" w:rsidR="007D19A5" w:rsidRPr="007D19A5" w:rsidRDefault="007D19A5" w:rsidP="008A2385">
            <w:pPr>
              <w:pStyle w:val="BStablefigures"/>
              <w:rPr>
                <w:b w:val="0"/>
                <w:bCs w:val="0"/>
                <w:highlight w:val="yellow"/>
              </w:rPr>
            </w:pPr>
          </w:p>
        </w:tc>
        <w:tc>
          <w:tcPr>
            <w:tcW w:w="419" w:type="pct"/>
          </w:tcPr>
          <w:p w14:paraId="61F06618" w14:textId="6D63DD48" w:rsidR="007D19A5" w:rsidRPr="007D19A5" w:rsidRDefault="007D19A5" w:rsidP="008A2385">
            <w:pPr>
              <w:pStyle w:val="BStablefigures"/>
              <w:rPr>
                <w:b w:val="0"/>
                <w:bCs w:val="0"/>
                <w:highlight w:val="yellow"/>
              </w:rPr>
            </w:pPr>
          </w:p>
        </w:tc>
        <w:tc>
          <w:tcPr>
            <w:tcW w:w="419" w:type="pct"/>
          </w:tcPr>
          <w:p w14:paraId="5E899C81" w14:textId="2B2D0D4A" w:rsidR="007D19A5" w:rsidRPr="007D19A5" w:rsidRDefault="007D19A5" w:rsidP="008A2385">
            <w:pPr>
              <w:pStyle w:val="BStablefigures"/>
              <w:rPr>
                <w:b w:val="0"/>
                <w:bCs w:val="0"/>
                <w:highlight w:val="yellow"/>
              </w:rPr>
            </w:pPr>
          </w:p>
        </w:tc>
        <w:tc>
          <w:tcPr>
            <w:tcW w:w="417" w:type="pct"/>
          </w:tcPr>
          <w:p w14:paraId="6045EF62" w14:textId="7A63ACB7" w:rsidR="007D19A5" w:rsidRPr="007D19A5" w:rsidRDefault="007D19A5" w:rsidP="008A2385">
            <w:pPr>
              <w:pStyle w:val="BStablefigures"/>
              <w:rPr>
                <w:b w:val="0"/>
                <w:bCs w:val="0"/>
                <w:highlight w:val="yellow"/>
              </w:rPr>
            </w:pPr>
          </w:p>
        </w:tc>
      </w:tr>
      <w:tr w:rsidR="007D19A5" w:rsidRPr="007D19A5" w14:paraId="5DCECDFA" w14:textId="77777777" w:rsidTr="00AF0AAE">
        <w:tc>
          <w:tcPr>
            <w:tcW w:w="812" w:type="pct"/>
            <w:tcBorders>
              <w:bottom w:val="single" w:sz="4" w:space="0" w:color="auto"/>
            </w:tcBorders>
          </w:tcPr>
          <w:p w14:paraId="52306DD2" w14:textId="3EA19E72" w:rsidR="007D19A5" w:rsidRDefault="007D19A5" w:rsidP="008A2385">
            <w:pPr>
              <w:pStyle w:val="BStablelist"/>
              <w:keepNext/>
              <w:keepLines/>
              <w:numPr>
                <w:ilvl w:val="0"/>
                <w:numId w:val="0"/>
              </w:numPr>
              <w:spacing w:before="0" w:after="0"/>
              <w:rPr>
                <w:b/>
                <w:bCs/>
                <w:lang w:val="en-AU" w:eastAsia="en-US"/>
              </w:rPr>
            </w:pPr>
            <w:r>
              <w:rPr>
                <w:b/>
                <w:bCs/>
                <w:lang w:val="en-AU" w:eastAsia="en-US"/>
              </w:rPr>
              <w:t>Total Territory debt</w:t>
            </w:r>
          </w:p>
        </w:tc>
        <w:tc>
          <w:tcPr>
            <w:tcW w:w="419" w:type="pct"/>
            <w:tcBorders>
              <w:bottom w:val="single" w:sz="4" w:space="0" w:color="auto"/>
            </w:tcBorders>
          </w:tcPr>
          <w:p w14:paraId="26F1E656" w14:textId="72CE2729" w:rsidR="007D19A5" w:rsidRPr="007D19A5" w:rsidRDefault="007D19A5" w:rsidP="008A2385">
            <w:pPr>
              <w:pStyle w:val="BStablefigures"/>
              <w:rPr>
                <w:b w:val="0"/>
                <w:bCs w:val="0"/>
                <w:highlight w:val="yellow"/>
              </w:rPr>
            </w:pPr>
            <w:r w:rsidRPr="00682277">
              <w:rPr>
                <w:b w:val="0"/>
                <w:bCs w:val="0"/>
              </w:rPr>
              <w:t xml:space="preserve"> 20,828 </w:t>
            </w:r>
          </w:p>
        </w:tc>
        <w:tc>
          <w:tcPr>
            <w:tcW w:w="419" w:type="pct"/>
            <w:tcBorders>
              <w:bottom w:val="single" w:sz="4" w:space="0" w:color="auto"/>
            </w:tcBorders>
          </w:tcPr>
          <w:p w14:paraId="291E2AF0" w14:textId="69C133FF" w:rsidR="007D19A5" w:rsidRPr="007D19A5" w:rsidRDefault="007D19A5" w:rsidP="008A2385">
            <w:pPr>
              <w:pStyle w:val="BStablefigures"/>
              <w:rPr>
                <w:b w:val="0"/>
                <w:bCs w:val="0"/>
                <w:highlight w:val="yellow"/>
              </w:rPr>
            </w:pPr>
            <w:r w:rsidRPr="00682277">
              <w:rPr>
                <w:b w:val="0"/>
                <w:bCs w:val="0"/>
              </w:rPr>
              <w:t xml:space="preserve"> 21,976 </w:t>
            </w:r>
          </w:p>
        </w:tc>
        <w:tc>
          <w:tcPr>
            <w:tcW w:w="419" w:type="pct"/>
            <w:tcBorders>
              <w:bottom w:val="single" w:sz="4" w:space="0" w:color="auto"/>
            </w:tcBorders>
          </w:tcPr>
          <w:p w14:paraId="05620DC9" w14:textId="33F4B141" w:rsidR="007D19A5" w:rsidRPr="007D19A5" w:rsidRDefault="007D19A5" w:rsidP="008A2385">
            <w:pPr>
              <w:pStyle w:val="BStablefigures"/>
              <w:rPr>
                <w:b w:val="0"/>
                <w:bCs w:val="0"/>
                <w:highlight w:val="yellow"/>
              </w:rPr>
            </w:pPr>
            <w:r w:rsidRPr="00682277">
              <w:rPr>
                <w:b w:val="0"/>
                <w:bCs w:val="0"/>
              </w:rPr>
              <w:t xml:space="preserve"> 23,621 </w:t>
            </w:r>
          </w:p>
        </w:tc>
        <w:tc>
          <w:tcPr>
            <w:tcW w:w="419" w:type="pct"/>
            <w:tcBorders>
              <w:bottom w:val="single" w:sz="4" w:space="0" w:color="auto"/>
            </w:tcBorders>
          </w:tcPr>
          <w:p w14:paraId="1DB78E45" w14:textId="4D40C881" w:rsidR="007D19A5" w:rsidRPr="007D19A5" w:rsidRDefault="007D19A5" w:rsidP="008A2385">
            <w:pPr>
              <w:pStyle w:val="BStablefigures"/>
              <w:rPr>
                <w:b w:val="0"/>
                <w:bCs w:val="0"/>
                <w:highlight w:val="yellow"/>
              </w:rPr>
            </w:pPr>
            <w:r w:rsidRPr="00682277">
              <w:rPr>
                <w:b w:val="0"/>
                <w:bCs w:val="0"/>
              </w:rPr>
              <w:t xml:space="preserve"> 23,697 </w:t>
            </w:r>
          </w:p>
        </w:tc>
        <w:tc>
          <w:tcPr>
            <w:tcW w:w="419" w:type="pct"/>
            <w:tcBorders>
              <w:bottom w:val="single" w:sz="4" w:space="0" w:color="auto"/>
            </w:tcBorders>
          </w:tcPr>
          <w:p w14:paraId="25D9B407" w14:textId="4958D80D" w:rsidR="007D19A5" w:rsidRPr="007D19A5" w:rsidRDefault="007D19A5" w:rsidP="008A2385">
            <w:pPr>
              <w:pStyle w:val="BStablefigures"/>
              <w:rPr>
                <w:b w:val="0"/>
                <w:bCs w:val="0"/>
                <w:highlight w:val="yellow"/>
              </w:rPr>
            </w:pPr>
            <w:r w:rsidRPr="00682277">
              <w:rPr>
                <w:b w:val="0"/>
                <w:bCs w:val="0"/>
              </w:rPr>
              <w:t xml:space="preserve"> 23,955 </w:t>
            </w:r>
          </w:p>
        </w:tc>
        <w:tc>
          <w:tcPr>
            <w:tcW w:w="419" w:type="pct"/>
            <w:tcBorders>
              <w:bottom w:val="single" w:sz="4" w:space="0" w:color="auto"/>
            </w:tcBorders>
          </w:tcPr>
          <w:p w14:paraId="2BDC248B" w14:textId="706546BB" w:rsidR="007D19A5" w:rsidRPr="007D19A5" w:rsidRDefault="007D19A5" w:rsidP="008A2385">
            <w:pPr>
              <w:pStyle w:val="BStablefigures"/>
              <w:rPr>
                <w:b w:val="0"/>
                <w:bCs w:val="0"/>
                <w:highlight w:val="yellow"/>
              </w:rPr>
            </w:pPr>
            <w:r w:rsidRPr="00682277">
              <w:rPr>
                <w:b w:val="0"/>
                <w:bCs w:val="0"/>
              </w:rPr>
              <w:t xml:space="preserve"> 24,265 </w:t>
            </w:r>
          </w:p>
        </w:tc>
        <w:tc>
          <w:tcPr>
            <w:tcW w:w="419" w:type="pct"/>
            <w:tcBorders>
              <w:bottom w:val="single" w:sz="4" w:space="0" w:color="auto"/>
            </w:tcBorders>
          </w:tcPr>
          <w:p w14:paraId="3772C495" w14:textId="7857763B" w:rsidR="007D19A5" w:rsidRPr="007D19A5" w:rsidRDefault="007D19A5" w:rsidP="008A2385">
            <w:pPr>
              <w:pStyle w:val="BStablefigures"/>
              <w:rPr>
                <w:b w:val="0"/>
                <w:bCs w:val="0"/>
                <w:highlight w:val="yellow"/>
              </w:rPr>
            </w:pPr>
            <w:r w:rsidRPr="00682277">
              <w:rPr>
                <w:b w:val="0"/>
                <w:bCs w:val="0"/>
              </w:rPr>
              <w:t xml:space="preserve"> 25,938 </w:t>
            </w:r>
          </w:p>
        </w:tc>
        <w:tc>
          <w:tcPr>
            <w:tcW w:w="419" w:type="pct"/>
            <w:tcBorders>
              <w:bottom w:val="single" w:sz="4" w:space="0" w:color="auto"/>
            </w:tcBorders>
          </w:tcPr>
          <w:p w14:paraId="48EC6B09" w14:textId="4E5FB0D7" w:rsidR="007D19A5" w:rsidRPr="007D19A5" w:rsidRDefault="007D19A5" w:rsidP="008A2385">
            <w:pPr>
              <w:pStyle w:val="BStablefigures"/>
              <w:rPr>
                <w:b w:val="0"/>
                <w:bCs w:val="0"/>
                <w:highlight w:val="yellow"/>
              </w:rPr>
            </w:pPr>
            <w:r w:rsidRPr="00682277">
              <w:rPr>
                <w:b w:val="0"/>
                <w:bCs w:val="0"/>
              </w:rPr>
              <w:t xml:space="preserve"> 26,055 </w:t>
            </w:r>
          </w:p>
        </w:tc>
        <w:tc>
          <w:tcPr>
            <w:tcW w:w="419" w:type="pct"/>
            <w:tcBorders>
              <w:bottom w:val="single" w:sz="4" w:space="0" w:color="auto"/>
            </w:tcBorders>
          </w:tcPr>
          <w:p w14:paraId="30D3091E" w14:textId="4810083D" w:rsidR="007D19A5" w:rsidRPr="007D19A5" w:rsidRDefault="007D19A5" w:rsidP="008A2385">
            <w:pPr>
              <w:pStyle w:val="BStablefigures"/>
              <w:rPr>
                <w:b w:val="0"/>
                <w:bCs w:val="0"/>
                <w:highlight w:val="yellow"/>
              </w:rPr>
            </w:pPr>
            <w:r w:rsidRPr="00682277">
              <w:rPr>
                <w:b w:val="0"/>
                <w:bCs w:val="0"/>
              </w:rPr>
              <w:t xml:space="preserve"> 25,258 </w:t>
            </w:r>
          </w:p>
        </w:tc>
        <w:tc>
          <w:tcPr>
            <w:tcW w:w="417" w:type="pct"/>
            <w:tcBorders>
              <w:bottom w:val="single" w:sz="4" w:space="0" w:color="auto"/>
            </w:tcBorders>
          </w:tcPr>
          <w:p w14:paraId="2B119D5D" w14:textId="2A18E7B9" w:rsidR="007D19A5" w:rsidRPr="007D19A5" w:rsidRDefault="007D19A5" w:rsidP="008A2385">
            <w:pPr>
              <w:pStyle w:val="BStablefigures"/>
              <w:rPr>
                <w:b w:val="0"/>
                <w:bCs w:val="0"/>
                <w:highlight w:val="yellow"/>
              </w:rPr>
            </w:pPr>
            <w:r w:rsidRPr="00682277">
              <w:rPr>
                <w:b w:val="0"/>
                <w:bCs w:val="0"/>
              </w:rPr>
              <w:t xml:space="preserve"> 25,155 </w:t>
            </w:r>
          </w:p>
        </w:tc>
      </w:tr>
    </w:tbl>
    <w:p w14:paraId="0794AB02" w14:textId="551C98DF" w:rsidR="005E3793" w:rsidRDefault="004D7B34" w:rsidP="005E3793">
      <w:pPr>
        <w:pStyle w:val="BNotelist"/>
        <w:numPr>
          <w:ilvl w:val="0"/>
          <w:numId w:val="0"/>
        </w:numPr>
        <w:ind w:left="360" w:hanging="360"/>
      </w:pPr>
      <w:r w:rsidRPr="004D7B34">
        <w:rPr>
          <w:b/>
          <w:bCs/>
        </w:rPr>
        <w:t>Note:</w:t>
      </w:r>
      <w:r>
        <w:t xml:space="preserve"> Numbers may not add due to rounding.</w:t>
      </w:r>
    </w:p>
    <w:p w14:paraId="376E3603" w14:textId="62F6CCAA" w:rsidR="005F3D02" w:rsidRPr="00570B47" w:rsidRDefault="005F3D02" w:rsidP="00814743">
      <w:pPr>
        <w:pStyle w:val="Bbodytext"/>
        <w:rPr>
          <w:rFonts w:ascii="Calibri" w:hAnsi="Calibri" w:cs="Calibri"/>
          <w:szCs w:val="24"/>
        </w:rPr>
      </w:pPr>
      <w:r w:rsidRPr="00B654CD">
        <w:rPr>
          <w:rFonts w:ascii="Calibri" w:hAnsi="Calibri" w:cs="Calibri"/>
          <w:szCs w:val="24"/>
        </w:rPr>
        <w:t xml:space="preserve">Under Scenario </w:t>
      </w:r>
      <w:r w:rsidR="004D7B34">
        <w:rPr>
          <w:rFonts w:ascii="Calibri" w:hAnsi="Calibri" w:cs="Calibri"/>
          <w:szCs w:val="24"/>
        </w:rPr>
        <w:t>One</w:t>
      </w:r>
      <w:r w:rsidRPr="00B654CD">
        <w:rPr>
          <w:rFonts w:ascii="Calibri" w:hAnsi="Calibri" w:cs="Calibri"/>
          <w:szCs w:val="24"/>
        </w:rPr>
        <w:t xml:space="preserve">, </w:t>
      </w:r>
      <w:r w:rsidR="006D282D">
        <w:rPr>
          <w:rFonts w:ascii="Calibri" w:hAnsi="Calibri" w:cs="Calibri"/>
          <w:szCs w:val="24"/>
        </w:rPr>
        <w:t xml:space="preserve">overall, </w:t>
      </w:r>
      <w:r w:rsidRPr="00B654CD">
        <w:rPr>
          <w:rFonts w:ascii="Calibri" w:hAnsi="Calibri" w:cs="Calibri"/>
          <w:szCs w:val="24"/>
        </w:rPr>
        <w:t xml:space="preserve">total expenses grow </w:t>
      </w:r>
      <w:r w:rsidR="00E1325C" w:rsidRPr="00B654CD">
        <w:rPr>
          <w:rFonts w:ascii="Calibri" w:hAnsi="Calibri" w:cs="Calibri"/>
          <w:szCs w:val="24"/>
        </w:rPr>
        <w:t>at a similar rate as</w:t>
      </w:r>
      <w:r w:rsidRPr="00B654CD">
        <w:rPr>
          <w:rFonts w:ascii="Calibri" w:hAnsi="Calibri" w:cs="Calibri"/>
          <w:szCs w:val="24"/>
        </w:rPr>
        <w:t xml:space="preserve"> total revenue, </w:t>
      </w:r>
      <w:r w:rsidR="0060458D">
        <w:rPr>
          <w:rFonts w:ascii="Calibri" w:hAnsi="Calibri" w:cs="Calibri"/>
          <w:szCs w:val="24"/>
        </w:rPr>
        <w:t>with</w:t>
      </w:r>
      <w:r w:rsidRPr="00B654CD">
        <w:rPr>
          <w:rFonts w:ascii="Calibri" w:hAnsi="Calibri" w:cs="Calibri"/>
          <w:szCs w:val="24"/>
        </w:rPr>
        <w:t xml:space="preserve"> a small NOB deficit across the medium term. This deficit moderates towards the end of the 10-year period, reaching $18 million in 2035-36. This improvement is driven </w:t>
      </w:r>
      <w:r w:rsidR="007544CD">
        <w:rPr>
          <w:rFonts w:ascii="Calibri" w:hAnsi="Calibri" w:cs="Calibri"/>
          <w:szCs w:val="24"/>
        </w:rPr>
        <w:t xml:space="preserve">by </w:t>
      </w:r>
      <w:r w:rsidR="0091567B">
        <w:rPr>
          <w:rFonts w:ascii="Calibri" w:hAnsi="Calibri" w:cs="Calibri"/>
          <w:szCs w:val="24"/>
        </w:rPr>
        <w:t>slower</w:t>
      </w:r>
      <w:r w:rsidR="001103C5">
        <w:rPr>
          <w:rFonts w:ascii="Calibri" w:hAnsi="Calibri" w:cs="Calibri"/>
          <w:szCs w:val="24"/>
        </w:rPr>
        <w:t xml:space="preserve"> growth in interest </w:t>
      </w:r>
      <w:r w:rsidR="0068315A">
        <w:rPr>
          <w:rFonts w:ascii="Calibri" w:hAnsi="Calibri" w:cs="Calibri"/>
          <w:szCs w:val="24"/>
        </w:rPr>
        <w:t xml:space="preserve">and SPA </w:t>
      </w:r>
      <w:r w:rsidR="001103C5">
        <w:rPr>
          <w:rFonts w:ascii="Calibri" w:hAnsi="Calibri" w:cs="Calibri"/>
          <w:szCs w:val="24"/>
        </w:rPr>
        <w:t xml:space="preserve">expenses </w:t>
      </w:r>
      <w:proofErr w:type="gramStart"/>
      <w:r w:rsidR="00C56CA9">
        <w:rPr>
          <w:rFonts w:ascii="Calibri" w:hAnsi="Calibri" w:cs="Calibri"/>
          <w:szCs w:val="24"/>
        </w:rPr>
        <w:t>as a result of</w:t>
      </w:r>
      <w:proofErr w:type="gramEnd"/>
      <w:r w:rsidR="00C56CA9">
        <w:rPr>
          <w:rFonts w:ascii="Calibri" w:hAnsi="Calibri" w:cs="Calibri"/>
          <w:szCs w:val="24"/>
        </w:rPr>
        <w:t xml:space="preserve"> </w:t>
      </w:r>
      <w:r w:rsidR="00156845">
        <w:rPr>
          <w:rFonts w:ascii="Calibri" w:hAnsi="Calibri" w:cs="Calibri"/>
          <w:szCs w:val="24"/>
        </w:rPr>
        <w:t>s</w:t>
      </w:r>
      <w:r w:rsidRPr="00570B47">
        <w:rPr>
          <w:rFonts w:ascii="Calibri" w:hAnsi="Calibri" w:cs="Calibri"/>
          <w:szCs w:val="24"/>
        </w:rPr>
        <w:t xml:space="preserve">lower growth in total Territory debt, reducing associated servicing costs (interest expenses), as well as a reduction in the superannuation expense over time. </w:t>
      </w:r>
    </w:p>
    <w:p w14:paraId="1A1AE802" w14:textId="77777777" w:rsidR="005F3D02" w:rsidRPr="00570B47" w:rsidRDefault="005F3D02" w:rsidP="005F3D02">
      <w:pPr>
        <w:pStyle w:val="Bbodytext"/>
        <w:rPr>
          <w:rFonts w:ascii="Calibri" w:hAnsi="Calibri" w:cs="Calibri"/>
          <w:szCs w:val="24"/>
        </w:rPr>
      </w:pPr>
      <w:r w:rsidRPr="00570B47">
        <w:rPr>
          <w:rFonts w:ascii="Calibri" w:hAnsi="Calibri" w:cs="Calibri"/>
          <w:szCs w:val="24"/>
        </w:rPr>
        <w:t>The HNOB, however, returns to surplus from 2028</w:t>
      </w:r>
      <w:r w:rsidRPr="00570B47">
        <w:rPr>
          <w:rFonts w:ascii="Calibri" w:hAnsi="Calibri" w:cs="Calibri"/>
          <w:szCs w:val="24"/>
        </w:rPr>
        <w:noBreakHyphen/>
        <w:t>29, growing to $485 million in 2035-36. The HNOB includes the Government’s Superannuation Return Adjustment (SRA), which reflects the net gains on financial assets held in the SPA. This is an important measure of the Government’s capacity to meet long-term superannuation liabilities.</w:t>
      </w:r>
    </w:p>
    <w:p w14:paraId="58B51E3C" w14:textId="32478DF4" w:rsidR="0034478C" w:rsidRPr="00870499" w:rsidRDefault="005E3793" w:rsidP="00463B0A">
      <w:pPr>
        <w:pStyle w:val="Caption"/>
      </w:pPr>
      <w:r>
        <w:br w:type="page"/>
      </w:r>
      <w:r w:rsidR="0034478C" w:rsidRPr="00870499">
        <w:lastRenderedPageBreak/>
        <w:t xml:space="preserve">Table </w:t>
      </w:r>
      <w:r w:rsidR="00A21792" w:rsidRPr="00870499">
        <w:t>2</w:t>
      </w:r>
      <w:r w:rsidR="0034478C" w:rsidRPr="00870499">
        <w:t>: Medium-Term Projections – Total revenue, Total expenses, Net Operating Balance (NOB), Headline Net Operating Balance (HNOB) and Total Territory debt – S</w:t>
      </w:r>
      <w:r w:rsidR="00B35D0F">
        <w:t>cenario</w:t>
      </w:r>
      <w:r w:rsidR="0034478C">
        <w:t xml:space="preserve"> </w:t>
      </w:r>
      <w:r w:rsidR="004D7B34">
        <w:t>Two</w:t>
      </w:r>
      <w:r w:rsidR="0034478C">
        <w:t xml:space="preserve"> (</w:t>
      </w:r>
      <w:r w:rsidR="00D36C8E">
        <w:t>L</w:t>
      </w:r>
      <w:r w:rsidR="008722AB">
        <w:t>ow</w:t>
      </w:r>
      <w:r w:rsidR="0034478C">
        <w:t>)</w:t>
      </w:r>
      <w:r w:rsidR="004D7B34">
        <w:t xml:space="preserve"> ($m)</w:t>
      </w:r>
    </w:p>
    <w:tbl>
      <w:tblPr>
        <w:tblW w:w="5000" w:type="pct"/>
        <w:tblLayout w:type="fixed"/>
        <w:tblLook w:val="00A0" w:firstRow="1" w:lastRow="0" w:firstColumn="1" w:lastColumn="0" w:noHBand="0" w:noVBand="0"/>
        <w:tblCaption w:val="Table 1: Medium-Term Projections – Total revenue, Total expenses, Net Operating Balance (NOB), Headline Net Operating Balance (HNOB) and Total Territory debt – Scenario 1 (High)"/>
        <w:tblDescription w:val="Medium-Term Projections for Scenario 2 (low) - Total revenue (general government sector (GGS)), Total expenses (GGS), net operating balance (GGS) and headline net operating balance (GGS) and total territory debt. "/>
      </w:tblPr>
      <w:tblGrid>
        <w:gridCol w:w="2266"/>
        <w:gridCol w:w="1169"/>
        <w:gridCol w:w="1169"/>
        <w:gridCol w:w="1170"/>
        <w:gridCol w:w="1170"/>
        <w:gridCol w:w="1170"/>
        <w:gridCol w:w="1170"/>
        <w:gridCol w:w="1170"/>
        <w:gridCol w:w="1170"/>
        <w:gridCol w:w="1170"/>
        <w:gridCol w:w="1164"/>
      </w:tblGrid>
      <w:tr w:rsidR="0034478C" w:rsidRPr="00861C2F" w14:paraId="4C92156A" w14:textId="77777777" w:rsidTr="00870967">
        <w:tc>
          <w:tcPr>
            <w:tcW w:w="812" w:type="pct"/>
            <w:tcBorders>
              <w:top w:val="single" w:sz="4" w:space="0" w:color="auto"/>
              <w:bottom w:val="single" w:sz="4" w:space="0" w:color="auto"/>
            </w:tcBorders>
            <w:shd w:val="clear" w:color="auto" w:fill="6E46E0"/>
          </w:tcPr>
          <w:p w14:paraId="3755C401" w14:textId="77777777" w:rsidR="0034478C" w:rsidRPr="00870967" w:rsidRDefault="0034478C">
            <w:pPr>
              <w:pStyle w:val="BStabletext"/>
              <w:rPr>
                <w:color w:val="FFFFFF" w:themeColor="background1"/>
              </w:rPr>
            </w:pPr>
          </w:p>
        </w:tc>
        <w:tc>
          <w:tcPr>
            <w:tcW w:w="419" w:type="pct"/>
            <w:tcBorders>
              <w:top w:val="single" w:sz="4" w:space="0" w:color="auto"/>
              <w:bottom w:val="single" w:sz="4" w:space="0" w:color="auto"/>
            </w:tcBorders>
            <w:shd w:val="clear" w:color="auto" w:fill="6E46E0"/>
          </w:tcPr>
          <w:p w14:paraId="704D3CE4" w14:textId="77777777" w:rsidR="0034478C" w:rsidRPr="00870967" w:rsidRDefault="0034478C">
            <w:pPr>
              <w:pStyle w:val="BStableheading1"/>
              <w:keepNext/>
              <w:keepLines/>
              <w:framePr w:wrap="around"/>
              <w:rPr>
                <w:color w:val="FFFFFF" w:themeColor="background1"/>
                <w:lang w:val="en-AU" w:eastAsia="en-US"/>
              </w:rPr>
            </w:pPr>
            <w:r w:rsidRPr="00870967">
              <w:rPr>
                <w:color w:val="FFFFFF" w:themeColor="background1"/>
                <w:lang w:val="en-AU" w:eastAsia="en-US"/>
              </w:rPr>
              <w:t>2026-27</w:t>
            </w:r>
          </w:p>
          <w:p w14:paraId="70B0E92B" w14:textId="4EEEBFE6" w:rsidR="0034478C" w:rsidRPr="00870967" w:rsidRDefault="0034478C" w:rsidP="004D7B34">
            <w:pPr>
              <w:pStyle w:val="BStableheading1"/>
              <w:keepNext/>
              <w:keepLines/>
              <w:framePr w:wrap="around"/>
              <w:rPr>
                <w:color w:val="FFFFFF" w:themeColor="background1"/>
                <w:lang w:val="en-AU" w:eastAsia="en-US"/>
              </w:rPr>
            </w:pPr>
            <w:r w:rsidRPr="00870967">
              <w:rPr>
                <w:color w:val="FFFFFF" w:themeColor="background1"/>
                <w:lang w:val="en-AU" w:eastAsia="en-US"/>
              </w:rPr>
              <w:t>Budget</w:t>
            </w:r>
          </w:p>
        </w:tc>
        <w:tc>
          <w:tcPr>
            <w:tcW w:w="419" w:type="pct"/>
            <w:tcBorders>
              <w:top w:val="single" w:sz="4" w:space="0" w:color="auto"/>
              <w:bottom w:val="single" w:sz="4" w:space="0" w:color="auto"/>
            </w:tcBorders>
            <w:shd w:val="clear" w:color="auto" w:fill="6E46E0"/>
          </w:tcPr>
          <w:p w14:paraId="4DEDF7E1" w14:textId="77777777" w:rsidR="0034478C" w:rsidRPr="00870967" w:rsidRDefault="0034478C">
            <w:pPr>
              <w:pStyle w:val="BStableheading1"/>
              <w:keepNext/>
              <w:keepLines/>
              <w:framePr w:wrap="around"/>
              <w:rPr>
                <w:color w:val="FFFFFF" w:themeColor="background1"/>
                <w:lang w:val="en-AU" w:eastAsia="en-US"/>
              </w:rPr>
            </w:pPr>
            <w:r w:rsidRPr="00870967">
              <w:rPr>
                <w:color w:val="FFFFFF" w:themeColor="background1"/>
                <w:lang w:val="en-AU" w:eastAsia="en-US"/>
              </w:rPr>
              <w:t>2027-28</w:t>
            </w:r>
          </w:p>
          <w:p w14:paraId="0B782A71" w14:textId="5A1FCBA7" w:rsidR="0034478C" w:rsidRPr="00870967" w:rsidRDefault="0034478C" w:rsidP="004D7B34">
            <w:pPr>
              <w:pStyle w:val="BStableheading1"/>
              <w:keepNext/>
              <w:keepLines/>
              <w:framePr w:wrap="around"/>
              <w:rPr>
                <w:color w:val="FFFFFF" w:themeColor="background1"/>
                <w:lang w:val="en-AU" w:eastAsia="en-US"/>
              </w:rPr>
            </w:pPr>
            <w:r w:rsidRPr="00870967">
              <w:rPr>
                <w:color w:val="FFFFFF" w:themeColor="background1"/>
                <w:lang w:val="en-AU" w:eastAsia="en-US"/>
              </w:rPr>
              <w:t>Estimate</w:t>
            </w:r>
          </w:p>
        </w:tc>
        <w:tc>
          <w:tcPr>
            <w:tcW w:w="419" w:type="pct"/>
            <w:tcBorders>
              <w:top w:val="single" w:sz="4" w:space="0" w:color="auto"/>
              <w:bottom w:val="single" w:sz="4" w:space="0" w:color="auto"/>
            </w:tcBorders>
            <w:shd w:val="clear" w:color="auto" w:fill="6E46E0"/>
          </w:tcPr>
          <w:p w14:paraId="1C00F5C3" w14:textId="77777777" w:rsidR="0034478C" w:rsidRPr="00870967" w:rsidRDefault="0034478C">
            <w:pPr>
              <w:pStyle w:val="BStableheading1"/>
              <w:keepNext/>
              <w:keepLines/>
              <w:framePr w:wrap="around"/>
              <w:rPr>
                <w:color w:val="FFFFFF" w:themeColor="background1"/>
                <w:lang w:val="en-AU" w:eastAsia="en-US"/>
              </w:rPr>
            </w:pPr>
            <w:r w:rsidRPr="00870967">
              <w:rPr>
                <w:color w:val="FFFFFF" w:themeColor="background1"/>
                <w:lang w:val="en-AU" w:eastAsia="en-US"/>
              </w:rPr>
              <w:t>2028-29</w:t>
            </w:r>
          </w:p>
          <w:p w14:paraId="323BC8B9" w14:textId="10D4B025" w:rsidR="0034478C" w:rsidRPr="00870967" w:rsidRDefault="0034478C" w:rsidP="004D7B34">
            <w:pPr>
              <w:pStyle w:val="BStableheading1"/>
              <w:keepNext/>
              <w:keepLines/>
              <w:framePr w:wrap="around"/>
              <w:rPr>
                <w:color w:val="FFFFFF" w:themeColor="background1"/>
                <w:lang w:val="en-AU" w:eastAsia="en-US"/>
              </w:rPr>
            </w:pPr>
            <w:r w:rsidRPr="00870967">
              <w:rPr>
                <w:color w:val="FFFFFF" w:themeColor="background1"/>
                <w:lang w:val="en-AU" w:eastAsia="en-US"/>
              </w:rPr>
              <w:t>Estimate</w:t>
            </w:r>
          </w:p>
        </w:tc>
        <w:tc>
          <w:tcPr>
            <w:tcW w:w="419" w:type="pct"/>
            <w:tcBorders>
              <w:top w:val="single" w:sz="4" w:space="0" w:color="auto"/>
              <w:bottom w:val="single" w:sz="4" w:space="0" w:color="auto"/>
            </w:tcBorders>
            <w:shd w:val="clear" w:color="auto" w:fill="6E46E0"/>
          </w:tcPr>
          <w:p w14:paraId="3A9038F3" w14:textId="77777777" w:rsidR="0034478C" w:rsidRPr="00870967" w:rsidRDefault="0034478C">
            <w:pPr>
              <w:pStyle w:val="BStableheading1"/>
              <w:keepNext/>
              <w:keepLines/>
              <w:framePr w:wrap="around"/>
              <w:rPr>
                <w:color w:val="FFFFFF" w:themeColor="background1"/>
                <w:lang w:val="en-AU" w:eastAsia="en-US"/>
              </w:rPr>
            </w:pPr>
            <w:r w:rsidRPr="00870967">
              <w:rPr>
                <w:color w:val="FFFFFF" w:themeColor="background1"/>
                <w:lang w:val="en-AU" w:eastAsia="en-US"/>
              </w:rPr>
              <w:t>2029-30</w:t>
            </w:r>
          </w:p>
          <w:p w14:paraId="06EB305C" w14:textId="4A763330" w:rsidR="0034478C" w:rsidRPr="00870967" w:rsidRDefault="0034478C" w:rsidP="004D7B34">
            <w:pPr>
              <w:pStyle w:val="BStableheading1"/>
              <w:keepNext/>
              <w:keepLines/>
              <w:framePr w:wrap="around"/>
              <w:rPr>
                <w:color w:val="FFFFFF" w:themeColor="background1"/>
                <w:lang w:val="en-AU" w:eastAsia="en-US"/>
              </w:rPr>
            </w:pPr>
            <w:r w:rsidRPr="00870967">
              <w:rPr>
                <w:color w:val="FFFFFF" w:themeColor="background1"/>
                <w:lang w:val="en-AU" w:eastAsia="en-US"/>
              </w:rPr>
              <w:t>Estimate</w:t>
            </w:r>
          </w:p>
        </w:tc>
        <w:tc>
          <w:tcPr>
            <w:tcW w:w="419" w:type="pct"/>
            <w:tcBorders>
              <w:top w:val="single" w:sz="4" w:space="0" w:color="auto"/>
              <w:bottom w:val="single" w:sz="4" w:space="0" w:color="auto"/>
            </w:tcBorders>
            <w:shd w:val="clear" w:color="auto" w:fill="6E46E0"/>
          </w:tcPr>
          <w:p w14:paraId="07AAFD29" w14:textId="77777777" w:rsidR="0034478C" w:rsidRPr="00870967" w:rsidRDefault="0034478C">
            <w:pPr>
              <w:pStyle w:val="BStableheading1"/>
              <w:keepNext/>
              <w:keepLines/>
              <w:framePr w:wrap="around"/>
              <w:rPr>
                <w:color w:val="FFFFFF" w:themeColor="background1"/>
                <w:lang w:val="en-AU" w:eastAsia="en-US"/>
              </w:rPr>
            </w:pPr>
            <w:r w:rsidRPr="00870967">
              <w:rPr>
                <w:color w:val="FFFFFF" w:themeColor="background1"/>
                <w:lang w:val="en-AU" w:eastAsia="en-US"/>
              </w:rPr>
              <w:t>2030-31</w:t>
            </w:r>
          </w:p>
          <w:p w14:paraId="43381DBC" w14:textId="339697AC" w:rsidR="0034478C" w:rsidRPr="00870967" w:rsidRDefault="0034478C" w:rsidP="004D7B34">
            <w:pPr>
              <w:pStyle w:val="BStableheading1"/>
              <w:keepNext/>
              <w:keepLines/>
              <w:framePr w:wrap="around"/>
              <w:rPr>
                <w:b w:val="0"/>
                <w:bCs w:val="0"/>
                <w:color w:val="FFFFFF" w:themeColor="background1"/>
                <w:lang w:val="en-AU" w:eastAsia="en-US"/>
              </w:rPr>
            </w:pPr>
            <w:r w:rsidRPr="00870967">
              <w:rPr>
                <w:color w:val="FFFFFF" w:themeColor="background1"/>
                <w:lang w:val="en-AU" w:eastAsia="en-US"/>
              </w:rPr>
              <w:t>Forecast</w:t>
            </w:r>
          </w:p>
        </w:tc>
        <w:tc>
          <w:tcPr>
            <w:tcW w:w="419" w:type="pct"/>
            <w:tcBorders>
              <w:top w:val="single" w:sz="4" w:space="0" w:color="auto"/>
              <w:bottom w:val="single" w:sz="4" w:space="0" w:color="auto"/>
            </w:tcBorders>
            <w:shd w:val="clear" w:color="auto" w:fill="6E46E0"/>
          </w:tcPr>
          <w:p w14:paraId="5AD98817" w14:textId="77777777" w:rsidR="0034478C" w:rsidRPr="00870967" w:rsidRDefault="0034478C">
            <w:pPr>
              <w:pStyle w:val="BStableheading1"/>
              <w:keepNext/>
              <w:keepLines/>
              <w:framePr w:wrap="around"/>
              <w:rPr>
                <w:color w:val="FFFFFF" w:themeColor="background1"/>
                <w:lang w:val="en-AU" w:eastAsia="en-US"/>
              </w:rPr>
            </w:pPr>
            <w:r w:rsidRPr="00870967">
              <w:rPr>
                <w:color w:val="FFFFFF" w:themeColor="background1"/>
                <w:lang w:val="en-AU" w:eastAsia="en-US"/>
              </w:rPr>
              <w:t>2031-32</w:t>
            </w:r>
          </w:p>
          <w:p w14:paraId="4594E4A2" w14:textId="33457628" w:rsidR="0034478C" w:rsidRPr="00870967" w:rsidRDefault="0034478C" w:rsidP="004D7B34">
            <w:pPr>
              <w:pStyle w:val="BStableheading1"/>
              <w:keepNext/>
              <w:keepLines/>
              <w:framePr w:wrap="around"/>
              <w:rPr>
                <w:color w:val="FFFFFF" w:themeColor="background1"/>
                <w:lang w:val="en-AU" w:eastAsia="en-US"/>
              </w:rPr>
            </w:pPr>
            <w:r w:rsidRPr="00870967">
              <w:rPr>
                <w:color w:val="FFFFFF" w:themeColor="background1"/>
                <w:lang w:val="en-AU" w:eastAsia="en-US"/>
              </w:rPr>
              <w:t>Forecast</w:t>
            </w:r>
          </w:p>
        </w:tc>
        <w:tc>
          <w:tcPr>
            <w:tcW w:w="419" w:type="pct"/>
            <w:tcBorders>
              <w:top w:val="single" w:sz="4" w:space="0" w:color="auto"/>
              <w:bottom w:val="single" w:sz="4" w:space="0" w:color="auto"/>
            </w:tcBorders>
            <w:shd w:val="clear" w:color="auto" w:fill="6E46E0"/>
          </w:tcPr>
          <w:p w14:paraId="7C13EC38" w14:textId="77777777" w:rsidR="0034478C" w:rsidRPr="00870967" w:rsidRDefault="0034478C">
            <w:pPr>
              <w:pStyle w:val="BStableheading1"/>
              <w:keepNext/>
              <w:keepLines/>
              <w:framePr w:wrap="around"/>
              <w:rPr>
                <w:color w:val="FFFFFF" w:themeColor="background1"/>
                <w:lang w:val="en-AU" w:eastAsia="en-US"/>
              </w:rPr>
            </w:pPr>
            <w:r w:rsidRPr="00870967">
              <w:rPr>
                <w:color w:val="FFFFFF" w:themeColor="background1"/>
                <w:lang w:val="en-AU" w:eastAsia="en-US"/>
              </w:rPr>
              <w:t>2032-33</w:t>
            </w:r>
          </w:p>
          <w:p w14:paraId="55209B47" w14:textId="0AD299C0" w:rsidR="0034478C" w:rsidRPr="00870967" w:rsidRDefault="0034478C" w:rsidP="004D7B34">
            <w:pPr>
              <w:pStyle w:val="BStableheading1"/>
              <w:keepNext/>
              <w:keepLines/>
              <w:framePr w:wrap="around"/>
              <w:rPr>
                <w:color w:val="FFFFFF" w:themeColor="background1"/>
                <w:lang w:val="en-AU" w:eastAsia="en-US"/>
              </w:rPr>
            </w:pPr>
            <w:r w:rsidRPr="00870967">
              <w:rPr>
                <w:color w:val="FFFFFF" w:themeColor="background1"/>
                <w:lang w:val="en-AU" w:eastAsia="en-US"/>
              </w:rPr>
              <w:t>Forecast</w:t>
            </w:r>
          </w:p>
        </w:tc>
        <w:tc>
          <w:tcPr>
            <w:tcW w:w="419" w:type="pct"/>
            <w:tcBorders>
              <w:top w:val="single" w:sz="4" w:space="0" w:color="auto"/>
              <w:bottom w:val="single" w:sz="4" w:space="0" w:color="auto"/>
            </w:tcBorders>
            <w:shd w:val="clear" w:color="auto" w:fill="6E46E0"/>
          </w:tcPr>
          <w:p w14:paraId="5EF1C404" w14:textId="77777777" w:rsidR="0034478C" w:rsidRPr="00870967" w:rsidRDefault="0034478C">
            <w:pPr>
              <w:pStyle w:val="BStableheading1"/>
              <w:keepNext/>
              <w:keepLines/>
              <w:framePr w:wrap="around"/>
              <w:rPr>
                <w:color w:val="FFFFFF" w:themeColor="background1"/>
                <w:lang w:val="en-AU" w:eastAsia="en-US"/>
              </w:rPr>
            </w:pPr>
            <w:r w:rsidRPr="00870967">
              <w:rPr>
                <w:color w:val="FFFFFF" w:themeColor="background1"/>
                <w:lang w:val="en-AU" w:eastAsia="en-US"/>
              </w:rPr>
              <w:t>2033-34</w:t>
            </w:r>
          </w:p>
          <w:p w14:paraId="32FE40A5" w14:textId="4C611D96" w:rsidR="0034478C" w:rsidRPr="00870967" w:rsidRDefault="0034478C" w:rsidP="004D7B34">
            <w:pPr>
              <w:pStyle w:val="BStableheading1"/>
              <w:keepNext/>
              <w:keepLines/>
              <w:framePr w:wrap="around"/>
              <w:rPr>
                <w:color w:val="FFFFFF" w:themeColor="background1"/>
                <w:lang w:val="en-AU" w:eastAsia="en-US"/>
              </w:rPr>
            </w:pPr>
            <w:r w:rsidRPr="00870967">
              <w:rPr>
                <w:color w:val="FFFFFF" w:themeColor="background1"/>
                <w:lang w:val="en-AU" w:eastAsia="en-US"/>
              </w:rPr>
              <w:t>Forecast</w:t>
            </w:r>
          </w:p>
        </w:tc>
        <w:tc>
          <w:tcPr>
            <w:tcW w:w="419" w:type="pct"/>
            <w:tcBorders>
              <w:top w:val="single" w:sz="4" w:space="0" w:color="auto"/>
              <w:bottom w:val="single" w:sz="4" w:space="0" w:color="auto"/>
            </w:tcBorders>
            <w:shd w:val="clear" w:color="auto" w:fill="6E46E0"/>
          </w:tcPr>
          <w:p w14:paraId="5F02C398" w14:textId="77777777" w:rsidR="0034478C" w:rsidRPr="00870967" w:rsidRDefault="0034478C">
            <w:pPr>
              <w:pStyle w:val="BStableheading1"/>
              <w:keepNext/>
              <w:keepLines/>
              <w:framePr w:wrap="around"/>
              <w:rPr>
                <w:color w:val="FFFFFF" w:themeColor="background1"/>
                <w:lang w:val="en-AU" w:eastAsia="en-US"/>
              </w:rPr>
            </w:pPr>
            <w:r w:rsidRPr="00870967">
              <w:rPr>
                <w:color w:val="FFFFFF" w:themeColor="background1"/>
                <w:lang w:val="en-AU" w:eastAsia="en-US"/>
              </w:rPr>
              <w:t>2034-35</w:t>
            </w:r>
          </w:p>
          <w:p w14:paraId="64362485" w14:textId="44B8DE3B" w:rsidR="0034478C" w:rsidRPr="00870967" w:rsidRDefault="0034478C" w:rsidP="004D7B34">
            <w:pPr>
              <w:pStyle w:val="BStableheading1"/>
              <w:keepNext/>
              <w:keepLines/>
              <w:framePr w:wrap="around"/>
              <w:rPr>
                <w:color w:val="FFFFFF" w:themeColor="background1"/>
                <w:lang w:val="en-AU" w:eastAsia="en-US"/>
              </w:rPr>
            </w:pPr>
            <w:r w:rsidRPr="00870967">
              <w:rPr>
                <w:color w:val="FFFFFF" w:themeColor="background1"/>
                <w:lang w:val="en-AU" w:eastAsia="en-US"/>
              </w:rPr>
              <w:t>Forecast</w:t>
            </w:r>
          </w:p>
        </w:tc>
        <w:tc>
          <w:tcPr>
            <w:tcW w:w="417" w:type="pct"/>
            <w:tcBorders>
              <w:top w:val="single" w:sz="4" w:space="0" w:color="auto"/>
              <w:bottom w:val="single" w:sz="4" w:space="0" w:color="auto"/>
            </w:tcBorders>
            <w:shd w:val="clear" w:color="auto" w:fill="6E46E0"/>
          </w:tcPr>
          <w:p w14:paraId="0C23F2B6" w14:textId="77777777" w:rsidR="0034478C" w:rsidRPr="00870967" w:rsidRDefault="0034478C">
            <w:pPr>
              <w:pStyle w:val="BStableheading1"/>
              <w:keepNext/>
              <w:keepLines/>
              <w:framePr w:wrap="around"/>
              <w:rPr>
                <w:color w:val="FFFFFF" w:themeColor="background1"/>
                <w:lang w:val="en-AU" w:eastAsia="en-US"/>
              </w:rPr>
            </w:pPr>
            <w:r w:rsidRPr="00870967">
              <w:rPr>
                <w:color w:val="FFFFFF" w:themeColor="background1"/>
                <w:lang w:val="en-AU" w:eastAsia="en-US"/>
              </w:rPr>
              <w:t>2035-36</w:t>
            </w:r>
          </w:p>
          <w:p w14:paraId="0A287160" w14:textId="6BCA676D" w:rsidR="0034478C" w:rsidRPr="00870967" w:rsidRDefault="0034478C" w:rsidP="004D7B34">
            <w:pPr>
              <w:pStyle w:val="BStableheading1"/>
              <w:keepNext/>
              <w:keepLines/>
              <w:framePr w:wrap="around"/>
              <w:rPr>
                <w:color w:val="FFFFFF" w:themeColor="background1"/>
                <w:lang w:val="en-AU" w:eastAsia="en-US"/>
              </w:rPr>
            </w:pPr>
            <w:r w:rsidRPr="00870967">
              <w:rPr>
                <w:color w:val="FFFFFF" w:themeColor="background1"/>
                <w:lang w:val="en-AU" w:eastAsia="en-US"/>
              </w:rPr>
              <w:t>Forecast</w:t>
            </w:r>
          </w:p>
        </w:tc>
      </w:tr>
      <w:tr w:rsidR="007D19A5" w:rsidRPr="00A35C17" w14:paraId="5C6B9A74" w14:textId="77777777">
        <w:tc>
          <w:tcPr>
            <w:tcW w:w="812" w:type="pct"/>
          </w:tcPr>
          <w:p w14:paraId="1B4C5D6D" w14:textId="77777777" w:rsidR="007D19A5" w:rsidRPr="000E4BD3" w:rsidRDefault="007D19A5" w:rsidP="007D19A5">
            <w:pPr>
              <w:pStyle w:val="BStablelist"/>
              <w:keepNext/>
              <w:keepLines/>
              <w:numPr>
                <w:ilvl w:val="0"/>
                <w:numId w:val="0"/>
              </w:numPr>
              <w:spacing w:before="0" w:after="0"/>
              <w:rPr>
                <w:b/>
                <w:bCs/>
                <w:lang w:val="en-AU" w:eastAsia="en-US"/>
              </w:rPr>
            </w:pPr>
            <w:r w:rsidRPr="000E4BD3">
              <w:rPr>
                <w:b/>
                <w:bCs/>
                <w:lang w:val="en-AU" w:eastAsia="en-US"/>
              </w:rPr>
              <w:t xml:space="preserve">Total </w:t>
            </w:r>
            <w:r>
              <w:rPr>
                <w:b/>
                <w:bCs/>
                <w:lang w:val="en-AU" w:eastAsia="en-US"/>
              </w:rPr>
              <w:t>r</w:t>
            </w:r>
            <w:r w:rsidRPr="000E4BD3">
              <w:rPr>
                <w:b/>
                <w:bCs/>
                <w:lang w:val="en-AU" w:eastAsia="en-US"/>
              </w:rPr>
              <w:t>evenue (GGS)</w:t>
            </w:r>
          </w:p>
        </w:tc>
        <w:tc>
          <w:tcPr>
            <w:tcW w:w="419" w:type="pct"/>
          </w:tcPr>
          <w:p w14:paraId="5BA8D0E0" w14:textId="187E7CB3" w:rsidR="007D19A5" w:rsidRPr="007D19A5" w:rsidRDefault="007D19A5" w:rsidP="007D19A5">
            <w:pPr>
              <w:pStyle w:val="BStablefigures"/>
              <w:rPr>
                <w:b w:val="0"/>
                <w:bCs w:val="0"/>
                <w:highlight w:val="yellow"/>
              </w:rPr>
            </w:pPr>
            <w:r w:rsidRPr="00682277">
              <w:rPr>
                <w:b w:val="0"/>
                <w:bCs w:val="0"/>
              </w:rPr>
              <w:t xml:space="preserve"> 9,596 </w:t>
            </w:r>
          </w:p>
        </w:tc>
        <w:tc>
          <w:tcPr>
            <w:tcW w:w="419" w:type="pct"/>
          </w:tcPr>
          <w:p w14:paraId="7661F6A4" w14:textId="4782A65C" w:rsidR="007D19A5" w:rsidRPr="007D19A5" w:rsidRDefault="007D19A5" w:rsidP="007D19A5">
            <w:pPr>
              <w:pStyle w:val="BStablefigures"/>
              <w:rPr>
                <w:b w:val="0"/>
                <w:bCs w:val="0"/>
                <w:highlight w:val="yellow"/>
              </w:rPr>
            </w:pPr>
            <w:r w:rsidRPr="00682277">
              <w:rPr>
                <w:b w:val="0"/>
                <w:bCs w:val="0"/>
              </w:rPr>
              <w:t xml:space="preserve"> 10,090 </w:t>
            </w:r>
          </w:p>
        </w:tc>
        <w:tc>
          <w:tcPr>
            <w:tcW w:w="419" w:type="pct"/>
          </w:tcPr>
          <w:p w14:paraId="273FE68B" w14:textId="7A34EE43" w:rsidR="007D19A5" w:rsidRPr="007D19A5" w:rsidRDefault="007D19A5" w:rsidP="007D19A5">
            <w:pPr>
              <w:pStyle w:val="BStablefigures"/>
              <w:rPr>
                <w:b w:val="0"/>
                <w:bCs w:val="0"/>
                <w:highlight w:val="yellow"/>
              </w:rPr>
            </w:pPr>
            <w:r w:rsidRPr="00682277">
              <w:rPr>
                <w:b w:val="0"/>
                <w:bCs w:val="0"/>
              </w:rPr>
              <w:t xml:space="preserve"> 10,734 </w:t>
            </w:r>
          </w:p>
        </w:tc>
        <w:tc>
          <w:tcPr>
            <w:tcW w:w="419" w:type="pct"/>
          </w:tcPr>
          <w:p w14:paraId="597C2ACD" w14:textId="5BA56E2F" w:rsidR="007D19A5" w:rsidRPr="007D19A5" w:rsidRDefault="007D19A5" w:rsidP="007D19A5">
            <w:pPr>
              <w:pStyle w:val="BStablefigures"/>
              <w:rPr>
                <w:b w:val="0"/>
                <w:bCs w:val="0"/>
                <w:highlight w:val="yellow"/>
              </w:rPr>
            </w:pPr>
            <w:r w:rsidRPr="00682277">
              <w:rPr>
                <w:b w:val="0"/>
                <w:bCs w:val="0"/>
              </w:rPr>
              <w:t xml:space="preserve"> 10,921 </w:t>
            </w:r>
          </w:p>
        </w:tc>
        <w:tc>
          <w:tcPr>
            <w:tcW w:w="419" w:type="pct"/>
          </w:tcPr>
          <w:p w14:paraId="0B82DF2E" w14:textId="7480E600" w:rsidR="007D19A5" w:rsidRPr="007D19A5" w:rsidRDefault="007D19A5" w:rsidP="007D19A5">
            <w:pPr>
              <w:pStyle w:val="BStablefigures"/>
              <w:rPr>
                <w:b w:val="0"/>
                <w:bCs w:val="0"/>
                <w:highlight w:val="yellow"/>
              </w:rPr>
            </w:pPr>
            <w:r w:rsidRPr="00682277">
              <w:rPr>
                <w:b w:val="0"/>
                <w:bCs w:val="0"/>
              </w:rPr>
              <w:t xml:space="preserve"> 11,390 </w:t>
            </w:r>
          </w:p>
        </w:tc>
        <w:tc>
          <w:tcPr>
            <w:tcW w:w="419" w:type="pct"/>
          </w:tcPr>
          <w:p w14:paraId="36B89FFC" w14:textId="1004818B" w:rsidR="007D19A5" w:rsidRPr="007D19A5" w:rsidRDefault="007D19A5" w:rsidP="007D19A5">
            <w:pPr>
              <w:pStyle w:val="BStablefigures"/>
              <w:rPr>
                <w:b w:val="0"/>
                <w:bCs w:val="0"/>
                <w:highlight w:val="yellow"/>
              </w:rPr>
            </w:pPr>
            <w:r w:rsidRPr="00682277">
              <w:rPr>
                <w:b w:val="0"/>
                <w:bCs w:val="0"/>
              </w:rPr>
              <w:t xml:space="preserve"> 11,955 </w:t>
            </w:r>
          </w:p>
        </w:tc>
        <w:tc>
          <w:tcPr>
            <w:tcW w:w="419" w:type="pct"/>
          </w:tcPr>
          <w:p w14:paraId="63DE49D5" w14:textId="17EA6892" w:rsidR="007D19A5" w:rsidRPr="007D19A5" w:rsidRDefault="007D19A5" w:rsidP="007D19A5">
            <w:pPr>
              <w:pStyle w:val="BStablefigures"/>
              <w:rPr>
                <w:b w:val="0"/>
                <w:bCs w:val="0"/>
                <w:highlight w:val="yellow"/>
              </w:rPr>
            </w:pPr>
            <w:r w:rsidRPr="00682277">
              <w:rPr>
                <w:b w:val="0"/>
                <w:bCs w:val="0"/>
              </w:rPr>
              <w:t xml:space="preserve"> 12,551 </w:t>
            </w:r>
          </w:p>
        </w:tc>
        <w:tc>
          <w:tcPr>
            <w:tcW w:w="419" w:type="pct"/>
          </w:tcPr>
          <w:p w14:paraId="61C34E90" w14:textId="16BA6FED" w:rsidR="007D19A5" w:rsidRPr="007D19A5" w:rsidRDefault="007D19A5" w:rsidP="007D19A5">
            <w:pPr>
              <w:pStyle w:val="BStablefigures"/>
              <w:rPr>
                <w:b w:val="0"/>
                <w:bCs w:val="0"/>
                <w:highlight w:val="yellow"/>
              </w:rPr>
            </w:pPr>
            <w:r w:rsidRPr="00682277">
              <w:rPr>
                <w:b w:val="0"/>
                <w:bCs w:val="0"/>
              </w:rPr>
              <w:t xml:space="preserve"> 13,188 </w:t>
            </w:r>
          </w:p>
        </w:tc>
        <w:tc>
          <w:tcPr>
            <w:tcW w:w="419" w:type="pct"/>
          </w:tcPr>
          <w:p w14:paraId="1CA9D084" w14:textId="09648422" w:rsidR="007D19A5" w:rsidRPr="007D19A5" w:rsidRDefault="007D19A5" w:rsidP="007D19A5">
            <w:pPr>
              <w:pStyle w:val="BStablefigures"/>
              <w:rPr>
                <w:b w:val="0"/>
                <w:bCs w:val="0"/>
                <w:highlight w:val="yellow"/>
              </w:rPr>
            </w:pPr>
            <w:r w:rsidRPr="00682277">
              <w:rPr>
                <w:b w:val="0"/>
                <w:bCs w:val="0"/>
              </w:rPr>
              <w:t xml:space="preserve"> 13,833 </w:t>
            </w:r>
          </w:p>
        </w:tc>
        <w:tc>
          <w:tcPr>
            <w:tcW w:w="417" w:type="pct"/>
          </w:tcPr>
          <w:p w14:paraId="39B12880" w14:textId="702DC632" w:rsidR="007D19A5" w:rsidRPr="007D19A5" w:rsidRDefault="007D19A5" w:rsidP="007D19A5">
            <w:pPr>
              <w:pStyle w:val="BStablefigures"/>
              <w:rPr>
                <w:b w:val="0"/>
                <w:bCs w:val="0"/>
                <w:highlight w:val="yellow"/>
              </w:rPr>
            </w:pPr>
            <w:r w:rsidRPr="00682277">
              <w:rPr>
                <w:b w:val="0"/>
                <w:bCs w:val="0"/>
              </w:rPr>
              <w:t xml:space="preserve"> 14,522 </w:t>
            </w:r>
          </w:p>
        </w:tc>
      </w:tr>
      <w:tr w:rsidR="007D19A5" w:rsidRPr="00A35C17" w14:paraId="39EB3359" w14:textId="77777777" w:rsidTr="00463B0A">
        <w:trPr>
          <w:trHeight w:val="319"/>
        </w:trPr>
        <w:tc>
          <w:tcPr>
            <w:tcW w:w="812" w:type="pct"/>
          </w:tcPr>
          <w:p w14:paraId="271139D2" w14:textId="77777777" w:rsidR="007D19A5" w:rsidRPr="000E4BD3" w:rsidRDefault="007D19A5" w:rsidP="007D19A5">
            <w:pPr>
              <w:pStyle w:val="BStablelist"/>
              <w:keepNext/>
              <w:keepLines/>
              <w:numPr>
                <w:ilvl w:val="0"/>
                <w:numId w:val="0"/>
              </w:numPr>
              <w:spacing w:before="0" w:after="0"/>
              <w:rPr>
                <w:b/>
                <w:bCs/>
                <w:lang w:val="en-AU" w:eastAsia="en-US"/>
              </w:rPr>
            </w:pPr>
          </w:p>
        </w:tc>
        <w:tc>
          <w:tcPr>
            <w:tcW w:w="419" w:type="pct"/>
          </w:tcPr>
          <w:p w14:paraId="5AE3F36C" w14:textId="3685A73E" w:rsidR="007D19A5" w:rsidRPr="007D19A5" w:rsidRDefault="007D19A5" w:rsidP="007D19A5">
            <w:pPr>
              <w:pStyle w:val="BStablefigures"/>
              <w:rPr>
                <w:b w:val="0"/>
                <w:bCs w:val="0"/>
                <w:highlight w:val="yellow"/>
              </w:rPr>
            </w:pPr>
          </w:p>
        </w:tc>
        <w:tc>
          <w:tcPr>
            <w:tcW w:w="419" w:type="pct"/>
          </w:tcPr>
          <w:p w14:paraId="75FE50AB" w14:textId="3FA4F632" w:rsidR="007D19A5" w:rsidRPr="007D19A5" w:rsidRDefault="007D19A5" w:rsidP="007D19A5">
            <w:pPr>
              <w:pStyle w:val="BStablefigures"/>
              <w:rPr>
                <w:b w:val="0"/>
                <w:bCs w:val="0"/>
                <w:highlight w:val="yellow"/>
              </w:rPr>
            </w:pPr>
          </w:p>
        </w:tc>
        <w:tc>
          <w:tcPr>
            <w:tcW w:w="419" w:type="pct"/>
          </w:tcPr>
          <w:p w14:paraId="3869B98A" w14:textId="2C9DDFF1" w:rsidR="007D19A5" w:rsidRPr="007D19A5" w:rsidRDefault="007D19A5" w:rsidP="007D19A5">
            <w:pPr>
              <w:pStyle w:val="BStablefigures"/>
              <w:rPr>
                <w:b w:val="0"/>
                <w:bCs w:val="0"/>
                <w:highlight w:val="yellow"/>
              </w:rPr>
            </w:pPr>
          </w:p>
        </w:tc>
        <w:tc>
          <w:tcPr>
            <w:tcW w:w="419" w:type="pct"/>
          </w:tcPr>
          <w:p w14:paraId="4AFFC211" w14:textId="716E396C" w:rsidR="007D19A5" w:rsidRPr="007D19A5" w:rsidRDefault="007D19A5" w:rsidP="007D19A5">
            <w:pPr>
              <w:pStyle w:val="BStablefigures"/>
              <w:rPr>
                <w:b w:val="0"/>
                <w:bCs w:val="0"/>
                <w:highlight w:val="yellow"/>
              </w:rPr>
            </w:pPr>
          </w:p>
        </w:tc>
        <w:tc>
          <w:tcPr>
            <w:tcW w:w="419" w:type="pct"/>
          </w:tcPr>
          <w:p w14:paraId="50C4E556" w14:textId="7768255C" w:rsidR="007D19A5" w:rsidRPr="007D19A5" w:rsidRDefault="007D19A5" w:rsidP="007D19A5">
            <w:pPr>
              <w:pStyle w:val="BStablefigures"/>
              <w:rPr>
                <w:b w:val="0"/>
                <w:bCs w:val="0"/>
                <w:highlight w:val="yellow"/>
              </w:rPr>
            </w:pPr>
          </w:p>
        </w:tc>
        <w:tc>
          <w:tcPr>
            <w:tcW w:w="419" w:type="pct"/>
          </w:tcPr>
          <w:p w14:paraId="2C9EE1F2" w14:textId="4C947C0F" w:rsidR="007D19A5" w:rsidRPr="007D19A5" w:rsidRDefault="007D19A5" w:rsidP="007D19A5">
            <w:pPr>
              <w:pStyle w:val="BStablefigures"/>
              <w:rPr>
                <w:b w:val="0"/>
                <w:bCs w:val="0"/>
                <w:highlight w:val="yellow"/>
              </w:rPr>
            </w:pPr>
          </w:p>
        </w:tc>
        <w:tc>
          <w:tcPr>
            <w:tcW w:w="419" w:type="pct"/>
          </w:tcPr>
          <w:p w14:paraId="664EC240" w14:textId="29CA2FB2" w:rsidR="007D19A5" w:rsidRPr="007D19A5" w:rsidRDefault="007D19A5" w:rsidP="007D19A5">
            <w:pPr>
              <w:pStyle w:val="BStablefigures"/>
              <w:rPr>
                <w:b w:val="0"/>
                <w:bCs w:val="0"/>
                <w:highlight w:val="yellow"/>
              </w:rPr>
            </w:pPr>
          </w:p>
        </w:tc>
        <w:tc>
          <w:tcPr>
            <w:tcW w:w="419" w:type="pct"/>
          </w:tcPr>
          <w:p w14:paraId="767EFA12" w14:textId="0244F07A" w:rsidR="007D19A5" w:rsidRPr="007D19A5" w:rsidRDefault="007D19A5" w:rsidP="007D19A5">
            <w:pPr>
              <w:pStyle w:val="BStablefigures"/>
              <w:rPr>
                <w:b w:val="0"/>
                <w:bCs w:val="0"/>
                <w:highlight w:val="yellow"/>
              </w:rPr>
            </w:pPr>
          </w:p>
        </w:tc>
        <w:tc>
          <w:tcPr>
            <w:tcW w:w="419" w:type="pct"/>
          </w:tcPr>
          <w:p w14:paraId="004C892B" w14:textId="3BFA0956" w:rsidR="007D19A5" w:rsidRPr="007D19A5" w:rsidRDefault="007D19A5" w:rsidP="007D19A5">
            <w:pPr>
              <w:pStyle w:val="BStablefigures"/>
              <w:rPr>
                <w:b w:val="0"/>
                <w:bCs w:val="0"/>
                <w:highlight w:val="yellow"/>
              </w:rPr>
            </w:pPr>
          </w:p>
        </w:tc>
        <w:tc>
          <w:tcPr>
            <w:tcW w:w="417" w:type="pct"/>
          </w:tcPr>
          <w:p w14:paraId="1336D738" w14:textId="61F981EB" w:rsidR="007D19A5" w:rsidRPr="007D19A5" w:rsidRDefault="007D19A5" w:rsidP="007D19A5">
            <w:pPr>
              <w:pStyle w:val="BStablefigures"/>
              <w:rPr>
                <w:b w:val="0"/>
                <w:bCs w:val="0"/>
                <w:highlight w:val="yellow"/>
              </w:rPr>
            </w:pPr>
          </w:p>
        </w:tc>
      </w:tr>
      <w:tr w:rsidR="007D19A5" w:rsidRPr="00A35C17" w14:paraId="4C1AA4A0" w14:textId="77777777">
        <w:tc>
          <w:tcPr>
            <w:tcW w:w="812" w:type="pct"/>
          </w:tcPr>
          <w:p w14:paraId="0F1DA16D" w14:textId="77777777" w:rsidR="007D19A5" w:rsidRPr="000E4BD3" w:rsidRDefault="007D19A5" w:rsidP="007D19A5">
            <w:pPr>
              <w:pStyle w:val="BStablelist"/>
              <w:keepNext/>
              <w:keepLines/>
              <w:numPr>
                <w:ilvl w:val="0"/>
                <w:numId w:val="0"/>
              </w:numPr>
              <w:spacing w:before="0" w:after="0"/>
              <w:rPr>
                <w:b/>
                <w:bCs/>
                <w:lang w:val="en-AU" w:eastAsia="en-US"/>
              </w:rPr>
            </w:pPr>
            <w:r w:rsidRPr="000E4BD3">
              <w:rPr>
                <w:b/>
                <w:bCs/>
                <w:lang w:val="en-AU" w:eastAsia="en-US"/>
              </w:rPr>
              <w:t xml:space="preserve">Total </w:t>
            </w:r>
            <w:r>
              <w:rPr>
                <w:b/>
                <w:bCs/>
                <w:lang w:val="en-AU" w:eastAsia="en-US"/>
              </w:rPr>
              <w:t>e</w:t>
            </w:r>
            <w:r w:rsidRPr="000E4BD3">
              <w:rPr>
                <w:b/>
                <w:bCs/>
                <w:lang w:val="en-AU" w:eastAsia="en-US"/>
              </w:rPr>
              <w:t>xpenses (GGS)</w:t>
            </w:r>
          </w:p>
        </w:tc>
        <w:tc>
          <w:tcPr>
            <w:tcW w:w="419" w:type="pct"/>
          </w:tcPr>
          <w:p w14:paraId="7EC69235" w14:textId="27194EB2" w:rsidR="007D19A5" w:rsidRPr="007D19A5" w:rsidRDefault="007D19A5" w:rsidP="007D19A5">
            <w:pPr>
              <w:pStyle w:val="BStablefigures"/>
              <w:rPr>
                <w:b w:val="0"/>
                <w:bCs w:val="0"/>
                <w:highlight w:val="yellow"/>
              </w:rPr>
            </w:pPr>
            <w:r w:rsidRPr="00682277">
              <w:rPr>
                <w:b w:val="0"/>
                <w:bCs w:val="0"/>
              </w:rPr>
              <w:t xml:space="preserve"> 10,208 </w:t>
            </w:r>
          </w:p>
        </w:tc>
        <w:tc>
          <w:tcPr>
            <w:tcW w:w="419" w:type="pct"/>
          </w:tcPr>
          <w:p w14:paraId="22E403A0" w14:textId="10ECD71D" w:rsidR="007D19A5" w:rsidRPr="007D19A5" w:rsidRDefault="007D19A5" w:rsidP="007D19A5">
            <w:pPr>
              <w:pStyle w:val="BStablefigures"/>
              <w:rPr>
                <w:b w:val="0"/>
                <w:bCs w:val="0"/>
                <w:highlight w:val="yellow"/>
              </w:rPr>
            </w:pPr>
            <w:r w:rsidRPr="00682277">
              <w:rPr>
                <w:b w:val="0"/>
                <w:bCs w:val="0"/>
              </w:rPr>
              <w:t xml:space="preserve"> 10,422 </w:t>
            </w:r>
          </w:p>
        </w:tc>
        <w:tc>
          <w:tcPr>
            <w:tcW w:w="419" w:type="pct"/>
          </w:tcPr>
          <w:p w14:paraId="206BDB15" w14:textId="69051BD8" w:rsidR="007D19A5" w:rsidRPr="007D19A5" w:rsidRDefault="007D19A5" w:rsidP="007D19A5">
            <w:pPr>
              <w:pStyle w:val="BStablefigures"/>
              <w:rPr>
                <w:b w:val="0"/>
                <w:bCs w:val="0"/>
                <w:highlight w:val="yellow"/>
              </w:rPr>
            </w:pPr>
            <w:r w:rsidRPr="00682277">
              <w:rPr>
                <w:b w:val="0"/>
                <w:bCs w:val="0"/>
              </w:rPr>
              <w:t xml:space="preserve"> 10,825 </w:t>
            </w:r>
          </w:p>
        </w:tc>
        <w:tc>
          <w:tcPr>
            <w:tcW w:w="419" w:type="pct"/>
          </w:tcPr>
          <w:p w14:paraId="64C072D1" w14:textId="040A2309" w:rsidR="007D19A5" w:rsidRPr="007D19A5" w:rsidRDefault="007D19A5" w:rsidP="007D19A5">
            <w:pPr>
              <w:pStyle w:val="BStablefigures"/>
              <w:rPr>
                <w:b w:val="0"/>
                <w:bCs w:val="0"/>
                <w:highlight w:val="yellow"/>
              </w:rPr>
            </w:pPr>
            <w:r w:rsidRPr="00682277">
              <w:rPr>
                <w:b w:val="0"/>
                <w:bCs w:val="0"/>
              </w:rPr>
              <w:t xml:space="preserve"> 10,925 </w:t>
            </w:r>
          </w:p>
        </w:tc>
        <w:tc>
          <w:tcPr>
            <w:tcW w:w="419" w:type="pct"/>
          </w:tcPr>
          <w:p w14:paraId="4601B2FD" w14:textId="13EEC386" w:rsidR="007D19A5" w:rsidRPr="007D19A5" w:rsidRDefault="007D19A5" w:rsidP="007D19A5">
            <w:pPr>
              <w:pStyle w:val="BStablefigures"/>
              <w:rPr>
                <w:b w:val="0"/>
                <w:bCs w:val="0"/>
                <w:highlight w:val="yellow"/>
              </w:rPr>
            </w:pPr>
            <w:r w:rsidRPr="00682277">
              <w:rPr>
                <w:b w:val="0"/>
                <w:bCs w:val="0"/>
              </w:rPr>
              <w:t xml:space="preserve"> 11,132 </w:t>
            </w:r>
          </w:p>
        </w:tc>
        <w:tc>
          <w:tcPr>
            <w:tcW w:w="419" w:type="pct"/>
          </w:tcPr>
          <w:p w14:paraId="4A3C5F70" w14:textId="49CFA872" w:rsidR="007D19A5" w:rsidRPr="007D19A5" w:rsidRDefault="007D19A5" w:rsidP="007D19A5">
            <w:pPr>
              <w:pStyle w:val="BStablefigures"/>
              <w:rPr>
                <w:b w:val="0"/>
                <w:bCs w:val="0"/>
                <w:highlight w:val="yellow"/>
              </w:rPr>
            </w:pPr>
            <w:r w:rsidRPr="00682277">
              <w:rPr>
                <w:b w:val="0"/>
                <w:bCs w:val="0"/>
              </w:rPr>
              <w:t xml:space="preserve"> 11,371 </w:t>
            </w:r>
          </w:p>
        </w:tc>
        <w:tc>
          <w:tcPr>
            <w:tcW w:w="419" w:type="pct"/>
          </w:tcPr>
          <w:p w14:paraId="09262920" w14:textId="3E7E032B" w:rsidR="007D19A5" w:rsidRPr="007D19A5" w:rsidRDefault="007D19A5" w:rsidP="007D19A5">
            <w:pPr>
              <w:pStyle w:val="BStablefigures"/>
              <w:rPr>
                <w:b w:val="0"/>
                <w:bCs w:val="0"/>
                <w:highlight w:val="yellow"/>
              </w:rPr>
            </w:pPr>
            <w:r w:rsidRPr="00682277">
              <w:rPr>
                <w:b w:val="0"/>
                <w:bCs w:val="0"/>
              </w:rPr>
              <w:t xml:space="preserve"> 11,621 </w:t>
            </w:r>
          </w:p>
        </w:tc>
        <w:tc>
          <w:tcPr>
            <w:tcW w:w="419" w:type="pct"/>
          </w:tcPr>
          <w:p w14:paraId="18047783" w14:textId="034C55BA" w:rsidR="007D19A5" w:rsidRPr="007D19A5" w:rsidRDefault="007D19A5" w:rsidP="007D19A5">
            <w:pPr>
              <w:pStyle w:val="BStablefigures"/>
              <w:rPr>
                <w:b w:val="0"/>
                <w:bCs w:val="0"/>
                <w:highlight w:val="yellow"/>
              </w:rPr>
            </w:pPr>
            <w:r w:rsidRPr="00682277">
              <w:rPr>
                <w:b w:val="0"/>
                <w:bCs w:val="0"/>
              </w:rPr>
              <w:t xml:space="preserve"> 11,837 </w:t>
            </w:r>
          </w:p>
        </w:tc>
        <w:tc>
          <w:tcPr>
            <w:tcW w:w="419" w:type="pct"/>
          </w:tcPr>
          <w:p w14:paraId="7E69899E" w14:textId="22817087" w:rsidR="007D19A5" w:rsidRPr="007D19A5" w:rsidRDefault="007D19A5" w:rsidP="007D19A5">
            <w:pPr>
              <w:pStyle w:val="BStablefigures"/>
              <w:rPr>
                <w:b w:val="0"/>
                <w:bCs w:val="0"/>
                <w:highlight w:val="yellow"/>
              </w:rPr>
            </w:pPr>
            <w:r w:rsidRPr="00682277">
              <w:rPr>
                <w:b w:val="0"/>
                <w:bCs w:val="0"/>
              </w:rPr>
              <w:t xml:space="preserve"> 11,975 </w:t>
            </w:r>
          </w:p>
        </w:tc>
        <w:tc>
          <w:tcPr>
            <w:tcW w:w="417" w:type="pct"/>
          </w:tcPr>
          <w:p w14:paraId="31D178F9" w14:textId="5AC6A81C" w:rsidR="007D19A5" w:rsidRPr="007D19A5" w:rsidRDefault="007D19A5" w:rsidP="007D19A5">
            <w:pPr>
              <w:pStyle w:val="BStablefigures"/>
              <w:rPr>
                <w:b w:val="0"/>
                <w:bCs w:val="0"/>
                <w:highlight w:val="yellow"/>
              </w:rPr>
            </w:pPr>
            <w:r w:rsidRPr="00682277">
              <w:rPr>
                <w:b w:val="0"/>
                <w:bCs w:val="0"/>
              </w:rPr>
              <w:t xml:space="preserve"> 12,086 </w:t>
            </w:r>
          </w:p>
        </w:tc>
      </w:tr>
      <w:tr w:rsidR="007D19A5" w:rsidRPr="00A35C17" w14:paraId="42F022AC" w14:textId="77777777">
        <w:tc>
          <w:tcPr>
            <w:tcW w:w="812" w:type="pct"/>
          </w:tcPr>
          <w:p w14:paraId="352A627F" w14:textId="77777777" w:rsidR="007D19A5" w:rsidRPr="000E4BD3" w:rsidRDefault="007D19A5" w:rsidP="007D19A5">
            <w:pPr>
              <w:pStyle w:val="BStablelist"/>
              <w:keepNext/>
              <w:keepLines/>
              <w:numPr>
                <w:ilvl w:val="0"/>
                <w:numId w:val="0"/>
              </w:numPr>
              <w:spacing w:before="0" w:after="0"/>
              <w:ind w:left="360" w:hanging="360"/>
              <w:rPr>
                <w:b/>
                <w:bCs/>
                <w:lang w:val="en-AU" w:eastAsia="en-US"/>
              </w:rPr>
            </w:pPr>
          </w:p>
        </w:tc>
        <w:tc>
          <w:tcPr>
            <w:tcW w:w="419" w:type="pct"/>
          </w:tcPr>
          <w:p w14:paraId="361169D8" w14:textId="78156285" w:rsidR="007D19A5" w:rsidRPr="007D19A5" w:rsidRDefault="007D19A5" w:rsidP="007D19A5">
            <w:pPr>
              <w:pStyle w:val="BStablefigures"/>
              <w:rPr>
                <w:b w:val="0"/>
                <w:bCs w:val="0"/>
                <w:highlight w:val="yellow"/>
              </w:rPr>
            </w:pPr>
          </w:p>
        </w:tc>
        <w:tc>
          <w:tcPr>
            <w:tcW w:w="419" w:type="pct"/>
          </w:tcPr>
          <w:p w14:paraId="551656CA" w14:textId="025AFFD6" w:rsidR="007D19A5" w:rsidRPr="007D19A5" w:rsidRDefault="007D19A5" w:rsidP="007D19A5">
            <w:pPr>
              <w:pStyle w:val="BStablefigures"/>
              <w:rPr>
                <w:b w:val="0"/>
                <w:bCs w:val="0"/>
                <w:highlight w:val="yellow"/>
              </w:rPr>
            </w:pPr>
          </w:p>
        </w:tc>
        <w:tc>
          <w:tcPr>
            <w:tcW w:w="419" w:type="pct"/>
          </w:tcPr>
          <w:p w14:paraId="550C5C9F" w14:textId="1B3CB0E5" w:rsidR="007D19A5" w:rsidRPr="007D19A5" w:rsidRDefault="007D19A5" w:rsidP="007D19A5">
            <w:pPr>
              <w:pStyle w:val="BStablefigures"/>
              <w:rPr>
                <w:b w:val="0"/>
                <w:bCs w:val="0"/>
                <w:highlight w:val="yellow"/>
              </w:rPr>
            </w:pPr>
          </w:p>
        </w:tc>
        <w:tc>
          <w:tcPr>
            <w:tcW w:w="419" w:type="pct"/>
          </w:tcPr>
          <w:p w14:paraId="564A266A" w14:textId="2420D94A" w:rsidR="007D19A5" w:rsidRPr="007D19A5" w:rsidRDefault="007D19A5" w:rsidP="007D19A5">
            <w:pPr>
              <w:pStyle w:val="BStablefigures"/>
              <w:rPr>
                <w:b w:val="0"/>
                <w:bCs w:val="0"/>
                <w:highlight w:val="yellow"/>
              </w:rPr>
            </w:pPr>
          </w:p>
        </w:tc>
        <w:tc>
          <w:tcPr>
            <w:tcW w:w="419" w:type="pct"/>
          </w:tcPr>
          <w:p w14:paraId="75B08480" w14:textId="0A0CB24D" w:rsidR="007D19A5" w:rsidRPr="007D19A5" w:rsidRDefault="007D19A5" w:rsidP="007D19A5">
            <w:pPr>
              <w:pStyle w:val="BStablefigures"/>
              <w:rPr>
                <w:b w:val="0"/>
                <w:bCs w:val="0"/>
                <w:highlight w:val="yellow"/>
              </w:rPr>
            </w:pPr>
          </w:p>
        </w:tc>
        <w:tc>
          <w:tcPr>
            <w:tcW w:w="419" w:type="pct"/>
          </w:tcPr>
          <w:p w14:paraId="0FD81418" w14:textId="4970DE4B" w:rsidR="007D19A5" w:rsidRPr="007D19A5" w:rsidRDefault="007D19A5" w:rsidP="007D19A5">
            <w:pPr>
              <w:pStyle w:val="BStablefigures"/>
              <w:rPr>
                <w:b w:val="0"/>
                <w:bCs w:val="0"/>
                <w:highlight w:val="yellow"/>
              </w:rPr>
            </w:pPr>
          </w:p>
        </w:tc>
        <w:tc>
          <w:tcPr>
            <w:tcW w:w="419" w:type="pct"/>
          </w:tcPr>
          <w:p w14:paraId="6F879E47" w14:textId="74C87657" w:rsidR="007D19A5" w:rsidRPr="007D19A5" w:rsidRDefault="007D19A5" w:rsidP="007D19A5">
            <w:pPr>
              <w:pStyle w:val="BStablefigures"/>
              <w:rPr>
                <w:b w:val="0"/>
                <w:bCs w:val="0"/>
                <w:highlight w:val="yellow"/>
              </w:rPr>
            </w:pPr>
          </w:p>
        </w:tc>
        <w:tc>
          <w:tcPr>
            <w:tcW w:w="419" w:type="pct"/>
          </w:tcPr>
          <w:p w14:paraId="40D00786" w14:textId="3E1633A8" w:rsidR="007D19A5" w:rsidRPr="007D19A5" w:rsidRDefault="007D19A5" w:rsidP="007D19A5">
            <w:pPr>
              <w:pStyle w:val="BStablefigures"/>
              <w:rPr>
                <w:b w:val="0"/>
                <w:bCs w:val="0"/>
                <w:highlight w:val="yellow"/>
              </w:rPr>
            </w:pPr>
          </w:p>
        </w:tc>
        <w:tc>
          <w:tcPr>
            <w:tcW w:w="419" w:type="pct"/>
          </w:tcPr>
          <w:p w14:paraId="07BD71BB" w14:textId="259772A7" w:rsidR="007D19A5" w:rsidRPr="007D19A5" w:rsidRDefault="007D19A5" w:rsidP="007D19A5">
            <w:pPr>
              <w:pStyle w:val="BStablefigures"/>
              <w:rPr>
                <w:b w:val="0"/>
                <w:bCs w:val="0"/>
                <w:highlight w:val="yellow"/>
              </w:rPr>
            </w:pPr>
          </w:p>
        </w:tc>
        <w:tc>
          <w:tcPr>
            <w:tcW w:w="417" w:type="pct"/>
          </w:tcPr>
          <w:p w14:paraId="09C0C271" w14:textId="0F435819" w:rsidR="007D19A5" w:rsidRPr="007D19A5" w:rsidRDefault="007D19A5" w:rsidP="007D19A5">
            <w:pPr>
              <w:pStyle w:val="BStablefigures"/>
              <w:rPr>
                <w:b w:val="0"/>
                <w:bCs w:val="0"/>
                <w:highlight w:val="yellow"/>
              </w:rPr>
            </w:pPr>
          </w:p>
        </w:tc>
      </w:tr>
      <w:tr w:rsidR="007D19A5" w:rsidRPr="00A35C17" w14:paraId="501673A2" w14:textId="77777777">
        <w:tc>
          <w:tcPr>
            <w:tcW w:w="812" w:type="pct"/>
          </w:tcPr>
          <w:p w14:paraId="116EEE1D" w14:textId="77777777" w:rsidR="007D19A5" w:rsidRPr="00861C2F" w:rsidRDefault="007D19A5" w:rsidP="007D19A5">
            <w:pPr>
              <w:pStyle w:val="BStablelist"/>
              <w:keepNext/>
              <w:keepLines/>
              <w:numPr>
                <w:ilvl w:val="0"/>
                <w:numId w:val="0"/>
              </w:numPr>
              <w:spacing w:before="0" w:after="0"/>
              <w:ind w:left="360" w:hanging="360"/>
              <w:rPr>
                <w:lang w:val="en-AU" w:eastAsia="en-US"/>
              </w:rPr>
            </w:pPr>
            <w:r w:rsidRPr="005A475F">
              <w:rPr>
                <w:b/>
                <w:bCs/>
                <w:lang w:val="en-AU" w:eastAsia="en-US"/>
              </w:rPr>
              <w:t xml:space="preserve">Net </w:t>
            </w:r>
            <w:r>
              <w:rPr>
                <w:b/>
                <w:bCs/>
                <w:lang w:val="en-AU" w:eastAsia="en-US"/>
              </w:rPr>
              <w:t>O</w:t>
            </w:r>
            <w:r w:rsidRPr="005A475F">
              <w:rPr>
                <w:b/>
                <w:bCs/>
                <w:lang w:val="en-AU" w:eastAsia="en-US"/>
              </w:rPr>
              <w:t>perating Balance</w:t>
            </w:r>
            <w:r>
              <w:rPr>
                <w:b/>
                <w:bCs/>
                <w:lang w:val="en-AU" w:eastAsia="en-US"/>
              </w:rPr>
              <w:t xml:space="preserve"> (GGS)</w:t>
            </w:r>
          </w:p>
        </w:tc>
        <w:tc>
          <w:tcPr>
            <w:tcW w:w="419" w:type="pct"/>
          </w:tcPr>
          <w:p w14:paraId="67B188E7" w14:textId="122C2C71" w:rsidR="007D19A5" w:rsidRPr="007D19A5" w:rsidRDefault="007D19A5" w:rsidP="007D19A5">
            <w:pPr>
              <w:pStyle w:val="BStablefigures"/>
              <w:rPr>
                <w:b w:val="0"/>
                <w:bCs w:val="0"/>
                <w:highlight w:val="yellow"/>
              </w:rPr>
            </w:pPr>
            <w:r w:rsidRPr="00682277">
              <w:rPr>
                <w:b w:val="0"/>
                <w:bCs w:val="0"/>
              </w:rPr>
              <w:t xml:space="preserve">-612 </w:t>
            </w:r>
          </w:p>
        </w:tc>
        <w:tc>
          <w:tcPr>
            <w:tcW w:w="419" w:type="pct"/>
          </w:tcPr>
          <w:p w14:paraId="20DDF2DE" w14:textId="43B19E9A" w:rsidR="007D19A5" w:rsidRPr="007D19A5" w:rsidRDefault="007D19A5" w:rsidP="007D19A5">
            <w:pPr>
              <w:pStyle w:val="BStablefigures"/>
              <w:rPr>
                <w:b w:val="0"/>
                <w:bCs w:val="0"/>
                <w:highlight w:val="yellow"/>
              </w:rPr>
            </w:pPr>
            <w:r w:rsidRPr="00682277">
              <w:rPr>
                <w:b w:val="0"/>
                <w:bCs w:val="0"/>
              </w:rPr>
              <w:t xml:space="preserve">-331 </w:t>
            </w:r>
          </w:p>
        </w:tc>
        <w:tc>
          <w:tcPr>
            <w:tcW w:w="419" w:type="pct"/>
          </w:tcPr>
          <w:p w14:paraId="7DBAE62B" w14:textId="101E5297" w:rsidR="007D19A5" w:rsidRPr="007D19A5" w:rsidRDefault="007D19A5" w:rsidP="007D19A5">
            <w:pPr>
              <w:pStyle w:val="BStablefigures"/>
              <w:rPr>
                <w:b w:val="0"/>
                <w:bCs w:val="0"/>
                <w:highlight w:val="yellow"/>
              </w:rPr>
            </w:pPr>
            <w:r w:rsidRPr="00682277">
              <w:rPr>
                <w:b w:val="0"/>
                <w:bCs w:val="0"/>
              </w:rPr>
              <w:t xml:space="preserve">-90 </w:t>
            </w:r>
          </w:p>
        </w:tc>
        <w:tc>
          <w:tcPr>
            <w:tcW w:w="419" w:type="pct"/>
          </w:tcPr>
          <w:p w14:paraId="061CF051" w14:textId="765319C2" w:rsidR="007D19A5" w:rsidRPr="007D19A5" w:rsidRDefault="007D19A5" w:rsidP="007D19A5">
            <w:pPr>
              <w:pStyle w:val="BStablefigures"/>
              <w:rPr>
                <w:b w:val="0"/>
                <w:bCs w:val="0"/>
                <w:highlight w:val="yellow"/>
              </w:rPr>
            </w:pPr>
            <w:r w:rsidRPr="00682277">
              <w:rPr>
                <w:b w:val="0"/>
                <w:bCs w:val="0"/>
              </w:rPr>
              <w:t xml:space="preserve">-4 </w:t>
            </w:r>
          </w:p>
        </w:tc>
        <w:tc>
          <w:tcPr>
            <w:tcW w:w="419" w:type="pct"/>
          </w:tcPr>
          <w:p w14:paraId="1F3C0E19" w14:textId="6D101C70" w:rsidR="007D19A5" w:rsidRPr="007D19A5" w:rsidRDefault="007D19A5" w:rsidP="007D19A5">
            <w:pPr>
              <w:pStyle w:val="BStablefigures"/>
              <w:rPr>
                <w:b w:val="0"/>
                <w:bCs w:val="0"/>
                <w:highlight w:val="yellow"/>
              </w:rPr>
            </w:pPr>
            <w:r w:rsidRPr="00682277">
              <w:rPr>
                <w:b w:val="0"/>
                <w:bCs w:val="0"/>
              </w:rPr>
              <w:t xml:space="preserve"> 258 </w:t>
            </w:r>
          </w:p>
        </w:tc>
        <w:tc>
          <w:tcPr>
            <w:tcW w:w="419" w:type="pct"/>
          </w:tcPr>
          <w:p w14:paraId="5DF5912C" w14:textId="1E1FE35C" w:rsidR="007D19A5" w:rsidRPr="007D19A5" w:rsidRDefault="007D19A5" w:rsidP="007D19A5">
            <w:pPr>
              <w:pStyle w:val="BStablefigures"/>
              <w:rPr>
                <w:b w:val="0"/>
                <w:bCs w:val="0"/>
                <w:highlight w:val="yellow"/>
              </w:rPr>
            </w:pPr>
            <w:r w:rsidRPr="00682277">
              <w:rPr>
                <w:b w:val="0"/>
                <w:bCs w:val="0"/>
              </w:rPr>
              <w:t xml:space="preserve"> 584 </w:t>
            </w:r>
          </w:p>
        </w:tc>
        <w:tc>
          <w:tcPr>
            <w:tcW w:w="419" w:type="pct"/>
          </w:tcPr>
          <w:p w14:paraId="30CF38C0" w14:textId="4861FED6" w:rsidR="007D19A5" w:rsidRPr="007D19A5" w:rsidRDefault="007D19A5" w:rsidP="007D19A5">
            <w:pPr>
              <w:pStyle w:val="BStablefigures"/>
              <w:rPr>
                <w:b w:val="0"/>
                <w:bCs w:val="0"/>
                <w:highlight w:val="yellow"/>
              </w:rPr>
            </w:pPr>
            <w:r w:rsidRPr="00682277">
              <w:rPr>
                <w:b w:val="0"/>
                <w:bCs w:val="0"/>
              </w:rPr>
              <w:t xml:space="preserve"> 930 </w:t>
            </w:r>
          </w:p>
        </w:tc>
        <w:tc>
          <w:tcPr>
            <w:tcW w:w="419" w:type="pct"/>
          </w:tcPr>
          <w:p w14:paraId="18C0E995" w14:textId="727A3D58" w:rsidR="007D19A5" w:rsidRPr="007D19A5" w:rsidRDefault="007D19A5" w:rsidP="007D19A5">
            <w:pPr>
              <w:pStyle w:val="BStablefigures"/>
              <w:rPr>
                <w:b w:val="0"/>
                <w:bCs w:val="0"/>
                <w:highlight w:val="yellow"/>
              </w:rPr>
            </w:pPr>
            <w:r w:rsidRPr="00682277">
              <w:rPr>
                <w:b w:val="0"/>
                <w:bCs w:val="0"/>
              </w:rPr>
              <w:t xml:space="preserve"> 1,352 </w:t>
            </w:r>
          </w:p>
        </w:tc>
        <w:tc>
          <w:tcPr>
            <w:tcW w:w="419" w:type="pct"/>
          </w:tcPr>
          <w:p w14:paraId="3BCDA5B6" w14:textId="56903E7F" w:rsidR="007D19A5" w:rsidRPr="007D19A5" w:rsidRDefault="007D19A5" w:rsidP="007D19A5">
            <w:pPr>
              <w:pStyle w:val="BStablefigures"/>
              <w:rPr>
                <w:b w:val="0"/>
                <w:bCs w:val="0"/>
                <w:highlight w:val="yellow"/>
              </w:rPr>
            </w:pPr>
            <w:r w:rsidRPr="00682277">
              <w:rPr>
                <w:b w:val="0"/>
                <w:bCs w:val="0"/>
              </w:rPr>
              <w:t xml:space="preserve"> 1,858 </w:t>
            </w:r>
          </w:p>
        </w:tc>
        <w:tc>
          <w:tcPr>
            <w:tcW w:w="417" w:type="pct"/>
          </w:tcPr>
          <w:p w14:paraId="5B5B13E1" w14:textId="76BA6CC5" w:rsidR="007D19A5" w:rsidRPr="007D19A5" w:rsidRDefault="007D19A5" w:rsidP="007D19A5">
            <w:pPr>
              <w:pStyle w:val="BStablefigures"/>
              <w:rPr>
                <w:b w:val="0"/>
                <w:bCs w:val="0"/>
                <w:highlight w:val="yellow"/>
              </w:rPr>
            </w:pPr>
            <w:r w:rsidRPr="00682277">
              <w:rPr>
                <w:b w:val="0"/>
                <w:bCs w:val="0"/>
              </w:rPr>
              <w:t xml:space="preserve"> 2,437 </w:t>
            </w:r>
          </w:p>
        </w:tc>
      </w:tr>
      <w:tr w:rsidR="007D19A5" w:rsidRPr="00A35C17" w14:paraId="6583F852" w14:textId="77777777" w:rsidTr="00185DBD">
        <w:trPr>
          <w:trHeight w:val="97"/>
        </w:trPr>
        <w:tc>
          <w:tcPr>
            <w:tcW w:w="812" w:type="pct"/>
          </w:tcPr>
          <w:p w14:paraId="085EDFFA" w14:textId="77777777" w:rsidR="007D19A5" w:rsidRDefault="007D19A5" w:rsidP="007D19A5">
            <w:pPr>
              <w:pStyle w:val="BStablelist"/>
              <w:keepNext/>
              <w:keepLines/>
              <w:numPr>
                <w:ilvl w:val="0"/>
                <w:numId w:val="0"/>
              </w:numPr>
              <w:spacing w:before="0" w:after="0"/>
              <w:ind w:left="360" w:hanging="360"/>
              <w:rPr>
                <w:b/>
                <w:bCs/>
                <w:lang w:val="en-AU" w:eastAsia="en-US"/>
              </w:rPr>
            </w:pPr>
          </w:p>
        </w:tc>
        <w:tc>
          <w:tcPr>
            <w:tcW w:w="419" w:type="pct"/>
          </w:tcPr>
          <w:p w14:paraId="3AC3304B" w14:textId="21B97338" w:rsidR="007D19A5" w:rsidRPr="007D19A5" w:rsidRDefault="007D19A5" w:rsidP="007D19A5">
            <w:pPr>
              <w:pStyle w:val="BStablefigures"/>
              <w:rPr>
                <w:b w:val="0"/>
                <w:bCs w:val="0"/>
                <w:highlight w:val="yellow"/>
              </w:rPr>
            </w:pPr>
          </w:p>
        </w:tc>
        <w:tc>
          <w:tcPr>
            <w:tcW w:w="419" w:type="pct"/>
          </w:tcPr>
          <w:p w14:paraId="6D20891B" w14:textId="67617B06" w:rsidR="007D19A5" w:rsidRPr="007D19A5" w:rsidRDefault="007D19A5" w:rsidP="007D19A5">
            <w:pPr>
              <w:pStyle w:val="BStablefigures"/>
              <w:rPr>
                <w:b w:val="0"/>
                <w:bCs w:val="0"/>
                <w:highlight w:val="yellow"/>
              </w:rPr>
            </w:pPr>
          </w:p>
        </w:tc>
        <w:tc>
          <w:tcPr>
            <w:tcW w:w="419" w:type="pct"/>
          </w:tcPr>
          <w:p w14:paraId="1438C52D" w14:textId="2D7B1F03" w:rsidR="007D19A5" w:rsidRPr="007D19A5" w:rsidRDefault="007D19A5" w:rsidP="007D19A5">
            <w:pPr>
              <w:pStyle w:val="BStablefigures"/>
              <w:rPr>
                <w:b w:val="0"/>
                <w:bCs w:val="0"/>
                <w:highlight w:val="yellow"/>
              </w:rPr>
            </w:pPr>
          </w:p>
        </w:tc>
        <w:tc>
          <w:tcPr>
            <w:tcW w:w="419" w:type="pct"/>
          </w:tcPr>
          <w:p w14:paraId="60F10645" w14:textId="0B11306B" w:rsidR="007D19A5" w:rsidRPr="007D19A5" w:rsidRDefault="007D19A5" w:rsidP="007D19A5">
            <w:pPr>
              <w:pStyle w:val="BStablefigures"/>
              <w:rPr>
                <w:b w:val="0"/>
                <w:bCs w:val="0"/>
                <w:highlight w:val="yellow"/>
              </w:rPr>
            </w:pPr>
          </w:p>
        </w:tc>
        <w:tc>
          <w:tcPr>
            <w:tcW w:w="419" w:type="pct"/>
          </w:tcPr>
          <w:p w14:paraId="198A6461" w14:textId="38C8D146" w:rsidR="007D19A5" w:rsidRPr="007D19A5" w:rsidRDefault="007D19A5" w:rsidP="007D19A5">
            <w:pPr>
              <w:pStyle w:val="BStablefigures"/>
              <w:rPr>
                <w:b w:val="0"/>
                <w:bCs w:val="0"/>
                <w:highlight w:val="yellow"/>
              </w:rPr>
            </w:pPr>
          </w:p>
        </w:tc>
        <w:tc>
          <w:tcPr>
            <w:tcW w:w="419" w:type="pct"/>
          </w:tcPr>
          <w:p w14:paraId="6D399283" w14:textId="417ECE9A" w:rsidR="007D19A5" w:rsidRPr="007D19A5" w:rsidRDefault="007D19A5" w:rsidP="007D19A5">
            <w:pPr>
              <w:pStyle w:val="BStablefigures"/>
              <w:rPr>
                <w:b w:val="0"/>
                <w:bCs w:val="0"/>
                <w:highlight w:val="yellow"/>
              </w:rPr>
            </w:pPr>
          </w:p>
        </w:tc>
        <w:tc>
          <w:tcPr>
            <w:tcW w:w="419" w:type="pct"/>
          </w:tcPr>
          <w:p w14:paraId="54B68B0C" w14:textId="6FC3B189" w:rsidR="007D19A5" w:rsidRPr="007D19A5" w:rsidRDefault="007D19A5" w:rsidP="007D19A5">
            <w:pPr>
              <w:pStyle w:val="BStablefigures"/>
              <w:rPr>
                <w:b w:val="0"/>
                <w:bCs w:val="0"/>
                <w:highlight w:val="yellow"/>
              </w:rPr>
            </w:pPr>
          </w:p>
        </w:tc>
        <w:tc>
          <w:tcPr>
            <w:tcW w:w="419" w:type="pct"/>
          </w:tcPr>
          <w:p w14:paraId="7A013514" w14:textId="54738BB6" w:rsidR="007D19A5" w:rsidRPr="007D19A5" w:rsidRDefault="007D19A5" w:rsidP="007D19A5">
            <w:pPr>
              <w:pStyle w:val="BStablefigures"/>
              <w:rPr>
                <w:b w:val="0"/>
                <w:bCs w:val="0"/>
                <w:highlight w:val="yellow"/>
              </w:rPr>
            </w:pPr>
          </w:p>
        </w:tc>
        <w:tc>
          <w:tcPr>
            <w:tcW w:w="419" w:type="pct"/>
          </w:tcPr>
          <w:p w14:paraId="1B5E4BC9" w14:textId="4251BAAE" w:rsidR="007D19A5" w:rsidRPr="007D19A5" w:rsidRDefault="007D19A5" w:rsidP="007D19A5">
            <w:pPr>
              <w:pStyle w:val="BStablefigures"/>
              <w:rPr>
                <w:b w:val="0"/>
                <w:bCs w:val="0"/>
                <w:highlight w:val="yellow"/>
              </w:rPr>
            </w:pPr>
          </w:p>
        </w:tc>
        <w:tc>
          <w:tcPr>
            <w:tcW w:w="417" w:type="pct"/>
          </w:tcPr>
          <w:p w14:paraId="0B8E19E4" w14:textId="0C876C48" w:rsidR="007D19A5" w:rsidRPr="007D19A5" w:rsidRDefault="007D19A5" w:rsidP="007D19A5">
            <w:pPr>
              <w:pStyle w:val="BStablefigures"/>
              <w:rPr>
                <w:b w:val="0"/>
                <w:bCs w:val="0"/>
                <w:highlight w:val="yellow"/>
              </w:rPr>
            </w:pPr>
          </w:p>
        </w:tc>
      </w:tr>
      <w:tr w:rsidR="007D19A5" w:rsidRPr="00A35C17" w14:paraId="39E1D3EE" w14:textId="77777777">
        <w:tc>
          <w:tcPr>
            <w:tcW w:w="812" w:type="pct"/>
          </w:tcPr>
          <w:p w14:paraId="12DA6059" w14:textId="232E5D0D" w:rsidR="007D19A5" w:rsidRPr="005A475F" w:rsidRDefault="007D19A5" w:rsidP="007D19A5">
            <w:pPr>
              <w:pStyle w:val="BStablelist"/>
              <w:keepNext/>
              <w:keepLines/>
              <w:numPr>
                <w:ilvl w:val="0"/>
                <w:numId w:val="0"/>
              </w:numPr>
              <w:spacing w:before="0" w:after="0"/>
              <w:ind w:left="360" w:hanging="360"/>
              <w:rPr>
                <w:b/>
                <w:bCs/>
                <w:lang w:val="en-AU" w:eastAsia="en-US"/>
              </w:rPr>
            </w:pPr>
            <w:r>
              <w:rPr>
                <w:b/>
                <w:bCs/>
                <w:lang w:val="en-AU" w:eastAsia="en-US"/>
              </w:rPr>
              <w:t xml:space="preserve">Headline </w:t>
            </w:r>
            <w:r w:rsidRPr="005A475F">
              <w:rPr>
                <w:b/>
                <w:bCs/>
                <w:lang w:val="en-AU" w:eastAsia="en-US"/>
              </w:rPr>
              <w:t xml:space="preserve">Net </w:t>
            </w:r>
            <w:r w:rsidR="00A20ECD">
              <w:rPr>
                <w:b/>
                <w:bCs/>
                <w:lang w:val="en-AU" w:eastAsia="en-US"/>
              </w:rPr>
              <w:t>O</w:t>
            </w:r>
            <w:r w:rsidRPr="005A475F">
              <w:rPr>
                <w:b/>
                <w:bCs/>
                <w:lang w:val="en-AU" w:eastAsia="en-US"/>
              </w:rPr>
              <w:t>perating Balance</w:t>
            </w:r>
            <w:r>
              <w:rPr>
                <w:b/>
                <w:bCs/>
                <w:lang w:val="en-AU" w:eastAsia="en-US"/>
              </w:rPr>
              <w:t xml:space="preserve"> (GGS)</w:t>
            </w:r>
          </w:p>
        </w:tc>
        <w:tc>
          <w:tcPr>
            <w:tcW w:w="419" w:type="pct"/>
          </w:tcPr>
          <w:p w14:paraId="5EAEE1CA" w14:textId="68EBAB37" w:rsidR="007D19A5" w:rsidRPr="007D19A5" w:rsidRDefault="007D19A5" w:rsidP="007D19A5">
            <w:pPr>
              <w:pStyle w:val="BStablefigures"/>
              <w:rPr>
                <w:b w:val="0"/>
                <w:bCs w:val="0"/>
                <w:highlight w:val="yellow"/>
              </w:rPr>
            </w:pPr>
            <w:r w:rsidRPr="00682277">
              <w:rPr>
                <w:b w:val="0"/>
                <w:bCs w:val="0"/>
              </w:rPr>
              <w:t xml:space="preserve">-323 </w:t>
            </w:r>
          </w:p>
        </w:tc>
        <w:tc>
          <w:tcPr>
            <w:tcW w:w="419" w:type="pct"/>
          </w:tcPr>
          <w:p w14:paraId="7618E9B5" w14:textId="34143B51" w:rsidR="007D19A5" w:rsidRPr="007D19A5" w:rsidRDefault="007D19A5" w:rsidP="007D19A5">
            <w:pPr>
              <w:pStyle w:val="BStablefigures"/>
              <w:rPr>
                <w:b w:val="0"/>
                <w:bCs w:val="0"/>
                <w:highlight w:val="yellow"/>
              </w:rPr>
            </w:pPr>
            <w:r w:rsidRPr="00682277">
              <w:rPr>
                <w:b w:val="0"/>
                <w:bCs w:val="0"/>
              </w:rPr>
              <w:t xml:space="preserve">-21 </w:t>
            </w:r>
          </w:p>
        </w:tc>
        <w:tc>
          <w:tcPr>
            <w:tcW w:w="419" w:type="pct"/>
          </w:tcPr>
          <w:p w14:paraId="34CAB11A" w14:textId="07346035" w:rsidR="007D19A5" w:rsidRPr="007D19A5" w:rsidRDefault="007D19A5" w:rsidP="007D19A5">
            <w:pPr>
              <w:pStyle w:val="BStablefigures"/>
              <w:rPr>
                <w:b w:val="0"/>
                <w:bCs w:val="0"/>
                <w:highlight w:val="yellow"/>
              </w:rPr>
            </w:pPr>
            <w:r w:rsidRPr="00682277">
              <w:rPr>
                <w:b w:val="0"/>
                <w:bCs w:val="0"/>
              </w:rPr>
              <w:t xml:space="preserve"> 244 </w:t>
            </w:r>
          </w:p>
        </w:tc>
        <w:tc>
          <w:tcPr>
            <w:tcW w:w="419" w:type="pct"/>
          </w:tcPr>
          <w:p w14:paraId="5EF8FF18" w14:textId="7F5B7331" w:rsidR="007D19A5" w:rsidRPr="007D19A5" w:rsidRDefault="007D19A5" w:rsidP="007D19A5">
            <w:pPr>
              <w:pStyle w:val="BStablefigures"/>
              <w:rPr>
                <w:b w:val="0"/>
                <w:bCs w:val="0"/>
                <w:highlight w:val="yellow"/>
              </w:rPr>
            </w:pPr>
            <w:r w:rsidRPr="00682277">
              <w:rPr>
                <w:b w:val="0"/>
                <w:bCs w:val="0"/>
              </w:rPr>
              <w:t xml:space="preserve"> 356 </w:t>
            </w:r>
          </w:p>
        </w:tc>
        <w:tc>
          <w:tcPr>
            <w:tcW w:w="419" w:type="pct"/>
          </w:tcPr>
          <w:p w14:paraId="115F34F5" w14:textId="725F29DD" w:rsidR="007D19A5" w:rsidRPr="007D19A5" w:rsidRDefault="007D19A5" w:rsidP="007D19A5">
            <w:pPr>
              <w:pStyle w:val="BStablefigures"/>
              <w:rPr>
                <w:b w:val="0"/>
                <w:bCs w:val="0"/>
                <w:highlight w:val="yellow"/>
              </w:rPr>
            </w:pPr>
            <w:r w:rsidRPr="00682277">
              <w:rPr>
                <w:b w:val="0"/>
                <w:bCs w:val="0"/>
              </w:rPr>
              <w:t xml:space="preserve"> 645 </w:t>
            </w:r>
          </w:p>
        </w:tc>
        <w:tc>
          <w:tcPr>
            <w:tcW w:w="419" w:type="pct"/>
          </w:tcPr>
          <w:p w14:paraId="0C7F4A70" w14:textId="47D60848" w:rsidR="007D19A5" w:rsidRPr="007D19A5" w:rsidRDefault="007D19A5" w:rsidP="007D19A5">
            <w:pPr>
              <w:pStyle w:val="BStablefigures"/>
              <w:rPr>
                <w:b w:val="0"/>
                <w:bCs w:val="0"/>
                <w:highlight w:val="yellow"/>
              </w:rPr>
            </w:pPr>
            <w:r w:rsidRPr="00682277">
              <w:rPr>
                <w:b w:val="0"/>
                <w:bCs w:val="0"/>
              </w:rPr>
              <w:t xml:space="preserve"> 1,001 </w:t>
            </w:r>
          </w:p>
        </w:tc>
        <w:tc>
          <w:tcPr>
            <w:tcW w:w="419" w:type="pct"/>
          </w:tcPr>
          <w:p w14:paraId="0A575D58" w14:textId="79089BE0" w:rsidR="007D19A5" w:rsidRPr="007D19A5" w:rsidRDefault="007D19A5" w:rsidP="007D19A5">
            <w:pPr>
              <w:pStyle w:val="BStablefigures"/>
              <w:rPr>
                <w:b w:val="0"/>
                <w:bCs w:val="0"/>
                <w:highlight w:val="yellow"/>
              </w:rPr>
            </w:pPr>
            <w:r w:rsidRPr="00682277">
              <w:rPr>
                <w:b w:val="0"/>
                <w:bCs w:val="0"/>
              </w:rPr>
              <w:t xml:space="preserve"> 1,379 </w:t>
            </w:r>
          </w:p>
        </w:tc>
        <w:tc>
          <w:tcPr>
            <w:tcW w:w="419" w:type="pct"/>
          </w:tcPr>
          <w:p w14:paraId="54A4A45A" w14:textId="5A50EBE4" w:rsidR="007D19A5" w:rsidRPr="007D19A5" w:rsidRDefault="007D19A5" w:rsidP="007D19A5">
            <w:pPr>
              <w:pStyle w:val="BStablefigures"/>
              <w:rPr>
                <w:b w:val="0"/>
                <w:bCs w:val="0"/>
                <w:highlight w:val="yellow"/>
              </w:rPr>
            </w:pPr>
            <w:r w:rsidRPr="00682277">
              <w:rPr>
                <w:b w:val="0"/>
                <w:bCs w:val="0"/>
              </w:rPr>
              <w:t xml:space="preserve"> 1,834 </w:t>
            </w:r>
          </w:p>
        </w:tc>
        <w:tc>
          <w:tcPr>
            <w:tcW w:w="419" w:type="pct"/>
          </w:tcPr>
          <w:p w14:paraId="4B41F10D" w14:textId="6D766C0F" w:rsidR="007D19A5" w:rsidRPr="007D19A5" w:rsidRDefault="007D19A5" w:rsidP="007D19A5">
            <w:pPr>
              <w:pStyle w:val="BStablefigures"/>
              <w:rPr>
                <w:b w:val="0"/>
                <w:bCs w:val="0"/>
                <w:highlight w:val="yellow"/>
              </w:rPr>
            </w:pPr>
            <w:r w:rsidRPr="00682277">
              <w:rPr>
                <w:b w:val="0"/>
                <w:bCs w:val="0"/>
              </w:rPr>
              <w:t xml:space="preserve"> 2,351 </w:t>
            </w:r>
          </w:p>
        </w:tc>
        <w:tc>
          <w:tcPr>
            <w:tcW w:w="417" w:type="pct"/>
          </w:tcPr>
          <w:p w14:paraId="3BC97031" w14:textId="731C5A4E" w:rsidR="007D19A5" w:rsidRPr="007D19A5" w:rsidRDefault="007D19A5" w:rsidP="007D19A5">
            <w:pPr>
              <w:pStyle w:val="BStablefigures"/>
              <w:rPr>
                <w:b w:val="0"/>
                <w:bCs w:val="0"/>
                <w:highlight w:val="yellow"/>
              </w:rPr>
            </w:pPr>
            <w:r w:rsidRPr="00682277">
              <w:rPr>
                <w:b w:val="0"/>
                <w:bCs w:val="0"/>
              </w:rPr>
              <w:t xml:space="preserve"> 2,940 </w:t>
            </w:r>
          </w:p>
        </w:tc>
      </w:tr>
      <w:tr w:rsidR="007D19A5" w:rsidRPr="00A35C17" w14:paraId="77120B06" w14:textId="77777777">
        <w:tc>
          <w:tcPr>
            <w:tcW w:w="812" w:type="pct"/>
          </w:tcPr>
          <w:p w14:paraId="278C19EB" w14:textId="77777777" w:rsidR="007D19A5" w:rsidRDefault="007D19A5" w:rsidP="007D19A5">
            <w:pPr>
              <w:pStyle w:val="BStablelist"/>
              <w:keepNext/>
              <w:keepLines/>
              <w:numPr>
                <w:ilvl w:val="0"/>
                <w:numId w:val="0"/>
              </w:numPr>
              <w:spacing w:before="0" w:after="0"/>
              <w:rPr>
                <w:b/>
                <w:bCs/>
                <w:lang w:val="en-AU" w:eastAsia="en-US"/>
              </w:rPr>
            </w:pPr>
          </w:p>
        </w:tc>
        <w:tc>
          <w:tcPr>
            <w:tcW w:w="419" w:type="pct"/>
          </w:tcPr>
          <w:p w14:paraId="44CB18A6" w14:textId="77777777" w:rsidR="007D19A5" w:rsidRPr="007D19A5" w:rsidRDefault="007D19A5" w:rsidP="007D19A5">
            <w:pPr>
              <w:pStyle w:val="BStablefigures"/>
              <w:rPr>
                <w:b w:val="0"/>
                <w:bCs w:val="0"/>
                <w:highlight w:val="yellow"/>
              </w:rPr>
            </w:pPr>
          </w:p>
        </w:tc>
        <w:tc>
          <w:tcPr>
            <w:tcW w:w="419" w:type="pct"/>
          </w:tcPr>
          <w:p w14:paraId="3E7D6EB3" w14:textId="77777777" w:rsidR="007D19A5" w:rsidRPr="007D19A5" w:rsidRDefault="007D19A5" w:rsidP="007D19A5">
            <w:pPr>
              <w:pStyle w:val="BStablefigures"/>
              <w:rPr>
                <w:b w:val="0"/>
                <w:bCs w:val="0"/>
                <w:highlight w:val="yellow"/>
              </w:rPr>
            </w:pPr>
          </w:p>
        </w:tc>
        <w:tc>
          <w:tcPr>
            <w:tcW w:w="419" w:type="pct"/>
          </w:tcPr>
          <w:p w14:paraId="6D0C8D0F" w14:textId="77777777" w:rsidR="007D19A5" w:rsidRPr="007D19A5" w:rsidRDefault="007D19A5" w:rsidP="007D19A5">
            <w:pPr>
              <w:pStyle w:val="BStablefigures"/>
              <w:rPr>
                <w:b w:val="0"/>
                <w:bCs w:val="0"/>
                <w:highlight w:val="yellow"/>
              </w:rPr>
            </w:pPr>
          </w:p>
        </w:tc>
        <w:tc>
          <w:tcPr>
            <w:tcW w:w="419" w:type="pct"/>
          </w:tcPr>
          <w:p w14:paraId="158C75F5" w14:textId="77777777" w:rsidR="007D19A5" w:rsidRPr="007D19A5" w:rsidRDefault="007D19A5" w:rsidP="007D19A5">
            <w:pPr>
              <w:pStyle w:val="BStablefigures"/>
              <w:rPr>
                <w:b w:val="0"/>
                <w:bCs w:val="0"/>
                <w:highlight w:val="yellow"/>
              </w:rPr>
            </w:pPr>
          </w:p>
        </w:tc>
        <w:tc>
          <w:tcPr>
            <w:tcW w:w="419" w:type="pct"/>
          </w:tcPr>
          <w:p w14:paraId="4895F512" w14:textId="77777777" w:rsidR="007D19A5" w:rsidRPr="007D19A5" w:rsidRDefault="007D19A5" w:rsidP="007D19A5">
            <w:pPr>
              <w:pStyle w:val="BStablefigures"/>
              <w:rPr>
                <w:b w:val="0"/>
                <w:bCs w:val="0"/>
                <w:highlight w:val="yellow"/>
              </w:rPr>
            </w:pPr>
          </w:p>
        </w:tc>
        <w:tc>
          <w:tcPr>
            <w:tcW w:w="419" w:type="pct"/>
          </w:tcPr>
          <w:p w14:paraId="3BE78ECD" w14:textId="77777777" w:rsidR="007D19A5" w:rsidRPr="007D19A5" w:rsidRDefault="007D19A5" w:rsidP="007D19A5">
            <w:pPr>
              <w:pStyle w:val="BStablefigures"/>
              <w:rPr>
                <w:b w:val="0"/>
                <w:bCs w:val="0"/>
                <w:highlight w:val="yellow"/>
              </w:rPr>
            </w:pPr>
          </w:p>
        </w:tc>
        <w:tc>
          <w:tcPr>
            <w:tcW w:w="419" w:type="pct"/>
          </w:tcPr>
          <w:p w14:paraId="3D5E3174" w14:textId="77777777" w:rsidR="007D19A5" w:rsidRPr="007D19A5" w:rsidRDefault="007D19A5" w:rsidP="007D19A5">
            <w:pPr>
              <w:pStyle w:val="BStablefigures"/>
              <w:rPr>
                <w:b w:val="0"/>
                <w:bCs w:val="0"/>
                <w:highlight w:val="yellow"/>
              </w:rPr>
            </w:pPr>
          </w:p>
        </w:tc>
        <w:tc>
          <w:tcPr>
            <w:tcW w:w="419" w:type="pct"/>
          </w:tcPr>
          <w:p w14:paraId="619C06F4" w14:textId="77777777" w:rsidR="007D19A5" w:rsidRPr="007D19A5" w:rsidRDefault="007D19A5" w:rsidP="007D19A5">
            <w:pPr>
              <w:pStyle w:val="BStablefigures"/>
              <w:rPr>
                <w:b w:val="0"/>
                <w:bCs w:val="0"/>
                <w:highlight w:val="yellow"/>
              </w:rPr>
            </w:pPr>
          </w:p>
        </w:tc>
        <w:tc>
          <w:tcPr>
            <w:tcW w:w="419" w:type="pct"/>
          </w:tcPr>
          <w:p w14:paraId="39C3BA59" w14:textId="77777777" w:rsidR="007D19A5" w:rsidRPr="007D19A5" w:rsidRDefault="007D19A5" w:rsidP="007D19A5">
            <w:pPr>
              <w:pStyle w:val="BStablefigures"/>
              <w:rPr>
                <w:b w:val="0"/>
                <w:bCs w:val="0"/>
                <w:highlight w:val="yellow"/>
              </w:rPr>
            </w:pPr>
          </w:p>
        </w:tc>
        <w:tc>
          <w:tcPr>
            <w:tcW w:w="417" w:type="pct"/>
          </w:tcPr>
          <w:p w14:paraId="24D0BDE7" w14:textId="77777777" w:rsidR="007D19A5" w:rsidRPr="007D19A5" w:rsidRDefault="007D19A5" w:rsidP="007D19A5">
            <w:pPr>
              <w:pStyle w:val="BStablefigures"/>
              <w:rPr>
                <w:b w:val="0"/>
                <w:bCs w:val="0"/>
                <w:highlight w:val="yellow"/>
              </w:rPr>
            </w:pPr>
          </w:p>
        </w:tc>
      </w:tr>
      <w:tr w:rsidR="007D19A5" w:rsidRPr="00A35C17" w14:paraId="33FCBE82" w14:textId="77777777">
        <w:tc>
          <w:tcPr>
            <w:tcW w:w="812" w:type="pct"/>
            <w:tcBorders>
              <w:bottom w:val="single" w:sz="4" w:space="0" w:color="auto"/>
            </w:tcBorders>
          </w:tcPr>
          <w:p w14:paraId="0A3DE9A8" w14:textId="77777777" w:rsidR="007D19A5" w:rsidRDefault="007D19A5" w:rsidP="007D19A5">
            <w:pPr>
              <w:pStyle w:val="BStablelist"/>
              <w:keepNext/>
              <w:keepLines/>
              <w:numPr>
                <w:ilvl w:val="0"/>
                <w:numId w:val="0"/>
              </w:numPr>
              <w:spacing w:before="0" w:after="0"/>
              <w:rPr>
                <w:b/>
                <w:bCs/>
                <w:lang w:val="en-AU" w:eastAsia="en-US"/>
              </w:rPr>
            </w:pPr>
            <w:r>
              <w:rPr>
                <w:b/>
                <w:bCs/>
                <w:lang w:val="en-AU" w:eastAsia="en-US"/>
              </w:rPr>
              <w:t>Total Territory debt</w:t>
            </w:r>
          </w:p>
        </w:tc>
        <w:tc>
          <w:tcPr>
            <w:tcW w:w="419" w:type="pct"/>
            <w:tcBorders>
              <w:bottom w:val="single" w:sz="4" w:space="0" w:color="auto"/>
            </w:tcBorders>
          </w:tcPr>
          <w:p w14:paraId="04398AE8" w14:textId="21C1610B" w:rsidR="007D19A5" w:rsidRPr="007D19A5" w:rsidRDefault="007D19A5" w:rsidP="007D19A5">
            <w:pPr>
              <w:pStyle w:val="BStablefigures"/>
              <w:rPr>
                <w:b w:val="0"/>
                <w:bCs w:val="0"/>
                <w:highlight w:val="yellow"/>
              </w:rPr>
            </w:pPr>
            <w:r w:rsidRPr="00682277">
              <w:rPr>
                <w:b w:val="0"/>
                <w:bCs w:val="0"/>
              </w:rPr>
              <w:t xml:space="preserve"> 20,828 </w:t>
            </w:r>
          </w:p>
        </w:tc>
        <w:tc>
          <w:tcPr>
            <w:tcW w:w="419" w:type="pct"/>
            <w:tcBorders>
              <w:bottom w:val="single" w:sz="4" w:space="0" w:color="auto"/>
            </w:tcBorders>
          </w:tcPr>
          <w:p w14:paraId="2E929497" w14:textId="12B49C78" w:rsidR="007D19A5" w:rsidRPr="007D19A5" w:rsidRDefault="007D19A5" w:rsidP="007D19A5">
            <w:pPr>
              <w:pStyle w:val="BStablefigures"/>
              <w:rPr>
                <w:b w:val="0"/>
                <w:bCs w:val="0"/>
                <w:highlight w:val="yellow"/>
              </w:rPr>
            </w:pPr>
            <w:r w:rsidRPr="00682277">
              <w:rPr>
                <w:b w:val="0"/>
                <w:bCs w:val="0"/>
              </w:rPr>
              <w:t xml:space="preserve"> 21,976 </w:t>
            </w:r>
          </w:p>
        </w:tc>
        <w:tc>
          <w:tcPr>
            <w:tcW w:w="419" w:type="pct"/>
            <w:tcBorders>
              <w:bottom w:val="single" w:sz="4" w:space="0" w:color="auto"/>
            </w:tcBorders>
          </w:tcPr>
          <w:p w14:paraId="485B2212" w14:textId="35E36749" w:rsidR="007D19A5" w:rsidRPr="007D19A5" w:rsidRDefault="007D19A5" w:rsidP="007D19A5">
            <w:pPr>
              <w:pStyle w:val="BStablefigures"/>
              <w:rPr>
                <w:b w:val="0"/>
                <w:bCs w:val="0"/>
                <w:highlight w:val="yellow"/>
              </w:rPr>
            </w:pPr>
            <w:r w:rsidRPr="00682277">
              <w:rPr>
                <w:b w:val="0"/>
                <w:bCs w:val="0"/>
              </w:rPr>
              <w:t xml:space="preserve"> 23,621 </w:t>
            </w:r>
          </w:p>
        </w:tc>
        <w:tc>
          <w:tcPr>
            <w:tcW w:w="419" w:type="pct"/>
            <w:tcBorders>
              <w:bottom w:val="single" w:sz="4" w:space="0" w:color="auto"/>
            </w:tcBorders>
          </w:tcPr>
          <w:p w14:paraId="6B36F5BC" w14:textId="6FFE1E21" w:rsidR="007D19A5" w:rsidRPr="007D19A5" w:rsidRDefault="007D19A5" w:rsidP="007D19A5">
            <w:pPr>
              <w:pStyle w:val="BStablefigures"/>
              <w:rPr>
                <w:b w:val="0"/>
                <w:bCs w:val="0"/>
                <w:highlight w:val="yellow"/>
              </w:rPr>
            </w:pPr>
            <w:r w:rsidRPr="00682277">
              <w:rPr>
                <w:b w:val="0"/>
                <w:bCs w:val="0"/>
              </w:rPr>
              <w:t xml:space="preserve"> 23,697 </w:t>
            </w:r>
          </w:p>
        </w:tc>
        <w:tc>
          <w:tcPr>
            <w:tcW w:w="419" w:type="pct"/>
            <w:tcBorders>
              <w:bottom w:val="single" w:sz="4" w:space="0" w:color="auto"/>
            </w:tcBorders>
          </w:tcPr>
          <w:p w14:paraId="367E2E66" w14:textId="02D6C430" w:rsidR="007D19A5" w:rsidRPr="007D19A5" w:rsidRDefault="007D19A5" w:rsidP="007D19A5">
            <w:pPr>
              <w:pStyle w:val="BStablefigures"/>
              <w:rPr>
                <w:b w:val="0"/>
                <w:bCs w:val="0"/>
                <w:highlight w:val="yellow"/>
              </w:rPr>
            </w:pPr>
            <w:r w:rsidRPr="00682277">
              <w:rPr>
                <w:b w:val="0"/>
                <w:bCs w:val="0"/>
              </w:rPr>
              <w:t xml:space="preserve"> 23,405 </w:t>
            </w:r>
          </w:p>
        </w:tc>
        <w:tc>
          <w:tcPr>
            <w:tcW w:w="419" w:type="pct"/>
            <w:tcBorders>
              <w:bottom w:val="single" w:sz="4" w:space="0" w:color="auto"/>
            </w:tcBorders>
          </w:tcPr>
          <w:p w14:paraId="21C6D7B2" w14:textId="04312402" w:rsidR="007D19A5" w:rsidRPr="007D19A5" w:rsidRDefault="007D19A5" w:rsidP="007D19A5">
            <w:pPr>
              <w:pStyle w:val="BStablefigures"/>
              <w:rPr>
                <w:b w:val="0"/>
                <w:bCs w:val="0"/>
                <w:highlight w:val="yellow"/>
              </w:rPr>
            </w:pPr>
            <w:r w:rsidRPr="00682277">
              <w:rPr>
                <w:b w:val="0"/>
                <w:bCs w:val="0"/>
              </w:rPr>
              <w:t xml:space="preserve"> 22,815 </w:t>
            </w:r>
          </w:p>
        </w:tc>
        <w:tc>
          <w:tcPr>
            <w:tcW w:w="419" w:type="pct"/>
            <w:tcBorders>
              <w:bottom w:val="single" w:sz="4" w:space="0" w:color="auto"/>
            </w:tcBorders>
          </w:tcPr>
          <w:p w14:paraId="644D9CEE" w14:textId="6C3F078A" w:rsidR="007D19A5" w:rsidRPr="007D19A5" w:rsidRDefault="007D19A5" w:rsidP="007D19A5">
            <w:pPr>
              <w:pStyle w:val="BStablefigures"/>
              <w:rPr>
                <w:b w:val="0"/>
                <w:bCs w:val="0"/>
                <w:highlight w:val="yellow"/>
              </w:rPr>
            </w:pPr>
            <w:r w:rsidRPr="00682277">
              <w:rPr>
                <w:b w:val="0"/>
                <w:bCs w:val="0"/>
              </w:rPr>
              <w:t xml:space="preserve"> 23,488 </w:t>
            </w:r>
          </w:p>
        </w:tc>
        <w:tc>
          <w:tcPr>
            <w:tcW w:w="419" w:type="pct"/>
            <w:tcBorders>
              <w:bottom w:val="single" w:sz="4" w:space="0" w:color="auto"/>
            </w:tcBorders>
          </w:tcPr>
          <w:p w14:paraId="108A4B6D" w14:textId="49112D69" w:rsidR="007D19A5" w:rsidRPr="007D19A5" w:rsidRDefault="007D19A5" w:rsidP="007D19A5">
            <w:pPr>
              <w:pStyle w:val="BStablefigures"/>
              <w:rPr>
                <w:b w:val="0"/>
                <w:bCs w:val="0"/>
                <w:highlight w:val="yellow"/>
              </w:rPr>
            </w:pPr>
            <w:r w:rsidRPr="00682277">
              <w:rPr>
                <w:b w:val="0"/>
                <w:bCs w:val="0"/>
              </w:rPr>
              <w:t xml:space="preserve"> 22,105 </w:t>
            </w:r>
          </w:p>
        </w:tc>
        <w:tc>
          <w:tcPr>
            <w:tcW w:w="419" w:type="pct"/>
            <w:tcBorders>
              <w:bottom w:val="single" w:sz="4" w:space="0" w:color="auto"/>
            </w:tcBorders>
          </w:tcPr>
          <w:p w14:paraId="247C5CD5" w14:textId="3308029E" w:rsidR="007D19A5" w:rsidRPr="007D19A5" w:rsidRDefault="007D19A5" w:rsidP="007D19A5">
            <w:pPr>
              <w:pStyle w:val="BStablefigures"/>
              <w:rPr>
                <w:b w:val="0"/>
                <w:bCs w:val="0"/>
                <w:highlight w:val="yellow"/>
              </w:rPr>
            </w:pPr>
            <w:r w:rsidRPr="00682277">
              <w:rPr>
                <w:b w:val="0"/>
                <w:bCs w:val="0"/>
              </w:rPr>
              <w:t xml:space="preserve"> 20,208 </w:t>
            </w:r>
          </w:p>
        </w:tc>
        <w:tc>
          <w:tcPr>
            <w:tcW w:w="417" w:type="pct"/>
            <w:tcBorders>
              <w:bottom w:val="single" w:sz="4" w:space="0" w:color="auto"/>
            </w:tcBorders>
          </w:tcPr>
          <w:p w14:paraId="52020EC0" w14:textId="55592956" w:rsidR="007D19A5" w:rsidRPr="007D19A5" w:rsidRDefault="007D19A5" w:rsidP="007D19A5">
            <w:pPr>
              <w:pStyle w:val="BStablefigures"/>
              <w:rPr>
                <w:b w:val="0"/>
                <w:bCs w:val="0"/>
                <w:highlight w:val="yellow"/>
              </w:rPr>
            </w:pPr>
            <w:r w:rsidRPr="00682277">
              <w:rPr>
                <w:b w:val="0"/>
                <w:bCs w:val="0"/>
              </w:rPr>
              <w:t xml:space="preserve"> 18,305 </w:t>
            </w:r>
          </w:p>
        </w:tc>
      </w:tr>
    </w:tbl>
    <w:p w14:paraId="7C9F1476" w14:textId="77777777" w:rsidR="004D7B34" w:rsidRDefault="004D7B34" w:rsidP="004D7B34">
      <w:pPr>
        <w:pStyle w:val="BNotelist"/>
        <w:numPr>
          <w:ilvl w:val="0"/>
          <w:numId w:val="0"/>
        </w:numPr>
        <w:ind w:left="360" w:hanging="360"/>
      </w:pPr>
      <w:r w:rsidRPr="004D7B34">
        <w:rPr>
          <w:b/>
          <w:bCs/>
        </w:rPr>
        <w:t>Note:</w:t>
      </w:r>
      <w:r>
        <w:t xml:space="preserve"> Numbers may not add due to rounding.</w:t>
      </w:r>
    </w:p>
    <w:p w14:paraId="278D041C" w14:textId="77777777" w:rsidR="007B6F15" w:rsidRDefault="007B6F15" w:rsidP="00570B47">
      <w:pPr>
        <w:pStyle w:val="Bbodytext"/>
        <w:spacing w:before="0" w:after="0"/>
        <w:rPr>
          <w:rFonts w:ascii="Calibri" w:hAnsi="Calibri" w:cs="Calibri"/>
          <w:sz w:val="22"/>
          <w:szCs w:val="20"/>
        </w:rPr>
      </w:pPr>
    </w:p>
    <w:p w14:paraId="42D77A89" w14:textId="4C49C6B0" w:rsidR="007B6F15" w:rsidRPr="00570B47" w:rsidRDefault="007B6F15" w:rsidP="00570B47">
      <w:pPr>
        <w:pStyle w:val="Bbodytext"/>
        <w:spacing w:before="0" w:after="0"/>
        <w:rPr>
          <w:rFonts w:ascii="Calibri" w:hAnsi="Calibri" w:cs="Calibri"/>
          <w:szCs w:val="24"/>
        </w:rPr>
      </w:pPr>
      <w:r w:rsidRPr="00570B47">
        <w:rPr>
          <w:rFonts w:ascii="Calibri" w:hAnsi="Calibri" w:cs="Calibri"/>
          <w:szCs w:val="24"/>
        </w:rPr>
        <w:t xml:space="preserve">Under Scenario </w:t>
      </w:r>
      <w:r w:rsidR="004D7B34">
        <w:rPr>
          <w:rFonts w:ascii="Calibri" w:hAnsi="Calibri" w:cs="Calibri"/>
          <w:szCs w:val="24"/>
        </w:rPr>
        <w:t>Two</w:t>
      </w:r>
      <w:r w:rsidRPr="00570B47">
        <w:rPr>
          <w:rFonts w:ascii="Calibri" w:hAnsi="Calibri" w:cs="Calibri"/>
          <w:szCs w:val="24"/>
        </w:rPr>
        <w:t xml:space="preserve">, total revenue grows at a faster rate than total expenses, resulting in a NOB surplus from 2030-31. This surplus steadily increases over the remainder of the 10-year period, reaching $2.437 billion in 2035-36. This is also driven by smaller interest expenses on the lower levels of total Territory debt compared to Scenario </w:t>
      </w:r>
      <w:r w:rsidR="004D7B34">
        <w:rPr>
          <w:rFonts w:ascii="Calibri" w:hAnsi="Calibri" w:cs="Calibri"/>
          <w:szCs w:val="24"/>
        </w:rPr>
        <w:t>One</w:t>
      </w:r>
      <w:r w:rsidRPr="00570B47">
        <w:rPr>
          <w:rFonts w:ascii="Calibri" w:hAnsi="Calibri" w:cs="Calibri"/>
          <w:szCs w:val="24"/>
        </w:rPr>
        <w:t xml:space="preserve">. Combined with the addition of the SRA, Scenario </w:t>
      </w:r>
      <w:r w:rsidR="004D7B34">
        <w:rPr>
          <w:rFonts w:ascii="Calibri" w:hAnsi="Calibri" w:cs="Calibri"/>
          <w:szCs w:val="24"/>
        </w:rPr>
        <w:t>Two</w:t>
      </w:r>
      <w:r w:rsidRPr="00570B47">
        <w:rPr>
          <w:rFonts w:ascii="Calibri" w:hAnsi="Calibri" w:cs="Calibri"/>
          <w:szCs w:val="24"/>
        </w:rPr>
        <w:t xml:space="preserve"> sees an HNOB surplus from 2028-29, rising across the period to $2.940 billion by 2035-36.</w:t>
      </w:r>
    </w:p>
    <w:p w14:paraId="27738351" w14:textId="79D883E3" w:rsidR="005E3793" w:rsidRPr="00570B47" w:rsidRDefault="005E3793">
      <w:pPr>
        <w:rPr>
          <w:rFonts w:ascii="Calibri" w:hAnsi="Calibri"/>
          <w:sz w:val="24"/>
          <w:szCs w:val="24"/>
        </w:rPr>
      </w:pPr>
    </w:p>
    <w:p w14:paraId="38786C7A" w14:textId="77777777" w:rsidR="005E3793" w:rsidRDefault="005E3793" w:rsidP="005E3793">
      <w:pPr>
        <w:pStyle w:val="BNotelist"/>
        <w:numPr>
          <w:ilvl w:val="0"/>
          <w:numId w:val="0"/>
        </w:numPr>
        <w:ind w:left="360" w:hanging="360"/>
        <w:rPr>
          <w:sz w:val="20"/>
          <w:szCs w:val="20"/>
        </w:rPr>
        <w:sectPr w:rsidR="005E3793" w:rsidSect="00A008D2">
          <w:pgSz w:w="16838" w:h="11906" w:orient="landscape" w:code="9"/>
          <w:pgMar w:top="1440" w:right="1151" w:bottom="1440" w:left="1729" w:header="720" w:footer="720" w:gutter="0"/>
          <w:cols w:space="708"/>
          <w:docGrid w:linePitch="360"/>
        </w:sectPr>
      </w:pPr>
    </w:p>
    <w:p w14:paraId="6A05EF8B" w14:textId="065F763F" w:rsidR="0009310D" w:rsidRDefault="00124CA2" w:rsidP="00463B0A">
      <w:pPr>
        <w:pStyle w:val="Caption"/>
      </w:pPr>
      <w:r w:rsidRPr="00870499">
        <w:lastRenderedPageBreak/>
        <w:t xml:space="preserve">Figure </w:t>
      </w:r>
      <w:r w:rsidR="00A21792" w:rsidRPr="00870499">
        <w:t>1</w:t>
      </w:r>
      <w:r w:rsidRPr="00870499">
        <w:t xml:space="preserve">: Scenario </w:t>
      </w:r>
      <w:r w:rsidR="004D7B34">
        <w:t>One</w:t>
      </w:r>
      <w:r w:rsidR="00E07DA1" w:rsidRPr="00870499">
        <w:t xml:space="preserve"> </w:t>
      </w:r>
      <w:r w:rsidRPr="00870499">
        <w:t>– Total revenue vs Total expenses, ACT</w:t>
      </w:r>
      <w:r w:rsidR="005F57BD" w:rsidRPr="00870499">
        <w:t xml:space="preserve"> </w:t>
      </w:r>
      <w:r w:rsidR="00D027D0">
        <w:t>–</w:t>
      </w:r>
      <w:r w:rsidR="005F57BD" w:rsidRPr="00870499">
        <w:t xml:space="preserve"> Forecasts</w:t>
      </w:r>
      <w:r w:rsidR="00D027D0">
        <w:t xml:space="preserve"> </w:t>
      </w:r>
    </w:p>
    <w:p w14:paraId="156CE5AB" w14:textId="75405637" w:rsidR="00825598" w:rsidRDefault="00396B2C" w:rsidP="00463B0A">
      <w:pPr>
        <w:pStyle w:val="Heading4"/>
        <w:spacing w:before="0"/>
        <w:ind w:left="-426"/>
        <w:rPr>
          <w:sz w:val="22"/>
        </w:rPr>
      </w:pPr>
      <w:r w:rsidRPr="00396B2C">
        <w:rPr>
          <w:noProof/>
        </w:rPr>
        <w:drawing>
          <wp:inline distT="0" distB="0" distL="0" distR="0" wp14:anchorId="52A924EA" wp14:editId="0304664A">
            <wp:extent cx="5972175" cy="3967529"/>
            <wp:effectExtent l="0" t="0" r="0" b="0"/>
            <wp:docPr id="1796493146" name="Picture 1" descr="The figure illustrates the Total revenue and Total expenses (General Government Sector) from 2026-27 to 2035-36 under Scenario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93146" name="Picture 1" descr="The figure illustrates the Total revenue and Total expenses (General Government Sector) from 2026-27 to 2035-36 under Scenario O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8219" cy="3971544"/>
                    </a:xfrm>
                    <a:prstGeom prst="rect">
                      <a:avLst/>
                    </a:prstGeom>
                    <a:noFill/>
                    <a:ln>
                      <a:noFill/>
                    </a:ln>
                  </pic:spPr>
                </pic:pic>
              </a:graphicData>
            </a:graphic>
          </wp:inline>
        </w:drawing>
      </w:r>
    </w:p>
    <w:p w14:paraId="67F7C9E5" w14:textId="7EA95AC5" w:rsidR="0009310D" w:rsidRDefault="00817E65" w:rsidP="00463B0A">
      <w:pPr>
        <w:pStyle w:val="Caption"/>
      </w:pPr>
      <w:r w:rsidRPr="00870499">
        <w:t xml:space="preserve">Figure </w:t>
      </w:r>
      <w:r w:rsidR="00D027D0">
        <w:t>2</w:t>
      </w:r>
      <w:r w:rsidRPr="00870499">
        <w:t xml:space="preserve">: </w:t>
      </w:r>
      <w:r w:rsidR="00CB1301" w:rsidRPr="00870499">
        <w:t xml:space="preserve">Scenario </w:t>
      </w:r>
      <w:r w:rsidR="004D7B34">
        <w:t>Two</w:t>
      </w:r>
      <w:r w:rsidR="00CB1301" w:rsidRPr="00870499">
        <w:t xml:space="preserve"> – </w:t>
      </w:r>
      <w:r w:rsidR="00CB1301" w:rsidRPr="009533DB">
        <w:t>Total revenue vs Total expenses</w:t>
      </w:r>
      <w:r w:rsidRPr="009533DB">
        <w:t xml:space="preserve">, ACT </w:t>
      </w:r>
      <w:r w:rsidR="00D027D0">
        <w:t>–</w:t>
      </w:r>
      <w:r w:rsidR="00D027D0" w:rsidRPr="009533DB">
        <w:t xml:space="preserve"> Forecasts</w:t>
      </w:r>
    </w:p>
    <w:p w14:paraId="35B4D8B4" w14:textId="18A1A0F0" w:rsidR="00817E65" w:rsidRDefault="00396B2C" w:rsidP="005918CE">
      <w:pPr>
        <w:pStyle w:val="Heading4"/>
        <w:spacing w:before="0"/>
        <w:ind w:left="-426"/>
        <w:rPr>
          <w:sz w:val="22"/>
        </w:rPr>
      </w:pPr>
      <w:r w:rsidRPr="00396B2C">
        <w:rPr>
          <w:noProof/>
        </w:rPr>
        <w:drawing>
          <wp:inline distT="0" distB="0" distL="0" distR="0" wp14:anchorId="56C04D40" wp14:editId="31DEFA36">
            <wp:extent cx="6019800" cy="3999241"/>
            <wp:effectExtent l="0" t="0" r="0" b="1270"/>
            <wp:docPr id="109433593" name="Picture 2" descr="The figure illustrates the Total revenue and Total expenses (General Government Sector) from 2026-27 to 2035-36 under Scenario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3593" name="Picture 2" descr="The figure illustrates the Total revenue and Total expenses (General Government Sector) from 2026-27 to 2035-36 under Scenario Tw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3698" cy="4008474"/>
                    </a:xfrm>
                    <a:prstGeom prst="rect">
                      <a:avLst/>
                    </a:prstGeom>
                    <a:noFill/>
                    <a:ln>
                      <a:noFill/>
                    </a:ln>
                  </pic:spPr>
                </pic:pic>
              </a:graphicData>
            </a:graphic>
          </wp:inline>
        </w:drawing>
      </w:r>
    </w:p>
    <w:p w14:paraId="5238D281" w14:textId="35E825D7" w:rsidR="007F26B5" w:rsidRDefault="007F26B5" w:rsidP="00463B0A">
      <w:pPr>
        <w:keepNext/>
        <w:keepLines/>
        <w:rPr>
          <w:b/>
          <w:iCs/>
        </w:rPr>
      </w:pPr>
      <w:r w:rsidRPr="00870499">
        <w:rPr>
          <w:b/>
          <w:iCs/>
        </w:rPr>
        <w:lastRenderedPageBreak/>
        <w:t xml:space="preserve">Figure 3: </w:t>
      </w:r>
      <w:r w:rsidRPr="007F26B5">
        <w:rPr>
          <w:b/>
          <w:iCs/>
        </w:rPr>
        <w:t>Scenario</w:t>
      </w:r>
      <w:r w:rsidR="006D0C26">
        <w:rPr>
          <w:b/>
          <w:iCs/>
        </w:rPr>
        <w:t>s</w:t>
      </w:r>
      <w:r w:rsidRPr="007F26B5">
        <w:rPr>
          <w:b/>
          <w:iCs/>
        </w:rPr>
        <w:t xml:space="preserve"> </w:t>
      </w:r>
      <w:r w:rsidR="004D7B34">
        <w:rPr>
          <w:b/>
          <w:iCs/>
        </w:rPr>
        <w:t>One</w:t>
      </w:r>
      <w:r w:rsidR="006D0C26">
        <w:rPr>
          <w:b/>
          <w:iCs/>
        </w:rPr>
        <w:t xml:space="preserve"> and </w:t>
      </w:r>
      <w:r w:rsidR="004D7B34">
        <w:rPr>
          <w:b/>
          <w:iCs/>
        </w:rPr>
        <w:t>Two</w:t>
      </w:r>
      <w:r w:rsidRPr="007F26B5">
        <w:rPr>
          <w:b/>
          <w:iCs/>
        </w:rPr>
        <w:t xml:space="preserve"> – </w:t>
      </w:r>
      <w:r w:rsidR="0055582E">
        <w:rPr>
          <w:b/>
          <w:iCs/>
        </w:rPr>
        <w:t>Net Operating Balance</w:t>
      </w:r>
      <w:r w:rsidRPr="00870499">
        <w:rPr>
          <w:b/>
          <w:iCs/>
        </w:rPr>
        <w:t xml:space="preserve">, </w:t>
      </w:r>
      <w:r w:rsidR="00E64CA4">
        <w:rPr>
          <w:b/>
          <w:iCs/>
        </w:rPr>
        <w:t xml:space="preserve">ACT </w:t>
      </w:r>
      <w:r w:rsidR="002A14A3">
        <w:rPr>
          <w:b/>
          <w:iCs/>
        </w:rPr>
        <w:t>–</w:t>
      </w:r>
      <w:r w:rsidR="00E64CA4">
        <w:rPr>
          <w:b/>
          <w:iCs/>
        </w:rPr>
        <w:t xml:space="preserve"> </w:t>
      </w:r>
      <w:r w:rsidRPr="00870499">
        <w:rPr>
          <w:b/>
          <w:iCs/>
        </w:rPr>
        <w:t>Forecasts</w:t>
      </w:r>
    </w:p>
    <w:p w14:paraId="5080E614" w14:textId="70D65A08" w:rsidR="003B23AA" w:rsidRDefault="00396B2C" w:rsidP="005918CE">
      <w:pPr>
        <w:tabs>
          <w:tab w:val="left" w:pos="1478"/>
        </w:tabs>
        <w:ind w:left="-426"/>
        <w:rPr>
          <w:b/>
          <w:iCs/>
        </w:rPr>
      </w:pPr>
      <w:r w:rsidRPr="00396B2C">
        <w:rPr>
          <w:noProof/>
        </w:rPr>
        <w:drawing>
          <wp:inline distT="0" distB="0" distL="0" distR="0" wp14:anchorId="16923663" wp14:editId="573E928A">
            <wp:extent cx="5981700" cy="4158905"/>
            <wp:effectExtent l="0" t="0" r="0" b="0"/>
            <wp:docPr id="1348767836" name="Picture 3" descr="The figure illustrates the Net Operating Balance (General Government Sector) from 2026-27 to 2035-36 under Scenarios One and Tw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7836" name="Picture 3" descr="The figure illustrates the Net Operating Balance (General Government Sector) from 2026-27 to 2035-36 under Scenarios One and Two.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5323" cy="4161424"/>
                    </a:xfrm>
                    <a:prstGeom prst="rect">
                      <a:avLst/>
                    </a:prstGeom>
                    <a:noFill/>
                    <a:ln>
                      <a:noFill/>
                    </a:ln>
                  </pic:spPr>
                </pic:pic>
              </a:graphicData>
            </a:graphic>
          </wp:inline>
        </w:drawing>
      </w:r>
    </w:p>
    <w:p w14:paraId="0C74F1AA" w14:textId="143395BA" w:rsidR="00BB25B3" w:rsidRDefault="00F760A9" w:rsidP="00870967">
      <w:pPr>
        <w:pStyle w:val="Caption"/>
      </w:pPr>
      <w:r w:rsidRPr="00870499">
        <w:lastRenderedPageBreak/>
        <w:t xml:space="preserve">Figure 4: </w:t>
      </w:r>
      <w:r w:rsidRPr="007F26B5">
        <w:t>Scenario</w:t>
      </w:r>
      <w:r w:rsidR="006D0C26">
        <w:t xml:space="preserve">s </w:t>
      </w:r>
      <w:r w:rsidR="004D7B34">
        <w:t>One</w:t>
      </w:r>
      <w:r w:rsidR="006D0C26">
        <w:t xml:space="preserve"> and</w:t>
      </w:r>
      <w:r w:rsidRPr="007F26B5">
        <w:t xml:space="preserve"> </w:t>
      </w:r>
      <w:r w:rsidR="004D7B34">
        <w:t>Two</w:t>
      </w:r>
      <w:r w:rsidRPr="007F26B5">
        <w:t xml:space="preserve"> –</w:t>
      </w:r>
      <w:r w:rsidR="00CA5076">
        <w:t xml:space="preserve"> Headline </w:t>
      </w:r>
      <w:r w:rsidRPr="007F26B5">
        <w:t>Net Operating Balance</w:t>
      </w:r>
      <w:r w:rsidRPr="00870499">
        <w:t xml:space="preserve">, </w:t>
      </w:r>
      <w:r w:rsidR="008F596D">
        <w:t xml:space="preserve">ACT </w:t>
      </w:r>
      <w:r w:rsidR="00B37A4A">
        <w:t>–</w:t>
      </w:r>
      <w:r w:rsidR="008F596D">
        <w:t xml:space="preserve"> </w:t>
      </w:r>
      <w:r w:rsidRPr="00870499">
        <w:t>Forecasts</w:t>
      </w:r>
      <w:r w:rsidR="00B37A4A">
        <w:t xml:space="preserve"> </w:t>
      </w:r>
    </w:p>
    <w:p w14:paraId="166D48F2" w14:textId="7972222C" w:rsidR="001263F9" w:rsidRDefault="00396B2C" w:rsidP="005918CE">
      <w:pPr>
        <w:ind w:left="-284"/>
        <w:rPr>
          <w:b/>
          <w:iCs/>
        </w:rPr>
      </w:pPr>
      <w:r w:rsidRPr="00396B2C">
        <w:rPr>
          <w:noProof/>
        </w:rPr>
        <w:drawing>
          <wp:inline distT="0" distB="0" distL="0" distR="0" wp14:anchorId="3C7EF8CC" wp14:editId="145FA093">
            <wp:extent cx="5895975" cy="4142563"/>
            <wp:effectExtent l="0" t="0" r="0" b="0"/>
            <wp:docPr id="1676254280" name="Picture 4" descr="The figure illustrates the Headline Net Operating Balance (General Government Sector) from 2026-27 to 2035-36 under Scenarios One and Tw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54280" name="Picture 4" descr="The figure illustrates the Headline Net Operating Balance (General Government Sector) from 2026-27 to 2035-36 under Scenarios One and Two.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1783" cy="4146643"/>
                    </a:xfrm>
                    <a:prstGeom prst="rect">
                      <a:avLst/>
                    </a:prstGeom>
                    <a:noFill/>
                    <a:ln>
                      <a:noFill/>
                    </a:ln>
                  </pic:spPr>
                </pic:pic>
              </a:graphicData>
            </a:graphic>
          </wp:inline>
        </w:drawing>
      </w:r>
    </w:p>
    <w:p w14:paraId="590A9A57" w14:textId="0EE0F24B" w:rsidR="00270EFB" w:rsidRDefault="00270EFB" w:rsidP="00870967">
      <w:pPr>
        <w:pStyle w:val="Caption"/>
      </w:pPr>
      <w:r w:rsidRPr="008468A3">
        <w:t xml:space="preserve">Figure </w:t>
      </w:r>
      <w:r>
        <w:t>5</w:t>
      </w:r>
      <w:r w:rsidRPr="008468A3">
        <w:t xml:space="preserve">: </w:t>
      </w:r>
      <w:r w:rsidRPr="007F26B5">
        <w:t>Scenario</w:t>
      </w:r>
      <w:r w:rsidR="006D0C26">
        <w:t>s</w:t>
      </w:r>
      <w:r w:rsidRPr="007F26B5">
        <w:t xml:space="preserve"> </w:t>
      </w:r>
      <w:r w:rsidR="004D7B34">
        <w:t>One</w:t>
      </w:r>
      <w:r w:rsidRPr="007F26B5">
        <w:t xml:space="preserve"> </w:t>
      </w:r>
      <w:r>
        <w:t xml:space="preserve">and </w:t>
      </w:r>
      <w:r w:rsidR="004D7B34">
        <w:t>Two</w:t>
      </w:r>
      <w:r>
        <w:t xml:space="preserve"> </w:t>
      </w:r>
      <w:r w:rsidRPr="007F26B5">
        <w:t xml:space="preserve">– </w:t>
      </w:r>
      <w:r>
        <w:t>Total Territory Debt</w:t>
      </w:r>
      <w:r w:rsidRPr="008468A3">
        <w:t xml:space="preserve">, </w:t>
      </w:r>
      <w:r w:rsidR="0055582E">
        <w:t xml:space="preserve">ACT – </w:t>
      </w:r>
      <w:r w:rsidRPr="008468A3">
        <w:t>Forecasts</w:t>
      </w:r>
    </w:p>
    <w:p w14:paraId="05BD7E21" w14:textId="7B982DF5" w:rsidR="00904BAC" w:rsidRPr="00A20BEE" w:rsidRDefault="00396B2C" w:rsidP="00396B2C">
      <w:pPr>
        <w:ind w:left="-426"/>
        <w:rPr>
          <w:b/>
          <w:iCs/>
        </w:rPr>
      </w:pPr>
      <w:r w:rsidRPr="00396B2C">
        <w:rPr>
          <w:noProof/>
        </w:rPr>
        <w:drawing>
          <wp:inline distT="0" distB="0" distL="0" distR="0" wp14:anchorId="66FB0793" wp14:editId="186E6676">
            <wp:extent cx="5981700" cy="4022719"/>
            <wp:effectExtent l="0" t="0" r="0" b="0"/>
            <wp:docPr id="954432826" name="Picture 5" descr="The figure illustrates the total Territory debt from 2026-27 to 2035-36 under Scenarios One and Tw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32826" name="Picture 5" descr="The figure illustrates the total Territory debt from 2026-27 to 2035-36 under Scenarios One and Tw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6782" cy="4026137"/>
                    </a:xfrm>
                    <a:prstGeom prst="rect">
                      <a:avLst/>
                    </a:prstGeom>
                    <a:noFill/>
                    <a:ln>
                      <a:noFill/>
                    </a:ln>
                  </pic:spPr>
                </pic:pic>
              </a:graphicData>
            </a:graphic>
          </wp:inline>
        </w:drawing>
      </w:r>
    </w:p>
    <w:sectPr w:rsidR="00904BAC" w:rsidRPr="00A20BEE" w:rsidSect="00A008D2">
      <w:pgSz w:w="11906" w:h="16838" w:code="9"/>
      <w:pgMar w:top="1151" w:right="1440" w:bottom="1729"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CC93" w14:textId="77777777" w:rsidR="00DA792D" w:rsidRDefault="00DA792D" w:rsidP="00C339EF">
      <w:pPr>
        <w:spacing w:after="0" w:line="240" w:lineRule="auto"/>
      </w:pPr>
      <w:r>
        <w:separator/>
      </w:r>
    </w:p>
  </w:endnote>
  <w:endnote w:type="continuationSeparator" w:id="0">
    <w:p w14:paraId="637BA0B9" w14:textId="77777777" w:rsidR="00DA792D" w:rsidRDefault="00DA792D" w:rsidP="00C339EF">
      <w:pPr>
        <w:spacing w:after="0" w:line="240" w:lineRule="auto"/>
      </w:pPr>
      <w:r>
        <w:continuationSeparator/>
      </w:r>
    </w:p>
  </w:endnote>
  <w:endnote w:type="continuationNotice" w:id="1">
    <w:p w14:paraId="43CDF6FE" w14:textId="77777777" w:rsidR="00DA792D" w:rsidRDefault="00DA7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0DEB" w14:textId="2B52DF1B" w:rsidR="002209C4" w:rsidRPr="008124FF" w:rsidRDefault="002209C4" w:rsidP="00B66136">
    <w:pPr>
      <w:pStyle w:val="BFooter"/>
      <w:tabs>
        <w:tab w:val="clear" w:pos="4513"/>
        <w:tab w:val="clear" w:pos="9026"/>
        <w:tab w:val="right" w:pos="4536"/>
        <w:tab w:val="right" w:pos="9355"/>
      </w:tabs>
      <w:jc w:val="center"/>
      <w:rPr>
        <w:i w:val="0"/>
        <w:iCs/>
      </w:rPr>
    </w:pPr>
    <w:r w:rsidRPr="008124FF">
      <w:rPr>
        <w:i w:val="0"/>
        <w:iCs/>
      </w:rPr>
      <w:br/>
    </w:r>
    <w:r w:rsidR="00463B0A">
      <w:rPr>
        <w:i w:val="0"/>
        <w:iCs/>
      </w:rPr>
      <w:t xml:space="preserve">Medium-Term Projections </w:t>
    </w:r>
    <w:r w:rsidR="00A008D2" w:rsidRPr="008124FF">
      <w:rPr>
        <w:i w:val="0"/>
        <w:iCs/>
      </w:rPr>
      <w:ptab w:relativeTo="margin" w:alignment="center" w:leader="none"/>
    </w:r>
    <w:r w:rsidR="00A008D2" w:rsidRPr="008124FF">
      <w:rPr>
        <w:i w:val="0"/>
        <w:iCs/>
      </w:rPr>
      <w:fldChar w:fldCharType="begin"/>
    </w:r>
    <w:r w:rsidR="00A008D2" w:rsidRPr="008124FF">
      <w:rPr>
        <w:i w:val="0"/>
        <w:iCs/>
      </w:rPr>
      <w:instrText xml:space="preserve"> PAGE   \* MERGEFORMAT </w:instrText>
    </w:r>
    <w:r w:rsidR="00A008D2" w:rsidRPr="008124FF">
      <w:rPr>
        <w:i w:val="0"/>
        <w:iCs/>
      </w:rPr>
      <w:fldChar w:fldCharType="separate"/>
    </w:r>
    <w:r w:rsidR="00A008D2">
      <w:rPr>
        <w:i w:val="0"/>
        <w:iCs/>
      </w:rPr>
      <w:t>3</w:t>
    </w:r>
    <w:r w:rsidR="00A008D2" w:rsidRPr="008124FF">
      <w:rPr>
        <w:i w:val="0"/>
        <w:iCs/>
        <w:noProof/>
      </w:rPr>
      <w:fldChar w:fldCharType="end"/>
    </w:r>
    <w:r w:rsidR="00A008D2" w:rsidRPr="008124FF">
      <w:rPr>
        <w:i w:val="0"/>
        <w:iCs/>
      </w:rPr>
      <w:ptab w:relativeTo="margin" w:alignment="right" w:leader="none"/>
    </w:r>
    <w:r w:rsidR="00463B0A">
      <w:rPr>
        <w:i w:val="0"/>
        <w:iCs/>
      </w:rPr>
      <w:t xml:space="preserve"> </w:t>
    </w:r>
    <w:r w:rsidR="00463B0A" w:rsidRPr="008124FF">
      <w:rPr>
        <w:i w:val="0"/>
        <w:iCs/>
      </w:rPr>
      <w:t>Budget</w:t>
    </w:r>
    <w:r w:rsidR="00463B0A">
      <w:rPr>
        <w:i w:val="0"/>
        <w:iCs/>
      </w:rPr>
      <w:t xml:space="preserve"> 2026-27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3417" w14:textId="77777777" w:rsidR="00DA792D" w:rsidRDefault="00DA792D" w:rsidP="00C339EF">
      <w:pPr>
        <w:spacing w:after="0" w:line="240" w:lineRule="auto"/>
      </w:pPr>
      <w:r>
        <w:separator/>
      </w:r>
    </w:p>
  </w:footnote>
  <w:footnote w:type="continuationSeparator" w:id="0">
    <w:p w14:paraId="5DD97E6E" w14:textId="77777777" w:rsidR="00DA792D" w:rsidRDefault="00DA792D" w:rsidP="00C339EF">
      <w:pPr>
        <w:spacing w:after="0" w:line="240" w:lineRule="auto"/>
      </w:pPr>
      <w:r>
        <w:continuationSeparator/>
      </w:r>
    </w:p>
  </w:footnote>
  <w:footnote w:type="continuationNotice" w:id="1">
    <w:p w14:paraId="131E9A71" w14:textId="77777777" w:rsidR="00DA792D" w:rsidRDefault="00DA79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A8D"/>
    <w:multiLevelType w:val="hybridMultilevel"/>
    <w:tmpl w:val="4F3AE898"/>
    <w:lvl w:ilvl="0" w:tplc="D14AC3EC">
      <w:start w:val="1"/>
      <w:numFmt w:val="bullet"/>
      <w:pStyle w:val="B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406B23"/>
    <w:multiLevelType w:val="hybridMultilevel"/>
    <w:tmpl w:val="B3983C1C"/>
    <w:lvl w:ilvl="0" w:tplc="4CCC8564">
      <w:start w:val="1"/>
      <w:numFmt w:val="lowerLetter"/>
      <w:pStyle w:val="BStablelist"/>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35FB0DB1"/>
    <w:multiLevelType w:val="hybridMultilevel"/>
    <w:tmpl w:val="207EE9F0"/>
    <w:lvl w:ilvl="0" w:tplc="6308A742">
      <w:start w:val="1"/>
      <w:numFmt w:val="bullet"/>
      <w:pStyle w:val="BulletPt1"/>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CB06B4D"/>
    <w:multiLevelType w:val="hybridMultilevel"/>
    <w:tmpl w:val="32C295F0"/>
    <w:lvl w:ilvl="0" w:tplc="8DC2B7AE">
      <w:start w:val="1"/>
      <w:numFmt w:val="bullet"/>
      <w:pStyle w:val="BBullet2"/>
      <w:lvlText w:val="­"/>
      <w:lvlJc w:val="left"/>
      <w:pPr>
        <w:ind w:left="859" w:hanging="360"/>
      </w:p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4" w15:restartNumberingAfterBreak="0">
    <w:nsid w:val="3E0D3546"/>
    <w:multiLevelType w:val="hybridMultilevel"/>
    <w:tmpl w:val="1EE827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E30AC9"/>
    <w:multiLevelType w:val="hybridMultilevel"/>
    <w:tmpl w:val="7C0A1598"/>
    <w:lvl w:ilvl="0" w:tplc="AAB8F8EE">
      <w:start w:val="1"/>
      <w:numFmt w:val="decimal"/>
      <w:pStyle w:val="BNote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C628A1"/>
    <w:multiLevelType w:val="multilevel"/>
    <w:tmpl w:val="783630BC"/>
    <w:lvl w:ilvl="0">
      <w:start w:val="1"/>
      <w:numFmt w:val="decimal"/>
      <w:pStyle w:val="Heading1"/>
      <w:lvlText w:val="Chapter %1"/>
      <w:lvlJc w:val="left"/>
      <w:pPr>
        <w:ind w:left="4968" w:hanging="432"/>
      </w:pPr>
      <w:rPr>
        <w:rFonts w:hint="default"/>
      </w:rPr>
    </w:lvl>
    <w:lvl w:ilvl="1">
      <w:start w:val="1"/>
      <w:numFmt w:val="decimal"/>
      <w:pStyle w:val="Heading2"/>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A9F4A3B"/>
    <w:multiLevelType w:val="multilevel"/>
    <w:tmpl w:val="BA664FA4"/>
    <w:lvl w:ilvl="0">
      <w:start w:val="1"/>
      <w:numFmt w:val="none"/>
      <w:pStyle w:val="Emptycell"/>
      <w:suff w:val="nothing"/>
      <w:lvlText w:val="empty cell"/>
      <w:lvlJc w:val="left"/>
      <w:pPr>
        <w:ind w:left="432" w:hanging="432"/>
      </w:pPr>
      <w:rPr>
        <w:rFonts w:hint="default"/>
        <w:color w:val="FFFFFF" w:themeColor="background1"/>
        <w:sz w:val="12"/>
      </w:rPr>
    </w:lvl>
    <w:lvl w:ilvl="1">
      <w:start w:val="1"/>
      <w:numFmt w:val="none"/>
      <w:suff w:val="nothing"/>
      <w:lvlText w:val="Empty cell"/>
      <w:lvlJc w:val="left"/>
      <w:pPr>
        <w:ind w:left="576" w:hanging="576"/>
      </w:pPr>
      <w:rPr>
        <w:rFonts w:hint="default"/>
        <w:color w:val="FFFFFF" w:themeColor="background1"/>
        <w:sz w:val="1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7502D5B"/>
    <w:multiLevelType w:val="hybridMultilevel"/>
    <w:tmpl w:val="55BA2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1664276">
    <w:abstractNumId w:val="0"/>
  </w:num>
  <w:num w:numId="2" w16cid:durableId="1018198382">
    <w:abstractNumId w:val="3"/>
  </w:num>
  <w:num w:numId="3" w16cid:durableId="1968973916">
    <w:abstractNumId w:val="5"/>
  </w:num>
  <w:num w:numId="4" w16cid:durableId="1621643853">
    <w:abstractNumId w:val="7"/>
  </w:num>
  <w:num w:numId="5" w16cid:durableId="1489905268">
    <w:abstractNumId w:val="6"/>
  </w:num>
  <w:num w:numId="6" w16cid:durableId="1519346269">
    <w:abstractNumId w:val="2"/>
  </w:num>
  <w:num w:numId="7" w16cid:durableId="1923249392">
    <w:abstractNumId w:val="1"/>
  </w:num>
  <w:num w:numId="8" w16cid:durableId="798571655">
    <w:abstractNumId w:val="4"/>
  </w:num>
  <w:num w:numId="9" w16cid:durableId="1201014539">
    <w:abstractNumId w:val="8"/>
  </w:num>
  <w:num w:numId="10" w16cid:durableId="66960454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72"/>
    <w:rsid w:val="00002F65"/>
    <w:rsid w:val="00003312"/>
    <w:rsid w:val="00003A95"/>
    <w:rsid w:val="0000519F"/>
    <w:rsid w:val="00010CD6"/>
    <w:rsid w:val="00011BB0"/>
    <w:rsid w:val="000131DC"/>
    <w:rsid w:val="0001491B"/>
    <w:rsid w:val="00015B54"/>
    <w:rsid w:val="00015B6F"/>
    <w:rsid w:val="00016497"/>
    <w:rsid w:val="0001663B"/>
    <w:rsid w:val="0001667D"/>
    <w:rsid w:val="00017E1C"/>
    <w:rsid w:val="00017FEE"/>
    <w:rsid w:val="00020106"/>
    <w:rsid w:val="00020221"/>
    <w:rsid w:val="00023C99"/>
    <w:rsid w:val="00024FC9"/>
    <w:rsid w:val="0002518D"/>
    <w:rsid w:val="000268E3"/>
    <w:rsid w:val="000268EA"/>
    <w:rsid w:val="00027100"/>
    <w:rsid w:val="00027F23"/>
    <w:rsid w:val="000303CA"/>
    <w:rsid w:val="000314B5"/>
    <w:rsid w:val="00031988"/>
    <w:rsid w:val="0003388D"/>
    <w:rsid w:val="00034A23"/>
    <w:rsid w:val="00035BA3"/>
    <w:rsid w:val="00037E22"/>
    <w:rsid w:val="00040319"/>
    <w:rsid w:val="00042A03"/>
    <w:rsid w:val="000448EC"/>
    <w:rsid w:val="00045462"/>
    <w:rsid w:val="00047B99"/>
    <w:rsid w:val="00050C87"/>
    <w:rsid w:val="000542B3"/>
    <w:rsid w:val="00057FEB"/>
    <w:rsid w:val="000601CA"/>
    <w:rsid w:val="00060402"/>
    <w:rsid w:val="000606CC"/>
    <w:rsid w:val="00060812"/>
    <w:rsid w:val="000629AD"/>
    <w:rsid w:val="00062C12"/>
    <w:rsid w:val="00063A85"/>
    <w:rsid w:val="00064806"/>
    <w:rsid w:val="0006528D"/>
    <w:rsid w:val="0006540D"/>
    <w:rsid w:val="00066D38"/>
    <w:rsid w:val="0006714F"/>
    <w:rsid w:val="00067A81"/>
    <w:rsid w:val="00070A73"/>
    <w:rsid w:val="00071688"/>
    <w:rsid w:val="00071BC2"/>
    <w:rsid w:val="00072572"/>
    <w:rsid w:val="0007302D"/>
    <w:rsid w:val="0007386B"/>
    <w:rsid w:val="000757B5"/>
    <w:rsid w:val="00076309"/>
    <w:rsid w:val="00076F6F"/>
    <w:rsid w:val="00077154"/>
    <w:rsid w:val="00083D45"/>
    <w:rsid w:val="00084D3A"/>
    <w:rsid w:val="00086D7A"/>
    <w:rsid w:val="000874C2"/>
    <w:rsid w:val="00090C6B"/>
    <w:rsid w:val="000912C5"/>
    <w:rsid w:val="00091770"/>
    <w:rsid w:val="0009310D"/>
    <w:rsid w:val="00093819"/>
    <w:rsid w:val="00093CDA"/>
    <w:rsid w:val="000969B4"/>
    <w:rsid w:val="00096B60"/>
    <w:rsid w:val="00097F4F"/>
    <w:rsid w:val="000A0DCB"/>
    <w:rsid w:val="000A1929"/>
    <w:rsid w:val="000A3E16"/>
    <w:rsid w:val="000A4CF8"/>
    <w:rsid w:val="000A4E3E"/>
    <w:rsid w:val="000A5499"/>
    <w:rsid w:val="000A5802"/>
    <w:rsid w:val="000A75D2"/>
    <w:rsid w:val="000B1BA9"/>
    <w:rsid w:val="000B23FF"/>
    <w:rsid w:val="000B3A2E"/>
    <w:rsid w:val="000B4C71"/>
    <w:rsid w:val="000B5288"/>
    <w:rsid w:val="000B7D8D"/>
    <w:rsid w:val="000C2387"/>
    <w:rsid w:val="000C2A63"/>
    <w:rsid w:val="000C6BCD"/>
    <w:rsid w:val="000C7448"/>
    <w:rsid w:val="000D078E"/>
    <w:rsid w:val="000D1A4E"/>
    <w:rsid w:val="000D1FC1"/>
    <w:rsid w:val="000D2A35"/>
    <w:rsid w:val="000D2A58"/>
    <w:rsid w:val="000D3C2C"/>
    <w:rsid w:val="000D45FB"/>
    <w:rsid w:val="000D53D0"/>
    <w:rsid w:val="000D6955"/>
    <w:rsid w:val="000D6AAB"/>
    <w:rsid w:val="000D7C05"/>
    <w:rsid w:val="000E1C4C"/>
    <w:rsid w:val="000E23A6"/>
    <w:rsid w:val="000E2521"/>
    <w:rsid w:val="000E42A8"/>
    <w:rsid w:val="000E4BD3"/>
    <w:rsid w:val="000E5E6D"/>
    <w:rsid w:val="000E601C"/>
    <w:rsid w:val="000F105A"/>
    <w:rsid w:val="000F2111"/>
    <w:rsid w:val="000F2989"/>
    <w:rsid w:val="000F353E"/>
    <w:rsid w:val="000F54EF"/>
    <w:rsid w:val="000F6DE4"/>
    <w:rsid w:val="000F6F27"/>
    <w:rsid w:val="000F728D"/>
    <w:rsid w:val="000F761B"/>
    <w:rsid w:val="0010104E"/>
    <w:rsid w:val="00102424"/>
    <w:rsid w:val="00105906"/>
    <w:rsid w:val="00105A5C"/>
    <w:rsid w:val="0011010A"/>
    <w:rsid w:val="001103C5"/>
    <w:rsid w:val="001105F1"/>
    <w:rsid w:val="00111966"/>
    <w:rsid w:val="00111B63"/>
    <w:rsid w:val="00112935"/>
    <w:rsid w:val="00115A4A"/>
    <w:rsid w:val="0011685E"/>
    <w:rsid w:val="00117CD7"/>
    <w:rsid w:val="001200DD"/>
    <w:rsid w:val="001208C0"/>
    <w:rsid w:val="00120FE4"/>
    <w:rsid w:val="00124361"/>
    <w:rsid w:val="001247D8"/>
    <w:rsid w:val="0012499D"/>
    <w:rsid w:val="00124CA2"/>
    <w:rsid w:val="00124F97"/>
    <w:rsid w:val="001253B1"/>
    <w:rsid w:val="001263F9"/>
    <w:rsid w:val="00127067"/>
    <w:rsid w:val="00127206"/>
    <w:rsid w:val="0012742D"/>
    <w:rsid w:val="001305AE"/>
    <w:rsid w:val="001320A7"/>
    <w:rsid w:val="00132947"/>
    <w:rsid w:val="0013296A"/>
    <w:rsid w:val="001346A0"/>
    <w:rsid w:val="001349D6"/>
    <w:rsid w:val="00134D3E"/>
    <w:rsid w:val="001359D1"/>
    <w:rsid w:val="00135F2B"/>
    <w:rsid w:val="001379B0"/>
    <w:rsid w:val="00140032"/>
    <w:rsid w:val="001418D5"/>
    <w:rsid w:val="00142762"/>
    <w:rsid w:val="00146052"/>
    <w:rsid w:val="001461CD"/>
    <w:rsid w:val="00147927"/>
    <w:rsid w:val="001503C9"/>
    <w:rsid w:val="001514ED"/>
    <w:rsid w:val="00152478"/>
    <w:rsid w:val="001526D9"/>
    <w:rsid w:val="00154337"/>
    <w:rsid w:val="00154F84"/>
    <w:rsid w:val="00155495"/>
    <w:rsid w:val="0015639D"/>
    <w:rsid w:val="00156845"/>
    <w:rsid w:val="00160E5C"/>
    <w:rsid w:val="0016161F"/>
    <w:rsid w:val="00161860"/>
    <w:rsid w:val="001621BF"/>
    <w:rsid w:val="00162787"/>
    <w:rsid w:val="0016464E"/>
    <w:rsid w:val="00166C94"/>
    <w:rsid w:val="00166E24"/>
    <w:rsid w:val="0017039C"/>
    <w:rsid w:val="001703B5"/>
    <w:rsid w:val="001725D1"/>
    <w:rsid w:val="00173A6C"/>
    <w:rsid w:val="00176B5E"/>
    <w:rsid w:val="0017721A"/>
    <w:rsid w:val="00182C90"/>
    <w:rsid w:val="00183A66"/>
    <w:rsid w:val="0018415E"/>
    <w:rsid w:val="00184D6B"/>
    <w:rsid w:val="0018549B"/>
    <w:rsid w:val="00185DBD"/>
    <w:rsid w:val="00185E31"/>
    <w:rsid w:val="00187C37"/>
    <w:rsid w:val="001905B2"/>
    <w:rsid w:val="00190ACE"/>
    <w:rsid w:val="0019258A"/>
    <w:rsid w:val="00192809"/>
    <w:rsid w:val="0019398B"/>
    <w:rsid w:val="00193CEB"/>
    <w:rsid w:val="00194966"/>
    <w:rsid w:val="00195587"/>
    <w:rsid w:val="001956A2"/>
    <w:rsid w:val="001956DD"/>
    <w:rsid w:val="001956FA"/>
    <w:rsid w:val="0019587A"/>
    <w:rsid w:val="00195CED"/>
    <w:rsid w:val="001A0C0B"/>
    <w:rsid w:val="001A2633"/>
    <w:rsid w:val="001A2861"/>
    <w:rsid w:val="001A43D7"/>
    <w:rsid w:val="001A594A"/>
    <w:rsid w:val="001B1851"/>
    <w:rsid w:val="001B3E40"/>
    <w:rsid w:val="001B45B0"/>
    <w:rsid w:val="001B4914"/>
    <w:rsid w:val="001B50BE"/>
    <w:rsid w:val="001B707E"/>
    <w:rsid w:val="001C07B7"/>
    <w:rsid w:val="001C1BA6"/>
    <w:rsid w:val="001C1F0C"/>
    <w:rsid w:val="001C3977"/>
    <w:rsid w:val="001C69CA"/>
    <w:rsid w:val="001C7FC4"/>
    <w:rsid w:val="001D03BF"/>
    <w:rsid w:val="001D083A"/>
    <w:rsid w:val="001D0C52"/>
    <w:rsid w:val="001D2C03"/>
    <w:rsid w:val="001D3381"/>
    <w:rsid w:val="001D4E3F"/>
    <w:rsid w:val="001D5381"/>
    <w:rsid w:val="001D6405"/>
    <w:rsid w:val="001E0225"/>
    <w:rsid w:val="001E0398"/>
    <w:rsid w:val="001E1238"/>
    <w:rsid w:val="001E18C2"/>
    <w:rsid w:val="001E19BE"/>
    <w:rsid w:val="001E2189"/>
    <w:rsid w:val="001E3381"/>
    <w:rsid w:val="001E4530"/>
    <w:rsid w:val="001E58A8"/>
    <w:rsid w:val="001E5B05"/>
    <w:rsid w:val="001E627E"/>
    <w:rsid w:val="001E6487"/>
    <w:rsid w:val="001E79C0"/>
    <w:rsid w:val="001E7EE9"/>
    <w:rsid w:val="001F13DD"/>
    <w:rsid w:val="001F2056"/>
    <w:rsid w:val="001F3342"/>
    <w:rsid w:val="001F3FE6"/>
    <w:rsid w:val="001F6E4B"/>
    <w:rsid w:val="001F7622"/>
    <w:rsid w:val="002011A8"/>
    <w:rsid w:val="00202C11"/>
    <w:rsid w:val="00202E5E"/>
    <w:rsid w:val="00203297"/>
    <w:rsid w:val="0020363F"/>
    <w:rsid w:val="00203701"/>
    <w:rsid w:val="00204A23"/>
    <w:rsid w:val="00206380"/>
    <w:rsid w:val="00206479"/>
    <w:rsid w:val="00206C02"/>
    <w:rsid w:val="00206C91"/>
    <w:rsid w:val="00207A6E"/>
    <w:rsid w:val="00207D57"/>
    <w:rsid w:val="00207D8E"/>
    <w:rsid w:val="00211849"/>
    <w:rsid w:val="002147E7"/>
    <w:rsid w:val="00214E32"/>
    <w:rsid w:val="002158A7"/>
    <w:rsid w:val="002168BF"/>
    <w:rsid w:val="00217023"/>
    <w:rsid w:val="002209C4"/>
    <w:rsid w:val="00222360"/>
    <w:rsid w:val="0022337F"/>
    <w:rsid w:val="002258BD"/>
    <w:rsid w:val="00226B5C"/>
    <w:rsid w:val="002270D6"/>
    <w:rsid w:val="00230C18"/>
    <w:rsid w:val="00231976"/>
    <w:rsid w:val="00233700"/>
    <w:rsid w:val="00234049"/>
    <w:rsid w:val="0023477A"/>
    <w:rsid w:val="0023519F"/>
    <w:rsid w:val="00235B86"/>
    <w:rsid w:val="00235DD6"/>
    <w:rsid w:val="00236311"/>
    <w:rsid w:val="0024017E"/>
    <w:rsid w:val="002406AA"/>
    <w:rsid w:val="00244DB8"/>
    <w:rsid w:val="00244DC2"/>
    <w:rsid w:val="002458CC"/>
    <w:rsid w:val="00246F1C"/>
    <w:rsid w:val="00251CA4"/>
    <w:rsid w:val="00252589"/>
    <w:rsid w:val="002533BC"/>
    <w:rsid w:val="00253742"/>
    <w:rsid w:val="00253EC9"/>
    <w:rsid w:val="002542F7"/>
    <w:rsid w:val="002552F9"/>
    <w:rsid w:val="00255B05"/>
    <w:rsid w:val="00255E5D"/>
    <w:rsid w:val="00257D7F"/>
    <w:rsid w:val="00257F49"/>
    <w:rsid w:val="00262B0A"/>
    <w:rsid w:val="00264164"/>
    <w:rsid w:val="00264CD2"/>
    <w:rsid w:val="002669AA"/>
    <w:rsid w:val="0026705F"/>
    <w:rsid w:val="00270EFB"/>
    <w:rsid w:val="00271641"/>
    <w:rsid w:val="0027166F"/>
    <w:rsid w:val="0027727E"/>
    <w:rsid w:val="0028137F"/>
    <w:rsid w:val="00283326"/>
    <w:rsid w:val="002835AD"/>
    <w:rsid w:val="00283815"/>
    <w:rsid w:val="00285BE9"/>
    <w:rsid w:val="00290AFE"/>
    <w:rsid w:val="0029103D"/>
    <w:rsid w:val="0029107E"/>
    <w:rsid w:val="002910BE"/>
    <w:rsid w:val="00291195"/>
    <w:rsid w:val="002924AB"/>
    <w:rsid w:val="00292911"/>
    <w:rsid w:val="00293294"/>
    <w:rsid w:val="002940FC"/>
    <w:rsid w:val="0029555A"/>
    <w:rsid w:val="00295B60"/>
    <w:rsid w:val="00297FFE"/>
    <w:rsid w:val="002A0CE4"/>
    <w:rsid w:val="002A14A3"/>
    <w:rsid w:val="002A1B54"/>
    <w:rsid w:val="002A21DB"/>
    <w:rsid w:val="002A23B0"/>
    <w:rsid w:val="002A2F36"/>
    <w:rsid w:val="002A5556"/>
    <w:rsid w:val="002A57E7"/>
    <w:rsid w:val="002A6477"/>
    <w:rsid w:val="002B0F60"/>
    <w:rsid w:val="002B10F7"/>
    <w:rsid w:val="002B16BB"/>
    <w:rsid w:val="002B17D9"/>
    <w:rsid w:val="002B1CFF"/>
    <w:rsid w:val="002B3DFC"/>
    <w:rsid w:val="002B5069"/>
    <w:rsid w:val="002B60D4"/>
    <w:rsid w:val="002B69F7"/>
    <w:rsid w:val="002B72BD"/>
    <w:rsid w:val="002C0E21"/>
    <w:rsid w:val="002C1D1A"/>
    <w:rsid w:val="002C2771"/>
    <w:rsid w:val="002C32C8"/>
    <w:rsid w:val="002C50C0"/>
    <w:rsid w:val="002C52FA"/>
    <w:rsid w:val="002C5663"/>
    <w:rsid w:val="002D2A63"/>
    <w:rsid w:val="002D2DB4"/>
    <w:rsid w:val="002D30CA"/>
    <w:rsid w:val="002D4808"/>
    <w:rsid w:val="002D49DA"/>
    <w:rsid w:val="002D4D6B"/>
    <w:rsid w:val="002D79A0"/>
    <w:rsid w:val="002E0732"/>
    <w:rsid w:val="002E0AB8"/>
    <w:rsid w:val="002E0D84"/>
    <w:rsid w:val="002E1AD1"/>
    <w:rsid w:val="002E20AF"/>
    <w:rsid w:val="002E2E27"/>
    <w:rsid w:val="002E32C4"/>
    <w:rsid w:val="002E66C2"/>
    <w:rsid w:val="002E74C1"/>
    <w:rsid w:val="002E7AA3"/>
    <w:rsid w:val="002F19E8"/>
    <w:rsid w:val="002F288D"/>
    <w:rsid w:val="002F2AFD"/>
    <w:rsid w:val="002F395F"/>
    <w:rsid w:val="002F4CFA"/>
    <w:rsid w:val="002F56EB"/>
    <w:rsid w:val="002F57F7"/>
    <w:rsid w:val="002F583B"/>
    <w:rsid w:val="002F58ED"/>
    <w:rsid w:val="002F5C59"/>
    <w:rsid w:val="00300EB2"/>
    <w:rsid w:val="003010D6"/>
    <w:rsid w:val="00301B10"/>
    <w:rsid w:val="003031F3"/>
    <w:rsid w:val="00304184"/>
    <w:rsid w:val="00304882"/>
    <w:rsid w:val="003048DF"/>
    <w:rsid w:val="00305049"/>
    <w:rsid w:val="00305518"/>
    <w:rsid w:val="00306708"/>
    <w:rsid w:val="00306FB2"/>
    <w:rsid w:val="00311985"/>
    <w:rsid w:val="003125F8"/>
    <w:rsid w:val="00312CA0"/>
    <w:rsid w:val="00312CA7"/>
    <w:rsid w:val="00314C25"/>
    <w:rsid w:val="00315BF0"/>
    <w:rsid w:val="0031628A"/>
    <w:rsid w:val="0031639B"/>
    <w:rsid w:val="00317026"/>
    <w:rsid w:val="0031756B"/>
    <w:rsid w:val="00321046"/>
    <w:rsid w:val="00321CD2"/>
    <w:rsid w:val="00323F3E"/>
    <w:rsid w:val="0032752C"/>
    <w:rsid w:val="00330233"/>
    <w:rsid w:val="0033185F"/>
    <w:rsid w:val="003332C5"/>
    <w:rsid w:val="00333A51"/>
    <w:rsid w:val="0033467E"/>
    <w:rsid w:val="00335069"/>
    <w:rsid w:val="00335A35"/>
    <w:rsid w:val="00337254"/>
    <w:rsid w:val="00337796"/>
    <w:rsid w:val="003409AF"/>
    <w:rsid w:val="00340DC3"/>
    <w:rsid w:val="00340DE5"/>
    <w:rsid w:val="00341EE2"/>
    <w:rsid w:val="003423FC"/>
    <w:rsid w:val="0034478C"/>
    <w:rsid w:val="00346716"/>
    <w:rsid w:val="0034750A"/>
    <w:rsid w:val="00347EB4"/>
    <w:rsid w:val="00350CF0"/>
    <w:rsid w:val="00354778"/>
    <w:rsid w:val="00354839"/>
    <w:rsid w:val="0035715C"/>
    <w:rsid w:val="00357893"/>
    <w:rsid w:val="00357B2B"/>
    <w:rsid w:val="00366137"/>
    <w:rsid w:val="0036615B"/>
    <w:rsid w:val="0036729F"/>
    <w:rsid w:val="00367AB4"/>
    <w:rsid w:val="0037266E"/>
    <w:rsid w:val="00373BE5"/>
    <w:rsid w:val="00373E3A"/>
    <w:rsid w:val="00374765"/>
    <w:rsid w:val="003762DA"/>
    <w:rsid w:val="00381145"/>
    <w:rsid w:val="00384278"/>
    <w:rsid w:val="00384D66"/>
    <w:rsid w:val="00391261"/>
    <w:rsid w:val="00391E01"/>
    <w:rsid w:val="003923EA"/>
    <w:rsid w:val="00393B3E"/>
    <w:rsid w:val="00394AB8"/>
    <w:rsid w:val="00396B2C"/>
    <w:rsid w:val="00396F0C"/>
    <w:rsid w:val="003A28A0"/>
    <w:rsid w:val="003A28FE"/>
    <w:rsid w:val="003A2E12"/>
    <w:rsid w:val="003A45F2"/>
    <w:rsid w:val="003A5E69"/>
    <w:rsid w:val="003A703D"/>
    <w:rsid w:val="003B0099"/>
    <w:rsid w:val="003B23AA"/>
    <w:rsid w:val="003B2CF7"/>
    <w:rsid w:val="003B3151"/>
    <w:rsid w:val="003B3D5B"/>
    <w:rsid w:val="003B46BA"/>
    <w:rsid w:val="003B5A61"/>
    <w:rsid w:val="003B6083"/>
    <w:rsid w:val="003C13BB"/>
    <w:rsid w:val="003C2627"/>
    <w:rsid w:val="003C76EC"/>
    <w:rsid w:val="003C7CC7"/>
    <w:rsid w:val="003D2615"/>
    <w:rsid w:val="003D35D9"/>
    <w:rsid w:val="003D3C31"/>
    <w:rsid w:val="003D461E"/>
    <w:rsid w:val="003E192B"/>
    <w:rsid w:val="003E19ED"/>
    <w:rsid w:val="003E1F0F"/>
    <w:rsid w:val="003E327A"/>
    <w:rsid w:val="003E402D"/>
    <w:rsid w:val="003E4466"/>
    <w:rsid w:val="003E63E8"/>
    <w:rsid w:val="003E7694"/>
    <w:rsid w:val="003E7C14"/>
    <w:rsid w:val="003E7EB4"/>
    <w:rsid w:val="003E7F18"/>
    <w:rsid w:val="003F18E6"/>
    <w:rsid w:val="003F1A50"/>
    <w:rsid w:val="003F237A"/>
    <w:rsid w:val="003F39C9"/>
    <w:rsid w:val="003F4E76"/>
    <w:rsid w:val="003F6DE8"/>
    <w:rsid w:val="003F75F2"/>
    <w:rsid w:val="003F7E45"/>
    <w:rsid w:val="0040027D"/>
    <w:rsid w:val="004008F3"/>
    <w:rsid w:val="00401D7B"/>
    <w:rsid w:val="00401DCA"/>
    <w:rsid w:val="004043B7"/>
    <w:rsid w:val="00404543"/>
    <w:rsid w:val="00404D87"/>
    <w:rsid w:val="004053C4"/>
    <w:rsid w:val="00405FFD"/>
    <w:rsid w:val="00406DC1"/>
    <w:rsid w:val="004079F1"/>
    <w:rsid w:val="004107A2"/>
    <w:rsid w:val="00411507"/>
    <w:rsid w:val="0041192E"/>
    <w:rsid w:val="00412F3E"/>
    <w:rsid w:val="00415300"/>
    <w:rsid w:val="00416151"/>
    <w:rsid w:val="00416568"/>
    <w:rsid w:val="004177B8"/>
    <w:rsid w:val="00417E26"/>
    <w:rsid w:val="00422E0C"/>
    <w:rsid w:val="00423599"/>
    <w:rsid w:val="00423E5F"/>
    <w:rsid w:val="00424656"/>
    <w:rsid w:val="004247EC"/>
    <w:rsid w:val="00426820"/>
    <w:rsid w:val="00427009"/>
    <w:rsid w:val="004276EF"/>
    <w:rsid w:val="004300C5"/>
    <w:rsid w:val="004306BD"/>
    <w:rsid w:val="004309DA"/>
    <w:rsid w:val="00430B8F"/>
    <w:rsid w:val="00431668"/>
    <w:rsid w:val="00431C98"/>
    <w:rsid w:val="00432097"/>
    <w:rsid w:val="0043352B"/>
    <w:rsid w:val="0043392D"/>
    <w:rsid w:val="00435EF5"/>
    <w:rsid w:val="004379D7"/>
    <w:rsid w:val="00437EFE"/>
    <w:rsid w:val="0044156B"/>
    <w:rsid w:val="00441C27"/>
    <w:rsid w:val="00443E8C"/>
    <w:rsid w:val="00444B9E"/>
    <w:rsid w:val="00445382"/>
    <w:rsid w:val="004463B7"/>
    <w:rsid w:val="00447318"/>
    <w:rsid w:val="00447581"/>
    <w:rsid w:val="0044787D"/>
    <w:rsid w:val="00447A26"/>
    <w:rsid w:val="00447D08"/>
    <w:rsid w:val="00451B67"/>
    <w:rsid w:val="00451E64"/>
    <w:rsid w:val="00453588"/>
    <w:rsid w:val="00453AB6"/>
    <w:rsid w:val="00453BF6"/>
    <w:rsid w:val="00456502"/>
    <w:rsid w:val="00460502"/>
    <w:rsid w:val="00460ECD"/>
    <w:rsid w:val="00462703"/>
    <w:rsid w:val="004635D4"/>
    <w:rsid w:val="00463B0A"/>
    <w:rsid w:val="004645BA"/>
    <w:rsid w:val="00465F83"/>
    <w:rsid w:val="0046611D"/>
    <w:rsid w:val="004670B4"/>
    <w:rsid w:val="0046747C"/>
    <w:rsid w:val="00471E5D"/>
    <w:rsid w:val="004738AF"/>
    <w:rsid w:val="00473D00"/>
    <w:rsid w:val="00474272"/>
    <w:rsid w:val="004749FF"/>
    <w:rsid w:val="00474A3A"/>
    <w:rsid w:val="004763BD"/>
    <w:rsid w:val="00477CC9"/>
    <w:rsid w:val="004809EC"/>
    <w:rsid w:val="00480ACF"/>
    <w:rsid w:val="00480C67"/>
    <w:rsid w:val="004837AF"/>
    <w:rsid w:val="004843B7"/>
    <w:rsid w:val="004844D7"/>
    <w:rsid w:val="00484AB3"/>
    <w:rsid w:val="00484BB6"/>
    <w:rsid w:val="00484D8E"/>
    <w:rsid w:val="00484E77"/>
    <w:rsid w:val="00484EDB"/>
    <w:rsid w:val="00486740"/>
    <w:rsid w:val="00486D45"/>
    <w:rsid w:val="00486F10"/>
    <w:rsid w:val="00487B23"/>
    <w:rsid w:val="00487EEC"/>
    <w:rsid w:val="004907D1"/>
    <w:rsid w:val="00491A06"/>
    <w:rsid w:val="0049218E"/>
    <w:rsid w:val="00497AE8"/>
    <w:rsid w:val="004A196E"/>
    <w:rsid w:val="004A291B"/>
    <w:rsid w:val="004A6896"/>
    <w:rsid w:val="004A792B"/>
    <w:rsid w:val="004B02E4"/>
    <w:rsid w:val="004B0499"/>
    <w:rsid w:val="004B27CA"/>
    <w:rsid w:val="004B4231"/>
    <w:rsid w:val="004B5A08"/>
    <w:rsid w:val="004B6175"/>
    <w:rsid w:val="004B637D"/>
    <w:rsid w:val="004B638F"/>
    <w:rsid w:val="004B6B98"/>
    <w:rsid w:val="004B7D5F"/>
    <w:rsid w:val="004B7D67"/>
    <w:rsid w:val="004C1E4E"/>
    <w:rsid w:val="004C2519"/>
    <w:rsid w:val="004C2660"/>
    <w:rsid w:val="004C2784"/>
    <w:rsid w:val="004C301B"/>
    <w:rsid w:val="004C5EE2"/>
    <w:rsid w:val="004C645D"/>
    <w:rsid w:val="004C67E5"/>
    <w:rsid w:val="004C7817"/>
    <w:rsid w:val="004D0EE8"/>
    <w:rsid w:val="004D24CD"/>
    <w:rsid w:val="004D5B78"/>
    <w:rsid w:val="004D6361"/>
    <w:rsid w:val="004D78C2"/>
    <w:rsid w:val="004D7951"/>
    <w:rsid w:val="004D7B34"/>
    <w:rsid w:val="004D7E61"/>
    <w:rsid w:val="004E0C4E"/>
    <w:rsid w:val="004E1E15"/>
    <w:rsid w:val="004E2B31"/>
    <w:rsid w:val="004E566F"/>
    <w:rsid w:val="004E57DB"/>
    <w:rsid w:val="004E66BA"/>
    <w:rsid w:val="004E7198"/>
    <w:rsid w:val="004F36E9"/>
    <w:rsid w:val="004F3C9A"/>
    <w:rsid w:val="004F3F38"/>
    <w:rsid w:val="004F414D"/>
    <w:rsid w:val="004F64BC"/>
    <w:rsid w:val="004F6BCB"/>
    <w:rsid w:val="00500DCE"/>
    <w:rsid w:val="0050113E"/>
    <w:rsid w:val="00501ADE"/>
    <w:rsid w:val="00502DC8"/>
    <w:rsid w:val="005042C4"/>
    <w:rsid w:val="005054DD"/>
    <w:rsid w:val="005059EB"/>
    <w:rsid w:val="0050711D"/>
    <w:rsid w:val="005076F2"/>
    <w:rsid w:val="005077E0"/>
    <w:rsid w:val="00510038"/>
    <w:rsid w:val="00510954"/>
    <w:rsid w:val="00510E97"/>
    <w:rsid w:val="005115F1"/>
    <w:rsid w:val="00511CE7"/>
    <w:rsid w:val="005135CB"/>
    <w:rsid w:val="00513CFE"/>
    <w:rsid w:val="00513E8D"/>
    <w:rsid w:val="00514B23"/>
    <w:rsid w:val="00515822"/>
    <w:rsid w:val="00516A7A"/>
    <w:rsid w:val="00516E9E"/>
    <w:rsid w:val="00517C7D"/>
    <w:rsid w:val="005204CE"/>
    <w:rsid w:val="00522287"/>
    <w:rsid w:val="00522DCA"/>
    <w:rsid w:val="00522DF1"/>
    <w:rsid w:val="005232CA"/>
    <w:rsid w:val="00523B6D"/>
    <w:rsid w:val="00523BD0"/>
    <w:rsid w:val="005240A9"/>
    <w:rsid w:val="0052422D"/>
    <w:rsid w:val="00524BE9"/>
    <w:rsid w:val="00526ECF"/>
    <w:rsid w:val="0053028D"/>
    <w:rsid w:val="005313EB"/>
    <w:rsid w:val="0053211A"/>
    <w:rsid w:val="00532D92"/>
    <w:rsid w:val="00533136"/>
    <w:rsid w:val="005349AA"/>
    <w:rsid w:val="005372C5"/>
    <w:rsid w:val="00537383"/>
    <w:rsid w:val="005404F6"/>
    <w:rsid w:val="0054545A"/>
    <w:rsid w:val="00546D8D"/>
    <w:rsid w:val="005473BC"/>
    <w:rsid w:val="005512A9"/>
    <w:rsid w:val="0055298B"/>
    <w:rsid w:val="005539EE"/>
    <w:rsid w:val="005556BD"/>
    <w:rsid w:val="0055582E"/>
    <w:rsid w:val="005567DF"/>
    <w:rsid w:val="0055767E"/>
    <w:rsid w:val="00557DEE"/>
    <w:rsid w:val="00560A21"/>
    <w:rsid w:val="00560F55"/>
    <w:rsid w:val="0056211A"/>
    <w:rsid w:val="005621CA"/>
    <w:rsid w:val="0056366D"/>
    <w:rsid w:val="00566282"/>
    <w:rsid w:val="005666D9"/>
    <w:rsid w:val="0056776D"/>
    <w:rsid w:val="00567953"/>
    <w:rsid w:val="00570B47"/>
    <w:rsid w:val="00572403"/>
    <w:rsid w:val="00572956"/>
    <w:rsid w:val="00574FB9"/>
    <w:rsid w:val="00576AB1"/>
    <w:rsid w:val="00576D34"/>
    <w:rsid w:val="00577B22"/>
    <w:rsid w:val="00577FE5"/>
    <w:rsid w:val="00580ED9"/>
    <w:rsid w:val="00581CB3"/>
    <w:rsid w:val="00581DCA"/>
    <w:rsid w:val="005833A6"/>
    <w:rsid w:val="0058360A"/>
    <w:rsid w:val="00584CEF"/>
    <w:rsid w:val="00585CC6"/>
    <w:rsid w:val="0059058A"/>
    <w:rsid w:val="005918CE"/>
    <w:rsid w:val="00591AC9"/>
    <w:rsid w:val="0059240B"/>
    <w:rsid w:val="00595A78"/>
    <w:rsid w:val="00595ECD"/>
    <w:rsid w:val="00596604"/>
    <w:rsid w:val="00597E75"/>
    <w:rsid w:val="00597F86"/>
    <w:rsid w:val="005A0C03"/>
    <w:rsid w:val="005A11DA"/>
    <w:rsid w:val="005A20AD"/>
    <w:rsid w:val="005A222A"/>
    <w:rsid w:val="005A2552"/>
    <w:rsid w:val="005A33AA"/>
    <w:rsid w:val="005A40C8"/>
    <w:rsid w:val="005A475F"/>
    <w:rsid w:val="005A4EF1"/>
    <w:rsid w:val="005A6128"/>
    <w:rsid w:val="005A6B6E"/>
    <w:rsid w:val="005A70CA"/>
    <w:rsid w:val="005B08D6"/>
    <w:rsid w:val="005B0C32"/>
    <w:rsid w:val="005B1765"/>
    <w:rsid w:val="005B365E"/>
    <w:rsid w:val="005B38FB"/>
    <w:rsid w:val="005B6BEE"/>
    <w:rsid w:val="005B7E30"/>
    <w:rsid w:val="005B7FD1"/>
    <w:rsid w:val="005C08E1"/>
    <w:rsid w:val="005C13F8"/>
    <w:rsid w:val="005C1548"/>
    <w:rsid w:val="005C195D"/>
    <w:rsid w:val="005C225E"/>
    <w:rsid w:val="005C2FE9"/>
    <w:rsid w:val="005C309C"/>
    <w:rsid w:val="005C3958"/>
    <w:rsid w:val="005C48C6"/>
    <w:rsid w:val="005D0198"/>
    <w:rsid w:val="005D1594"/>
    <w:rsid w:val="005D2185"/>
    <w:rsid w:val="005D3C0B"/>
    <w:rsid w:val="005E1DD8"/>
    <w:rsid w:val="005E222A"/>
    <w:rsid w:val="005E3793"/>
    <w:rsid w:val="005E3AD0"/>
    <w:rsid w:val="005E4EB5"/>
    <w:rsid w:val="005E6A36"/>
    <w:rsid w:val="005E6ADD"/>
    <w:rsid w:val="005E6EEB"/>
    <w:rsid w:val="005F062A"/>
    <w:rsid w:val="005F0912"/>
    <w:rsid w:val="005F20E5"/>
    <w:rsid w:val="005F3673"/>
    <w:rsid w:val="005F3D02"/>
    <w:rsid w:val="005F57BD"/>
    <w:rsid w:val="005F5D51"/>
    <w:rsid w:val="005F76EF"/>
    <w:rsid w:val="005F7D86"/>
    <w:rsid w:val="006005B3"/>
    <w:rsid w:val="00600672"/>
    <w:rsid w:val="00600686"/>
    <w:rsid w:val="006015E3"/>
    <w:rsid w:val="00601FF2"/>
    <w:rsid w:val="00602CC1"/>
    <w:rsid w:val="00603E1D"/>
    <w:rsid w:val="00603E41"/>
    <w:rsid w:val="0060458D"/>
    <w:rsid w:val="006065C3"/>
    <w:rsid w:val="0060754D"/>
    <w:rsid w:val="00610E46"/>
    <w:rsid w:val="00613085"/>
    <w:rsid w:val="00614882"/>
    <w:rsid w:val="00616274"/>
    <w:rsid w:val="00617334"/>
    <w:rsid w:val="006232C6"/>
    <w:rsid w:val="00625FFC"/>
    <w:rsid w:val="00627146"/>
    <w:rsid w:val="0063163E"/>
    <w:rsid w:val="00631762"/>
    <w:rsid w:val="006333A5"/>
    <w:rsid w:val="0063450C"/>
    <w:rsid w:val="0063488D"/>
    <w:rsid w:val="00635C1D"/>
    <w:rsid w:val="006364F3"/>
    <w:rsid w:val="00636997"/>
    <w:rsid w:val="00636A9A"/>
    <w:rsid w:val="0063799F"/>
    <w:rsid w:val="00637BD0"/>
    <w:rsid w:val="006416B8"/>
    <w:rsid w:val="00641939"/>
    <w:rsid w:val="00645940"/>
    <w:rsid w:val="00646B22"/>
    <w:rsid w:val="006500FC"/>
    <w:rsid w:val="0065072F"/>
    <w:rsid w:val="006513D0"/>
    <w:rsid w:val="0065212F"/>
    <w:rsid w:val="00652BB1"/>
    <w:rsid w:val="00652CA0"/>
    <w:rsid w:val="006567F6"/>
    <w:rsid w:val="00656B04"/>
    <w:rsid w:val="0065722F"/>
    <w:rsid w:val="00660975"/>
    <w:rsid w:val="006610ED"/>
    <w:rsid w:val="006622BF"/>
    <w:rsid w:val="006627A5"/>
    <w:rsid w:val="00662D38"/>
    <w:rsid w:val="00663731"/>
    <w:rsid w:val="00665207"/>
    <w:rsid w:val="006660C3"/>
    <w:rsid w:val="00666830"/>
    <w:rsid w:val="00666A8B"/>
    <w:rsid w:val="00667F91"/>
    <w:rsid w:val="00670B03"/>
    <w:rsid w:val="00671E60"/>
    <w:rsid w:val="00672331"/>
    <w:rsid w:val="00672364"/>
    <w:rsid w:val="00672BC3"/>
    <w:rsid w:val="00672E76"/>
    <w:rsid w:val="00674846"/>
    <w:rsid w:val="00677041"/>
    <w:rsid w:val="00682277"/>
    <w:rsid w:val="00683138"/>
    <w:rsid w:val="0068315A"/>
    <w:rsid w:val="006842F3"/>
    <w:rsid w:val="0068575E"/>
    <w:rsid w:val="0068653F"/>
    <w:rsid w:val="006901BD"/>
    <w:rsid w:val="00690A0A"/>
    <w:rsid w:val="0069156B"/>
    <w:rsid w:val="006925B5"/>
    <w:rsid w:val="006930F0"/>
    <w:rsid w:val="00693AA2"/>
    <w:rsid w:val="00694CC1"/>
    <w:rsid w:val="00696EB2"/>
    <w:rsid w:val="00697AC5"/>
    <w:rsid w:val="00697CA3"/>
    <w:rsid w:val="006A0069"/>
    <w:rsid w:val="006A00FF"/>
    <w:rsid w:val="006A13DA"/>
    <w:rsid w:val="006A40F2"/>
    <w:rsid w:val="006A5059"/>
    <w:rsid w:val="006A5C06"/>
    <w:rsid w:val="006A6D8E"/>
    <w:rsid w:val="006A6F89"/>
    <w:rsid w:val="006B0182"/>
    <w:rsid w:val="006B03CB"/>
    <w:rsid w:val="006B0DFB"/>
    <w:rsid w:val="006B1E51"/>
    <w:rsid w:val="006B54D4"/>
    <w:rsid w:val="006B67ED"/>
    <w:rsid w:val="006B795E"/>
    <w:rsid w:val="006B79FF"/>
    <w:rsid w:val="006C04A1"/>
    <w:rsid w:val="006C09CA"/>
    <w:rsid w:val="006C27B1"/>
    <w:rsid w:val="006C37CA"/>
    <w:rsid w:val="006C3F4A"/>
    <w:rsid w:val="006C463A"/>
    <w:rsid w:val="006C5B72"/>
    <w:rsid w:val="006C6275"/>
    <w:rsid w:val="006C7741"/>
    <w:rsid w:val="006D00D8"/>
    <w:rsid w:val="006D081B"/>
    <w:rsid w:val="006D0C26"/>
    <w:rsid w:val="006D1286"/>
    <w:rsid w:val="006D1986"/>
    <w:rsid w:val="006D1C98"/>
    <w:rsid w:val="006D282D"/>
    <w:rsid w:val="006D343C"/>
    <w:rsid w:val="006D599F"/>
    <w:rsid w:val="006E09D0"/>
    <w:rsid w:val="006E0CFC"/>
    <w:rsid w:val="006E2338"/>
    <w:rsid w:val="006E282C"/>
    <w:rsid w:val="006E34B1"/>
    <w:rsid w:val="006E428A"/>
    <w:rsid w:val="006E5F8D"/>
    <w:rsid w:val="006F0AB8"/>
    <w:rsid w:val="006F0BFC"/>
    <w:rsid w:val="006F1123"/>
    <w:rsid w:val="006F15A1"/>
    <w:rsid w:val="006F176A"/>
    <w:rsid w:val="006F1879"/>
    <w:rsid w:val="006F1CAC"/>
    <w:rsid w:val="006F2820"/>
    <w:rsid w:val="006F2AF9"/>
    <w:rsid w:val="006F2CBF"/>
    <w:rsid w:val="006F3204"/>
    <w:rsid w:val="006F412B"/>
    <w:rsid w:val="006F68F7"/>
    <w:rsid w:val="006F6904"/>
    <w:rsid w:val="006F7820"/>
    <w:rsid w:val="0070088C"/>
    <w:rsid w:val="0070379B"/>
    <w:rsid w:val="007039FE"/>
    <w:rsid w:val="00703C75"/>
    <w:rsid w:val="0070725B"/>
    <w:rsid w:val="007075B8"/>
    <w:rsid w:val="007104A4"/>
    <w:rsid w:val="00710F43"/>
    <w:rsid w:val="00710F67"/>
    <w:rsid w:val="007140B5"/>
    <w:rsid w:val="0071493A"/>
    <w:rsid w:val="0071507F"/>
    <w:rsid w:val="007178AD"/>
    <w:rsid w:val="0071795E"/>
    <w:rsid w:val="007203CC"/>
    <w:rsid w:val="007206BC"/>
    <w:rsid w:val="0072238C"/>
    <w:rsid w:val="00722ED4"/>
    <w:rsid w:val="007236A7"/>
    <w:rsid w:val="00723E19"/>
    <w:rsid w:val="0073300A"/>
    <w:rsid w:val="00733083"/>
    <w:rsid w:val="00733500"/>
    <w:rsid w:val="00733549"/>
    <w:rsid w:val="0073476E"/>
    <w:rsid w:val="00735A62"/>
    <w:rsid w:val="007361A8"/>
    <w:rsid w:val="0073717C"/>
    <w:rsid w:val="00737CE9"/>
    <w:rsid w:val="00741D66"/>
    <w:rsid w:val="007424FF"/>
    <w:rsid w:val="007440AF"/>
    <w:rsid w:val="007444F4"/>
    <w:rsid w:val="00744C3C"/>
    <w:rsid w:val="00745FB8"/>
    <w:rsid w:val="007462B4"/>
    <w:rsid w:val="0074762A"/>
    <w:rsid w:val="00747E09"/>
    <w:rsid w:val="0075039A"/>
    <w:rsid w:val="007506DB"/>
    <w:rsid w:val="00750A45"/>
    <w:rsid w:val="00750E67"/>
    <w:rsid w:val="00750F20"/>
    <w:rsid w:val="00751E6C"/>
    <w:rsid w:val="00752306"/>
    <w:rsid w:val="00753987"/>
    <w:rsid w:val="00754113"/>
    <w:rsid w:val="00754145"/>
    <w:rsid w:val="007544CD"/>
    <w:rsid w:val="00754871"/>
    <w:rsid w:val="00756058"/>
    <w:rsid w:val="007569B0"/>
    <w:rsid w:val="007570A5"/>
    <w:rsid w:val="00757236"/>
    <w:rsid w:val="00760627"/>
    <w:rsid w:val="00760C6B"/>
    <w:rsid w:val="007611D8"/>
    <w:rsid w:val="00762177"/>
    <w:rsid w:val="0076738B"/>
    <w:rsid w:val="00767A49"/>
    <w:rsid w:val="00767A7F"/>
    <w:rsid w:val="007719BF"/>
    <w:rsid w:val="00771A45"/>
    <w:rsid w:val="0077205F"/>
    <w:rsid w:val="00772641"/>
    <w:rsid w:val="00772E31"/>
    <w:rsid w:val="007734AD"/>
    <w:rsid w:val="00775010"/>
    <w:rsid w:val="0077744E"/>
    <w:rsid w:val="00777908"/>
    <w:rsid w:val="00777CDF"/>
    <w:rsid w:val="00782302"/>
    <w:rsid w:val="00784071"/>
    <w:rsid w:val="007846D9"/>
    <w:rsid w:val="00786CD4"/>
    <w:rsid w:val="007918A8"/>
    <w:rsid w:val="00793024"/>
    <w:rsid w:val="007930B0"/>
    <w:rsid w:val="00794CFC"/>
    <w:rsid w:val="00794DDF"/>
    <w:rsid w:val="00796E2A"/>
    <w:rsid w:val="007A03AC"/>
    <w:rsid w:val="007A0BF1"/>
    <w:rsid w:val="007A1E61"/>
    <w:rsid w:val="007A1FB3"/>
    <w:rsid w:val="007A2321"/>
    <w:rsid w:val="007A28CD"/>
    <w:rsid w:val="007A4E0D"/>
    <w:rsid w:val="007B22A7"/>
    <w:rsid w:val="007B2B96"/>
    <w:rsid w:val="007B2F8E"/>
    <w:rsid w:val="007B4824"/>
    <w:rsid w:val="007B4860"/>
    <w:rsid w:val="007B4ABF"/>
    <w:rsid w:val="007B50AE"/>
    <w:rsid w:val="007B5D9D"/>
    <w:rsid w:val="007B62C9"/>
    <w:rsid w:val="007B6B29"/>
    <w:rsid w:val="007B6F15"/>
    <w:rsid w:val="007B7B55"/>
    <w:rsid w:val="007B7E4D"/>
    <w:rsid w:val="007C0EBD"/>
    <w:rsid w:val="007C13D3"/>
    <w:rsid w:val="007C199D"/>
    <w:rsid w:val="007C2FB3"/>
    <w:rsid w:val="007C42ED"/>
    <w:rsid w:val="007C618F"/>
    <w:rsid w:val="007C6674"/>
    <w:rsid w:val="007C79A0"/>
    <w:rsid w:val="007C7EB2"/>
    <w:rsid w:val="007D01B9"/>
    <w:rsid w:val="007D118D"/>
    <w:rsid w:val="007D19A5"/>
    <w:rsid w:val="007D2C39"/>
    <w:rsid w:val="007D2ECD"/>
    <w:rsid w:val="007D4F42"/>
    <w:rsid w:val="007D5DBD"/>
    <w:rsid w:val="007D787F"/>
    <w:rsid w:val="007E02D6"/>
    <w:rsid w:val="007E275B"/>
    <w:rsid w:val="007E33D0"/>
    <w:rsid w:val="007E35CA"/>
    <w:rsid w:val="007E3790"/>
    <w:rsid w:val="007E455B"/>
    <w:rsid w:val="007E4767"/>
    <w:rsid w:val="007E4AAA"/>
    <w:rsid w:val="007E55A0"/>
    <w:rsid w:val="007F26B5"/>
    <w:rsid w:val="007F3903"/>
    <w:rsid w:val="007F5CC7"/>
    <w:rsid w:val="007F62CF"/>
    <w:rsid w:val="007F6E0D"/>
    <w:rsid w:val="007F6E67"/>
    <w:rsid w:val="008010A5"/>
    <w:rsid w:val="0081004D"/>
    <w:rsid w:val="0081059E"/>
    <w:rsid w:val="008124FF"/>
    <w:rsid w:val="00812A70"/>
    <w:rsid w:val="00812E9C"/>
    <w:rsid w:val="00814743"/>
    <w:rsid w:val="00815623"/>
    <w:rsid w:val="00817E65"/>
    <w:rsid w:val="00824160"/>
    <w:rsid w:val="0082442D"/>
    <w:rsid w:val="00825598"/>
    <w:rsid w:val="008300E0"/>
    <w:rsid w:val="00830268"/>
    <w:rsid w:val="00830CC1"/>
    <w:rsid w:val="00833491"/>
    <w:rsid w:val="00835647"/>
    <w:rsid w:val="00836CE4"/>
    <w:rsid w:val="00837436"/>
    <w:rsid w:val="00840A02"/>
    <w:rsid w:val="00840A4F"/>
    <w:rsid w:val="008459AE"/>
    <w:rsid w:val="00847F3B"/>
    <w:rsid w:val="00850F4B"/>
    <w:rsid w:val="008513DB"/>
    <w:rsid w:val="008518B9"/>
    <w:rsid w:val="00851A02"/>
    <w:rsid w:val="00851D5C"/>
    <w:rsid w:val="00852D5E"/>
    <w:rsid w:val="008532F7"/>
    <w:rsid w:val="00853737"/>
    <w:rsid w:val="008543AA"/>
    <w:rsid w:val="00855608"/>
    <w:rsid w:val="00857DED"/>
    <w:rsid w:val="00860730"/>
    <w:rsid w:val="008607F7"/>
    <w:rsid w:val="00860CC1"/>
    <w:rsid w:val="008611FF"/>
    <w:rsid w:val="008614BB"/>
    <w:rsid w:val="00861795"/>
    <w:rsid w:val="008628D8"/>
    <w:rsid w:val="00863387"/>
    <w:rsid w:val="00863955"/>
    <w:rsid w:val="00864458"/>
    <w:rsid w:val="0086573E"/>
    <w:rsid w:val="00866818"/>
    <w:rsid w:val="00867322"/>
    <w:rsid w:val="00867E1F"/>
    <w:rsid w:val="00867F6B"/>
    <w:rsid w:val="00870499"/>
    <w:rsid w:val="00870967"/>
    <w:rsid w:val="0087102A"/>
    <w:rsid w:val="008722AB"/>
    <w:rsid w:val="00872559"/>
    <w:rsid w:val="0087274F"/>
    <w:rsid w:val="00874B72"/>
    <w:rsid w:val="00877324"/>
    <w:rsid w:val="00877C75"/>
    <w:rsid w:val="00880FE3"/>
    <w:rsid w:val="00882ADE"/>
    <w:rsid w:val="008838FA"/>
    <w:rsid w:val="00885D00"/>
    <w:rsid w:val="00886EFD"/>
    <w:rsid w:val="008904F4"/>
    <w:rsid w:val="0089053C"/>
    <w:rsid w:val="008928A4"/>
    <w:rsid w:val="00894109"/>
    <w:rsid w:val="00894A29"/>
    <w:rsid w:val="00894CF2"/>
    <w:rsid w:val="0089575F"/>
    <w:rsid w:val="00896A48"/>
    <w:rsid w:val="00897096"/>
    <w:rsid w:val="00897973"/>
    <w:rsid w:val="00897E13"/>
    <w:rsid w:val="008A0D45"/>
    <w:rsid w:val="008A1455"/>
    <w:rsid w:val="008A2385"/>
    <w:rsid w:val="008A5F4F"/>
    <w:rsid w:val="008A71A4"/>
    <w:rsid w:val="008A72CE"/>
    <w:rsid w:val="008B216B"/>
    <w:rsid w:val="008B252F"/>
    <w:rsid w:val="008B5798"/>
    <w:rsid w:val="008B7332"/>
    <w:rsid w:val="008B77E4"/>
    <w:rsid w:val="008C0F1B"/>
    <w:rsid w:val="008C274F"/>
    <w:rsid w:val="008C4205"/>
    <w:rsid w:val="008C46F7"/>
    <w:rsid w:val="008C4737"/>
    <w:rsid w:val="008C5586"/>
    <w:rsid w:val="008C5A7A"/>
    <w:rsid w:val="008C72F1"/>
    <w:rsid w:val="008C777E"/>
    <w:rsid w:val="008D05FA"/>
    <w:rsid w:val="008D1D13"/>
    <w:rsid w:val="008D68F3"/>
    <w:rsid w:val="008E0B17"/>
    <w:rsid w:val="008E137A"/>
    <w:rsid w:val="008E175C"/>
    <w:rsid w:val="008E3E35"/>
    <w:rsid w:val="008E3FEC"/>
    <w:rsid w:val="008E4019"/>
    <w:rsid w:val="008E4ADA"/>
    <w:rsid w:val="008E60D3"/>
    <w:rsid w:val="008E77B9"/>
    <w:rsid w:val="008E7989"/>
    <w:rsid w:val="008E7A53"/>
    <w:rsid w:val="008F1E46"/>
    <w:rsid w:val="008F1EF5"/>
    <w:rsid w:val="008F253C"/>
    <w:rsid w:val="008F3D28"/>
    <w:rsid w:val="008F49B6"/>
    <w:rsid w:val="008F4D56"/>
    <w:rsid w:val="008F4FD9"/>
    <w:rsid w:val="008F596D"/>
    <w:rsid w:val="008F6917"/>
    <w:rsid w:val="009001C4"/>
    <w:rsid w:val="00901718"/>
    <w:rsid w:val="00901FAB"/>
    <w:rsid w:val="00903575"/>
    <w:rsid w:val="00904BAC"/>
    <w:rsid w:val="00905173"/>
    <w:rsid w:val="00905722"/>
    <w:rsid w:val="00905C8F"/>
    <w:rsid w:val="00907920"/>
    <w:rsid w:val="00907A70"/>
    <w:rsid w:val="0091055F"/>
    <w:rsid w:val="00911323"/>
    <w:rsid w:val="00913020"/>
    <w:rsid w:val="009138B2"/>
    <w:rsid w:val="00914F05"/>
    <w:rsid w:val="0091567B"/>
    <w:rsid w:val="00915B88"/>
    <w:rsid w:val="0092030E"/>
    <w:rsid w:val="00921302"/>
    <w:rsid w:val="00923AEE"/>
    <w:rsid w:val="0092447B"/>
    <w:rsid w:val="00924FBB"/>
    <w:rsid w:val="0092595F"/>
    <w:rsid w:val="00925EC2"/>
    <w:rsid w:val="009265B9"/>
    <w:rsid w:val="00926AED"/>
    <w:rsid w:val="00927148"/>
    <w:rsid w:val="00930234"/>
    <w:rsid w:val="009322B7"/>
    <w:rsid w:val="009334CB"/>
    <w:rsid w:val="00933ABD"/>
    <w:rsid w:val="00934378"/>
    <w:rsid w:val="00935771"/>
    <w:rsid w:val="00936775"/>
    <w:rsid w:val="00936BC8"/>
    <w:rsid w:val="00936CB7"/>
    <w:rsid w:val="00937FE3"/>
    <w:rsid w:val="00940065"/>
    <w:rsid w:val="0094028B"/>
    <w:rsid w:val="00940582"/>
    <w:rsid w:val="009406B0"/>
    <w:rsid w:val="00942826"/>
    <w:rsid w:val="0094461A"/>
    <w:rsid w:val="00944BA7"/>
    <w:rsid w:val="0094528E"/>
    <w:rsid w:val="009469DF"/>
    <w:rsid w:val="00950882"/>
    <w:rsid w:val="009512FD"/>
    <w:rsid w:val="0095217C"/>
    <w:rsid w:val="0095221F"/>
    <w:rsid w:val="009530DC"/>
    <w:rsid w:val="00953B81"/>
    <w:rsid w:val="00954AD2"/>
    <w:rsid w:val="0095590B"/>
    <w:rsid w:val="0095684C"/>
    <w:rsid w:val="00960502"/>
    <w:rsid w:val="00960724"/>
    <w:rsid w:val="009618B9"/>
    <w:rsid w:val="00963C2D"/>
    <w:rsid w:val="009641FD"/>
    <w:rsid w:val="0096470E"/>
    <w:rsid w:val="00964908"/>
    <w:rsid w:val="0096539B"/>
    <w:rsid w:val="0096547B"/>
    <w:rsid w:val="009663D3"/>
    <w:rsid w:val="00966C85"/>
    <w:rsid w:val="00967244"/>
    <w:rsid w:val="00967850"/>
    <w:rsid w:val="00970A86"/>
    <w:rsid w:val="00970BF6"/>
    <w:rsid w:val="009711BA"/>
    <w:rsid w:val="00971D1D"/>
    <w:rsid w:val="00973A86"/>
    <w:rsid w:val="00974B3F"/>
    <w:rsid w:val="00975C33"/>
    <w:rsid w:val="00976228"/>
    <w:rsid w:val="009778DF"/>
    <w:rsid w:val="00982592"/>
    <w:rsid w:val="00986087"/>
    <w:rsid w:val="00987758"/>
    <w:rsid w:val="00987A81"/>
    <w:rsid w:val="00991F84"/>
    <w:rsid w:val="00992288"/>
    <w:rsid w:val="009927EC"/>
    <w:rsid w:val="0099312D"/>
    <w:rsid w:val="009934A4"/>
    <w:rsid w:val="00995D5C"/>
    <w:rsid w:val="00995EC2"/>
    <w:rsid w:val="009974FE"/>
    <w:rsid w:val="0099757B"/>
    <w:rsid w:val="009A005F"/>
    <w:rsid w:val="009A0A12"/>
    <w:rsid w:val="009A1123"/>
    <w:rsid w:val="009A1888"/>
    <w:rsid w:val="009A353C"/>
    <w:rsid w:val="009A372F"/>
    <w:rsid w:val="009A4B10"/>
    <w:rsid w:val="009A54F5"/>
    <w:rsid w:val="009B0FB6"/>
    <w:rsid w:val="009B1821"/>
    <w:rsid w:val="009B2074"/>
    <w:rsid w:val="009B2191"/>
    <w:rsid w:val="009B2505"/>
    <w:rsid w:val="009B41CE"/>
    <w:rsid w:val="009B4E67"/>
    <w:rsid w:val="009B5A5D"/>
    <w:rsid w:val="009B609C"/>
    <w:rsid w:val="009B6354"/>
    <w:rsid w:val="009B719D"/>
    <w:rsid w:val="009C0585"/>
    <w:rsid w:val="009C0A8F"/>
    <w:rsid w:val="009C18AD"/>
    <w:rsid w:val="009C2984"/>
    <w:rsid w:val="009C3785"/>
    <w:rsid w:val="009C3F15"/>
    <w:rsid w:val="009C4ABC"/>
    <w:rsid w:val="009C50F0"/>
    <w:rsid w:val="009C6B79"/>
    <w:rsid w:val="009C6BE8"/>
    <w:rsid w:val="009C79AD"/>
    <w:rsid w:val="009D0083"/>
    <w:rsid w:val="009D06B9"/>
    <w:rsid w:val="009D40BF"/>
    <w:rsid w:val="009D5256"/>
    <w:rsid w:val="009D62A9"/>
    <w:rsid w:val="009D6F3D"/>
    <w:rsid w:val="009D765E"/>
    <w:rsid w:val="009E03B4"/>
    <w:rsid w:val="009E161D"/>
    <w:rsid w:val="009E3184"/>
    <w:rsid w:val="009E4134"/>
    <w:rsid w:val="009E45CE"/>
    <w:rsid w:val="009E4672"/>
    <w:rsid w:val="009E48DF"/>
    <w:rsid w:val="009E5150"/>
    <w:rsid w:val="009E7EE7"/>
    <w:rsid w:val="009F02BD"/>
    <w:rsid w:val="009F145F"/>
    <w:rsid w:val="009F24FB"/>
    <w:rsid w:val="009F356C"/>
    <w:rsid w:val="009F421B"/>
    <w:rsid w:val="009F494E"/>
    <w:rsid w:val="009F4BA2"/>
    <w:rsid w:val="009F7B8F"/>
    <w:rsid w:val="00A008D2"/>
    <w:rsid w:val="00A0106F"/>
    <w:rsid w:val="00A01249"/>
    <w:rsid w:val="00A04F63"/>
    <w:rsid w:val="00A054A5"/>
    <w:rsid w:val="00A10C25"/>
    <w:rsid w:val="00A11D1D"/>
    <w:rsid w:val="00A137C8"/>
    <w:rsid w:val="00A14708"/>
    <w:rsid w:val="00A151F1"/>
    <w:rsid w:val="00A15F21"/>
    <w:rsid w:val="00A17189"/>
    <w:rsid w:val="00A17BBC"/>
    <w:rsid w:val="00A17D54"/>
    <w:rsid w:val="00A20442"/>
    <w:rsid w:val="00A20495"/>
    <w:rsid w:val="00A2079A"/>
    <w:rsid w:val="00A20BEE"/>
    <w:rsid w:val="00A20ECD"/>
    <w:rsid w:val="00A21792"/>
    <w:rsid w:val="00A2201F"/>
    <w:rsid w:val="00A23963"/>
    <w:rsid w:val="00A246C5"/>
    <w:rsid w:val="00A26459"/>
    <w:rsid w:val="00A309CD"/>
    <w:rsid w:val="00A31CAE"/>
    <w:rsid w:val="00A31D67"/>
    <w:rsid w:val="00A32A44"/>
    <w:rsid w:val="00A3301F"/>
    <w:rsid w:val="00A339D9"/>
    <w:rsid w:val="00A33CB1"/>
    <w:rsid w:val="00A35C17"/>
    <w:rsid w:val="00A3648C"/>
    <w:rsid w:val="00A368D4"/>
    <w:rsid w:val="00A36AEC"/>
    <w:rsid w:val="00A37090"/>
    <w:rsid w:val="00A37ADE"/>
    <w:rsid w:val="00A37E6E"/>
    <w:rsid w:val="00A40CE2"/>
    <w:rsid w:val="00A4106D"/>
    <w:rsid w:val="00A42F40"/>
    <w:rsid w:val="00A42FF2"/>
    <w:rsid w:val="00A4675B"/>
    <w:rsid w:val="00A4676E"/>
    <w:rsid w:val="00A47C82"/>
    <w:rsid w:val="00A50C70"/>
    <w:rsid w:val="00A53052"/>
    <w:rsid w:val="00A5315C"/>
    <w:rsid w:val="00A55486"/>
    <w:rsid w:val="00A557CA"/>
    <w:rsid w:val="00A55879"/>
    <w:rsid w:val="00A55967"/>
    <w:rsid w:val="00A603D6"/>
    <w:rsid w:val="00A61B3F"/>
    <w:rsid w:val="00A6208B"/>
    <w:rsid w:val="00A64409"/>
    <w:rsid w:val="00A64C89"/>
    <w:rsid w:val="00A66C19"/>
    <w:rsid w:val="00A675A3"/>
    <w:rsid w:val="00A675AD"/>
    <w:rsid w:val="00A67DC5"/>
    <w:rsid w:val="00A67FA8"/>
    <w:rsid w:val="00A70120"/>
    <w:rsid w:val="00A72092"/>
    <w:rsid w:val="00A727E5"/>
    <w:rsid w:val="00A72D55"/>
    <w:rsid w:val="00A737EE"/>
    <w:rsid w:val="00A73A2C"/>
    <w:rsid w:val="00A73EDE"/>
    <w:rsid w:val="00A7468A"/>
    <w:rsid w:val="00A76083"/>
    <w:rsid w:val="00A76F21"/>
    <w:rsid w:val="00A77839"/>
    <w:rsid w:val="00A778D5"/>
    <w:rsid w:val="00A80753"/>
    <w:rsid w:val="00A8079A"/>
    <w:rsid w:val="00A818FE"/>
    <w:rsid w:val="00A826CF"/>
    <w:rsid w:val="00A82F3A"/>
    <w:rsid w:val="00A830EF"/>
    <w:rsid w:val="00A8349D"/>
    <w:rsid w:val="00A83F94"/>
    <w:rsid w:val="00A90004"/>
    <w:rsid w:val="00A90133"/>
    <w:rsid w:val="00A92983"/>
    <w:rsid w:val="00A92A9A"/>
    <w:rsid w:val="00A92D37"/>
    <w:rsid w:val="00A92F2F"/>
    <w:rsid w:val="00A93562"/>
    <w:rsid w:val="00A948F4"/>
    <w:rsid w:val="00A94933"/>
    <w:rsid w:val="00A97417"/>
    <w:rsid w:val="00AA1D0D"/>
    <w:rsid w:val="00AA2C41"/>
    <w:rsid w:val="00AA3CDB"/>
    <w:rsid w:val="00AA4B90"/>
    <w:rsid w:val="00AA4D55"/>
    <w:rsid w:val="00AB2690"/>
    <w:rsid w:val="00AB3903"/>
    <w:rsid w:val="00AB3E67"/>
    <w:rsid w:val="00AB6179"/>
    <w:rsid w:val="00AB6CDA"/>
    <w:rsid w:val="00AB7A48"/>
    <w:rsid w:val="00AC140D"/>
    <w:rsid w:val="00AC1AE6"/>
    <w:rsid w:val="00AC1F41"/>
    <w:rsid w:val="00AC3FB3"/>
    <w:rsid w:val="00AC5211"/>
    <w:rsid w:val="00AC63B5"/>
    <w:rsid w:val="00AD2339"/>
    <w:rsid w:val="00AD2A3D"/>
    <w:rsid w:val="00AD2D0D"/>
    <w:rsid w:val="00AD45FA"/>
    <w:rsid w:val="00AD5A58"/>
    <w:rsid w:val="00AD5BEB"/>
    <w:rsid w:val="00AD6071"/>
    <w:rsid w:val="00AD69AF"/>
    <w:rsid w:val="00AD7443"/>
    <w:rsid w:val="00AD7FAF"/>
    <w:rsid w:val="00AE0AE0"/>
    <w:rsid w:val="00AE14F1"/>
    <w:rsid w:val="00AE2360"/>
    <w:rsid w:val="00AE307B"/>
    <w:rsid w:val="00AE30A6"/>
    <w:rsid w:val="00AE4F22"/>
    <w:rsid w:val="00AE55CE"/>
    <w:rsid w:val="00AE6ACD"/>
    <w:rsid w:val="00AF0AAE"/>
    <w:rsid w:val="00AF0F9A"/>
    <w:rsid w:val="00AF23D3"/>
    <w:rsid w:val="00AF2790"/>
    <w:rsid w:val="00AF285B"/>
    <w:rsid w:val="00AF4B99"/>
    <w:rsid w:val="00AF5225"/>
    <w:rsid w:val="00AF71D0"/>
    <w:rsid w:val="00AF7C5D"/>
    <w:rsid w:val="00B014A7"/>
    <w:rsid w:val="00B02557"/>
    <w:rsid w:val="00B02807"/>
    <w:rsid w:val="00B03959"/>
    <w:rsid w:val="00B04C69"/>
    <w:rsid w:val="00B05977"/>
    <w:rsid w:val="00B06304"/>
    <w:rsid w:val="00B1198B"/>
    <w:rsid w:val="00B11BF8"/>
    <w:rsid w:val="00B11D66"/>
    <w:rsid w:val="00B1301B"/>
    <w:rsid w:val="00B13ADF"/>
    <w:rsid w:val="00B13C9A"/>
    <w:rsid w:val="00B14078"/>
    <w:rsid w:val="00B16072"/>
    <w:rsid w:val="00B16436"/>
    <w:rsid w:val="00B16793"/>
    <w:rsid w:val="00B16C64"/>
    <w:rsid w:val="00B176E7"/>
    <w:rsid w:val="00B177F6"/>
    <w:rsid w:val="00B213D2"/>
    <w:rsid w:val="00B22188"/>
    <w:rsid w:val="00B22256"/>
    <w:rsid w:val="00B226EF"/>
    <w:rsid w:val="00B22F23"/>
    <w:rsid w:val="00B234A9"/>
    <w:rsid w:val="00B23F5E"/>
    <w:rsid w:val="00B244E2"/>
    <w:rsid w:val="00B24819"/>
    <w:rsid w:val="00B254A1"/>
    <w:rsid w:val="00B2734D"/>
    <w:rsid w:val="00B27DA6"/>
    <w:rsid w:val="00B309E4"/>
    <w:rsid w:val="00B33A15"/>
    <w:rsid w:val="00B346BB"/>
    <w:rsid w:val="00B34DF0"/>
    <w:rsid w:val="00B35D0F"/>
    <w:rsid w:val="00B368BA"/>
    <w:rsid w:val="00B37A4A"/>
    <w:rsid w:val="00B400D6"/>
    <w:rsid w:val="00B40D7E"/>
    <w:rsid w:val="00B40F2D"/>
    <w:rsid w:val="00B42379"/>
    <w:rsid w:val="00B42BAC"/>
    <w:rsid w:val="00B433F8"/>
    <w:rsid w:val="00B43896"/>
    <w:rsid w:val="00B43EE3"/>
    <w:rsid w:val="00B43FBA"/>
    <w:rsid w:val="00B43FDB"/>
    <w:rsid w:val="00B44F1D"/>
    <w:rsid w:val="00B451F6"/>
    <w:rsid w:val="00B45949"/>
    <w:rsid w:val="00B45B33"/>
    <w:rsid w:val="00B4613E"/>
    <w:rsid w:val="00B47414"/>
    <w:rsid w:val="00B503D8"/>
    <w:rsid w:val="00B5050A"/>
    <w:rsid w:val="00B50A76"/>
    <w:rsid w:val="00B51164"/>
    <w:rsid w:val="00B51AC5"/>
    <w:rsid w:val="00B52BEC"/>
    <w:rsid w:val="00B53C6B"/>
    <w:rsid w:val="00B5518F"/>
    <w:rsid w:val="00B55F65"/>
    <w:rsid w:val="00B55F90"/>
    <w:rsid w:val="00B565CA"/>
    <w:rsid w:val="00B573CE"/>
    <w:rsid w:val="00B57414"/>
    <w:rsid w:val="00B574BD"/>
    <w:rsid w:val="00B60FC3"/>
    <w:rsid w:val="00B6177A"/>
    <w:rsid w:val="00B62B1C"/>
    <w:rsid w:val="00B62D27"/>
    <w:rsid w:val="00B633AC"/>
    <w:rsid w:val="00B64666"/>
    <w:rsid w:val="00B65075"/>
    <w:rsid w:val="00B654CD"/>
    <w:rsid w:val="00B66136"/>
    <w:rsid w:val="00B679D7"/>
    <w:rsid w:val="00B70896"/>
    <w:rsid w:val="00B71209"/>
    <w:rsid w:val="00B75509"/>
    <w:rsid w:val="00B75AF7"/>
    <w:rsid w:val="00B76A9A"/>
    <w:rsid w:val="00B80D39"/>
    <w:rsid w:val="00B81095"/>
    <w:rsid w:val="00B827CA"/>
    <w:rsid w:val="00B8304D"/>
    <w:rsid w:val="00B8437C"/>
    <w:rsid w:val="00B85664"/>
    <w:rsid w:val="00B904DF"/>
    <w:rsid w:val="00B9095A"/>
    <w:rsid w:val="00B92701"/>
    <w:rsid w:val="00B943C3"/>
    <w:rsid w:val="00B96D50"/>
    <w:rsid w:val="00BA0683"/>
    <w:rsid w:val="00BA0D69"/>
    <w:rsid w:val="00BA1B33"/>
    <w:rsid w:val="00BA1EBF"/>
    <w:rsid w:val="00BA2A08"/>
    <w:rsid w:val="00BA2C50"/>
    <w:rsid w:val="00BA4A0D"/>
    <w:rsid w:val="00BA556D"/>
    <w:rsid w:val="00BB051C"/>
    <w:rsid w:val="00BB0D16"/>
    <w:rsid w:val="00BB25B3"/>
    <w:rsid w:val="00BB55FB"/>
    <w:rsid w:val="00BB7B45"/>
    <w:rsid w:val="00BC16C6"/>
    <w:rsid w:val="00BC19FC"/>
    <w:rsid w:val="00BC1F62"/>
    <w:rsid w:val="00BC229C"/>
    <w:rsid w:val="00BC2A85"/>
    <w:rsid w:val="00BC3D17"/>
    <w:rsid w:val="00BC3F72"/>
    <w:rsid w:val="00BC42DD"/>
    <w:rsid w:val="00BC5B41"/>
    <w:rsid w:val="00BC5F25"/>
    <w:rsid w:val="00BC7168"/>
    <w:rsid w:val="00BC791A"/>
    <w:rsid w:val="00BC7A9A"/>
    <w:rsid w:val="00BC7E8F"/>
    <w:rsid w:val="00BD0604"/>
    <w:rsid w:val="00BD09F0"/>
    <w:rsid w:val="00BD2CA3"/>
    <w:rsid w:val="00BD4958"/>
    <w:rsid w:val="00BD4DBF"/>
    <w:rsid w:val="00BD50B7"/>
    <w:rsid w:val="00BD52B9"/>
    <w:rsid w:val="00BD6582"/>
    <w:rsid w:val="00BD6BBE"/>
    <w:rsid w:val="00BD7A96"/>
    <w:rsid w:val="00BE0186"/>
    <w:rsid w:val="00BE14FE"/>
    <w:rsid w:val="00BE1D37"/>
    <w:rsid w:val="00BE218A"/>
    <w:rsid w:val="00BE3CC5"/>
    <w:rsid w:val="00BE58C2"/>
    <w:rsid w:val="00BE636C"/>
    <w:rsid w:val="00BE7D92"/>
    <w:rsid w:val="00BF1611"/>
    <w:rsid w:val="00BF1ABC"/>
    <w:rsid w:val="00BF21EE"/>
    <w:rsid w:val="00BF2824"/>
    <w:rsid w:val="00BF6AF2"/>
    <w:rsid w:val="00BF74B9"/>
    <w:rsid w:val="00C0136E"/>
    <w:rsid w:val="00C01736"/>
    <w:rsid w:val="00C01CCC"/>
    <w:rsid w:val="00C02DAE"/>
    <w:rsid w:val="00C059DD"/>
    <w:rsid w:val="00C05BCA"/>
    <w:rsid w:val="00C05C08"/>
    <w:rsid w:val="00C11993"/>
    <w:rsid w:val="00C13EC1"/>
    <w:rsid w:val="00C1535E"/>
    <w:rsid w:val="00C159A5"/>
    <w:rsid w:val="00C15B7D"/>
    <w:rsid w:val="00C15E2C"/>
    <w:rsid w:val="00C168E2"/>
    <w:rsid w:val="00C174B8"/>
    <w:rsid w:val="00C216D4"/>
    <w:rsid w:val="00C22A3E"/>
    <w:rsid w:val="00C22E92"/>
    <w:rsid w:val="00C2408A"/>
    <w:rsid w:val="00C24ED7"/>
    <w:rsid w:val="00C266C8"/>
    <w:rsid w:val="00C308D5"/>
    <w:rsid w:val="00C30A89"/>
    <w:rsid w:val="00C318BD"/>
    <w:rsid w:val="00C339EF"/>
    <w:rsid w:val="00C34FAC"/>
    <w:rsid w:val="00C376BA"/>
    <w:rsid w:val="00C37EDA"/>
    <w:rsid w:val="00C40C67"/>
    <w:rsid w:val="00C430B5"/>
    <w:rsid w:val="00C43141"/>
    <w:rsid w:val="00C437F6"/>
    <w:rsid w:val="00C47031"/>
    <w:rsid w:val="00C515A6"/>
    <w:rsid w:val="00C51F57"/>
    <w:rsid w:val="00C52029"/>
    <w:rsid w:val="00C527D4"/>
    <w:rsid w:val="00C54074"/>
    <w:rsid w:val="00C54244"/>
    <w:rsid w:val="00C5559C"/>
    <w:rsid w:val="00C5572F"/>
    <w:rsid w:val="00C56900"/>
    <w:rsid w:val="00C56CA9"/>
    <w:rsid w:val="00C6047B"/>
    <w:rsid w:val="00C60657"/>
    <w:rsid w:val="00C60999"/>
    <w:rsid w:val="00C62A7E"/>
    <w:rsid w:val="00C63806"/>
    <w:rsid w:val="00C65472"/>
    <w:rsid w:val="00C65EC9"/>
    <w:rsid w:val="00C664EB"/>
    <w:rsid w:val="00C67211"/>
    <w:rsid w:val="00C67A04"/>
    <w:rsid w:val="00C70B08"/>
    <w:rsid w:val="00C70E98"/>
    <w:rsid w:val="00C70F39"/>
    <w:rsid w:val="00C7194A"/>
    <w:rsid w:val="00C72E0C"/>
    <w:rsid w:val="00C74037"/>
    <w:rsid w:val="00C75A24"/>
    <w:rsid w:val="00C77D78"/>
    <w:rsid w:val="00C8058A"/>
    <w:rsid w:val="00C80816"/>
    <w:rsid w:val="00C80ED9"/>
    <w:rsid w:val="00C82AA1"/>
    <w:rsid w:val="00C842FE"/>
    <w:rsid w:val="00C851D1"/>
    <w:rsid w:val="00C853A5"/>
    <w:rsid w:val="00C85E16"/>
    <w:rsid w:val="00C865DA"/>
    <w:rsid w:val="00C8678B"/>
    <w:rsid w:val="00C91AEC"/>
    <w:rsid w:val="00C920DF"/>
    <w:rsid w:val="00C92D49"/>
    <w:rsid w:val="00C9406B"/>
    <w:rsid w:val="00C944F5"/>
    <w:rsid w:val="00C94DB8"/>
    <w:rsid w:val="00C951C1"/>
    <w:rsid w:val="00C9582A"/>
    <w:rsid w:val="00C95886"/>
    <w:rsid w:val="00C96B02"/>
    <w:rsid w:val="00C97E4D"/>
    <w:rsid w:val="00CA1531"/>
    <w:rsid w:val="00CA5076"/>
    <w:rsid w:val="00CA5B22"/>
    <w:rsid w:val="00CB1301"/>
    <w:rsid w:val="00CB1B64"/>
    <w:rsid w:val="00CB3F64"/>
    <w:rsid w:val="00CB4341"/>
    <w:rsid w:val="00CB4599"/>
    <w:rsid w:val="00CB46A6"/>
    <w:rsid w:val="00CB4948"/>
    <w:rsid w:val="00CB4C52"/>
    <w:rsid w:val="00CB6ABF"/>
    <w:rsid w:val="00CB712A"/>
    <w:rsid w:val="00CB7E73"/>
    <w:rsid w:val="00CC15B1"/>
    <w:rsid w:val="00CC33B5"/>
    <w:rsid w:val="00CC6569"/>
    <w:rsid w:val="00CC6B93"/>
    <w:rsid w:val="00CC6D77"/>
    <w:rsid w:val="00CC7253"/>
    <w:rsid w:val="00CC7ECF"/>
    <w:rsid w:val="00CD09A0"/>
    <w:rsid w:val="00CD408C"/>
    <w:rsid w:val="00CD5E68"/>
    <w:rsid w:val="00CD5F5E"/>
    <w:rsid w:val="00CD6844"/>
    <w:rsid w:val="00CD7464"/>
    <w:rsid w:val="00CD770A"/>
    <w:rsid w:val="00CE1C5B"/>
    <w:rsid w:val="00CE3583"/>
    <w:rsid w:val="00CE5679"/>
    <w:rsid w:val="00CE5C1B"/>
    <w:rsid w:val="00CE7911"/>
    <w:rsid w:val="00CF4098"/>
    <w:rsid w:val="00CF4E88"/>
    <w:rsid w:val="00CF733D"/>
    <w:rsid w:val="00D004A3"/>
    <w:rsid w:val="00D0148E"/>
    <w:rsid w:val="00D01566"/>
    <w:rsid w:val="00D027D0"/>
    <w:rsid w:val="00D030C5"/>
    <w:rsid w:val="00D034A8"/>
    <w:rsid w:val="00D03B84"/>
    <w:rsid w:val="00D04133"/>
    <w:rsid w:val="00D04C48"/>
    <w:rsid w:val="00D06101"/>
    <w:rsid w:val="00D062BF"/>
    <w:rsid w:val="00D07B9C"/>
    <w:rsid w:val="00D07EFC"/>
    <w:rsid w:val="00D10B80"/>
    <w:rsid w:val="00D1109B"/>
    <w:rsid w:val="00D12102"/>
    <w:rsid w:val="00D135C7"/>
    <w:rsid w:val="00D1567C"/>
    <w:rsid w:val="00D15E46"/>
    <w:rsid w:val="00D16225"/>
    <w:rsid w:val="00D21E83"/>
    <w:rsid w:val="00D26938"/>
    <w:rsid w:val="00D30452"/>
    <w:rsid w:val="00D304E1"/>
    <w:rsid w:val="00D3096C"/>
    <w:rsid w:val="00D32B0F"/>
    <w:rsid w:val="00D3348F"/>
    <w:rsid w:val="00D33892"/>
    <w:rsid w:val="00D35738"/>
    <w:rsid w:val="00D36C8E"/>
    <w:rsid w:val="00D4094E"/>
    <w:rsid w:val="00D40E2A"/>
    <w:rsid w:val="00D410E3"/>
    <w:rsid w:val="00D43097"/>
    <w:rsid w:val="00D446FF"/>
    <w:rsid w:val="00D44753"/>
    <w:rsid w:val="00D44C01"/>
    <w:rsid w:val="00D45658"/>
    <w:rsid w:val="00D45B2D"/>
    <w:rsid w:val="00D5019D"/>
    <w:rsid w:val="00D53CA1"/>
    <w:rsid w:val="00D53F80"/>
    <w:rsid w:val="00D540CF"/>
    <w:rsid w:val="00D54AF3"/>
    <w:rsid w:val="00D56B9F"/>
    <w:rsid w:val="00D56E3D"/>
    <w:rsid w:val="00D56F72"/>
    <w:rsid w:val="00D570AB"/>
    <w:rsid w:val="00D6092F"/>
    <w:rsid w:val="00D61079"/>
    <w:rsid w:val="00D61E54"/>
    <w:rsid w:val="00D642CB"/>
    <w:rsid w:val="00D65CA2"/>
    <w:rsid w:val="00D67092"/>
    <w:rsid w:val="00D6741F"/>
    <w:rsid w:val="00D675AC"/>
    <w:rsid w:val="00D748A0"/>
    <w:rsid w:val="00D74FFF"/>
    <w:rsid w:val="00D7608F"/>
    <w:rsid w:val="00D83C8A"/>
    <w:rsid w:val="00D84508"/>
    <w:rsid w:val="00D86A34"/>
    <w:rsid w:val="00D90CCB"/>
    <w:rsid w:val="00D9117F"/>
    <w:rsid w:val="00D91C81"/>
    <w:rsid w:val="00D921BD"/>
    <w:rsid w:val="00D934CF"/>
    <w:rsid w:val="00D93FD8"/>
    <w:rsid w:val="00D95532"/>
    <w:rsid w:val="00D97295"/>
    <w:rsid w:val="00D974A6"/>
    <w:rsid w:val="00DA032C"/>
    <w:rsid w:val="00DA083E"/>
    <w:rsid w:val="00DA176F"/>
    <w:rsid w:val="00DA21F4"/>
    <w:rsid w:val="00DA24B9"/>
    <w:rsid w:val="00DA3040"/>
    <w:rsid w:val="00DA57A7"/>
    <w:rsid w:val="00DA67B5"/>
    <w:rsid w:val="00DA7800"/>
    <w:rsid w:val="00DA792D"/>
    <w:rsid w:val="00DA7A7F"/>
    <w:rsid w:val="00DB1360"/>
    <w:rsid w:val="00DB1B1C"/>
    <w:rsid w:val="00DB2FDD"/>
    <w:rsid w:val="00DB4079"/>
    <w:rsid w:val="00DB4848"/>
    <w:rsid w:val="00DB4F2D"/>
    <w:rsid w:val="00DB5181"/>
    <w:rsid w:val="00DB7A62"/>
    <w:rsid w:val="00DB7CBE"/>
    <w:rsid w:val="00DC29F8"/>
    <w:rsid w:val="00DC30DE"/>
    <w:rsid w:val="00DC5170"/>
    <w:rsid w:val="00DC5382"/>
    <w:rsid w:val="00DC68DC"/>
    <w:rsid w:val="00DC6A03"/>
    <w:rsid w:val="00DD047B"/>
    <w:rsid w:val="00DD0A39"/>
    <w:rsid w:val="00DD1E31"/>
    <w:rsid w:val="00DD2DF7"/>
    <w:rsid w:val="00DD36A4"/>
    <w:rsid w:val="00DD4394"/>
    <w:rsid w:val="00DD44CB"/>
    <w:rsid w:val="00DD4E8A"/>
    <w:rsid w:val="00DD54E2"/>
    <w:rsid w:val="00DE7544"/>
    <w:rsid w:val="00DF23C6"/>
    <w:rsid w:val="00DF4E82"/>
    <w:rsid w:val="00DF5D51"/>
    <w:rsid w:val="00DF7520"/>
    <w:rsid w:val="00DF770E"/>
    <w:rsid w:val="00E00B02"/>
    <w:rsid w:val="00E0149E"/>
    <w:rsid w:val="00E01C58"/>
    <w:rsid w:val="00E01EE3"/>
    <w:rsid w:val="00E027FE"/>
    <w:rsid w:val="00E0330D"/>
    <w:rsid w:val="00E03FF1"/>
    <w:rsid w:val="00E06CB1"/>
    <w:rsid w:val="00E076FA"/>
    <w:rsid w:val="00E07DA1"/>
    <w:rsid w:val="00E10072"/>
    <w:rsid w:val="00E1325C"/>
    <w:rsid w:val="00E15322"/>
    <w:rsid w:val="00E15F58"/>
    <w:rsid w:val="00E16CCC"/>
    <w:rsid w:val="00E16F77"/>
    <w:rsid w:val="00E17022"/>
    <w:rsid w:val="00E1703B"/>
    <w:rsid w:val="00E21E0C"/>
    <w:rsid w:val="00E237AF"/>
    <w:rsid w:val="00E238E7"/>
    <w:rsid w:val="00E239DE"/>
    <w:rsid w:val="00E25B76"/>
    <w:rsid w:val="00E27FBC"/>
    <w:rsid w:val="00E307A4"/>
    <w:rsid w:val="00E30C0B"/>
    <w:rsid w:val="00E31625"/>
    <w:rsid w:val="00E31ECA"/>
    <w:rsid w:val="00E326A6"/>
    <w:rsid w:val="00E32AC1"/>
    <w:rsid w:val="00E32D2C"/>
    <w:rsid w:val="00E3333A"/>
    <w:rsid w:val="00E34020"/>
    <w:rsid w:val="00E34A70"/>
    <w:rsid w:val="00E3588F"/>
    <w:rsid w:val="00E366D5"/>
    <w:rsid w:val="00E37295"/>
    <w:rsid w:val="00E3744E"/>
    <w:rsid w:val="00E37685"/>
    <w:rsid w:val="00E40335"/>
    <w:rsid w:val="00E41C17"/>
    <w:rsid w:val="00E41D7D"/>
    <w:rsid w:val="00E41F89"/>
    <w:rsid w:val="00E45565"/>
    <w:rsid w:val="00E465A3"/>
    <w:rsid w:val="00E47D21"/>
    <w:rsid w:val="00E51C72"/>
    <w:rsid w:val="00E51DC4"/>
    <w:rsid w:val="00E52EA0"/>
    <w:rsid w:val="00E53441"/>
    <w:rsid w:val="00E53876"/>
    <w:rsid w:val="00E53996"/>
    <w:rsid w:val="00E557BD"/>
    <w:rsid w:val="00E55A0D"/>
    <w:rsid w:val="00E55C1C"/>
    <w:rsid w:val="00E5715E"/>
    <w:rsid w:val="00E62B91"/>
    <w:rsid w:val="00E64CA4"/>
    <w:rsid w:val="00E66B2C"/>
    <w:rsid w:val="00E67C59"/>
    <w:rsid w:val="00E7005E"/>
    <w:rsid w:val="00E70F31"/>
    <w:rsid w:val="00E73BA8"/>
    <w:rsid w:val="00E74501"/>
    <w:rsid w:val="00E7466F"/>
    <w:rsid w:val="00E74C32"/>
    <w:rsid w:val="00E760BC"/>
    <w:rsid w:val="00E77AF2"/>
    <w:rsid w:val="00E77E2F"/>
    <w:rsid w:val="00E8019B"/>
    <w:rsid w:val="00E82B4D"/>
    <w:rsid w:val="00E830D4"/>
    <w:rsid w:val="00E833B4"/>
    <w:rsid w:val="00E83668"/>
    <w:rsid w:val="00E84C08"/>
    <w:rsid w:val="00E851D2"/>
    <w:rsid w:val="00E86193"/>
    <w:rsid w:val="00E86CD9"/>
    <w:rsid w:val="00E8704E"/>
    <w:rsid w:val="00E90FEE"/>
    <w:rsid w:val="00E9157D"/>
    <w:rsid w:val="00E949DE"/>
    <w:rsid w:val="00E94EE6"/>
    <w:rsid w:val="00E96604"/>
    <w:rsid w:val="00E96C4F"/>
    <w:rsid w:val="00EA1036"/>
    <w:rsid w:val="00EA1436"/>
    <w:rsid w:val="00EA3239"/>
    <w:rsid w:val="00EA39B3"/>
    <w:rsid w:val="00EA3CAD"/>
    <w:rsid w:val="00EA45BE"/>
    <w:rsid w:val="00EA4C68"/>
    <w:rsid w:val="00EA50AF"/>
    <w:rsid w:val="00EA50D2"/>
    <w:rsid w:val="00EA5205"/>
    <w:rsid w:val="00EA5A8D"/>
    <w:rsid w:val="00EA6F86"/>
    <w:rsid w:val="00EA7184"/>
    <w:rsid w:val="00EA7B2F"/>
    <w:rsid w:val="00EB168A"/>
    <w:rsid w:val="00EB1F8F"/>
    <w:rsid w:val="00EB3777"/>
    <w:rsid w:val="00EB45F8"/>
    <w:rsid w:val="00EB5BB5"/>
    <w:rsid w:val="00EB5D19"/>
    <w:rsid w:val="00EB7509"/>
    <w:rsid w:val="00EC0040"/>
    <w:rsid w:val="00EC014E"/>
    <w:rsid w:val="00EC19FB"/>
    <w:rsid w:val="00EC2EEA"/>
    <w:rsid w:val="00EC4CD8"/>
    <w:rsid w:val="00EC4EFD"/>
    <w:rsid w:val="00EC5A3F"/>
    <w:rsid w:val="00EC6DE5"/>
    <w:rsid w:val="00EC74DB"/>
    <w:rsid w:val="00EC7BCD"/>
    <w:rsid w:val="00ED1CB5"/>
    <w:rsid w:val="00ED2C01"/>
    <w:rsid w:val="00ED2C57"/>
    <w:rsid w:val="00ED738B"/>
    <w:rsid w:val="00EE04D8"/>
    <w:rsid w:val="00EE1004"/>
    <w:rsid w:val="00EE220B"/>
    <w:rsid w:val="00EE2498"/>
    <w:rsid w:val="00EE3ADA"/>
    <w:rsid w:val="00EE3B7C"/>
    <w:rsid w:val="00EE3BC5"/>
    <w:rsid w:val="00EE4C5E"/>
    <w:rsid w:val="00EE536D"/>
    <w:rsid w:val="00EE55D1"/>
    <w:rsid w:val="00EE5FB0"/>
    <w:rsid w:val="00EE66D5"/>
    <w:rsid w:val="00EE7E6B"/>
    <w:rsid w:val="00EF25E3"/>
    <w:rsid w:val="00EF2820"/>
    <w:rsid w:val="00EF3F9E"/>
    <w:rsid w:val="00EF4381"/>
    <w:rsid w:val="00EF49BD"/>
    <w:rsid w:val="00EF5C88"/>
    <w:rsid w:val="00EF76F5"/>
    <w:rsid w:val="00F0002C"/>
    <w:rsid w:val="00F00772"/>
    <w:rsid w:val="00F01782"/>
    <w:rsid w:val="00F01A2E"/>
    <w:rsid w:val="00F051E1"/>
    <w:rsid w:val="00F0549E"/>
    <w:rsid w:val="00F0566D"/>
    <w:rsid w:val="00F0700E"/>
    <w:rsid w:val="00F102C6"/>
    <w:rsid w:val="00F10891"/>
    <w:rsid w:val="00F1427D"/>
    <w:rsid w:val="00F14B48"/>
    <w:rsid w:val="00F159D1"/>
    <w:rsid w:val="00F1674D"/>
    <w:rsid w:val="00F16F9B"/>
    <w:rsid w:val="00F17090"/>
    <w:rsid w:val="00F202EE"/>
    <w:rsid w:val="00F229D7"/>
    <w:rsid w:val="00F23CF3"/>
    <w:rsid w:val="00F26B77"/>
    <w:rsid w:val="00F26C4C"/>
    <w:rsid w:val="00F26EA2"/>
    <w:rsid w:val="00F27B1A"/>
    <w:rsid w:val="00F32FDE"/>
    <w:rsid w:val="00F35E08"/>
    <w:rsid w:val="00F363AC"/>
    <w:rsid w:val="00F364B4"/>
    <w:rsid w:val="00F37D8D"/>
    <w:rsid w:val="00F401EE"/>
    <w:rsid w:val="00F44A20"/>
    <w:rsid w:val="00F455B0"/>
    <w:rsid w:val="00F476EA"/>
    <w:rsid w:val="00F47D41"/>
    <w:rsid w:val="00F51474"/>
    <w:rsid w:val="00F5264C"/>
    <w:rsid w:val="00F53E47"/>
    <w:rsid w:val="00F54EBE"/>
    <w:rsid w:val="00F55566"/>
    <w:rsid w:val="00F55C33"/>
    <w:rsid w:val="00F622D3"/>
    <w:rsid w:val="00F636E6"/>
    <w:rsid w:val="00F647D2"/>
    <w:rsid w:val="00F654D5"/>
    <w:rsid w:val="00F66755"/>
    <w:rsid w:val="00F70077"/>
    <w:rsid w:val="00F70EC4"/>
    <w:rsid w:val="00F71ACF"/>
    <w:rsid w:val="00F71E64"/>
    <w:rsid w:val="00F752D9"/>
    <w:rsid w:val="00F760A9"/>
    <w:rsid w:val="00F764A4"/>
    <w:rsid w:val="00F76965"/>
    <w:rsid w:val="00F771BF"/>
    <w:rsid w:val="00F80462"/>
    <w:rsid w:val="00F8066E"/>
    <w:rsid w:val="00F80F44"/>
    <w:rsid w:val="00F811E0"/>
    <w:rsid w:val="00F82BD7"/>
    <w:rsid w:val="00F82EB6"/>
    <w:rsid w:val="00F83BAC"/>
    <w:rsid w:val="00F86184"/>
    <w:rsid w:val="00F86BB7"/>
    <w:rsid w:val="00F9040D"/>
    <w:rsid w:val="00F92702"/>
    <w:rsid w:val="00F92952"/>
    <w:rsid w:val="00F93053"/>
    <w:rsid w:val="00F931E9"/>
    <w:rsid w:val="00F93CDB"/>
    <w:rsid w:val="00F93E94"/>
    <w:rsid w:val="00F95685"/>
    <w:rsid w:val="00F95834"/>
    <w:rsid w:val="00FA04A1"/>
    <w:rsid w:val="00FA0A5B"/>
    <w:rsid w:val="00FA345C"/>
    <w:rsid w:val="00FA34AE"/>
    <w:rsid w:val="00FA35F2"/>
    <w:rsid w:val="00FA5128"/>
    <w:rsid w:val="00FA51D1"/>
    <w:rsid w:val="00FA62C8"/>
    <w:rsid w:val="00FA7997"/>
    <w:rsid w:val="00FB34E4"/>
    <w:rsid w:val="00FB3646"/>
    <w:rsid w:val="00FB699A"/>
    <w:rsid w:val="00FB7167"/>
    <w:rsid w:val="00FB75BD"/>
    <w:rsid w:val="00FB7805"/>
    <w:rsid w:val="00FC0150"/>
    <w:rsid w:val="00FC07D0"/>
    <w:rsid w:val="00FC0D3C"/>
    <w:rsid w:val="00FC37E2"/>
    <w:rsid w:val="00FC48C6"/>
    <w:rsid w:val="00FC5C13"/>
    <w:rsid w:val="00FC6DB3"/>
    <w:rsid w:val="00FD07D1"/>
    <w:rsid w:val="00FD0E4E"/>
    <w:rsid w:val="00FD0F66"/>
    <w:rsid w:val="00FD6C74"/>
    <w:rsid w:val="00FE145B"/>
    <w:rsid w:val="00FE1BE5"/>
    <w:rsid w:val="00FE257E"/>
    <w:rsid w:val="00FE29A8"/>
    <w:rsid w:val="00FE2E52"/>
    <w:rsid w:val="00FE441F"/>
    <w:rsid w:val="00FE477C"/>
    <w:rsid w:val="00FE5E63"/>
    <w:rsid w:val="00FE5F82"/>
    <w:rsid w:val="00FE64F5"/>
    <w:rsid w:val="00FE7B5E"/>
    <w:rsid w:val="00FF02CD"/>
    <w:rsid w:val="00FF0384"/>
    <w:rsid w:val="00FF0C54"/>
    <w:rsid w:val="00FF19F6"/>
    <w:rsid w:val="00FF2D4F"/>
    <w:rsid w:val="00FF341B"/>
    <w:rsid w:val="00FF3B03"/>
    <w:rsid w:val="00FF46BE"/>
    <w:rsid w:val="00FF5633"/>
    <w:rsid w:val="00FF65A4"/>
    <w:rsid w:val="00FF6770"/>
    <w:rsid w:val="00FF7022"/>
    <w:rsid w:val="00FF70C9"/>
    <w:rsid w:val="00FF76EC"/>
    <w:rsid w:val="0382642F"/>
    <w:rsid w:val="0800573B"/>
    <w:rsid w:val="0A739A26"/>
    <w:rsid w:val="0A8D58C1"/>
    <w:rsid w:val="0ECE347F"/>
    <w:rsid w:val="0FA1E8DA"/>
    <w:rsid w:val="1087EC0A"/>
    <w:rsid w:val="12D9864E"/>
    <w:rsid w:val="12F4AD19"/>
    <w:rsid w:val="1368BB52"/>
    <w:rsid w:val="13D61C20"/>
    <w:rsid w:val="14273FDD"/>
    <w:rsid w:val="16B755BA"/>
    <w:rsid w:val="1867D28F"/>
    <w:rsid w:val="20FBAB4B"/>
    <w:rsid w:val="230C5934"/>
    <w:rsid w:val="23C0AE07"/>
    <w:rsid w:val="26632472"/>
    <w:rsid w:val="2817BF9A"/>
    <w:rsid w:val="29241BBD"/>
    <w:rsid w:val="29B2F7A8"/>
    <w:rsid w:val="2AED7BA9"/>
    <w:rsid w:val="2B9DEF4B"/>
    <w:rsid w:val="2BAE27C0"/>
    <w:rsid w:val="2C229B47"/>
    <w:rsid w:val="2E008675"/>
    <w:rsid w:val="2EBEE083"/>
    <w:rsid w:val="2F729A96"/>
    <w:rsid w:val="2F794437"/>
    <w:rsid w:val="2FC217E5"/>
    <w:rsid w:val="306EECD6"/>
    <w:rsid w:val="341648B9"/>
    <w:rsid w:val="344CD052"/>
    <w:rsid w:val="3A236ACD"/>
    <w:rsid w:val="403F5EFB"/>
    <w:rsid w:val="41767121"/>
    <w:rsid w:val="431A1008"/>
    <w:rsid w:val="4659708B"/>
    <w:rsid w:val="4791BCDF"/>
    <w:rsid w:val="47F540EC"/>
    <w:rsid w:val="4B8E5B93"/>
    <w:rsid w:val="4CE0738C"/>
    <w:rsid w:val="4D270BBE"/>
    <w:rsid w:val="4DCF86A6"/>
    <w:rsid w:val="5065D3E3"/>
    <w:rsid w:val="53C4C058"/>
    <w:rsid w:val="556090B9"/>
    <w:rsid w:val="55FFA08E"/>
    <w:rsid w:val="5C943BED"/>
    <w:rsid w:val="5D06C7DC"/>
    <w:rsid w:val="5DDD430D"/>
    <w:rsid w:val="5F697634"/>
    <w:rsid w:val="5F8E6D9D"/>
    <w:rsid w:val="60DC963B"/>
    <w:rsid w:val="620AA598"/>
    <w:rsid w:val="639163FC"/>
    <w:rsid w:val="63B09977"/>
    <w:rsid w:val="67D5FE99"/>
    <w:rsid w:val="681A82E0"/>
    <w:rsid w:val="69318F25"/>
    <w:rsid w:val="6C0E1C64"/>
    <w:rsid w:val="6C543482"/>
    <w:rsid w:val="6C6A2A94"/>
    <w:rsid w:val="6F4C698E"/>
    <w:rsid w:val="6F657972"/>
    <w:rsid w:val="7135CE80"/>
    <w:rsid w:val="7573AFF0"/>
    <w:rsid w:val="7690AC9D"/>
    <w:rsid w:val="769F9249"/>
    <w:rsid w:val="782334B3"/>
    <w:rsid w:val="787894E6"/>
    <w:rsid w:val="78B1DC77"/>
    <w:rsid w:val="79168BE2"/>
    <w:rsid w:val="7B94AD34"/>
    <w:rsid w:val="7F71895E"/>
    <w:rsid w:val="7F7CE1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B21A"/>
  <w15:chartTrackingRefBased/>
  <w15:docId w15:val="{62D9AB6F-B484-498A-AE6B-2A126E67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B0A"/>
  </w:style>
  <w:style w:type="paragraph" w:styleId="Heading1">
    <w:name w:val="heading 1"/>
    <w:basedOn w:val="Normal"/>
    <w:next w:val="Normal"/>
    <w:link w:val="Heading1Char"/>
    <w:uiPriority w:val="9"/>
    <w:qFormat/>
    <w:rsid w:val="005A222A"/>
    <w:pPr>
      <w:keepNext/>
      <w:keepLines/>
      <w:numPr>
        <w:numId w:val="5"/>
      </w:numPr>
      <w:spacing w:before="480" w:after="240" w:line="240" w:lineRule="auto"/>
      <w:ind w:left="431" w:hanging="431"/>
      <w:outlineLvl w:val="0"/>
    </w:pPr>
    <w:rPr>
      <w:rFonts w:ascii="Calibri" w:eastAsiaTheme="majorEastAsia" w:hAnsi="Calibri" w:cstheme="majorBidi"/>
      <w:b/>
      <w:caps/>
      <w:kern w:val="28"/>
      <w:sz w:val="48"/>
      <w:szCs w:val="32"/>
    </w:rPr>
  </w:style>
  <w:style w:type="paragraph" w:styleId="Heading2">
    <w:name w:val="heading 2"/>
    <w:basedOn w:val="Normal"/>
    <w:next w:val="Normal"/>
    <w:link w:val="Heading2Char"/>
    <w:uiPriority w:val="9"/>
    <w:unhideWhenUsed/>
    <w:qFormat/>
    <w:rsid w:val="005A222A"/>
    <w:pPr>
      <w:keepNext/>
      <w:keepLines/>
      <w:numPr>
        <w:ilvl w:val="1"/>
        <w:numId w:val="5"/>
      </w:numPr>
      <w:spacing w:before="360" w:after="180" w:line="240" w:lineRule="auto"/>
      <w:ind w:left="578" w:hanging="578"/>
      <w:outlineLvl w:val="1"/>
    </w:pPr>
    <w:rPr>
      <w:rFonts w:ascii="Calibri" w:eastAsiaTheme="majorEastAsia" w:hAnsi="Calibri" w:cstheme="majorBidi"/>
      <w:b/>
      <w:caps/>
      <w:color w:val="6E46E0"/>
      <w:sz w:val="32"/>
      <w:szCs w:val="26"/>
    </w:rPr>
  </w:style>
  <w:style w:type="paragraph" w:styleId="Heading3">
    <w:name w:val="heading 3"/>
    <w:basedOn w:val="Normal"/>
    <w:next w:val="Normal"/>
    <w:link w:val="Heading3Char"/>
    <w:autoRedefine/>
    <w:uiPriority w:val="9"/>
    <w:unhideWhenUsed/>
    <w:qFormat/>
    <w:rsid w:val="00B45949"/>
    <w:pPr>
      <w:keepNext/>
      <w:keepLines/>
      <w:spacing w:before="360" w:after="200" w:line="240" w:lineRule="auto"/>
      <w:outlineLvl w:val="2"/>
    </w:pPr>
    <w:rPr>
      <w:rFonts w:ascii="Calibri" w:eastAsiaTheme="majorEastAsia" w:hAnsi="Calibri" w:cstheme="majorBidi"/>
      <w:b/>
      <w:color w:val="999789"/>
      <w:sz w:val="32"/>
      <w:szCs w:val="24"/>
    </w:rPr>
  </w:style>
  <w:style w:type="paragraph" w:styleId="Heading4">
    <w:name w:val="heading 4"/>
    <w:basedOn w:val="Normal"/>
    <w:next w:val="Normal"/>
    <w:link w:val="Heading4Char"/>
    <w:uiPriority w:val="9"/>
    <w:unhideWhenUsed/>
    <w:qFormat/>
    <w:rsid w:val="005A222A"/>
    <w:pPr>
      <w:keepNext/>
      <w:keepLines/>
      <w:spacing w:before="240" w:after="180" w:line="240" w:lineRule="auto"/>
      <w:outlineLvl w:val="3"/>
    </w:pPr>
    <w:rPr>
      <w:rFonts w:ascii="Calibri" w:eastAsiaTheme="majorEastAsia" w:hAnsi="Calibri" w:cstheme="majorBidi"/>
      <w:b/>
      <w:iCs/>
      <w:color w:val="562C8C"/>
      <w:sz w:val="26"/>
    </w:rPr>
  </w:style>
  <w:style w:type="paragraph" w:styleId="Heading5">
    <w:name w:val="heading 5"/>
    <w:basedOn w:val="Normal"/>
    <w:next w:val="Normal"/>
    <w:link w:val="Heading5Char"/>
    <w:uiPriority w:val="9"/>
    <w:unhideWhenUsed/>
    <w:rsid w:val="00872559"/>
    <w:pPr>
      <w:keepNext/>
      <w:keepLines/>
      <w:spacing w:before="40" w:after="0"/>
      <w:outlineLvl w:val="4"/>
    </w:pPr>
    <w:rPr>
      <w:rFonts w:eastAsiaTheme="majorEastAsia" w:cstheme="majorBidi"/>
      <w:b/>
      <w:i/>
      <w:sz w:val="24"/>
    </w:rPr>
  </w:style>
  <w:style w:type="paragraph" w:styleId="Heading6">
    <w:name w:val="heading 6"/>
    <w:basedOn w:val="Normal"/>
    <w:next w:val="Normal"/>
    <w:link w:val="Heading6Char"/>
    <w:uiPriority w:val="9"/>
    <w:semiHidden/>
    <w:unhideWhenUsed/>
    <w:qFormat/>
    <w:rsid w:val="008E77B9"/>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E77B9"/>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E77B9"/>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77B9"/>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text">
    <w:name w:val="B_body_text"/>
    <w:basedOn w:val="Normal"/>
    <w:link w:val="BbodytextChar"/>
    <w:qFormat/>
    <w:rsid w:val="001B45B0"/>
    <w:pPr>
      <w:spacing w:before="120" w:after="120" w:line="240" w:lineRule="auto"/>
    </w:pPr>
    <w:rPr>
      <w:sz w:val="24"/>
    </w:rPr>
  </w:style>
  <w:style w:type="paragraph" w:customStyle="1" w:styleId="BBullet1">
    <w:name w:val="B_Bullet_1"/>
    <w:basedOn w:val="Bbodytext"/>
    <w:link w:val="BBullet1Char"/>
    <w:qFormat/>
    <w:rsid w:val="00E53996"/>
    <w:pPr>
      <w:numPr>
        <w:numId w:val="1"/>
      </w:numPr>
      <w:tabs>
        <w:tab w:val="left" w:pos="357"/>
      </w:tabs>
      <w:spacing w:before="0"/>
    </w:pPr>
  </w:style>
  <w:style w:type="character" w:customStyle="1" w:styleId="BbodytextChar">
    <w:name w:val="B_body_text Char"/>
    <w:basedOn w:val="DefaultParagraphFont"/>
    <w:link w:val="Bbodytext"/>
    <w:rsid w:val="001B45B0"/>
    <w:rPr>
      <w:sz w:val="24"/>
    </w:rPr>
  </w:style>
  <w:style w:type="paragraph" w:styleId="Header">
    <w:name w:val="header"/>
    <w:basedOn w:val="Normal"/>
    <w:link w:val="HeaderChar"/>
    <w:uiPriority w:val="99"/>
    <w:unhideWhenUsed/>
    <w:rsid w:val="00C339EF"/>
    <w:pPr>
      <w:tabs>
        <w:tab w:val="center" w:pos="4513"/>
        <w:tab w:val="right" w:pos="9026"/>
      </w:tabs>
      <w:spacing w:after="0" w:line="240" w:lineRule="auto"/>
    </w:pPr>
  </w:style>
  <w:style w:type="character" w:customStyle="1" w:styleId="BBullet1Char">
    <w:name w:val="B_Bullet_1 Char"/>
    <w:basedOn w:val="BbodytextChar"/>
    <w:link w:val="BBullet1"/>
    <w:rsid w:val="00E53996"/>
    <w:rPr>
      <w:sz w:val="24"/>
    </w:rPr>
  </w:style>
  <w:style w:type="character" w:customStyle="1" w:styleId="HeaderChar">
    <w:name w:val="Header Char"/>
    <w:basedOn w:val="DefaultParagraphFont"/>
    <w:link w:val="Header"/>
    <w:uiPriority w:val="99"/>
    <w:rsid w:val="00C339EF"/>
  </w:style>
  <w:style w:type="paragraph" w:styleId="Footer">
    <w:name w:val="footer"/>
    <w:basedOn w:val="Normal"/>
    <w:link w:val="FooterChar"/>
    <w:uiPriority w:val="99"/>
    <w:unhideWhenUsed/>
    <w:rsid w:val="00C3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EF"/>
  </w:style>
  <w:style w:type="paragraph" w:styleId="BalloonText">
    <w:name w:val="Balloon Text"/>
    <w:basedOn w:val="Normal"/>
    <w:link w:val="BalloonTextChar"/>
    <w:uiPriority w:val="99"/>
    <w:semiHidden/>
    <w:unhideWhenUsed/>
    <w:rsid w:val="00132947"/>
    <w:pPr>
      <w:spacing w:after="0" w:line="240" w:lineRule="auto"/>
    </w:pPr>
    <w:rPr>
      <w:rFonts w:ascii="Segoe UI" w:hAnsi="Segoe UI" w:cs="Segoe UI"/>
      <w:sz w:val="18"/>
      <w:szCs w:val="18"/>
    </w:rPr>
  </w:style>
  <w:style w:type="paragraph" w:customStyle="1" w:styleId="BFooter">
    <w:name w:val="B_Footer"/>
    <w:basedOn w:val="Footer"/>
    <w:link w:val="BFooterChar"/>
    <w:qFormat/>
    <w:rsid w:val="00936775"/>
    <w:pPr>
      <w:ind w:left="-284" w:right="-329"/>
    </w:pPr>
    <w:rPr>
      <w:i/>
      <w:sz w:val="20"/>
    </w:rPr>
  </w:style>
  <w:style w:type="character" w:customStyle="1" w:styleId="BalloonTextChar">
    <w:name w:val="Balloon Text Char"/>
    <w:basedOn w:val="DefaultParagraphFont"/>
    <w:link w:val="BalloonText"/>
    <w:uiPriority w:val="99"/>
    <w:semiHidden/>
    <w:rsid w:val="00132947"/>
    <w:rPr>
      <w:rFonts w:ascii="Segoe UI" w:hAnsi="Segoe UI" w:cs="Segoe UI"/>
      <w:sz w:val="18"/>
      <w:szCs w:val="18"/>
    </w:rPr>
  </w:style>
  <w:style w:type="character" w:customStyle="1" w:styleId="Heading1Char">
    <w:name w:val="Heading 1 Char"/>
    <w:basedOn w:val="DefaultParagraphFont"/>
    <w:link w:val="Heading1"/>
    <w:uiPriority w:val="9"/>
    <w:rsid w:val="005A222A"/>
    <w:rPr>
      <w:rFonts w:ascii="Calibri" w:eastAsiaTheme="majorEastAsia" w:hAnsi="Calibri" w:cstheme="majorBidi"/>
      <w:b/>
      <w:caps/>
      <w:kern w:val="28"/>
      <w:sz w:val="48"/>
      <w:szCs w:val="32"/>
    </w:rPr>
  </w:style>
  <w:style w:type="character" w:customStyle="1" w:styleId="BFooterChar">
    <w:name w:val="B_Footer Char"/>
    <w:basedOn w:val="FooterChar"/>
    <w:link w:val="BFooter"/>
    <w:rsid w:val="00936775"/>
    <w:rPr>
      <w:i/>
      <w:sz w:val="20"/>
    </w:rPr>
  </w:style>
  <w:style w:type="paragraph" w:customStyle="1" w:styleId="BBullet2">
    <w:name w:val="B_Bullet_2"/>
    <w:basedOn w:val="BBullet1"/>
    <w:link w:val="BBullet2Char"/>
    <w:qFormat/>
    <w:rsid w:val="00E53996"/>
    <w:pPr>
      <w:numPr>
        <w:numId w:val="2"/>
      </w:numPr>
    </w:pPr>
  </w:style>
  <w:style w:type="character" w:customStyle="1" w:styleId="BBullet2Char">
    <w:name w:val="B_Bullet_2 Char"/>
    <w:basedOn w:val="BBullet1Char"/>
    <w:link w:val="BBullet2"/>
    <w:rsid w:val="00E53996"/>
    <w:rPr>
      <w:sz w:val="24"/>
    </w:rPr>
  </w:style>
  <w:style w:type="character" w:customStyle="1" w:styleId="Heading2Char">
    <w:name w:val="Heading 2 Char"/>
    <w:basedOn w:val="DefaultParagraphFont"/>
    <w:link w:val="Heading2"/>
    <w:uiPriority w:val="9"/>
    <w:rsid w:val="005A222A"/>
    <w:rPr>
      <w:rFonts w:ascii="Calibri" w:eastAsiaTheme="majorEastAsia" w:hAnsi="Calibri" w:cstheme="majorBidi"/>
      <w:b/>
      <w:caps/>
      <w:color w:val="6E46E0"/>
      <w:sz w:val="32"/>
      <w:szCs w:val="26"/>
    </w:rPr>
  </w:style>
  <w:style w:type="character" w:customStyle="1" w:styleId="Heading3Char">
    <w:name w:val="Heading 3 Char"/>
    <w:basedOn w:val="DefaultParagraphFont"/>
    <w:link w:val="Heading3"/>
    <w:uiPriority w:val="9"/>
    <w:rsid w:val="00B45949"/>
    <w:rPr>
      <w:rFonts w:ascii="Calibri" w:eastAsiaTheme="majorEastAsia" w:hAnsi="Calibri" w:cstheme="majorBidi"/>
      <w:b/>
      <w:color w:val="999789"/>
      <w:sz w:val="32"/>
      <w:szCs w:val="24"/>
    </w:rPr>
  </w:style>
  <w:style w:type="character" w:customStyle="1" w:styleId="Heading4Char">
    <w:name w:val="Heading 4 Char"/>
    <w:basedOn w:val="DefaultParagraphFont"/>
    <w:link w:val="Heading4"/>
    <w:uiPriority w:val="9"/>
    <w:rsid w:val="005A222A"/>
    <w:rPr>
      <w:rFonts w:ascii="Calibri" w:eastAsiaTheme="majorEastAsia" w:hAnsi="Calibri" w:cstheme="majorBidi"/>
      <w:b/>
      <w:iCs/>
      <w:color w:val="562C8C"/>
      <w:sz w:val="26"/>
    </w:rPr>
  </w:style>
  <w:style w:type="paragraph" w:styleId="Caption">
    <w:name w:val="caption"/>
    <w:basedOn w:val="Normal"/>
    <w:next w:val="Normal"/>
    <w:uiPriority w:val="35"/>
    <w:unhideWhenUsed/>
    <w:qFormat/>
    <w:rsid w:val="00463B0A"/>
    <w:pPr>
      <w:keepNext/>
      <w:spacing w:before="240" w:after="120" w:line="240" w:lineRule="auto"/>
    </w:pPr>
    <w:rPr>
      <w:b/>
      <w:i/>
      <w:iCs/>
      <w:szCs w:val="18"/>
    </w:rPr>
  </w:style>
  <w:style w:type="paragraph" w:customStyle="1" w:styleId="BTableHeadingRowRightAligned">
    <w:name w:val="B_Table Heading Row Right Aligned"/>
    <w:basedOn w:val="Normal"/>
    <w:qFormat/>
    <w:rsid w:val="006925B5"/>
    <w:pPr>
      <w:spacing w:after="0" w:line="240" w:lineRule="auto"/>
      <w:ind w:left="227" w:hanging="227"/>
      <w:jc w:val="right"/>
    </w:pPr>
    <w:rPr>
      <w:rFonts w:ascii="Calibri" w:hAnsi="Calibri"/>
      <w:b/>
      <w:sz w:val="20"/>
    </w:rPr>
  </w:style>
  <w:style w:type="paragraph" w:customStyle="1" w:styleId="BTableHeadingRowCentreAligned">
    <w:name w:val="B_Table Heading Row Centre Aligned"/>
    <w:basedOn w:val="BTableHeadingRowRightAligned"/>
    <w:qFormat/>
    <w:rsid w:val="00EC74DB"/>
    <w:pPr>
      <w:jc w:val="center"/>
    </w:pPr>
  </w:style>
  <w:style w:type="paragraph" w:customStyle="1" w:styleId="Btabletextbold">
    <w:name w:val="B_table text bold"/>
    <w:basedOn w:val="Normal"/>
    <w:qFormat/>
    <w:rsid w:val="006925B5"/>
    <w:pPr>
      <w:spacing w:after="0" w:line="240" w:lineRule="auto"/>
      <w:ind w:left="227" w:hanging="227"/>
    </w:pPr>
    <w:rPr>
      <w:rFonts w:ascii="Calibri" w:hAnsi="Calibri"/>
      <w:b/>
      <w:sz w:val="20"/>
    </w:rPr>
  </w:style>
  <w:style w:type="paragraph" w:customStyle="1" w:styleId="Btabletextunbold">
    <w:name w:val="B_ table text unbold"/>
    <w:basedOn w:val="Btabletextbold"/>
    <w:qFormat/>
    <w:rsid w:val="006925B5"/>
    <w:rPr>
      <w:b w:val="0"/>
    </w:rPr>
  </w:style>
  <w:style w:type="paragraph" w:customStyle="1" w:styleId="Style1">
    <w:name w:val="Style1"/>
    <w:basedOn w:val="Btabletextunbold"/>
    <w:rsid w:val="00EC74DB"/>
  </w:style>
  <w:style w:type="paragraph" w:customStyle="1" w:styleId="Btablefigureunbold">
    <w:name w:val="B_table figure unbold"/>
    <w:basedOn w:val="Btabletextunbold"/>
    <w:qFormat/>
    <w:rsid w:val="006925B5"/>
    <w:pPr>
      <w:jc w:val="right"/>
    </w:pPr>
  </w:style>
  <w:style w:type="paragraph" w:customStyle="1" w:styleId="BNote">
    <w:name w:val="B_Note"/>
    <w:basedOn w:val="Normal"/>
    <w:qFormat/>
    <w:rsid w:val="006925B5"/>
    <w:pPr>
      <w:keepNext/>
      <w:spacing w:after="0" w:line="240" w:lineRule="auto"/>
    </w:pPr>
    <w:rPr>
      <w:rFonts w:ascii="Calibri" w:hAnsi="Calibri"/>
      <w:sz w:val="18"/>
    </w:rPr>
  </w:style>
  <w:style w:type="paragraph" w:customStyle="1" w:styleId="BNoteBold">
    <w:name w:val="B_Note Bold"/>
    <w:basedOn w:val="Normal"/>
    <w:qFormat/>
    <w:rsid w:val="006925B5"/>
    <w:pPr>
      <w:keepNext/>
      <w:spacing w:before="120" w:after="0" w:line="240" w:lineRule="auto"/>
    </w:pPr>
    <w:rPr>
      <w:rFonts w:ascii="Calibri" w:hAnsi="Calibri"/>
      <w:b/>
      <w:sz w:val="18"/>
    </w:rPr>
  </w:style>
  <w:style w:type="paragraph" w:customStyle="1" w:styleId="BNotelist">
    <w:name w:val="B_Note list"/>
    <w:basedOn w:val="BNoteBold"/>
    <w:qFormat/>
    <w:rsid w:val="006925B5"/>
    <w:pPr>
      <w:numPr>
        <w:numId w:val="3"/>
      </w:numPr>
      <w:spacing w:before="0"/>
    </w:pPr>
    <w:rPr>
      <w:b w:val="0"/>
    </w:rPr>
  </w:style>
  <w:style w:type="paragraph" w:styleId="IntenseQuote">
    <w:name w:val="Intense Quote"/>
    <w:basedOn w:val="Normal"/>
    <w:next w:val="Normal"/>
    <w:link w:val="IntenseQuoteChar"/>
    <w:uiPriority w:val="30"/>
    <w:rsid w:val="00E84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84C08"/>
    <w:rPr>
      <w:i/>
      <w:iCs/>
      <w:color w:val="4472C4" w:themeColor="accent1"/>
    </w:rPr>
  </w:style>
  <w:style w:type="paragraph" w:customStyle="1" w:styleId="BTablefigureBold">
    <w:name w:val="B_Table figure Bold"/>
    <w:basedOn w:val="Btablefigureunbold"/>
    <w:qFormat/>
    <w:rsid w:val="00B23F5E"/>
    <w:rPr>
      <w:b/>
    </w:rPr>
  </w:style>
  <w:style w:type="paragraph" w:customStyle="1" w:styleId="BCoversheetHeading1">
    <w:name w:val="B_Coversheet Heading 1"/>
    <w:basedOn w:val="Normal"/>
    <w:qFormat/>
    <w:rsid w:val="00F54EBE"/>
    <w:pPr>
      <w:spacing w:before="480" w:after="1080"/>
      <w:jc w:val="center"/>
    </w:pPr>
    <w:rPr>
      <w:rFonts w:ascii="Calibri" w:hAnsi="Calibri"/>
      <w:b/>
      <w:sz w:val="36"/>
    </w:rPr>
  </w:style>
  <w:style w:type="paragraph" w:customStyle="1" w:styleId="BCoversheetHeading2">
    <w:name w:val="B_Coversheet Heading 2"/>
    <w:basedOn w:val="BCoversheetHeading1"/>
    <w:qFormat/>
    <w:rsid w:val="00F54EBE"/>
    <w:pPr>
      <w:spacing w:before="240" w:after="480" w:line="240" w:lineRule="auto"/>
      <w:jc w:val="left"/>
    </w:pPr>
    <w:rPr>
      <w:sz w:val="28"/>
    </w:rPr>
  </w:style>
  <w:style w:type="character" w:customStyle="1" w:styleId="Heading5Char">
    <w:name w:val="Heading 5 Char"/>
    <w:basedOn w:val="DefaultParagraphFont"/>
    <w:link w:val="Heading5"/>
    <w:uiPriority w:val="9"/>
    <w:rsid w:val="00872559"/>
    <w:rPr>
      <w:rFonts w:eastAsiaTheme="majorEastAsia" w:cstheme="majorBidi"/>
      <w:b/>
      <w:i/>
      <w:sz w:val="24"/>
    </w:rPr>
  </w:style>
  <w:style w:type="paragraph" w:customStyle="1" w:styleId="Btabletextitalic">
    <w:name w:val="B_table text italic"/>
    <w:basedOn w:val="Btabletextunbold"/>
    <w:qFormat/>
    <w:rsid w:val="00F54EBE"/>
    <w:rPr>
      <w:i/>
    </w:rPr>
  </w:style>
  <w:style w:type="paragraph" w:customStyle="1" w:styleId="Btabletextbolditalic">
    <w:name w:val="B_table text bold italic"/>
    <w:basedOn w:val="Btabletextunbold"/>
    <w:qFormat/>
    <w:rsid w:val="00F54EBE"/>
    <w:rPr>
      <w:b/>
      <w:i/>
    </w:rPr>
  </w:style>
  <w:style w:type="character" w:customStyle="1" w:styleId="Heading6Char">
    <w:name w:val="Heading 6 Char"/>
    <w:basedOn w:val="DefaultParagraphFont"/>
    <w:link w:val="Heading6"/>
    <w:uiPriority w:val="9"/>
    <w:semiHidden/>
    <w:rsid w:val="008E7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E7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E7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77B9"/>
    <w:rPr>
      <w:rFonts w:asciiTheme="majorHAnsi" w:eastAsiaTheme="majorEastAsia" w:hAnsiTheme="majorHAnsi" w:cstheme="majorBidi"/>
      <w:i/>
      <w:iCs/>
      <w:color w:val="272727" w:themeColor="text1" w:themeTint="D8"/>
      <w:sz w:val="21"/>
      <w:szCs w:val="21"/>
    </w:rPr>
  </w:style>
  <w:style w:type="paragraph" w:customStyle="1" w:styleId="Emptycell">
    <w:name w:val="Empty cell"/>
    <w:basedOn w:val="Bbodytext"/>
    <w:qFormat/>
    <w:rsid w:val="004635D4"/>
    <w:pPr>
      <w:numPr>
        <w:numId w:val="4"/>
      </w:numPr>
    </w:pPr>
    <w:rPr>
      <w:color w:val="FFFFFF" w:themeColor="background1"/>
      <w:sz w:val="16"/>
    </w:rPr>
  </w:style>
  <w:style w:type="paragraph" w:styleId="TOC1">
    <w:name w:val="toc 1"/>
    <w:basedOn w:val="Normal"/>
    <w:next w:val="Normal"/>
    <w:autoRedefine/>
    <w:uiPriority w:val="39"/>
    <w:unhideWhenUsed/>
    <w:rsid w:val="00C67211"/>
    <w:pPr>
      <w:tabs>
        <w:tab w:val="right" w:leader="dot" w:pos="9016"/>
      </w:tabs>
      <w:spacing w:before="120" w:after="120"/>
    </w:pPr>
    <w:rPr>
      <w:b/>
      <w:bCs/>
      <w:caps/>
      <w:sz w:val="20"/>
      <w:szCs w:val="20"/>
    </w:rPr>
  </w:style>
  <w:style w:type="paragraph" w:styleId="TOC2">
    <w:name w:val="toc 2"/>
    <w:basedOn w:val="Normal"/>
    <w:next w:val="Normal"/>
    <w:autoRedefine/>
    <w:uiPriority w:val="39"/>
    <w:unhideWhenUsed/>
    <w:rsid w:val="00D56F72"/>
    <w:pPr>
      <w:spacing w:after="0"/>
      <w:ind w:left="220"/>
    </w:pPr>
    <w:rPr>
      <w:smallCaps/>
      <w:sz w:val="20"/>
      <w:szCs w:val="20"/>
    </w:rPr>
  </w:style>
  <w:style w:type="paragraph" w:styleId="TOC3">
    <w:name w:val="toc 3"/>
    <w:basedOn w:val="Normal"/>
    <w:next w:val="Normal"/>
    <w:autoRedefine/>
    <w:uiPriority w:val="39"/>
    <w:unhideWhenUsed/>
    <w:rsid w:val="00D56F72"/>
    <w:pPr>
      <w:spacing w:after="0"/>
      <w:ind w:left="440"/>
    </w:pPr>
    <w:rPr>
      <w:i/>
      <w:iCs/>
      <w:sz w:val="20"/>
      <w:szCs w:val="20"/>
    </w:rPr>
  </w:style>
  <w:style w:type="paragraph" w:styleId="TOC4">
    <w:name w:val="toc 4"/>
    <w:basedOn w:val="Normal"/>
    <w:next w:val="Normal"/>
    <w:autoRedefine/>
    <w:uiPriority w:val="39"/>
    <w:unhideWhenUsed/>
    <w:rsid w:val="00D56F72"/>
    <w:pPr>
      <w:spacing w:after="0"/>
      <w:ind w:left="660"/>
    </w:pPr>
    <w:rPr>
      <w:sz w:val="18"/>
      <w:szCs w:val="18"/>
    </w:rPr>
  </w:style>
  <w:style w:type="paragraph" w:styleId="TOC5">
    <w:name w:val="toc 5"/>
    <w:basedOn w:val="Normal"/>
    <w:next w:val="Normal"/>
    <w:autoRedefine/>
    <w:uiPriority w:val="39"/>
    <w:unhideWhenUsed/>
    <w:rsid w:val="00D56F72"/>
    <w:pPr>
      <w:spacing w:after="0"/>
      <w:ind w:left="880"/>
    </w:pPr>
    <w:rPr>
      <w:sz w:val="18"/>
      <w:szCs w:val="18"/>
    </w:rPr>
  </w:style>
  <w:style w:type="paragraph" w:styleId="TOC6">
    <w:name w:val="toc 6"/>
    <w:basedOn w:val="Normal"/>
    <w:next w:val="Normal"/>
    <w:autoRedefine/>
    <w:uiPriority w:val="39"/>
    <w:unhideWhenUsed/>
    <w:rsid w:val="00D56F72"/>
    <w:pPr>
      <w:spacing w:after="0"/>
      <w:ind w:left="1100"/>
    </w:pPr>
    <w:rPr>
      <w:sz w:val="18"/>
      <w:szCs w:val="18"/>
    </w:rPr>
  </w:style>
  <w:style w:type="paragraph" w:styleId="TOC7">
    <w:name w:val="toc 7"/>
    <w:basedOn w:val="Normal"/>
    <w:next w:val="Normal"/>
    <w:autoRedefine/>
    <w:uiPriority w:val="39"/>
    <w:unhideWhenUsed/>
    <w:rsid w:val="00D56F72"/>
    <w:pPr>
      <w:spacing w:after="0"/>
      <w:ind w:left="1320"/>
    </w:pPr>
    <w:rPr>
      <w:sz w:val="18"/>
      <w:szCs w:val="18"/>
    </w:rPr>
  </w:style>
  <w:style w:type="paragraph" w:styleId="TOC8">
    <w:name w:val="toc 8"/>
    <w:basedOn w:val="Normal"/>
    <w:next w:val="Normal"/>
    <w:autoRedefine/>
    <w:uiPriority w:val="39"/>
    <w:unhideWhenUsed/>
    <w:rsid w:val="00D56F72"/>
    <w:pPr>
      <w:spacing w:after="0"/>
      <w:ind w:left="1540"/>
    </w:pPr>
    <w:rPr>
      <w:sz w:val="18"/>
      <w:szCs w:val="18"/>
    </w:rPr>
  </w:style>
  <w:style w:type="paragraph" w:styleId="TOC9">
    <w:name w:val="toc 9"/>
    <w:basedOn w:val="Normal"/>
    <w:next w:val="Normal"/>
    <w:autoRedefine/>
    <w:uiPriority w:val="39"/>
    <w:unhideWhenUsed/>
    <w:rsid w:val="00D56F72"/>
    <w:pPr>
      <w:spacing w:after="0"/>
      <w:ind w:left="1760"/>
    </w:pPr>
    <w:rPr>
      <w:sz w:val="18"/>
      <w:szCs w:val="18"/>
    </w:rPr>
  </w:style>
  <w:style w:type="paragraph" w:customStyle="1" w:styleId="BulletPt1">
    <w:name w:val="Bullet Pt 1"/>
    <w:basedOn w:val="BodyTextIndent2"/>
    <w:qFormat/>
    <w:rsid w:val="00D56F72"/>
    <w:pPr>
      <w:keepNext/>
      <w:keepLines/>
      <w:numPr>
        <w:numId w:val="6"/>
      </w:numPr>
      <w:tabs>
        <w:tab w:val="clear" w:pos="717"/>
        <w:tab w:val="num" w:pos="360"/>
        <w:tab w:val="num" w:pos="426"/>
      </w:tabs>
      <w:spacing w:before="200" w:line="240" w:lineRule="auto"/>
      <w:ind w:left="426" w:hanging="426"/>
    </w:pPr>
    <w:rPr>
      <w:rFonts w:ascii="Calibri" w:eastAsia="Times New Roman" w:hAnsi="Calibri" w:cs="Times New Roman"/>
      <w:sz w:val="24"/>
      <w:szCs w:val="20"/>
      <w:lang w:val="x-none"/>
    </w:rPr>
  </w:style>
  <w:style w:type="paragraph" w:styleId="BodyTextIndent2">
    <w:name w:val="Body Text Indent 2"/>
    <w:basedOn w:val="Normal"/>
    <w:link w:val="BodyTextIndent2Char"/>
    <w:unhideWhenUsed/>
    <w:rsid w:val="00D56F72"/>
    <w:pPr>
      <w:spacing w:after="120" w:line="480" w:lineRule="auto"/>
      <w:ind w:left="283"/>
    </w:pPr>
  </w:style>
  <w:style w:type="character" w:customStyle="1" w:styleId="BodyTextIndent2Char">
    <w:name w:val="Body Text Indent 2 Char"/>
    <w:basedOn w:val="DefaultParagraphFont"/>
    <w:link w:val="BodyTextIndent2"/>
    <w:uiPriority w:val="99"/>
    <w:semiHidden/>
    <w:rsid w:val="00D56F72"/>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AF285B"/>
    <w:pPr>
      <w:spacing w:before="200" w:after="200" w:line="240" w:lineRule="auto"/>
      <w:ind w:left="720"/>
      <w:contextualSpacing/>
    </w:pPr>
    <w:rPr>
      <w:rFonts w:ascii="Calibri" w:eastAsia="Times New Roman" w:hAnsi="Calibri" w:cs="Times New Roman"/>
      <w:sz w:val="24"/>
      <w:szCs w:val="20"/>
      <w:lang w:val="x-none" w:eastAsia="x-non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rsid w:val="00AF285B"/>
    <w:rPr>
      <w:rFonts w:ascii="Calibri" w:eastAsia="Times New Roman" w:hAnsi="Calibri" w:cs="Times New Roman"/>
      <w:sz w:val="24"/>
      <w:szCs w:val="20"/>
      <w:lang w:val="x-none" w:eastAsia="x-none"/>
    </w:rPr>
  </w:style>
  <w:style w:type="paragraph" w:customStyle="1" w:styleId="tabletextunbold">
    <w:name w:val="table text unbold"/>
    <w:basedOn w:val="Normal"/>
    <w:qFormat/>
    <w:rsid w:val="00AF285B"/>
    <w:pPr>
      <w:spacing w:after="0" w:line="240" w:lineRule="auto"/>
      <w:ind w:left="227" w:hanging="227"/>
    </w:pPr>
    <w:rPr>
      <w:rFonts w:ascii="Calibri" w:eastAsia="Times New Roman" w:hAnsi="Calibri" w:cs="Times New Roman"/>
      <w:bCs/>
      <w:sz w:val="20"/>
      <w:szCs w:val="20"/>
      <w:lang w:val="x-none"/>
    </w:rPr>
  </w:style>
  <w:style w:type="paragraph" w:styleId="NoSpacing">
    <w:name w:val="No Spacing"/>
    <w:uiPriority w:val="1"/>
    <w:rsid w:val="00C920DF"/>
    <w:pPr>
      <w:spacing w:after="0" w:line="240" w:lineRule="auto"/>
    </w:pPr>
  </w:style>
  <w:style w:type="paragraph" w:customStyle="1" w:styleId="AITableText">
    <w:name w:val="AI Table Text"/>
    <w:basedOn w:val="Normal"/>
    <w:link w:val="AITableTextChar"/>
    <w:rsid w:val="00581CB3"/>
    <w:pPr>
      <w:spacing w:before="200" w:after="200" w:line="240" w:lineRule="auto"/>
      <w:jc w:val="right"/>
    </w:pPr>
    <w:rPr>
      <w:rFonts w:ascii="Calibri" w:eastAsia="Times New Roman" w:hAnsi="Calibri" w:cs="Times New Roman"/>
      <w:sz w:val="20"/>
      <w:szCs w:val="24"/>
      <w:lang w:val="x-none" w:eastAsia="x-none"/>
    </w:rPr>
  </w:style>
  <w:style w:type="character" w:customStyle="1" w:styleId="AITableTextChar">
    <w:name w:val="AI Table Text Char"/>
    <w:link w:val="AITableText"/>
    <w:rsid w:val="00581CB3"/>
    <w:rPr>
      <w:rFonts w:ascii="Calibri" w:eastAsia="Times New Roman" w:hAnsi="Calibri" w:cs="Times New Roman"/>
      <w:sz w:val="20"/>
      <w:szCs w:val="24"/>
      <w:lang w:val="x-none" w:eastAsia="x-none"/>
    </w:rPr>
  </w:style>
  <w:style w:type="paragraph" w:customStyle="1" w:styleId="TableTextHeading1">
    <w:name w:val="Table Text Heading 1"/>
    <w:basedOn w:val="Normal"/>
    <w:rsid w:val="00581CB3"/>
    <w:pPr>
      <w:spacing w:before="200" w:after="200" w:line="240" w:lineRule="auto"/>
      <w:jc w:val="right"/>
    </w:pPr>
    <w:rPr>
      <w:rFonts w:ascii="Calibri" w:eastAsia="Times New Roman" w:hAnsi="Calibri" w:cs="Times New Roman"/>
      <w:b/>
      <w:sz w:val="18"/>
      <w:szCs w:val="24"/>
    </w:rPr>
  </w:style>
  <w:style w:type="character" w:styleId="CommentReference">
    <w:name w:val="annotation reference"/>
    <w:basedOn w:val="DefaultParagraphFont"/>
    <w:uiPriority w:val="99"/>
    <w:semiHidden/>
    <w:unhideWhenUsed/>
    <w:rsid w:val="00581CB3"/>
    <w:rPr>
      <w:sz w:val="16"/>
      <w:szCs w:val="16"/>
    </w:rPr>
  </w:style>
  <w:style w:type="paragraph" w:styleId="CommentText">
    <w:name w:val="annotation text"/>
    <w:basedOn w:val="Normal"/>
    <w:link w:val="CommentTextChar"/>
    <w:uiPriority w:val="99"/>
    <w:unhideWhenUsed/>
    <w:rsid w:val="00581CB3"/>
    <w:pPr>
      <w:spacing w:line="240" w:lineRule="auto"/>
    </w:pPr>
    <w:rPr>
      <w:sz w:val="20"/>
      <w:szCs w:val="20"/>
    </w:rPr>
  </w:style>
  <w:style w:type="character" w:customStyle="1" w:styleId="CommentTextChar">
    <w:name w:val="Comment Text Char"/>
    <w:basedOn w:val="DefaultParagraphFont"/>
    <w:link w:val="CommentText"/>
    <w:uiPriority w:val="99"/>
    <w:rsid w:val="00581CB3"/>
    <w:rPr>
      <w:sz w:val="20"/>
      <w:szCs w:val="20"/>
    </w:rPr>
  </w:style>
  <w:style w:type="paragraph" w:styleId="CommentSubject">
    <w:name w:val="annotation subject"/>
    <w:basedOn w:val="CommentText"/>
    <w:next w:val="CommentText"/>
    <w:link w:val="CommentSubjectChar"/>
    <w:uiPriority w:val="99"/>
    <w:semiHidden/>
    <w:unhideWhenUsed/>
    <w:rsid w:val="00581CB3"/>
    <w:rPr>
      <w:b/>
      <w:bCs/>
    </w:rPr>
  </w:style>
  <w:style w:type="character" w:customStyle="1" w:styleId="CommentSubjectChar">
    <w:name w:val="Comment Subject Char"/>
    <w:basedOn w:val="CommentTextChar"/>
    <w:link w:val="CommentSubject"/>
    <w:uiPriority w:val="99"/>
    <w:semiHidden/>
    <w:rsid w:val="00581CB3"/>
    <w:rPr>
      <w:b/>
      <w:bCs/>
      <w:sz w:val="20"/>
      <w:szCs w:val="20"/>
    </w:rPr>
  </w:style>
  <w:style w:type="paragraph" w:styleId="BodyText">
    <w:name w:val="Body Text"/>
    <w:basedOn w:val="Normal"/>
    <w:link w:val="BodyTextChar"/>
    <w:uiPriority w:val="99"/>
    <w:semiHidden/>
    <w:unhideWhenUsed/>
    <w:rsid w:val="005A0C03"/>
    <w:pPr>
      <w:spacing w:after="120"/>
    </w:pPr>
  </w:style>
  <w:style w:type="character" w:customStyle="1" w:styleId="BodyTextChar">
    <w:name w:val="Body Text Char"/>
    <w:basedOn w:val="DefaultParagraphFont"/>
    <w:link w:val="BodyText"/>
    <w:rsid w:val="005A0C03"/>
  </w:style>
  <w:style w:type="paragraph" w:customStyle="1" w:styleId="Sub-Heading">
    <w:name w:val="Sub-Heading"/>
    <w:basedOn w:val="Normal"/>
    <w:next w:val="BodyText"/>
    <w:rsid w:val="005A0C03"/>
    <w:pPr>
      <w:keepNext/>
      <w:spacing w:before="240" w:after="120" w:line="240" w:lineRule="auto"/>
      <w:outlineLvl w:val="0"/>
    </w:pPr>
    <w:rPr>
      <w:rFonts w:ascii="Arial" w:eastAsia="Times New Roman" w:hAnsi="Arial" w:cs="Times New Roman"/>
      <w:i/>
      <w:sz w:val="24"/>
      <w:szCs w:val="20"/>
    </w:rPr>
  </w:style>
  <w:style w:type="paragraph" w:styleId="PlainText">
    <w:name w:val="Plain Text"/>
    <w:basedOn w:val="Normal"/>
    <w:link w:val="PlainTextChar"/>
    <w:rsid w:val="005A0C03"/>
    <w:pPr>
      <w:spacing w:before="200" w:after="200" w:line="240" w:lineRule="auto"/>
    </w:pPr>
    <w:rPr>
      <w:rFonts w:ascii="Calibri" w:eastAsia="Times New Roman" w:hAnsi="Calibri" w:cs="Times New Roman"/>
      <w:sz w:val="20"/>
      <w:szCs w:val="20"/>
      <w:lang w:val="en-US" w:eastAsia="x-none"/>
    </w:rPr>
  </w:style>
  <w:style w:type="character" w:customStyle="1" w:styleId="PlainTextChar">
    <w:name w:val="Plain Text Char"/>
    <w:basedOn w:val="DefaultParagraphFont"/>
    <w:link w:val="PlainText"/>
    <w:rsid w:val="005A0C03"/>
    <w:rPr>
      <w:rFonts w:ascii="Calibri" w:eastAsia="Times New Roman" w:hAnsi="Calibri" w:cs="Times New Roman"/>
      <w:sz w:val="20"/>
      <w:szCs w:val="20"/>
      <w:lang w:val="en-US" w:eastAsia="x-none"/>
    </w:rPr>
  </w:style>
  <w:style w:type="character" w:styleId="Strong">
    <w:name w:val="Strong"/>
    <w:qFormat/>
    <w:rsid w:val="005A0C03"/>
    <w:rPr>
      <w:b/>
      <w:bCs/>
    </w:rPr>
  </w:style>
  <w:style w:type="paragraph" w:customStyle="1" w:styleId="BStablefigures">
    <w:name w:val="BS_table figures"/>
    <w:basedOn w:val="BStabletext"/>
    <w:link w:val="BStablefiguresChar"/>
    <w:autoRedefine/>
    <w:qFormat/>
    <w:rsid w:val="005A0C03"/>
    <w:pPr>
      <w:jc w:val="right"/>
    </w:pPr>
    <w:rPr>
      <w:bCs/>
    </w:rPr>
  </w:style>
  <w:style w:type="paragraph" w:customStyle="1" w:styleId="BStabletext">
    <w:name w:val="BS_table text"/>
    <w:basedOn w:val="Normal"/>
    <w:link w:val="BStabletextChar"/>
    <w:autoRedefine/>
    <w:qFormat/>
    <w:rsid w:val="002910BE"/>
    <w:pPr>
      <w:keepNext/>
      <w:keepLines/>
      <w:spacing w:after="0" w:line="240" w:lineRule="auto"/>
      <w:ind w:left="227" w:hanging="227"/>
    </w:pPr>
    <w:rPr>
      <w:rFonts w:ascii="Calibri" w:eastAsia="Times New Roman" w:hAnsi="Calibri" w:cs="Times New Roman"/>
      <w:b/>
      <w:sz w:val="20"/>
      <w:szCs w:val="20"/>
      <w:lang w:eastAsia="en-AU"/>
    </w:rPr>
  </w:style>
  <w:style w:type="character" w:customStyle="1" w:styleId="BStablefiguresChar">
    <w:name w:val="BS_table figures Char"/>
    <w:link w:val="BStablefigures"/>
    <w:rsid w:val="005A0C03"/>
    <w:rPr>
      <w:rFonts w:ascii="Calibri" w:eastAsia="Times New Roman" w:hAnsi="Calibri" w:cs="Times New Roman"/>
      <w:sz w:val="20"/>
      <w:szCs w:val="20"/>
      <w:lang w:val="x-none" w:eastAsia="x-none"/>
    </w:rPr>
  </w:style>
  <w:style w:type="character" w:customStyle="1" w:styleId="BStabletextChar">
    <w:name w:val="BS_table text Char"/>
    <w:link w:val="BStabletext"/>
    <w:rsid w:val="002910BE"/>
    <w:rPr>
      <w:rFonts w:ascii="Calibri" w:eastAsia="Times New Roman" w:hAnsi="Calibri" w:cs="Times New Roman"/>
      <w:b/>
      <w:sz w:val="20"/>
      <w:szCs w:val="20"/>
      <w:lang w:eastAsia="en-AU"/>
    </w:rPr>
  </w:style>
  <w:style w:type="paragraph" w:customStyle="1" w:styleId="BStableheading">
    <w:name w:val="BS_table heading"/>
    <w:basedOn w:val="Normal"/>
    <w:link w:val="BStableheadingChar"/>
    <w:qFormat/>
    <w:rsid w:val="005A0C03"/>
    <w:pPr>
      <w:framePr w:wrap="around" w:vAnchor="text" w:hAnchor="text" w:y="1"/>
      <w:spacing w:before="200" w:after="200" w:line="240" w:lineRule="auto"/>
      <w:jc w:val="right"/>
    </w:pPr>
    <w:rPr>
      <w:rFonts w:ascii="Calibri" w:eastAsia="Times New Roman" w:hAnsi="Calibri" w:cs="Times New Roman"/>
      <w:b/>
      <w:sz w:val="20"/>
      <w:szCs w:val="20"/>
      <w:lang w:val="x-none" w:eastAsia="x-none"/>
    </w:rPr>
  </w:style>
  <w:style w:type="character" w:customStyle="1" w:styleId="BStableheadingChar">
    <w:name w:val="BS_table heading Char"/>
    <w:link w:val="BStableheading"/>
    <w:rsid w:val="005A0C03"/>
    <w:rPr>
      <w:rFonts w:ascii="Calibri" w:eastAsia="Times New Roman" w:hAnsi="Calibri" w:cs="Times New Roman"/>
      <w:b/>
      <w:sz w:val="20"/>
      <w:szCs w:val="20"/>
      <w:lang w:val="x-none" w:eastAsia="x-none"/>
    </w:rPr>
  </w:style>
  <w:style w:type="paragraph" w:customStyle="1" w:styleId="BStablelist">
    <w:name w:val="BS_table list"/>
    <w:basedOn w:val="Normal"/>
    <w:link w:val="BStablelistChar"/>
    <w:qFormat/>
    <w:rsid w:val="002E0AB8"/>
    <w:pPr>
      <w:numPr>
        <w:numId w:val="7"/>
      </w:numPr>
      <w:spacing w:before="200" w:after="200" w:line="240" w:lineRule="auto"/>
    </w:pPr>
    <w:rPr>
      <w:rFonts w:ascii="Calibri" w:eastAsia="Times New Roman" w:hAnsi="Calibri" w:cs="Times New Roman"/>
      <w:sz w:val="20"/>
      <w:szCs w:val="20"/>
      <w:lang w:val="x-none" w:eastAsia="x-none"/>
    </w:rPr>
  </w:style>
  <w:style w:type="character" w:customStyle="1" w:styleId="BStablelistChar">
    <w:name w:val="BS_table list Char"/>
    <w:link w:val="BStablelist"/>
    <w:rsid w:val="002E0AB8"/>
    <w:rPr>
      <w:rFonts w:ascii="Calibri" w:eastAsia="Times New Roman" w:hAnsi="Calibri" w:cs="Times New Roman"/>
      <w:sz w:val="20"/>
      <w:szCs w:val="20"/>
      <w:lang w:val="x-none" w:eastAsia="x-none"/>
    </w:rPr>
  </w:style>
  <w:style w:type="paragraph" w:customStyle="1" w:styleId="BStableheading1">
    <w:name w:val="BS_table heading 1"/>
    <w:basedOn w:val="NoSpacing"/>
    <w:link w:val="BStableheading1Char"/>
    <w:rsid w:val="002E0AB8"/>
    <w:pPr>
      <w:framePr w:wrap="around" w:vAnchor="text" w:hAnchor="text" w:y="1"/>
      <w:jc w:val="right"/>
    </w:pPr>
    <w:rPr>
      <w:rFonts w:ascii="Calibri" w:eastAsia="Times New Roman" w:hAnsi="Calibri" w:cs="Times New Roman"/>
      <w:b/>
      <w:bCs/>
      <w:sz w:val="20"/>
      <w:szCs w:val="20"/>
      <w:lang w:val="x-none" w:eastAsia="x-none"/>
    </w:rPr>
  </w:style>
  <w:style w:type="character" w:customStyle="1" w:styleId="BStableheading1Char">
    <w:name w:val="BS_table heading 1 Char"/>
    <w:link w:val="BStableheading1"/>
    <w:rsid w:val="002E0AB8"/>
    <w:rPr>
      <w:rFonts w:ascii="Calibri" w:eastAsia="Times New Roman" w:hAnsi="Calibri" w:cs="Times New Roman"/>
      <w:b/>
      <w:bCs/>
      <w:sz w:val="20"/>
      <w:szCs w:val="20"/>
      <w:lang w:val="x-none" w:eastAsia="x-none"/>
    </w:rPr>
  </w:style>
  <w:style w:type="character" w:styleId="Hyperlink">
    <w:name w:val="Hyperlink"/>
    <w:basedOn w:val="DefaultParagraphFont"/>
    <w:uiPriority w:val="99"/>
    <w:unhideWhenUsed/>
    <w:rsid w:val="002E0AB8"/>
    <w:rPr>
      <w:color w:val="0563C1" w:themeColor="hyperlink"/>
      <w:u w:val="single"/>
    </w:rPr>
  </w:style>
  <w:style w:type="character" w:styleId="UnresolvedMention">
    <w:name w:val="Unresolved Mention"/>
    <w:basedOn w:val="DefaultParagraphFont"/>
    <w:uiPriority w:val="99"/>
    <w:semiHidden/>
    <w:unhideWhenUsed/>
    <w:rsid w:val="002E0AB8"/>
    <w:rPr>
      <w:color w:val="605E5C"/>
      <w:shd w:val="clear" w:color="auto" w:fill="E1DFDD"/>
    </w:rPr>
  </w:style>
  <w:style w:type="character" w:customStyle="1" w:styleId="st">
    <w:name w:val="st"/>
    <w:basedOn w:val="DefaultParagraphFont"/>
    <w:rsid w:val="004D24CD"/>
  </w:style>
  <w:style w:type="paragraph" w:customStyle="1" w:styleId="BulletPt2">
    <w:name w:val="Bullet Pt 2"/>
    <w:basedOn w:val="BodyTextIndent2"/>
    <w:qFormat/>
    <w:rsid w:val="00A0106F"/>
    <w:pPr>
      <w:spacing w:before="200" w:line="240" w:lineRule="auto"/>
      <w:ind w:left="714" w:hanging="357"/>
    </w:pPr>
    <w:rPr>
      <w:rFonts w:ascii="Calibri" w:eastAsia="Times New Roman" w:hAnsi="Calibri" w:cs="Times New Roman"/>
      <w:sz w:val="24"/>
      <w:szCs w:val="20"/>
      <w:lang w:val="x-none"/>
    </w:rPr>
  </w:style>
  <w:style w:type="character" w:styleId="FollowedHyperlink">
    <w:name w:val="FollowedHyperlink"/>
    <w:basedOn w:val="DefaultParagraphFont"/>
    <w:uiPriority w:val="99"/>
    <w:semiHidden/>
    <w:unhideWhenUsed/>
    <w:rsid w:val="00401D7B"/>
    <w:rPr>
      <w:color w:val="954F72" w:themeColor="followedHyperlink"/>
      <w:u w:val="single"/>
    </w:rPr>
  </w:style>
  <w:style w:type="paragraph" w:styleId="Revision">
    <w:name w:val="Revision"/>
    <w:hidden/>
    <w:uiPriority w:val="99"/>
    <w:semiHidden/>
    <w:rsid w:val="00576D34"/>
    <w:pPr>
      <w:spacing w:after="0" w:line="240" w:lineRule="auto"/>
    </w:pPr>
  </w:style>
  <w:style w:type="character" w:styleId="Mention">
    <w:name w:val="Mention"/>
    <w:basedOn w:val="DefaultParagraphFont"/>
    <w:uiPriority w:val="99"/>
    <w:unhideWhenUsed/>
    <w:rsid w:val="006E0C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ec966da0-ec8d-4e74-be1f-d97a950612b3" xsi:nil="true"/>
    <lcf76f155ced4ddcb4097134ff3c332f xmlns="ec966da0-ec8d-4e74-be1f-d97a950612b3">
      <Terms xmlns="http://schemas.microsoft.com/office/infopath/2007/PartnerControls"/>
    </lcf76f155ced4ddcb4097134ff3c332f>
    <TaxCatchAll xmlns="d96c2799-7aa5-4c36-a575-d666ebd8c9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B5CDDE4AE9AA42B744AEFBEA6B579E" ma:contentTypeVersion="13" ma:contentTypeDescription="Create a new document." ma:contentTypeScope="" ma:versionID="2b49d4f358709a1ab1e7915fff2ec169">
  <xsd:schema xmlns:xsd="http://www.w3.org/2001/XMLSchema" xmlns:xs="http://www.w3.org/2001/XMLSchema" xmlns:p="http://schemas.microsoft.com/office/2006/metadata/properties" xmlns:ns2="ec966da0-ec8d-4e74-be1f-d97a950612b3" xmlns:ns3="d96c2799-7aa5-4c36-a575-d666ebd8c9bf" targetNamespace="http://schemas.microsoft.com/office/2006/metadata/properties" ma:root="true" ma:fieldsID="dbbc058baac14786a2a1b590d0d4aa08" ns2:_="" ns3:_="">
    <xsd:import namespace="ec966da0-ec8d-4e74-be1f-d97a950612b3"/>
    <xsd:import namespace="d96c2799-7aa5-4c36-a575-d666ebd8c9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66da0-ec8d-4e74-be1f-d97a95061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c2799-7aa5-4c36-a575-d666ebd8c9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68f313-060b-4a9a-aee7-5dd7cf40f49d}" ma:internalName="TaxCatchAll" ma:showField="CatchAllData" ma:web="d96c2799-7aa5-4c36-a575-d666ebd8c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585FB-4511-4159-A918-C43AD823F6F2}">
  <ds:schemaRefs>
    <ds:schemaRef ds:uri="http://schemas.microsoft.com/sharepoint/v3/contenttype/forms"/>
  </ds:schemaRefs>
</ds:datastoreItem>
</file>

<file path=customXml/itemProps2.xml><?xml version="1.0" encoding="utf-8"?>
<ds:datastoreItem xmlns:ds="http://schemas.openxmlformats.org/officeDocument/2006/customXml" ds:itemID="{27EEA5F3-0FB5-422C-B6C6-CA445AB1C219}">
  <ds:schemaRefs>
    <ds:schemaRef ds:uri="http://schemas.openxmlformats.org/officeDocument/2006/bibliography"/>
  </ds:schemaRefs>
</ds:datastoreItem>
</file>

<file path=customXml/itemProps3.xml><?xml version="1.0" encoding="utf-8"?>
<ds:datastoreItem xmlns:ds="http://schemas.openxmlformats.org/officeDocument/2006/customXml" ds:itemID="{3E4BE416-DD8A-41B0-A692-A2E54545F093}">
  <ds:schemaRefs>
    <ds:schemaRef ds:uri="http://schemas.microsoft.com/office/2006/metadata/properties"/>
    <ds:schemaRef ds:uri="http://schemas.microsoft.com/office/infopath/2007/PartnerControls"/>
    <ds:schemaRef ds:uri="ec966da0-ec8d-4e74-be1f-d97a950612b3"/>
    <ds:schemaRef ds:uri="d96c2799-7aa5-4c36-a575-d666ebd8c9bf"/>
  </ds:schemaRefs>
</ds:datastoreItem>
</file>

<file path=customXml/itemProps4.xml><?xml version="1.0" encoding="utf-8"?>
<ds:datastoreItem xmlns:ds="http://schemas.openxmlformats.org/officeDocument/2006/customXml" ds:itemID="{4D99C305-24C2-412D-A0D6-721698916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66da0-ec8d-4e74-be1f-d97a950612b3"/>
    <ds:schemaRef ds:uri="d96c2799-7aa5-4c36-a575-d666ebd8c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ACT 2025-26 Budget - Readers Guide</vt:lpstr>
    </vt:vector>
  </TitlesOfParts>
  <Company>ACT Government</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2026-27 Budget - Readers Guide</dc:title>
  <dc:subject/>
  <dc:creator>ACT Government</dc:creator>
  <cp:keywords>ACT Government, 2025-26 Budget</cp:keywords>
  <dc:description/>
  <cp:lastModifiedBy>Fitzgibbon, Kathleen</cp:lastModifiedBy>
  <cp:revision>20</cp:revision>
  <cp:lastPrinted>2026-06-09T01:51:00Z</cp:lastPrinted>
  <dcterms:created xsi:type="dcterms:W3CDTF">2026-06-03T19:59:00Z</dcterms:created>
  <dcterms:modified xsi:type="dcterms:W3CDTF">2026-06-09T03:14:00Z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0x010100FDB5CDDE4AE9AA42B744AEFBEA6B579E</vt:lpwstr>
  </property>
  <property fmtid="{D5CDD505-2E9C-101B-9397-08002B2CF9AE}" pid="3" name="MSIP_Label_69af8531-eb46-4968-8cb3-105d2f5ea87e_Enabled">
    <vt:lpwstr>true</vt:lpwstr>
  </property>
  <property fmtid="{D5CDD505-2E9C-101B-9397-08002B2CF9AE}" pid="4" name="MSIP_Label_69af8531-eb46-4968-8cb3-105d2f5ea87e_SetDate">
    <vt:lpwstr>2024-04-26T00:19:16Z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1b56522b-81fd-4fbf-9328-3dc3beb93ab8</vt:lpwstr>
  </property>
  <property fmtid="{D5CDD505-2E9C-101B-9397-08002B2CF9AE}" pid="9" name="MSIP_Label_69af8531-eb46-4968-8cb3-105d2f5ea87e_ContentBits">
    <vt:lpwstr>0</vt:lpwstr>
  </property>
  <property fmtid="{D5CDD505-2E9C-101B-9397-08002B2CF9AE}" pid="10" name="MediaServiceImageTags">
    <vt:lpwstr/>
  </property>
</Properties>
</file>