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69BDC" w14:textId="77777777" w:rsidR="00333AA7" w:rsidRPr="005977D2" w:rsidRDefault="00333AA7">
      <w:pPr>
        <w:spacing w:before="0" w:after="160" w:line="259" w:lineRule="auto"/>
      </w:pPr>
    </w:p>
    <w:p w14:paraId="7A7889C3" w14:textId="295AE9D5" w:rsidR="00333AA7" w:rsidRDefault="002014DC">
      <w:pPr>
        <w:spacing w:before="0" w:after="160" w:line="259" w:lineRule="auto"/>
      </w:pPr>
      <w:r>
        <w:rPr>
          <w:b/>
          <w:caps/>
          <w:noProof/>
          <w:color w:val="000000" w:themeColor="text1"/>
          <w:sz w:val="44"/>
        </w:rPr>
        <mc:AlternateContent>
          <mc:Choice Requires="wps">
            <w:drawing>
              <wp:anchor distT="0" distB="0" distL="114300" distR="114300" simplePos="0" relativeHeight="251662336" behindDoc="0" locked="0" layoutInCell="1" allowOverlap="1" wp14:anchorId="59948A67" wp14:editId="35764607">
                <wp:simplePos x="0" y="0"/>
                <wp:positionH relativeFrom="margin">
                  <wp:posOffset>604129</wp:posOffset>
                </wp:positionH>
                <wp:positionV relativeFrom="paragraph">
                  <wp:posOffset>1184616</wp:posOffset>
                </wp:positionV>
                <wp:extent cx="5162550" cy="5726723"/>
                <wp:effectExtent l="0" t="0" r="0" b="7620"/>
                <wp:wrapNone/>
                <wp:docPr id="22" name="Text Box 22"/>
                <wp:cNvGraphicFramePr/>
                <a:graphic xmlns:a="http://schemas.openxmlformats.org/drawingml/2006/main">
                  <a:graphicData uri="http://schemas.microsoft.com/office/word/2010/wordprocessingShape">
                    <wps:wsp>
                      <wps:cNvSpPr txBox="1"/>
                      <wps:spPr>
                        <a:xfrm>
                          <a:off x="0" y="0"/>
                          <a:ext cx="5162550" cy="5726723"/>
                        </a:xfrm>
                        <a:prstGeom prst="rect">
                          <a:avLst/>
                        </a:prstGeom>
                        <a:noFill/>
                        <a:ln w="6350">
                          <a:noFill/>
                        </a:ln>
                      </wps:spPr>
                      <wps:txbx>
                        <w:txbxContent>
                          <w:p w14:paraId="0F491E23" w14:textId="77CA86C6" w:rsidR="00E10D01" w:rsidRDefault="00C40C5D" w:rsidP="007A4E21">
                            <w:pPr>
                              <w:pStyle w:val="IntroParagraph"/>
                              <w:spacing w:before="0" w:after="0"/>
                              <w:jc w:val="center"/>
                              <w:rPr>
                                <w:rFonts w:ascii="Arial" w:eastAsiaTheme="majorEastAsia" w:hAnsi="Arial" w:cs="Arial"/>
                                <w:b/>
                                <w:color w:val="FFFFFF" w:themeColor="background1"/>
                                <w:kern w:val="28"/>
                                <w:sz w:val="70"/>
                                <w:szCs w:val="70"/>
                              </w:rPr>
                            </w:pPr>
                            <w:r>
                              <w:rPr>
                                <w:rFonts w:ascii="Arial" w:eastAsiaTheme="majorEastAsia" w:hAnsi="Arial" w:cs="Arial"/>
                                <w:b/>
                                <w:color w:val="FFFFFF" w:themeColor="background1"/>
                                <w:kern w:val="28"/>
                                <w:sz w:val="70"/>
                                <w:szCs w:val="70"/>
                              </w:rPr>
                              <w:t>BORROWING</w:t>
                            </w:r>
                            <w:r w:rsidR="0010568A">
                              <w:rPr>
                                <w:rFonts w:ascii="Arial" w:eastAsiaTheme="majorEastAsia" w:hAnsi="Arial" w:cs="Arial"/>
                                <w:b/>
                                <w:color w:val="FFFFFF" w:themeColor="background1"/>
                                <w:kern w:val="28"/>
                                <w:sz w:val="70"/>
                                <w:szCs w:val="70"/>
                              </w:rPr>
                              <w:t xml:space="preserve"> </w:t>
                            </w:r>
                            <w:r w:rsidR="00EA1351">
                              <w:rPr>
                                <w:rFonts w:ascii="Arial" w:eastAsiaTheme="majorEastAsia" w:hAnsi="Arial" w:cs="Arial"/>
                                <w:b/>
                                <w:color w:val="FFFFFF" w:themeColor="background1"/>
                                <w:kern w:val="28"/>
                                <w:sz w:val="70"/>
                                <w:szCs w:val="70"/>
                              </w:rPr>
                              <w:t xml:space="preserve">AND DEBT </w:t>
                            </w:r>
                            <w:r w:rsidR="00613260">
                              <w:rPr>
                                <w:rFonts w:ascii="Arial" w:eastAsiaTheme="majorEastAsia" w:hAnsi="Arial" w:cs="Arial"/>
                                <w:b/>
                                <w:color w:val="FFFFFF" w:themeColor="background1"/>
                                <w:kern w:val="28"/>
                                <w:sz w:val="70"/>
                                <w:szCs w:val="70"/>
                              </w:rPr>
                              <w:t>MANAGEMENT</w:t>
                            </w:r>
                            <w:r w:rsidR="0010568A">
                              <w:rPr>
                                <w:rFonts w:ascii="Arial" w:eastAsiaTheme="majorEastAsia" w:hAnsi="Arial" w:cs="Arial"/>
                                <w:b/>
                                <w:color w:val="FFFFFF" w:themeColor="background1"/>
                                <w:kern w:val="28"/>
                                <w:sz w:val="70"/>
                                <w:szCs w:val="70"/>
                              </w:rPr>
                              <w:t xml:space="preserve"> POLICY FRAMEWORK</w:t>
                            </w:r>
                          </w:p>
                          <w:p w14:paraId="7A020B3A" w14:textId="77777777" w:rsidR="00E10D01" w:rsidRDefault="00E10D01" w:rsidP="007A4E21">
                            <w:pPr>
                              <w:pStyle w:val="IntroParagraph"/>
                              <w:spacing w:before="0" w:after="0"/>
                              <w:jc w:val="center"/>
                              <w:rPr>
                                <w:rFonts w:ascii="Arial" w:eastAsiaTheme="majorEastAsia" w:hAnsi="Arial" w:cs="Arial"/>
                                <w:b/>
                                <w:color w:val="FFFFFF" w:themeColor="background1"/>
                                <w:kern w:val="28"/>
                                <w:sz w:val="70"/>
                                <w:szCs w:val="70"/>
                              </w:rPr>
                            </w:pPr>
                          </w:p>
                          <w:p w14:paraId="2C084687" w14:textId="208E833F" w:rsidR="002014DC" w:rsidRPr="00E10D01" w:rsidRDefault="0010568A" w:rsidP="007A4E21">
                            <w:pPr>
                              <w:pStyle w:val="IntroParagraph"/>
                              <w:spacing w:before="0" w:after="0"/>
                              <w:jc w:val="center"/>
                              <w:rPr>
                                <w:rFonts w:asciiTheme="minorHAnsi" w:eastAsiaTheme="minorEastAsia" w:hAnsiTheme="minorHAnsi" w:cstheme="minorBidi"/>
                                <w:bCs/>
                                <w:color w:val="FFFFFF" w:themeColor="background1"/>
                                <w:sz w:val="60"/>
                                <w:szCs w:val="60"/>
                              </w:rPr>
                            </w:pPr>
                            <w:r>
                              <w:rPr>
                                <w:rFonts w:asciiTheme="minorHAnsi" w:eastAsiaTheme="minorEastAsia" w:hAnsiTheme="minorHAnsi" w:cstheme="minorBidi"/>
                                <w:bCs/>
                                <w:color w:val="FFFFFF" w:themeColor="background1"/>
                                <w:sz w:val="60"/>
                                <w:szCs w:val="60"/>
                              </w:rPr>
                              <w:t xml:space="preserve">FOR THE FINANCIAL </w:t>
                            </w:r>
                            <w:r w:rsidR="00613260">
                              <w:rPr>
                                <w:rFonts w:asciiTheme="minorHAnsi" w:eastAsiaTheme="minorEastAsia" w:hAnsiTheme="minorHAnsi" w:cstheme="minorBidi"/>
                                <w:bCs/>
                                <w:color w:val="FFFFFF" w:themeColor="background1"/>
                                <w:sz w:val="60"/>
                                <w:szCs w:val="60"/>
                              </w:rPr>
                              <w:t>BORROWING</w:t>
                            </w:r>
                            <w:r>
                              <w:rPr>
                                <w:rFonts w:asciiTheme="minorHAnsi" w:eastAsiaTheme="minorEastAsia" w:hAnsiTheme="minorHAnsi" w:cstheme="minorBidi"/>
                                <w:bCs/>
                                <w:color w:val="FFFFFF" w:themeColor="background1"/>
                                <w:sz w:val="60"/>
                                <w:szCs w:val="60"/>
                              </w:rPr>
                              <w:t xml:space="preserve"> </w:t>
                            </w:r>
                            <w:r w:rsidR="00613260">
                              <w:rPr>
                                <w:rFonts w:asciiTheme="minorHAnsi" w:eastAsiaTheme="minorEastAsia" w:hAnsiTheme="minorHAnsi" w:cstheme="minorBidi"/>
                                <w:bCs/>
                                <w:color w:val="FFFFFF" w:themeColor="background1"/>
                                <w:sz w:val="60"/>
                                <w:szCs w:val="60"/>
                              </w:rPr>
                              <w:t>LIABILITIES</w:t>
                            </w:r>
                            <w:r>
                              <w:rPr>
                                <w:rFonts w:asciiTheme="minorHAnsi" w:eastAsiaTheme="minorEastAsia" w:hAnsiTheme="minorHAnsi" w:cstheme="minorBidi"/>
                                <w:bCs/>
                                <w:color w:val="FFFFFF" w:themeColor="background1"/>
                                <w:sz w:val="60"/>
                                <w:szCs w:val="60"/>
                              </w:rPr>
                              <w:t xml:space="preserve"> MANAGED BY TREASURY</w:t>
                            </w:r>
                          </w:p>
                          <w:p w14:paraId="0326A679" w14:textId="77777777" w:rsidR="00E10D01" w:rsidRPr="002014DC" w:rsidRDefault="00E10D01" w:rsidP="007A4E21">
                            <w:pPr>
                              <w:pStyle w:val="IntroParagraph"/>
                              <w:spacing w:before="0" w:after="0"/>
                              <w:jc w:val="center"/>
                              <w:rPr>
                                <w:rFonts w:asciiTheme="minorHAnsi" w:eastAsiaTheme="minorEastAsia" w:hAnsiTheme="minorHAnsi" w:cstheme="minorBidi"/>
                                <w:bCs/>
                                <w:color w:val="FFFFFF" w:themeColor="background1"/>
                                <w:sz w:val="28"/>
                                <w:szCs w:val="28"/>
                              </w:rPr>
                            </w:pPr>
                          </w:p>
                          <w:p w14:paraId="42DA1D81" w14:textId="5194DBD9" w:rsidR="002014DC" w:rsidRPr="00222C35" w:rsidRDefault="00613260" w:rsidP="007A4E21">
                            <w:pPr>
                              <w:pStyle w:val="IntroParagraph"/>
                              <w:spacing w:before="0" w:after="0"/>
                              <w:jc w:val="center"/>
                              <w:rPr>
                                <w:color w:val="FFFFFF" w:themeColor="background1"/>
                              </w:rPr>
                            </w:pPr>
                            <w:r>
                              <w:rPr>
                                <w:color w:val="FFFFFF" w:themeColor="background1"/>
                              </w:rPr>
                              <w:t xml:space="preserve">DEVELOPED </w:t>
                            </w:r>
                            <w:r w:rsidR="002014DC" w:rsidRPr="00677F02">
                              <w:rPr>
                                <w:color w:val="FFFFFF" w:themeColor="background1"/>
                              </w:rPr>
                              <w:t xml:space="preserve">IN </w:t>
                            </w:r>
                            <w:r>
                              <w:rPr>
                                <w:color w:val="FFFFFF" w:themeColor="background1"/>
                              </w:rPr>
                              <w:t>RELATION TO SECTIONS 40</w:t>
                            </w:r>
                            <w:r w:rsidR="008A5850">
                              <w:rPr>
                                <w:color w:val="FFFFFF" w:themeColor="background1"/>
                              </w:rPr>
                              <w:t>, 45</w:t>
                            </w:r>
                            <w:r>
                              <w:rPr>
                                <w:color w:val="FFFFFF" w:themeColor="background1"/>
                              </w:rPr>
                              <w:t xml:space="preserve"> AND 46 OF</w:t>
                            </w:r>
                            <w:r w:rsidR="002014DC" w:rsidRPr="00677F02">
                              <w:rPr>
                                <w:color w:val="FFFFFF" w:themeColor="background1"/>
                              </w:rPr>
                              <w:t xml:space="preserve"> THE </w:t>
                            </w:r>
                            <w:r w:rsidR="002014DC" w:rsidRPr="0010568A">
                              <w:rPr>
                                <w:i/>
                                <w:iCs/>
                                <w:color w:val="FFFFFF" w:themeColor="background1"/>
                              </w:rPr>
                              <w:t>FINANCIAL</w:t>
                            </w:r>
                            <w:r>
                              <w:rPr>
                                <w:i/>
                                <w:iCs/>
                                <w:color w:val="FFFFFF" w:themeColor="background1"/>
                              </w:rPr>
                              <w:t> </w:t>
                            </w:r>
                            <w:r w:rsidR="002014DC" w:rsidRPr="0010568A">
                              <w:rPr>
                                <w:i/>
                                <w:iCs/>
                                <w:color w:val="FFFFFF" w:themeColor="background1"/>
                              </w:rPr>
                              <w:t xml:space="preserve">MANAGEMENT </w:t>
                            </w:r>
                            <w:r>
                              <w:rPr>
                                <w:i/>
                                <w:iCs/>
                                <w:color w:val="FFFFFF" w:themeColor="background1"/>
                              </w:rPr>
                              <w:t>ACT 1996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948A67" id="_x0000_t202" coordsize="21600,21600" o:spt="202" path="m,l,21600r21600,l21600,xe">
                <v:stroke joinstyle="miter"/>
                <v:path gradientshapeok="t" o:connecttype="rect"/>
              </v:shapetype>
              <v:shape id="Text Box 22" o:spid="_x0000_s1026" type="#_x0000_t202" style="position:absolute;margin-left:47.55pt;margin-top:93.3pt;width:406.5pt;height:450.9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" filled="f" stroked="f" strokeweight=".5pt">
                <v:textbox>
                  <w:txbxContent>
                    <w:p w14:paraId="0F491E23" w14:textId="77CA86C6" w:rsidR="00E10D01" w:rsidRDefault="00C40C5D" w:rsidP="007A4E21">
                      <w:pPr>
                        <w:pStyle w:val="IntroParagraph"/>
                        <w:spacing w:before="0" w:after="0"/>
                        <w:jc w:val="center"/>
                        <w:rPr>
                          <w:rFonts w:ascii="Arial" w:eastAsiaTheme="majorEastAsia" w:hAnsi="Arial" w:cs="Arial"/>
                          <w:b/>
                          <w:color w:val="FFFFFF" w:themeColor="background1"/>
                          <w:kern w:val="28"/>
                          <w:sz w:val="70"/>
                          <w:szCs w:val="70"/>
                        </w:rPr>
                      </w:pPr>
                      <w:r>
                        <w:rPr>
                          <w:rFonts w:ascii="Arial" w:eastAsiaTheme="majorEastAsia" w:hAnsi="Arial" w:cs="Arial"/>
                          <w:b/>
                          <w:color w:val="FFFFFF" w:themeColor="background1"/>
                          <w:kern w:val="28"/>
                          <w:sz w:val="70"/>
                          <w:szCs w:val="70"/>
                        </w:rPr>
                        <w:t>BORROWING</w:t>
                      </w:r>
                      <w:r w:rsidR="0010568A">
                        <w:rPr>
                          <w:rFonts w:ascii="Arial" w:eastAsiaTheme="majorEastAsia" w:hAnsi="Arial" w:cs="Arial"/>
                          <w:b/>
                          <w:color w:val="FFFFFF" w:themeColor="background1"/>
                          <w:kern w:val="28"/>
                          <w:sz w:val="70"/>
                          <w:szCs w:val="70"/>
                        </w:rPr>
                        <w:t xml:space="preserve"> </w:t>
                      </w:r>
                      <w:r w:rsidR="00EA1351">
                        <w:rPr>
                          <w:rFonts w:ascii="Arial" w:eastAsiaTheme="majorEastAsia" w:hAnsi="Arial" w:cs="Arial"/>
                          <w:b/>
                          <w:color w:val="FFFFFF" w:themeColor="background1"/>
                          <w:kern w:val="28"/>
                          <w:sz w:val="70"/>
                          <w:szCs w:val="70"/>
                        </w:rPr>
                        <w:t xml:space="preserve">AND DEBT </w:t>
                      </w:r>
                      <w:r w:rsidR="00613260">
                        <w:rPr>
                          <w:rFonts w:ascii="Arial" w:eastAsiaTheme="majorEastAsia" w:hAnsi="Arial" w:cs="Arial"/>
                          <w:b/>
                          <w:color w:val="FFFFFF" w:themeColor="background1"/>
                          <w:kern w:val="28"/>
                          <w:sz w:val="70"/>
                          <w:szCs w:val="70"/>
                        </w:rPr>
                        <w:t>MANAGEMENT</w:t>
                      </w:r>
                      <w:r w:rsidR="0010568A">
                        <w:rPr>
                          <w:rFonts w:ascii="Arial" w:eastAsiaTheme="majorEastAsia" w:hAnsi="Arial" w:cs="Arial"/>
                          <w:b/>
                          <w:color w:val="FFFFFF" w:themeColor="background1"/>
                          <w:kern w:val="28"/>
                          <w:sz w:val="70"/>
                          <w:szCs w:val="70"/>
                        </w:rPr>
                        <w:t xml:space="preserve"> POLICY FRAMEWORK</w:t>
                      </w:r>
                    </w:p>
                    <w:p w14:paraId="7A020B3A" w14:textId="77777777" w:rsidR="00E10D01" w:rsidRDefault="00E10D01" w:rsidP="007A4E21">
                      <w:pPr>
                        <w:pStyle w:val="IntroParagraph"/>
                        <w:spacing w:before="0" w:after="0"/>
                        <w:jc w:val="center"/>
                        <w:rPr>
                          <w:rFonts w:ascii="Arial" w:eastAsiaTheme="majorEastAsia" w:hAnsi="Arial" w:cs="Arial"/>
                          <w:b/>
                          <w:color w:val="FFFFFF" w:themeColor="background1"/>
                          <w:kern w:val="28"/>
                          <w:sz w:val="70"/>
                          <w:szCs w:val="70"/>
                        </w:rPr>
                      </w:pPr>
                    </w:p>
                    <w:p w14:paraId="2C084687" w14:textId="208E833F" w:rsidR="002014DC" w:rsidRPr="00E10D01" w:rsidRDefault="0010568A" w:rsidP="007A4E21">
                      <w:pPr>
                        <w:pStyle w:val="IntroParagraph"/>
                        <w:spacing w:before="0" w:after="0"/>
                        <w:jc w:val="center"/>
                        <w:rPr>
                          <w:rFonts w:asciiTheme="minorHAnsi" w:eastAsiaTheme="minorEastAsia" w:hAnsiTheme="minorHAnsi" w:cstheme="minorBidi"/>
                          <w:bCs/>
                          <w:color w:val="FFFFFF" w:themeColor="background1"/>
                          <w:sz w:val="60"/>
                          <w:szCs w:val="60"/>
                        </w:rPr>
                      </w:pPr>
                      <w:r>
                        <w:rPr>
                          <w:rFonts w:asciiTheme="minorHAnsi" w:eastAsiaTheme="minorEastAsia" w:hAnsiTheme="minorHAnsi" w:cstheme="minorBidi"/>
                          <w:bCs/>
                          <w:color w:val="FFFFFF" w:themeColor="background1"/>
                          <w:sz w:val="60"/>
                          <w:szCs w:val="60"/>
                        </w:rPr>
                        <w:t xml:space="preserve">FOR THE FINANCIAL </w:t>
                      </w:r>
                      <w:r w:rsidR="00613260">
                        <w:rPr>
                          <w:rFonts w:asciiTheme="minorHAnsi" w:eastAsiaTheme="minorEastAsia" w:hAnsiTheme="minorHAnsi" w:cstheme="minorBidi"/>
                          <w:bCs/>
                          <w:color w:val="FFFFFF" w:themeColor="background1"/>
                          <w:sz w:val="60"/>
                          <w:szCs w:val="60"/>
                        </w:rPr>
                        <w:t>BORROWING</w:t>
                      </w:r>
                      <w:r>
                        <w:rPr>
                          <w:rFonts w:asciiTheme="minorHAnsi" w:eastAsiaTheme="minorEastAsia" w:hAnsiTheme="minorHAnsi" w:cstheme="minorBidi"/>
                          <w:bCs/>
                          <w:color w:val="FFFFFF" w:themeColor="background1"/>
                          <w:sz w:val="60"/>
                          <w:szCs w:val="60"/>
                        </w:rPr>
                        <w:t xml:space="preserve"> </w:t>
                      </w:r>
                      <w:r w:rsidR="00613260">
                        <w:rPr>
                          <w:rFonts w:asciiTheme="minorHAnsi" w:eastAsiaTheme="minorEastAsia" w:hAnsiTheme="minorHAnsi" w:cstheme="minorBidi"/>
                          <w:bCs/>
                          <w:color w:val="FFFFFF" w:themeColor="background1"/>
                          <w:sz w:val="60"/>
                          <w:szCs w:val="60"/>
                        </w:rPr>
                        <w:t>LIABILITIES</w:t>
                      </w:r>
                      <w:r>
                        <w:rPr>
                          <w:rFonts w:asciiTheme="minorHAnsi" w:eastAsiaTheme="minorEastAsia" w:hAnsiTheme="minorHAnsi" w:cstheme="minorBidi"/>
                          <w:bCs/>
                          <w:color w:val="FFFFFF" w:themeColor="background1"/>
                          <w:sz w:val="60"/>
                          <w:szCs w:val="60"/>
                        </w:rPr>
                        <w:t xml:space="preserve"> MANAGED BY TREASURY</w:t>
                      </w:r>
                    </w:p>
                    <w:p w14:paraId="0326A679" w14:textId="77777777" w:rsidR="00E10D01" w:rsidRPr="002014DC" w:rsidRDefault="00E10D01" w:rsidP="007A4E21">
                      <w:pPr>
                        <w:pStyle w:val="IntroParagraph"/>
                        <w:spacing w:before="0" w:after="0"/>
                        <w:jc w:val="center"/>
                        <w:rPr>
                          <w:rFonts w:asciiTheme="minorHAnsi" w:eastAsiaTheme="minorEastAsia" w:hAnsiTheme="minorHAnsi" w:cstheme="minorBidi"/>
                          <w:bCs/>
                          <w:color w:val="FFFFFF" w:themeColor="background1"/>
                          <w:sz w:val="28"/>
                          <w:szCs w:val="28"/>
                        </w:rPr>
                      </w:pPr>
                    </w:p>
                    <w:p w14:paraId="42DA1D81" w14:textId="5194DBD9" w:rsidR="002014DC" w:rsidRPr="00222C35" w:rsidRDefault="00613260" w:rsidP="007A4E21">
                      <w:pPr>
                        <w:pStyle w:val="IntroParagraph"/>
                        <w:spacing w:before="0" w:after="0"/>
                        <w:jc w:val="center"/>
                        <w:rPr>
                          <w:color w:val="FFFFFF" w:themeColor="background1"/>
                        </w:rPr>
                      </w:pPr>
                      <w:r>
                        <w:rPr>
                          <w:color w:val="FFFFFF" w:themeColor="background1"/>
                        </w:rPr>
                        <w:t xml:space="preserve">DEVELOPED </w:t>
                      </w:r>
                      <w:r w:rsidR="002014DC" w:rsidRPr="00677F02">
                        <w:rPr>
                          <w:color w:val="FFFFFF" w:themeColor="background1"/>
                        </w:rPr>
                        <w:t xml:space="preserve">IN </w:t>
                      </w:r>
                      <w:r>
                        <w:rPr>
                          <w:color w:val="FFFFFF" w:themeColor="background1"/>
                        </w:rPr>
                        <w:t>RELATION TO SECTIONS 40</w:t>
                      </w:r>
                      <w:r w:rsidR="008A5850">
                        <w:rPr>
                          <w:color w:val="FFFFFF" w:themeColor="background1"/>
                        </w:rPr>
                        <w:t>, 45</w:t>
                      </w:r>
                      <w:r>
                        <w:rPr>
                          <w:color w:val="FFFFFF" w:themeColor="background1"/>
                        </w:rPr>
                        <w:t xml:space="preserve"> AND 46 OF</w:t>
                      </w:r>
                      <w:r w:rsidR="002014DC" w:rsidRPr="00677F02">
                        <w:rPr>
                          <w:color w:val="FFFFFF" w:themeColor="background1"/>
                        </w:rPr>
                        <w:t xml:space="preserve"> THE </w:t>
                      </w:r>
                      <w:r w:rsidR="002014DC" w:rsidRPr="0010568A">
                        <w:rPr>
                          <w:i/>
                          <w:iCs/>
                          <w:color w:val="FFFFFF" w:themeColor="background1"/>
                        </w:rPr>
                        <w:t>FINANCIAL</w:t>
                      </w:r>
                      <w:r>
                        <w:rPr>
                          <w:i/>
                          <w:iCs/>
                          <w:color w:val="FFFFFF" w:themeColor="background1"/>
                        </w:rPr>
                        <w:t> </w:t>
                      </w:r>
                      <w:r w:rsidR="002014DC" w:rsidRPr="0010568A">
                        <w:rPr>
                          <w:i/>
                          <w:iCs/>
                          <w:color w:val="FFFFFF" w:themeColor="background1"/>
                        </w:rPr>
                        <w:t xml:space="preserve">MANAGEMENT </w:t>
                      </w:r>
                      <w:r>
                        <w:rPr>
                          <w:i/>
                          <w:iCs/>
                          <w:color w:val="FFFFFF" w:themeColor="background1"/>
                        </w:rPr>
                        <w:t>ACT 1996</w:t>
                      </w:r>
                    </w:p>
                  </w:txbxContent>
                </v:textbox>
                <w10:wrap anchorx="margin"/>
              </v:shape>
            </w:pict>
          </mc:Fallback>
        </mc:AlternateContent>
      </w:r>
      <w:r w:rsidR="00D33CD9">
        <w:rPr>
          <w:b/>
          <w:caps/>
          <w:noProof/>
          <w:color w:val="000000" w:themeColor="text1"/>
          <w:sz w:val="44"/>
        </w:rPr>
        <mc:AlternateContent>
          <mc:Choice Requires="wps">
            <w:drawing>
              <wp:anchor distT="0" distB="0" distL="114300" distR="114300" simplePos="0" relativeHeight="251661312" behindDoc="0" locked="0" layoutInCell="1" allowOverlap="1" wp14:anchorId="5C356A46" wp14:editId="6E3D7B5E">
                <wp:simplePos x="0" y="0"/>
                <wp:positionH relativeFrom="column">
                  <wp:posOffset>-51435</wp:posOffset>
                </wp:positionH>
                <wp:positionV relativeFrom="paragraph">
                  <wp:posOffset>8962390</wp:posOffset>
                </wp:positionV>
                <wp:extent cx="5080000" cy="45720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5080000" cy="457200"/>
                        </a:xfrm>
                        <a:prstGeom prst="rect">
                          <a:avLst/>
                        </a:prstGeom>
                        <a:noFill/>
                        <a:ln w="6350">
                          <a:noFill/>
                        </a:ln>
                      </wps:spPr>
                      <wps:txbx>
                        <w:txbxContent>
                          <w:p w14:paraId="6216E613" w14:textId="1AC01DF0" w:rsidR="00222C35" w:rsidRPr="00825C83" w:rsidRDefault="002014DC" w:rsidP="008F4C1C">
                            <w:pPr>
                              <w:pStyle w:val="Directoratename"/>
                            </w:pPr>
                            <w:r>
                              <w:t>Chief Minister, Treasury and Economic Development Directorate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356A46" id="Text Box 25" o:spid="_x0000_s1027" type="#_x0000_t202" style="position:absolute;margin-left:-4.05pt;margin-top:705.7pt;width:400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" filled="f" stroked="f" strokeweight=".5pt">
                <v:textbox>
                  <w:txbxContent>
                    <w:p w14:paraId="6216E613" w14:textId="1AC01DF0" w:rsidR="00222C35" w:rsidRPr="00825C83" w:rsidRDefault="002014DC" w:rsidP="008F4C1C">
                      <w:pPr>
                        <w:pStyle w:val="Directoratename"/>
                      </w:pPr>
                      <w:r>
                        <w:t>Chief Minister, Treasury and Economic Development Directorate</w:t>
                      </w:r>
                    </w:p>
                  </w:txbxContent>
                </v:textbox>
              </v:shape>
            </w:pict>
          </mc:Fallback>
        </mc:AlternateContent>
      </w:r>
      <w:r w:rsidR="00825C83">
        <w:rPr>
          <w:noProof/>
        </w:rPr>
        <w:drawing>
          <wp:anchor distT="0" distB="0" distL="114300" distR="114300" simplePos="0" relativeHeight="251657215" behindDoc="1" locked="0" layoutInCell="1" allowOverlap="1" wp14:anchorId="7838AA5C" wp14:editId="7CFDA268">
            <wp:simplePos x="0" y="0"/>
            <wp:positionH relativeFrom="column">
              <wp:posOffset>-364490</wp:posOffset>
            </wp:positionH>
            <wp:positionV relativeFrom="paragraph">
              <wp:posOffset>-434340</wp:posOffset>
            </wp:positionV>
            <wp:extent cx="6885305" cy="10690225"/>
            <wp:effectExtent l="0" t="0" r="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1" r:link="rId12">
                      <a:extLst>
                        <a:ext uri="{28A0092B-C50C-407E-A947-70E740481C1C}">
                          <a14:useLocalDpi xmlns:a14="http://schemas.microsoft.com/office/drawing/2010/main" val="0"/>
                        </a:ext>
                      </a:extLst>
                    </a:blip>
                    <a:stretch>
                      <a:fillRect/>
                    </a:stretch>
                  </pic:blipFill>
                  <pic:spPr>
                    <a:xfrm>
                      <a:off x="0" y="0"/>
                      <a:ext cx="6885305" cy="10690225"/>
                    </a:xfrm>
                    <a:prstGeom prst="rect">
                      <a:avLst/>
                    </a:prstGeom>
                  </pic:spPr>
                </pic:pic>
              </a:graphicData>
            </a:graphic>
            <wp14:sizeRelH relativeFrom="page">
              <wp14:pctWidth>0</wp14:pctWidth>
            </wp14:sizeRelH>
            <wp14:sizeRelV relativeFrom="page">
              <wp14:pctHeight>0</wp14:pctHeight>
            </wp14:sizeRelV>
          </wp:anchor>
        </w:drawing>
      </w:r>
      <w:r w:rsidR="008E3B95">
        <w:rPr>
          <w:noProof/>
          <w:color w:val="000000" w:themeColor="text1"/>
        </w:rPr>
        <w:drawing>
          <wp:anchor distT="0" distB="0" distL="114300" distR="114300" simplePos="0" relativeHeight="251658240" behindDoc="0" locked="0" layoutInCell="1" allowOverlap="1" wp14:anchorId="61CEEF2A" wp14:editId="47E3FB8E">
            <wp:simplePos x="0" y="0"/>
            <wp:positionH relativeFrom="margin">
              <wp:align>left</wp:align>
            </wp:positionH>
            <wp:positionV relativeFrom="paragraph">
              <wp:posOffset>187325</wp:posOffset>
            </wp:positionV>
            <wp:extent cx="1753235" cy="899795"/>
            <wp:effectExtent l="0" t="0" r="0" b="0"/>
            <wp:wrapNone/>
            <wp:docPr id="16" name="Picture 16" descr="ACT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CT Government 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53235" cy="899795"/>
                    </a:xfrm>
                    <a:prstGeom prst="rect">
                      <a:avLst/>
                    </a:prstGeom>
                  </pic:spPr>
                </pic:pic>
              </a:graphicData>
            </a:graphic>
            <wp14:sizeRelH relativeFrom="page">
              <wp14:pctWidth>0</wp14:pctWidth>
            </wp14:sizeRelH>
            <wp14:sizeRelV relativeFrom="page">
              <wp14:pctHeight>0</wp14:pctHeight>
            </wp14:sizeRelV>
          </wp:anchor>
        </w:drawing>
      </w:r>
      <w:bookmarkStart w:id="0" w:name="OLE_LINK2"/>
      <w:bookmarkEnd w:id="0"/>
    </w:p>
    <w:p w14:paraId="16DDE933" w14:textId="77777777" w:rsidR="00333AA7" w:rsidRDefault="00333AA7">
      <w:pPr>
        <w:spacing w:before="0" w:after="160" w:line="259" w:lineRule="auto"/>
      </w:pPr>
    </w:p>
    <w:p w14:paraId="0F555017" w14:textId="7D49E4DD" w:rsidR="005E69BD" w:rsidRPr="001628EB" w:rsidRDefault="00551EEB">
      <w:pPr>
        <w:spacing w:before="0" w:after="160" w:line="259" w:lineRule="auto"/>
        <w:rPr>
          <w:rFonts w:ascii="Arial" w:hAnsi="Arial"/>
          <w:b/>
          <w:caps/>
          <w:color w:val="000000" w:themeColor="text1"/>
          <w:kern w:val="28"/>
          <w:sz w:val="44"/>
        </w:rPr>
      </w:pPr>
      <w:r>
        <w:t xml:space="preserve"> </w:t>
      </w:r>
      <w:r w:rsidR="005E69BD">
        <w:br w:type="page"/>
      </w:r>
    </w:p>
    <w:p w14:paraId="2926E197" w14:textId="77777777" w:rsidR="009266DD" w:rsidRDefault="009266DD" w:rsidP="00383A18">
      <w:pPr>
        <w:pStyle w:val="Heading1"/>
        <w:sectPr w:rsidR="009266DD" w:rsidSect="00F51125">
          <w:headerReference w:type="default" r:id="rId14"/>
          <w:footerReference w:type="even" r:id="rId15"/>
          <w:footerReference w:type="default" r:id="rId16"/>
          <w:type w:val="continuous"/>
          <w:pgSz w:w="11907" w:h="16840" w:code="9"/>
          <w:pgMar w:top="1134" w:right="1134" w:bottom="1701" w:left="1134" w:header="567" w:footer="254" w:gutter="0"/>
          <w:cols w:num="2" w:space="720"/>
          <w:titlePg/>
          <w:docGrid w:linePitch="299"/>
        </w:sectPr>
      </w:pPr>
    </w:p>
    <w:p w14:paraId="5B5FC450" w14:textId="77777777" w:rsidR="005456A2" w:rsidRPr="00507633" w:rsidRDefault="005456A2" w:rsidP="005456A2">
      <w:pPr>
        <w:numPr>
          <w:ilvl w:val="1"/>
          <w:numId w:val="0"/>
        </w:numPr>
        <w:spacing w:before="240" w:after="240"/>
        <w:jc w:val="both"/>
        <w:rPr>
          <w:rFonts w:cs="Calibri"/>
          <w:b/>
          <w:bCs/>
          <w:lang w:val="en-US"/>
        </w:rPr>
      </w:pPr>
      <w:bookmarkStart w:id="1" w:name="_Toc78453590"/>
      <w:bookmarkStart w:id="2" w:name="_Toc126829905"/>
      <w:r w:rsidRPr="00507633">
        <w:rPr>
          <w:rFonts w:cs="Calibri"/>
          <w:b/>
          <w:bCs/>
          <w:lang w:val="en-US"/>
        </w:rPr>
        <w:lastRenderedPageBreak/>
        <w:t>Version Control</w:t>
      </w:r>
      <w:bookmarkEnd w:id="1"/>
    </w:p>
    <w:tbl>
      <w:tblPr>
        <w:tblStyle w:val="TableGrid"/>
        <w:tblW w:w="9526" w:type="dxa"/>
        <w:tblInd w:w="250" w:type="dxa"/>
        <w:tblLook w:val="04A0" w:firstRow="1" w:lastRow="0" w:firstColumn="1" w:lastColumn="0" w:noHBand="0" w:noVBand="1"/>
      </w:tblPr>
      <w:tblGrid>
        <w:gridCol w:w="1355"/>
        <w:gridCol w:w="2218"/>
        <w:gridCol w:w="3579"/>
        <w:gridCol w:w="2374"/>
      </w:tblGrid>
      <w:tr w:rsidR="005456A2" w:rsidRPr="00612FF4" w14:paraId="7651B15E" w14:textId="77777777" w:rsidTr="00BB2491">
        <w:tc>
          <w:tcPr>
            <w:tcW w:w="1355" w:type="dxa"/>
          </w:tcPr>
          <w:p w14:paraId="03FB1C97" w14:textId="77777777" w:rsidR="005456A2" w:rsidRPr="00612FF4" w:rsidRDefault="005456A2" w:rsidP="00BB2491">
            <w:pPr>
              <w:rPr>
                <w:rFonts w:asciiTheme="minorHAnsi" w:hAnsiTheme="minorHAnsi"/>
                <w:b/>
              </w:rPr>
            </w:pPr>
            <w:r w:rsidRPr="00612FF4">
              <w:rPr>
                <w:rFonts w:asciiTheme="minorHAnsi" w:hAnsiTheme="minorHAnsi"/>
                <w:b/>
              </w:rPr>
              <w:t>Version No.</w:t>
            </w:r>
          </w:p>
        </w:tc>
        <w:tc>
          <w:tcPr>
            <w:tcW w:w="2218" w:type="dxa"/>
          </w:tcPr>
          <w:p w14:paraId="53847311" w14:textId="77777777" w:rsidR="005456A2" w:rsidRPr="00612FF4" w:rsidRDefault="005456A2" w:rsidP="00BB2491">
            <w:pPr>
              <w:rPr>
                <w:rFonts w:asciiTheme="minorHAnsi" w:hAnsiTheme="minorHAnsi"/>
                <w:b/>
              </w:rPr>
            </w:pPr>
            <w:r w:rsidRPr="00612FF4">
              <w:rPr>
                <w:rFonts w:asciiTheme="minorHAnsi" w:hAnsiTheme="minorHAnsi"/>
                <w:b/>
              </w:rPr>
              <w:t>Date</w:t>
            </w:r>
          </w:p>
        </w:tc>
        <w:tc>
          <w:tcPr>
            <w:tcW w:w="3579" w:type="dxa"/>
          </w:tcPr>
          <w:p w14:paraId="1B3F4572" w14:textId="77777777" w:rsidR="005456A2" w:rsidRPr="00612FF4" w:rsidRDefault="005456A2" w:rsidP="00BB2491">
            <w:pPr>
              <w:rPr>
                <w:rFonts w:asciiTheme="minorHAnsi" w:hAnsiTheme="minorHAnsi"/>
                <w:b/>
              </w:rPr>
            </w:pPr>
            <w:r w:rsidRPr="00612FF4">
              <w:rPr>
                <w:rFonts w:asciiTheme="minorHAnsi" w:hAnsiTheme="minorHAnsi"/>
                <w:b/>
              </w:rPr>
              <w:t>Comments</w:t>
            </w:r>
          </w:p>
        </w:tc>
        <w:tc>
          <w:tcPr>
            <w:tcW w:w="2374" w:type="dxa"/>
          </w:tcPr>
          <w:p w14:paraId="6557D9F6" w14:textId="77777777" w:rsidR="005456A2" w:rsidRPr="00612FF4" w:rsidRDefault="005456A2" w:rsidP="00BB2491">
            <w:pPr>
              <w:rPr>
                <w:rFonts w:asciiTheme="minorHAnsi" w:hAnsiTheme="minorHAnsi"/>
                <w:b/>
              </w:rPr>
            </w:pPr>
            <w:r w:rsidRPr="00612FF4">
              <w:rPr>
                <w:rFonts w:asciiTheme="minorHAnsi" w:hAnsiTheme="minorHAnsi"/>
                <w:b/>
              </w:rPr>
              <w:t>Approver</w:t>
            </w:r>
          </w:p>
        </w:tc>
      </w:tr>
      <w:tr w:rsidR="0040414C" w:rsidRPr="00612FF4" w14:paraId="5791F012" w14:textId="77777777" w:rsidTr="00BB2491">
        <w:tc>
          <w:tcPr>
            <w:tcW w:w="1355" w:type="dxa"/>
            <w:vAlign w:val="center"/>
          </w:tcPr>
          <w:p w14:paraId="370E5EC8" w14:textId="674C7406" w:rsidR="0040414C" w:rsidRPr="00612FF4" w:rsidRDefault="00076B01" w:rsidP="0040414C">
            <w:pPr>
              <w:rPr>
                <w:rFonts w:asciiTheme="minorHAnsi" w:hAnsiTheme="minorHAnsi"/>
              </w:rPr>
            </w:pPr>
            <w:r>
              <w:rPr>
                <w:rFonts w:asciiTheme="minorHAnsi" w:hAnsiTheme="minorHAnsi"/>
              </w:rPr>
              <w:t>1</w:t>
            </w:r>
          </w:p>
        </w:tc>
        <w:tc>
          <w:tcPr>
            <w:tcW w:w="2218" w:type="dxa"/>
            <w:vAlign w:val="center"/>
          </w:tcPr>
          <w:p w14:paraId="3D56ED68" w14:textId="5E39C7D0" w:rsidR="0040414C" w:rsidRPr="00612FF4" w:rsidRDefault="00333AA7" w:rsidP="0040414C">
            <w:pPr>
              <w:rPr>
                <w:rFonts w:asciiTheme="minorHAnsi" w:hAnsiTheme="minorHAnsi"/>
              </w:rPr>
            </w:pPr>
            <w:r>
              <w:rPr>
                <w:rFonts w:asciiTheme="minorHAnsi" w:hAnsiTheme="minorHAnsi"/>
              </w:rPr>
              <w:t>Ju</w:t>
            </w:r>
            <w:r w:rsidR="00B75969">
              <w:rPr>
                <w:rFonts w:asciiTheme="minorHAnsi" w:hAnsiTheme="minorHAnsi"/>
              </w:rPr>
              <w:t>ly</w:t>
            </w:r>
            <w:r w:rsidR="00076B01">
              <w:rPr>
                <w:rFonts w:asciiTheme="minorHAnsi" w:hAnsiTheme="minorHAnsi"/>
              </w:rPr>
              <w:t xml:space="preserve"> 20</w:t>
            </w:r>
            <w:r w:rsidR="00613260">
              <w:rPr>
                <w:rFonts w:asciiTheme="minorHAnsi" w:hAnsiTheme="minorHAnsi"/>
              </w:rPr>
              <w:t>25</w:t>
            </w:r>
          </w:p>
        </w:tc>
        <w:tc>
          <w:tcPr>
            <w:tcW w:w="3579" w:type="dxa"/>
            <w:vAlign w:val="center"/>
          </w:tcPr>
          <w:p w14:paraId="4ADE84F3" w14:textId="1762BD34" w:rsidR="0040414C" w:rsidRPr="005977D2" w:rsidRDefault="004D5168" w:rsidP="0040414C">
            <w:pPr>
              <w:rPr>
                <w:rFonts w:asciiTheme="minorHAnsi" w:hAnsiTheme="minorHAnsi"/>
                <w:szCs w:val="22"/>
              </w:rPr>
            </w:pPr>
            <w:r>
              <w:rPr>
                <w:rFonts w:asciiTheme="minorHAnsi" w:hAnsiTheme="minorHAnsi"/>
                <w:szCs w:val="22"/>
              </w:rPr>
              <w:t>N</w:t>
            </w:r>
            <w:r w:rsidR="0010568A" w:rsidRPr="005977D2">
              <w:rPr>
                <w:rFonts w:asciiTheme="minorHAnsi" w:hAnsiTheme="minorHAnsi"/>
                <w:szCs w:val="22"/>
              </w:rPr>
              <w:t xml:space="preserve">ew </w:t>
            </w:r>
            <w:r w:rsidR="00C40C5D" w:rsidRPr="005977D2">
              <w:rPr>
                <w:rFonts w:asciiTheme="minorHAnsi" w:hAnsiTheme="minorHAnsi"/>
                <w:szCs w:val="22"/>
              </w:rPr>
              <w:t>Borrowing</w:t>
            </w:r>
            <w:r w:rsidR="00613260" w:rsidRPr="005977D2">
              <w:rPr>
                <w:rFonts w:asciiTheme="minorHAnsi" w:hAnsiTheme="minorHAnsi"/>
                <w:szCs w:val="22"/>
              </w:rPr>
              <w:t xml:space="preserve"> Management</w:t>
            </w:r>
            <w:r w:rsidR="0010568A" w:rsidRPr="005977D2">
              <w:rPr>
                <w:rFonts w:asciiTheme="minorHAnsi" w:hAnsiTheme="minorHAnsi"/>
                <w:szCs w:val="22"/>
              </w:rPr>
              <w:t xml:space="preserve"> </w:t>
            </w:r>
            <w:r w:rsidR="00613260" w:rsidRPr="005977D2">
              <w:rPr>
                <w:rFonts w:asciiTheme="minorHAnsi" w:hAnsiTheme="minorHAnsi"/>
                <w:szCs w:val="22"/>
              </w:rPr>
              <w:t>P</w:t>
            </w:r>
            <w:r w:rsidR="0010568A" w:rsidRPr="005977D2">
              <w:rPr>
                <w:rFonts w:asciiTheme="minorHAnsi" w:hAnsiTheme="minorHAnsi"/>
                <w:szCs w:val="22"/>
              </w:rPr>
              <w:t xml:space="preserve">olicy </w:t>
            </w:r>
            <w:r w:rsidR="00613260" w:rsidRPr="005977D2">
              <w:rPr>
                <w:rFonts w:asciiTheme="minorHAnsi" w:hAnsiTheme="minorHAnsi"/>
                <w:szCs w:val="22"/>
              </w:rPr>
              <w:t>F</w:t>
            </w:r>
            <w:r w:rsidR="0010568A" w:rsidRPr="005977D2">
              <w:rPr>
                <w:rFonts w:asciiTheme="minorHAnsi" w:hAnsiTheme="minorHAnsi"/>
                <w:szCs w:val="22"/>
              </w:rPr>
              <w:t xml:space="preserve">ramework </w:t>
            </w:r>
          </w:p>
        </w:tc>
        <w:tc>
          <w:tcPr>
            <w:tcW w:w="2374" w:type="dxa"/>
            <w:vAlign w:val="center"/>
          </w:tcPr>
          <w:p w14:paraId="559F33C5" w14:textId="2979CC49" w:rsidR="0040414C" w:rsidRPr="00612FF4" w:rsidRDefault="00076B01" w:rsidP="0040414C">
            <w:pPr>
              <w:rPr>
                <w:rFonts w:asciiTheme="minorHAnsi" w:hAnsiTheme="minorHAnsi"/>
              </w:rPr>
            </w:pPr>
            <w:r>
              <w:rPr>
                <w:rFonts w:asciiTheme="minorHAnsi" w:hAnsiTheme="minorHAnsi"/>
              </w:rPr>
              <w:t>Treasurer</w:t>
            </w:r>
          </w:p>
        </w:tc>
      </w:tr>
      <w:tr w:rsidR="004D5168" w:rsidRPr="00612FF4" w14:paraId="449F395E" w14:textId="77777777" w:rsidTr="00BB2491">
        <w:tc>
          <w:tcPr>
            <w:tcW w:w="1355" w:type="dxa"/>
            <w:vAlign w:val="center"/>
          </w:tcPr>
          <w:p w14:paraId="11E628C6" w14:textId="579FB43F" w:rsidR="004D5168" w:rsidRDefault="004D5168" w:rsidP="0040414C">
            <w:pPr>
              <w:rPr>
                <w:rFonts w:asciiTheme="minorHAnsi" w:hAnsiTheme="minorHAnsi"/>
              </w:rPr>
            </w:pPr>
            <w:r>
              <w:rPr>
                <w:rFonts w:asciiTheme="minorHAnsi" w:hAnsiTheme="minorHAnsi"/>
              </w:rPr>
              <w:t>2</w:t>
            </w:r>
          </w:p>
        </w:tc>
        <w:tc>
          <w:tcPr>
            <w:tcW w:w="2218" w:type="dxa"/>
            <w:vAlign w:val="center"/>
          </w:tcPr>
          <w:p w14:paraId="45B6F08C" w14:textId="79D5C8B1" w:rsidR="004D5168" w:rsidRDefault="00EB797C" w:rsidP="0040414C">
            <w:pPr>
              <w:rPr>
                <w:rFonts w:asciiTheme="minorHAnsi" w:hAnsiTheme="minorHAnsi"/>
              </w:rPr>
            </w:pPr>
            <w:r>
              <w:rPr>
                <w:rFonts w:asciiTheme="minorHAnsi" w:hAnsiTheme="minorHAnsi"/>
              </w:rPr>
              <w:t>August</w:t>
            </w:r>
            <w:r w:rsidR="004D5168">
              <w:rPr>
                <w:rFonts w:asciiTheme="minorHAnsi" w:hAnsiTheme="minorHAnsi"/>
              </w:rPr>
              <w:t xml:space="preserve"> 2026</w:t>
            </w:r>
          </w:p>
        </w:tc>
        <w:tc>
          <w:tcPr>
            <w:tcW w:w="3579" w:type="dxa"/>
            <w:vAlign w:val="center"/>
          </w:tcPr>
          <w:p w14:paraId="163702AE" w14:textId="35DF960A" w:rsidR="004D5168" w:rsidRPr="005977D2" w:rsidRDefault="004D5168" w:rsidP="0040414C">
            <w:pPr>
              <w:rPr>
                <w:rFonts w:asciiTheme="minorHAnsi" w:hAnsiTheme="minorHAnsi"/>
                <w:szCs w:val="22"/>
              </w:rPr>
            </w:pPr>
            <w:r>
              <w:rPr>
                <w:rFonts w:asciiTheme="minorHAnsi" w:hAnsiTheme="minorHAnsi"/>
                <w:szCs w:val="22"/>
              </w:rPr>
              <w:t>Update</w:t>
            </w:r>
          </w:p>
        </w:tc>
        <w:tc>
          <w:tcPr>
            <w:tcW w:w="2374" w:type="dxa"/>
            <w:vAlign w:val="center"/>
          </w:tcPr>
          <w:p w14:paraId="576E7C31" w14:textId="4F9BCDB4" w:rsidR="004D5168" w:rsidRDefault="004D5168" w:rsidP="0040414C">
            <w:pPr>
              <w:rPr>
                <w:rFonts w:asciiTheme="minorHAnsi" w:hAnsiTheme="minorHAnsi"/>
              </w:rPr>
            </w:pPr>
            <w:r>
              <w:rPr>
                <w:rFonts w:asciiTheme="minorHAnsi" w:hAnsiTheme="minorHAnsi"/>
              </w:rPr>
              <w:t>Treasurer</w:t>
            </w:r>
          </w:p>
        </w:tc>
      </w:tr>
    </w:tbl>
    <w:p w14:paraId="55502CCA" w14:textId="77777777" w:rsidR="002E676A" w:rsidRPr="007C2128" w:rsidRDefault="002E676A" w:rsidP="007C2128">
      <w:r>
        <w:rPr>
          <w:color w:val="000000" w:themeColor="text1"/>
        </w:rPr>
        <w:br w:type="page"/>
      </w:r>
    </w:p>
    <w:sdt>
      <w:sdtPr>
        <w:rPr>
          <w:rFonts w:ascii="Calibri" w:eastAsia="Times New Roman" w:hAnsi="Calibri" w:cs="Times New Roman"/>
          <w:color w:val="auto"/>
          <w:sz w:val="22"/>
          <w:szCs w:val="20"/>
          <w:lang w:val="en-AU"/>
        </w:rPr>
        <w:id w:val="1421829884"/>
        <w:docPartObj>
          <w:docPartGallery w:val="Table of Contents"/>
          <w:docPartUnique/>
        </w:docPartObj>
      </w:sdtPr>
      <w:sdtEndPr>
        <w:rPr>
          <w:b/>
          <w:bCs/>
          <w:noProof/>
        </w:rPr>
      </w:sdtEndPr>
      <w:sdtContent>
        <w:p w14:paraId="01A687A5" w14:textId="60278943" w:rsidR="005456A2" w:rsidRPr="00EC509C" w:rsidRDefault="005456A2" w:rsidP="00383A18">
          <w:pPr>
            <w:pStyle w:val="TOCHeading"/>
            <w:rPr>
              <w:b/>
              <w:bCs/>
              <w:color w:val="7030A0"/>
            </w:rPr>
          </w:pPr>
          <w:r w:rsidRPr="00EC509C">
            <w:rPr>
              <w:b/>
              <w:bCs/>
              <w:color w:val="7030A0"/>
            </w:rPr>
            <w:t>Table of Contents</w:t>
          </w:r>
        </w:p>
        <w:p w14:paraId="2362E335" w14:textId="0A05691E" w:rsidR="00EB797C" w:rsidRDefault="005456A2">
          <w:pPr>
            <w:pStyle w:val="TOC1"/>
            <w:rPr>
              <w:rFonts w:asciiTheme="minorHAnsi" w:eastAsiaTheme="minorEastAsia" w:hAnsiTheme="minorHAnsi" w:cstheme="minorBidi"/>
              <w:noProof/>
              <w:kern w:val="2"/>
              <w:sz w:val="24"/>
              <w:szCs w:val="24"/>
              <w:lang w:eastAsia="en-AU"/>
              <w14:ligatures w14:val="standardContextual"/>
            </w:rPr>
          </w:pPr>
          <w:r>
            <w:fldChar w:fldCharType="begin"/>
          </w:r>
          <w:r>
            <w:instrText xml:space="preserve"> TOC \o "1-3" \h \z \u </w:instrText>
          </w:r>
          <w:r>
            <w:fldChar w:fldCharType="separate"/>
          </w:r>
          <w:hyperlink w:anchor="_Toc238200007" w:history="1">
            <w:r w:rsidR="00EB797C" w:rsidRPr="000A5CA8">
              <w:rPr>
                <w:rStyle w:val="Hyperlink"/>
                <w:noProof/>
              </w:rPr>
              <w:t>PURPOSE</w:t>
            </w:r>
            <w:r w:rsidR="00EB797C">
              <w:rPr>
                <w:noProof/>
                <w:webHidden/>
              </w:rPr>
              <w:tab/>
            </w:r>
            <w:r w:rsidR="00EB797C">
              <w:rPr>
                <w:noProof/>
                <w:webHidden/>
              </w:rPr>
              <w:fldChar w:fldCharType="begin"/>
            </w:r>
            <w:r w:rsidR="00EB797C">
              <w:rPr>
                <w:noProof/>
                <w:webHidden/>
              </w:rPr>
              <w:instrText xml:space="preserve"> PAGEREF _Toc238200007 \h </w:instrText>
            </w:r>
            <w:r w:rsidR="00EB797C">
              <w:rPr>
                <w:noProof/>
                <w:webHidden/>
              </w:rPr>
            </w:r>
            <w:r w:rsidR="00EB797C">
              <w:rPr>
                <w:noProof/>
                <w:webHidden/>
              </w:rPr>
              <w:fldChar w:fldCharType="separate"/>
            </w:r>
            <w:r w:rsidR="00EB797C">
              <w:rPr>
                <w:noProof/>
                <w:webHidden/>
              </w:rPr>
              <w:t>4</w:t>
            </w:r>
            <w:r w:rsidR="00EB797C">
              <w:rPr>
                <w:noProof/>
                <w:webHidden/>
              </w:rPr>
              <w:fldChar w:fldCharType="end"/>
            </w:r>
          </w:hyperlink>
        </w:p>
        <w:p w14:paraId="23B338BB" w14:textId="302EFF32" w:rsidR="00EB797C" w:rsidRDefault="00EB797C">
          <w:pPr>
            <w:pStyle w:val="TOC1"/>
            <w:rPr>
              <w:rFonts w:asciiTheme="minorHAnsi" w:eastAsiaTheme="minorEastAsia" w:hAnsiTheme="minorHAnsi" w:cstheme="minorBidi"/>
              <w:noProof/>
              <w:kern w:val="2"/>
              <w:sz w:val="24"/>
              <w:szCs w:val="24"/>
              <w:lang w:eastAsia="en-AU"/>
              <w14:ligatures w14:val="standardContextual"/>
            </w:rPr>
          </w:pPr>
          <w:hyperlink w:anchor="_Toc238200008" w:history="1">
            <w:r w:rsidRPr="000A5CA8">
              <w:rPr>
                <w:rStyle w:val="Hyperlink"/>
                <w:noProof/>
              </w:rPr>
              <w:t>LEGISLATIVE REQUIREMENTS</w:t>
            </w:r>
            <w:r>
              <w:rPr>
                <w:noProof/>
                <w:webHidden/>
              </w:rPr>
              <w:tab/>
            </w:r>
            <w:r>
              <w:rPr>
                <w:noProof/>
                <w:webHidden/>
              </w:rPr>
              <w:fldChar w:fldCharType="begin"/>
            </w:r>
            <w:r>
              <w:rPr>
                <w:noProof/>
                <w:webHidden/>
              </w:rPr>
              <w:instrText xml:space="preserve"> PAGEREF _Toc238200008 \h </w:instrText>
            </w:r>
            <w:r>
              <w:rPr>
                <w:noProof/>
                <w:webHidden/>
              </w:rPr>
            </w:r>
            <w:r>
              <w:rPr>
                <w:noProof/>
                <w:webHidden/>
              </w:rPr>
              <w:fldChar w:fldCharType="separate"/>
            </w:r>
            <w:r>
              <w:rPr>
                <w:noProof/>
                <w:webHidden/>
              </w:rPr>
              <w:t>4</w:t>
            </w:r>
            <w:r>
              <w:rPr>
                <w:noProof/>
                <w:webHidden/>
              </w:rPr>
              <w:fldChar w:fldCharType="end"/>
            </w:r>
          </w:hyperlink>
        </w:p>
        <w:p w14:paraId="2D94148F" w14:textId="3E9607F1" w:rsidR="00EB797C" w:rsidRDefault="00EB797C">
          <w:pPr>
            <w:pStyle w:val="TOC1"/>
            <w:rPr>
              <w:rFonts w:asciiTheme="minorHAnsi" w:eastAsiaTheme="minorEastAsia" w:hAnsiTheme="minorHAnsi" w:cstheme="minorBidi"/>
              <w:noProof/>
              <w:kern w:val="2"/>
              <w:sz w:val="24"/>
              <w:szCs w:val="24"/>
              <w:lang w:eastAsia="en-AU"/>
              <w14:ligatures w14:val="standardContextual"/>
            </w:rPr>
          </w:pPr>
          <w:hyperlink w:anchor="_Toc238200009" w:history="1">
            <w:r w:rsidRPr="000A5CA8">
              <w:rPr>
                <w:rStyle w:val="Hyperlink"/>
                <w:noProof/>
              </w:rPr>
              <w:t>TERRITORY BANKING ACCOUNT</w:t>
            </w:r>
            <w:r>
              <w:rPr>
                <w:noProof/>
                <w:webHidden/>
              </w:rPr>
              <w:tab/>
            </w:r>
            <w:r>
              <w:rPr>
                <w:noProof/>
                <w:webHidden/>
              </w:rPr>
              <w:fldChar w:fldCharType="begin"/>
            </w:r>
            <w:r>
              <w:rPr>
                <w:noProof/>
                <w:webHidden/>
              </w:rPr>
              <w:instrText xml:space="preserve"> PAGEREF _Toc238200009 \h </w:instrText>
            </w:r>
            <w:r>
              <w:rPr>
                <w:noProof/>
                <w:webHidden/>
              </w:rPr>
            </w:r>
            <w:r>
              <w:rPr>
                <w:noProof/>
                <w:webHidden/>
              </w:rPr>
              <w:fldChar w:fldCharType="separate"/>
            </w:r>
            <w:r>
              <w:rPr>
                <w:noProof/>
                <w:webHidden/>
              </w:rPr>
              <w:t>5</w:t>
            </w:r>
            <w:r>
              <w:rPr>
                <w:noProof/>
                <w:webHidden/>
              </w:rPr>
              <w:fldChar w:fldCharType="end"/>
            </w:r>
          </w:hyperlink>
        </w:p>
        <w:p w14:paraId="24E57563" w14:textId="5F07B933" w:rsidR="00EB797C" w:rsidRDefault="00EB797C">
          <w:pPr>
            <w:pStyle w:val="TOC1"/>
            <w:rPr>
              <w:rFonts w:asciiTheme="minorHAnsi" w:eastAsiaTheme="minorEastAsia" w:hAnsiTheme="minorHAnsi" w:cstheme="minorBidi"/>
              <w:noProof/>
              <w:kern w:val="2"/>
              <w:sz w:val="24"/>
              <w:szCs w:val="24"/>
              <w:lang w:eastAsia="en-AU"/>
              <w14:ligatures w14:val="standardContextual"/>
            </w:rPr>
          </w:pPr>
          <w:hyperlink w:anchor="_Toc238200010" w:history="1">
            <w:r w:rsidRPr="000A5CA8">
              <w:rPr>
                <w:rStyle w:val="Hyperlink"/>
                <w:noProof/>
              </w:rPr>
              <w:t>BORROWINGS GOVERNANCE</w:t>
            </w:r>
            <w:r>
              <w:rPr>
                <w:noProof/>
                <w:webHidden/>
              </w:rPr>
              <w:tab/>
            </w:r>
            <w:r>
              <w:rPr>
                <w:noProof/>
                <w:webHidden/>
              </w:rPr>
              <w:fldChar w:fldCharType="begin"/>
            </w:r>
            <w:r>
              <w:rPr>
                <w:noProof/>
                <w:webHidden/>
              </w:rPr>
              <w:instrText xml:space="preserve"> PAGEREF _Toc238200010 \h </w:instrText>
            </w:r>
            <w:r>
              <w:rPr>
                <w:noProof/>
                <w:webHidden/>
              </w:rPr>
            </w:r>
            <w:r>
              <w:rPr>
                <w:noProof/>
                <w:webHidden/>
              </w:rPr>
              <w:fldChar w:fldCharType="separate"/>
            </w:r>
            <w:r>
              <w:rPr>
                <w:noProof/>
                <w:webHidden/>
              </w:rPr>
              <w:t>6</w:t>
            </w:r>
            <w:r>
              <w:rPr>
                <w:noProof/>
                <w:webHidden/>
              </w:rPr>
              <w:fldChar w:fldCharType="end"/>
            </w:r>
          </w:hyperlink>
        </w:p>
        <w:p w14:paraId="11D51CBA" w14:textId="557B3C96" w:rsidR="00EB797C" w:rsidRDefault="00EB797C">
          <w:pPr>
            <w:pStyle w:val="TOC1"/>
            <w:rPr>
              <w:rFonts w:asciiTheme="minorHAnsi" w:eastAsiaTheme="minorEastAsia" w:hAnsiTheme="minorHAnsi" w:cstheme="minorBidi"/>
              <w:noProof/>
              <w:kern w:val="2"/>
              <w:sz w:val="24"/>
              <w:szCs w:val="24"/>
              <w:lang w:eastAsia="en-AU"/>
              <w14:ligatures w14:val="standardContextual"/>
            </w:rPr>
          </w:pPr>
          <w:hyperlink w:anchor="_Toc238200011" w:history="1">
            <w:r w:rsidRPr="000A5CA8">
              <w:rPr>
                <w:rStyle w:val="Hyperlink"/>
                <w:noProof/>
              </w:rPr>
              <w:t>OBJECTIVES AND STRATEGY</w:t>
            </w:r>
            <w:r>
              <w:rPr>
                <w:noProof/>
                <w:webHidden/>
              </w:rPr>
              <w:tab/>
            </w:r>
            <w:r>
              <w:rPr>
                <w:noProof/>
                <w:webHidden/>
              </w:rPr>
              <w:fldChar w:fldCharType="begin"/>
            </w:r>
            <w:r>
              <w:rPr>
                <w:noProof/>
                <w:webHidden/>
              </w:rPr>
              <w:instrText xml:space="preserve"> PAGEREF _Toc238200011 \h </w:instrText>
            </w:r>
            <w:r>
              <w:rPr>
                <w:noProof/>
                <w:webHidden/>
              </w:rPr>
            </w:r>
            <w:r>
              <w:rPr>
                <w:noProof/>
                <w:webHidden/>
              </w:rPr>
              <w:fldChar w:fldCharType="separate"/>
            </w:r>
            <w:r>
              <w:rPr>
                <w:noProof/>
                <w:webHidden/>
              </w:rPr>
              <w:t>7</w:t>
            </w:r>
            <w:r>
              <w:rPr>
                <w:noProof/>
                <w:webHidden/>
              </w:rPr>
              <w:fldChar w:fldCharType="end"/>
            </w:r>
          </w:hyperlink>
        </w:p>
        <w:p w14:paraId="37BBC32B" w14:textId="118C5908" w:rsidR="00EB797C" w:rsidRDefault="00EB797C">
          <w:pPr>
            <w:pStyle w:val="TOC1"/>
            <w:rPr>
              <w:rFonts w:asciiTheme="minorHAnsi" w:eastAsiaTheme="minorEastAsia" w:hAnsiTheme="minorHAnsi" w:cstheme="minorBidi"/>
              <w:noProof/>
              <w:kern w:val="2"/>
              <w:sz w:val="24"/>
              <w:szCs w:val="24"/>
              <w:lang w:eastAsia="en-AU"/>
              <w14:ligatures w14:val="standardContextual"/>
            </w:rPr>
          </w:pPr>
          <w:hyperlink w:anchor="_Toc238200012" w:history="1">
            <w:r w:rsidRPr="000A5CA8">
              <w:rPr>
                <w:rStyle w:val="Hyperlink"/>
                <w:noProof/>
              </w:rPr>
              <w:t>DOMESTIC DEBT ISSUANCE PROGRAMME</w:t>
            </w:r>
            <w:r>
              <w:rPr>
                <w:noProof/>
                <w:webHidden/>
              </w:rPr>
              <w:tab/>
            </w:r>
            <w:r>
              <w:rPr>
                <w:noProof/>
                <w:webHidden/>
              </w:rPr>
              <w:fldChar w:fldCharType="begin"/>
            </w:r>
            <w:r>
              <w:rPr>
                <w:noProof/>
                <w:webHidden/>
              </w:rPr>
              <w:instrText xml:space="preserve"> PAGEREF _Toc238200012 \h </w:instrText>
            </w:r>
            <w:r>
              <w:rPr>
                <w:noProof/>
                <w:webHidden/>
              </w:rPr>
            </w:r>
            <w:r>
              <w:rPr>
                <w:noProof/>
                <w:webHidden/>
              </w:rPr>
              <w:fldChar w:fldCharType="separate"/>
            </w:r>
            <w:r>
              <w:rPr>
                <w:noProof/>
                <w:webHidden/>
              </w:rPr>
              <w:t>8</w:t>
            </w:r>
            <w:r>
              <w:rPr>
                <w:noProof/>
                <w:webHidden/>
              </w:rPr>
              <w:fldChar w:fldCharType="end"/>
            </w:r>
          </w:hyperlink>
        </w:p>
        <w:p w14:paraId="393B19EB" w14:textId="496CC4B5" w:rsidR="00EB797C" w:rsidRDefault="00EB797C">
          <w:pPr>
            <w:pStyle w:val="TOC1"/>
            <w:rPr>
              <w:rFonts w:asciiTheme="minorHAnsi" w:eastAsiaTheme="minorEastAsia" w:hAnsiTheme="minorHAnsi" w:cstheme="minorBidi"/>
              <w:noProof/>
              <w:kern w:val="2"/>
              <w:sz w:val="24"/>
              <w:szCs w:val="24"/>
              <w:lang w:eastAsia="en-AU"/>
              <w14:ligatures w14:val="standardContextual"/>
            </w:rPr>
          </w:pPr>
          <w:hyperlink w:anchor="_Toc238200013" w:history="1">
            <w:r w:rsidRPr="000A5CA8">
              <w:rPr>
                <w:rStyle w:val="Hyperlink"/>
                <w:noProof/>
              </w:rPr>
              <w:t>DEBT ISSUANCE</w:t>
            </w:r>
            <w:r>
              <w:rPr>
                <w:noProof/>
                <w:webHidden/>
              </w:rPr>
              <w:tab/>
            </w:r>
            <w:r>
              <w:rPr>
                <w:noProof/>
                <w:webHidden/>
              </w:rPr>
              <w:fldChar w:fldCharType="begin"/>
            </w:r>
            <w:r>
              <w:rPr>
                <w:noProof/>
                <w:webHidden/>
              </w:rPr>
              <w:instrText xml:space="preserve"> PAGEREF _Toc238200013 \h </w:instrText>
            </w:r>
            <w:r>
              <w:rPr>
                <w:noProof/>
                <w:webHidden/>
              </w:rPr>
            </w:r>
            <w:r>
              <w:rPr>
                <w:noProof/>
                <w:webHidden/>
              </w:rPr>
              <w:fldChar w:fldCharType="separate"/>
            </w:r>
            <w:r>
              <w:rPr>
                <w:noProof/>
                <w:webHidden/>
              </w:rPr>
              <w:t>12</w:t>
            </w:r>
            <w:r>
              <w:rPr>
                <w:noProof/>
                <w:webHidden/>
              </w:rPr>
              <w:fldChar w:fldCharType="end"/>
            </w:r>
          </w:hyperlink>
        </w:p>
        <w:p w14:paraId="2B5E2949" w14:textId="167F747B" w:rsidR="00EB797C" w:rsidRDefault="00EB797C">
          <w:pPr>
            <w:pStyle w:val="TOC1"/>
            <w:rPr>
              <w:rFonts w:asciiTheme="minorHAnsi" w:eastAsiaTheme="minorEastAsia" w:hAnsiTheme="minorHAnsi" w:cstheme="minorBidi"/>
              <w:noProof/>
              <w:kern w:val="2"/>
              <w:sz w:val="24"/>
              <w:szCs w:val="24"/>
              <w:lang w:eastAsia="en-AU"/>
              <w14:ligatures w14:val="standardContextual"/>
            </w:rPr>
          </w:pPr>
          <w:hyperlink w:anchor="_Toc238200014" w:history="1">
            <w:r w:rsidRPr="000A5CA8">
              <w:rPr>
                <w:rStyle w:val="Hyperlink"/>
                <w:noProof/>
              </w:rPr>
              <w:t>RISK MANAGEMENT</w:t>
            </w:r>
            <w:r>
              <w:rPr>
                <w:noProof/>
                <w:webHidden/>
              </w:rPr>
              <w:tab/>
            </w:r>
            <w:r>
              <w:rPr>
                <w:noProof/>
                <w:webHidden/>
              </w:rPr>
              <w:fldChar w:fldCharType="begin"/>
            </w:r>
            <w:r>
              <w:rPr>
                <w:noProof/>
                <w:webHidden/>
              </w:rPr>
              <w:instrText xml:space="preserve"> PAGEREF _Toc238200014 \h </w:instrText>
            </w:r>
            <w:r>
              <w:rPr>
                <w:noProof/>
                <w:webHidden/>
              </w:rPr>
            </w:r>
            <w:r>
              <w:rPr>
                <w:noProof/>
                <w:webHidden/>
              </w:rPr>
              <w:fldChar w:fldCharType="separate"/>
            </w:r>
            <w:r>
              <w:rPr>
                <w:noProof/>
                <w:webHidden/>
              </w:rPr>
              <w:t>13</w:t>
            </w:r>
            <w:r>
              <w:rPr>
                <w:noProof/>
                <w:webHidden/>
              </w:rPr>
              <w:fldChar w:fldCharType="end"/>
            </w:r>
          </w:hyperlink>
        </w:p>
        <w:p w14:paraId="566291FC" w14:textId="63F35B41" w:rsidR="00EB797C" w:rsidRDefault="00EB797C">
          <w:pPr>
            <w:pStyle w:val="TOC1"/>
            <w:rPr>
              <w:rFonts w:asciiTheme="minorHAnsi" w:eastAsiaTheme="minorEastAsia" w:hAnsiTheme="minorHAnsi" w:cstheme="minorBidi"/>
              <w:noProof/>
              <w:kern w:val="2"/>
              <w:sz w:val="24"/>
              <w:szCs w:val="24"/>
              <w:lang w:eastAsia="en-AU"/>
              <w14:ligatures w14:val="standardContextual"/>
            </w:rPr>
          </w:pPr>
          <w:hyperlink w:anchor="_Toc238200015" w:history="1">
            <w:r w:rsidRPr="000A5CA8">
              <w:rPr>
                <w:rStyle w:val="Hyperlink"/>
                <w:noProof/>
              </w:rPr>
              <w:t>MONITORING AND REPORTING OF BORROWINGS</w:t>
            </w:r>
            <w:r>
              <w:rPr>
                <w:noProof/>
                <w:webHidden/>
              </w:rPr>
              <w:tab/>
            </w:r>
            <w:r>
              <w:rPr>
                <w:noProof/>
                <w:webHidden/>
              </w:rPr>
              <w:fldChar w:fldCharType="begin"/>
            </w:r>
            <w:r>
              <w:rPr>
                <w:noProof/>
                <w:webHidden/>
              </w:rPr>
              <w:instrText xml:space="preserve"> PAGEREF _Toc238200015 \h </w:instrText>
            </w:r>
            <w:r>
              <w:rPr>
                <w:noProof/>
                <w:webHidden/>
              </w:rPr>
            </w:r>
            <w:r>
              <w:rPr>
                <w:noProof/>
                <w:webHidden/>
              </w:rPr>
              <w:fldChar w:fldCharType="separate"/>
            </w:r>
            <w:r>
              <w:rPr>
                <w:noProof/>
                <w:webHidden/>
              </w:rPr>
              <w:t>14</w:t>
            </w:r>
            <w:r>
              <w:rPr>
                <w:noProof/>
                <w:webHidden/>
              </w:rPr>
              <w:fldChar w:fldCharType="end"/>
            </w:r>
          </w:hyperlink>
        </w:p>
        <w:p w14:paraId="6CAE79C3" w14:textId="1E8760CB" w:rsidR="005456A2" w:rsidRDefault="005456A2">
          <w:r>
            <w:rPr>
              <w:b/>
              <w:bCs/>
              <w:noProof/>
            </w:rPr>
            <w:fldChar w:fldCharType="end"/>
          </w:r>
        </w:p>
      </w:sdtContent>
    </w:sdt>
    <w:p w14:paraId="7D766400" w14:textId="4C6A8895" w:rsidR="005456A2" w:rsidRPr="002C0890" w:rsidRDefault="005456A2" w:rsidP="002C0890">
      <w:r>
        <w:rPr>
          <w:color w:val="000000" w:themeColor="text1"/>
        </w:rPr>
        <w:br w:type="page"/>
      </w:r>
    </w:p>
    <w:p w14:paraId="318B520E" w14:textId="4A090DB0" w:rsidR="002014DC" w:rsidRPr="00923C55" w:rsidRDefault="002014DC" w:rsidP="00383A18">
      <w:pPr>
        <w:pStyle w:val="Heading1"/>
      </w:pPr>
      <w:bookmarkStart w:id="3" w:name="_Toc238200007"/>
      <w:r w:rsidRPr="00923C55">
        <w:lastRenderedPageBreak/>
        <w:t>PURPOSE</w:t>
      </w:r>
      <w:bookmarkEnd w:id="2"/>
      <w:bookmarkEnd w:id="3"/>
    </w:p>
    <w:p w14:paraId="45EA46C3" w14:textId="6620772D" w:rsidR="00C40C5D" w:rsidRDefault="00F121FC" w:rsidP="00EB797C">
      <w:pPr>
        <w:spacing w:before="0" w:after="240"/>
        <w:jc w:val="both"/>
        <w:rPr>
          <w:rFonts w:cs="Calibri"/>
          <w:sz w:val="24"/>
          <w:szCs w:val="24"/>
          <w:lang w:val="en-US"/>
        </w:rPr>
      </w:pPr>
      <w:bookmarkStart w:id="4" w:name="_Toc152330693"/>
      <w:bookmarkStart w:id="5" w:name="_Toc126829907"/>
      <w:r w:rsidRPr="00F121FC">
        <w:rPr>
          <w:rFonts w:cs="Calibri"/>
          <w:sz w:val="24"/>
          <w:szCs w:val="24"/>
          <w:lang w:val="en-US"/>
        </w:rPr>
        <w:t xml:space="preserve">The </w:t>
      </w:r>
      <w:r w:rsidR="00C40C5D">
        <w:rPr>
          <w:rFonts w:cs="Calibri"/>
          <w:sz w:val="24"/>
          <w:szCs w:val="24"/>
          <w:lang w:val="en-US"/>
        </w:rPr>
        <w:t>Borrowing Management</w:t>
      </w:r>
      <w:r w:rsidRPr="00F121FC">
        <w:rPr>
          <w:rFonts w:cs="Calibri"/>
          <w:sz w:val="24"/>
          <w:szCs w:val="24"/>
          <w:lang w:val="en-US"/>
        </w:rPr>
        <w:t xml:space="preserve"> </w:t>
      </w:r>
      <w:r w:rsidR="004D5168">
        <w:rPr>
          <w:rFonts w:cs="Calibri"/>
          <w:sz w:val="24"/>
          <w:szCs w:val="24"/>
          <w:lang w:val="en-US"/>
        </w:rPr>
        <w:t>P</w:t>
      </w:r>
      <w:r w:rsidRPr="00F121FC">
        <w:rPr>
          <w:rFonts w:cs="Calibri"/>
          <w:sz w:val="24"/>
          <w:szCs w:val="24"/>
          <w:lang w:val="en-US"/>
        </w:rPr>
        <w:t xml:space="preserve">olicy </w:t>
      </w:r>
      <w:r w:rsidR="004D5168">
        <w:rPr>
          <w:rFonts w:cs="Calibri"/>
          <w:sz w:val="24"/>
          <w:szCs w:val="24"/>
          <w:lang w:val="en-US"/>
        </w:rPr>
        <w:t>F</w:t>
      </w:r>
      <w:r w:rsidRPr="00F121FC">
        <w:rPr>
          <w:rFonts w:cs="Calibri"/>
          <w:sz w:val="24"/>
          <w:szCs w:val="24"/>
          <w:lang w:val="en-US"/>
        </w:rPr>
        <w:t>ramework establishe</w:t>
      </w:r>
      <w:r w:rsidR="004D5168">
        <w:rPr>
          <w:rFonts w:cs="Calibri"/>
          <w:sz w:val="24"/>
          <w:szCs w:val="24"/>
          <w:lang w:val="en-US"/>
        </w:rPr>
        <w:t xml:space="preserve">s the principles for </w:t>
      </w:r>
      <w:r w:rsidR="00C40C5D" w:rsidRPr="00C40C5D">
        <w:rPr>
          <w:rFonts w:cs="Calibri"/>
          <w:sz w:val="24"/>
          <w:szCs w:val="24"/>
          <w:lang w:val="en-US"/>
        </w:rPr>
        <w:t xml:space="preserve">prudent and effective management of the </w:t>
      </w:r>
      <w:r w:rsidR="004D5168">
        <w:rPr>
          <w:rFonts w:cs="Calibri"/>
          <w:sz w:val="24"/>
          <w:szCs w:val="24"/>
          <w:lang w:val="en-US"/>
        </w:rPr>
        <w:t xml:space="preserve">Australian capital market </w:t>
      </w:r>
      <w:r w:rsidR="00C40C5D">
        <w:rPr>
          <w:rFonts w:cs="Calibri"/>
          <w:sz w:val="24"/>
          <w:szCs w:val="24"/>
          <w:lang w:val="en-US"/>
        </w:rPr>
        <w:t>deb</w:t>
      </w:r>
      <w:r w:rsidR="004D5168">
        <w:rPr>
          <w:rFonts w:cs="Calibri"/>
          <w:sz w:val="24"/>
          <w:szCs w:val="24"/>
          <w:lang w:val="en-US"/>
        </w:rPr>
        <w:t>t</w:t>
      </w:r>
      <w:r w:rsidR="00C40C5D">
        <w:rPr>
          <w:rFonts w:cs="Calibri"/>
          <w:sz w:val="24"/>
          <w:szCs w:val="24"/>
          <w:lang w:val="en-US"/>
        </w:rPr>
        <w:t xml:space="preserve"> </w:t>
      </w:r>
      <w:r w:rsidR="00C40C5D" w:rsidRPr="00C40C5D">
        <w:rPr>
          <w:rFonts w:cs="Calibri"/>
          <w:sz w:val="24"/>
          <w:szCs w:val="24"/>
          <w:lang w:val="en-US"/>
        </w:rPr>
        <w:t xml:space="preserve">liabilities </w:t>
      </w:r>
      <w:r w:rsidR="00B62B16">
        <w:rPr>
          <w:rFonts w:cs="Calibri"/>
          <w:sz w:val="24"/>
          <w:szCs w:val="24"/>
          <w:lang w:val="en-US"/>
        </w:rPr>
        <w:t xml:space="preserve">of the ACT </w:t>
      </w:r>
      <w:r w:rsidR="004D5168">
        <w:rPr>
          <w:rFonts w:cs="Calibri"/>
          <w:sz w:val="24"/>
          <w:szCs w:val="24"/>
          <w:lang w:val="en-US"/>
        </w:rPr>
        <w:t xml:space="preserve">for which the </w:t>
      </w:r>
      <w:r w:rsidR="00C40C5D" w:rsidRPr="00C40C5D">
        <w:rPr>
          <w:rFonts w:cs="Calibri"/>
          <w:sz w:val="24"/>
          <w:szCs w:val="24"/>
          <w:lang w:val="en-US"/>
        </w:rPr>
        <w:t>Chief Minister, Treasury and Economic Development Directorate</w:t>
      </w:r>
      <w:r w:rsidR="004D5168">
        <w:rPr>
          <w:rFonts w:cs="Calibri"/>
          <w:sz w:val="24"/>
          <w:szCs w:val="24"/>
          <w:lang w:val="en-US"/>
        </w:rPr>
        <w:t xml:space="preserve"> is responsible</w:t>
      </w:r>
      <w:r w:rsidR="00C40C5D">
        <w:rPr>
          <w:rFonts w:cs="Calibri"/>
          <w:sz w:val="24"/>
          <w:szCs w:val="24"/>
          <w:lang w:val="en-US"/>
        </w:rPr>
        <w:t xml:space="preserve">, </w:t>
      </w:r>
      <w:r w:rsidR="00C40C5D" w:rsidRPr="00F121FC">
        <w:rPr>
          <w:rFonts w:cs="Calibri"/>
          <w:sz w:val="24"/>
          <w:szCs w:val="24"/>
          <w:lang w:val="en-US"/>
        </w:rPr>
        <w:t>represented by Treasury</w:t>
      </w:r>
      <w:r w:rsidR="00C40C5D" w:rsidRPr="00C40C5D">
        <w:rPr>
          <w:rFonts w:cs="Calibri"/>
          <w:sz w:val="24"/>
          <w:szCs w:val="24"/>
          <w:lang w:val="en-US"/>
        </w:rPr>
        <w:t xml:space="preserve">. The framework </w:t>
      </w:r>
      <w:r w:rsidR="004D5168">
        <w:rPr>
          <w:rFonts w:cs="Calibri"/>
          <w:sz w:val="24"/>
          <w:szCs w:val="24"/>
          <w:lang w:val="en-US"/>
        </w:rPr>
        <w:t xml:space="preserve">provides </w:t>
      </w:r>
      <w:r w:rsidR="00C40C5D" w:rsidRPr="00C40C5D">
        <w:rPr>
          <w:rFonts w:cs="Calibri"/>
          <w:sz w:val="24"/>
          <w:szCs w:val="24"/>
          <w:lang w:val="en-US"/>
        </w:rPr>
        <w:t>guid</w:t>
      </w:r>
      <w:r w:rsidR="004D5168">
        <w:rPr>
          <w:rFonts w:cs="Calibri"/>
          <w:sz w:val="24"/>
          <w:szCs w:val="24"/>
          <w:lang w:val="en-US"/>
        </w:rPr>
        <w:t xml:space="preserve">ance on Treasury’s debt issuance activities and the ongoing management of the </w:t>
      </w:r>
      <w:r w:rsidR="00C40C5D" w:rsidRPr="00C40C5D">
        <w:rPr>
          <w:rFonts w:cs="Calibri"/>
          <w:sz w:val="24"/>
          <w:szCs w:val="24"/>
          <w:lang w:val="en-US"/>
        </w:rPr>
        <w:t>debt portfolio.</w:t>
      </w:r>
    </w:p>
    <w:p w14:paraId="25F26A8F" w14:textId="6864E2AF" w:rsidR="00F121FC" w:rsidRPr="00F121FC" w:rsidRDefault="00F121FC" w:rsidP="00EB797C">
      <w:pPr>
        <w:spacing w:before="0" w:after="240"/>
        <w:jc w:val="both"/>
        <w:rPr>
          <w:rFonts w:cs="Calibri"/>
          <w:sz w:val="24"/>
          <w:szCs w:val="24"/>
          <w:lang w:val="en-US"/>
        </w:rPr>
      </w:pPr>
      <w:bookmarkStart w:id="6" w:name="_Hlk89842659"/>
      <w:r w:rsidRPr="00F121FC">
        <w:rPr>
          <w:rFonts w:cs="Calibri"/>
          <w:sz w:val="24"/>
          <w:szCs w:val="24"/>
          <w:lang w:val="en-US"/>
        </w:rPr>
        <w:t xml:space="preserve">The Government’s </w:t>
      </w:r>
      <w:r w:rsidR="004D5168">
        <w:rPr>
          <w:rFonts w:cs="Calibri"/>
          <w:sz w:val="24"/>
          <w:szCs w:val="24"/>
          <w:lang w:val="en-US"/>
        </w:rPr>
        <w:t>market</w:t>
      </w:r>
      <w:r w:rsidRPr="00F121FC">
        <w:rPr>
          <w:rFonts w:cs="Calibri"/>
          <w:sz w:val="24"/>
          <w:szCs w:val="24"/>
          <w:lang w:val="en-US"/>
        </w:rPr>
        <w:t xml:space="preserve"> </w:t>
      </w:r>
      <w:r w:rsidR="002E6B49">
        <w:rPr>
          <w:rFonts w:cs="Calibri"/>
          <w:sz w:val="24"/>
          <w:szCs w:val="24"/>
          <w:lang w:val="en-US"/>
        </w:rPr>
        <w:t>borrowings</w:t>
      </w:r>
      <w:r w:rsidR="002E6B49" w:rsidRPr="002E6B49">
        <w:rPr>
          <w:rFonts w:cs="Calibri"/>
          <w:sz w:val="24"/>
          <w:szCs w:val="24"/>
          <w:lang w:val="en-US"/>
        </w:rPr>
        <w:t xml:space="preserve"> </w:t>
      </w:r>
      <w:r w:rsidRPr="00F121FC">
        <w:rPr>
          <w:rFonts w:cs="Calibri"/>
          <w:sz w:val="24"/>
          <w:szCs w:val="24"/>
          <w:lang w:val="en-US"/>
        </w:rPr>
        <w:t xml:space="preserve">are </w:t>
      </w:r>
      <w:r w:rsidR="004D5168">
        <w:rPr>
          <w:rFonts w:cs="Calibri"/>
          <w:sz w:val="24"/>
          <w:szCs w:val="24"/>
          <w:lang w:val="en-US"/>
        </w:rPr>
        <w:t xml:space="preserve">executed and </w:t>
      </w:r>
      <w:r w:rsidRPr="00F121FC">
        <w:rPr>
          <w:rFonts w:cs="Calibri"/>
          <w:sz w:val="24"/>
          <w:szCs w:val="24"/>
          <w:lang w:val="en-US"/>
        </w:rPr>
        <w:t>managed through the Territory Banking Account</w:t>
      </w:r>
      <w:r w:rsidR="004D5168">
        <w:rPr>
          <w:rFonts w:cs="Calibri"/>
          <w:sz w:val="24"/>
          <w:szCs w:val="24"/>
          <w:lang w:val="en-US"/>
        </w:rPr>
        <w:t xml:space="preserve"> (TBA)</w:t>
      </w:r>
      <w:r w:rsidRPr="00F121FC">
        <w:rPr>
          <w:rFonts w:cs="Calibri"/>
          <w:sz w:val="24"/>
          <w:szCs w:val="24"/>
          <w:lang w:val="en-US"/>
        </w:rPr>
        <w:t xml:space="preserve"> </w:t>
      </w:r>
      <w:r w:rsidR="002E6B49">
        <w:rPr>
          <w:rFonts w:cs="Calibri"/>
          <w:sz w:val="24"/>
          <w:szCs w:val="24"/>
          <w:lang w:val="en-US"/>
        </w:rPr>
        <w:t>within Treasury</w:t>
      </w:r>
      <w:r w:rsidRPr="00F121FC">
        <w:rPr>
          <w:rFonts w:cs="Calibri"/>
          <w:sz w:val="24"/>
          <w:szCs w:val="24"/>
          <w:lang w:val="en-US"/>
        </w:rPr>
        <w:t xml:space="preserve">. The TBA undertakes external </w:t>
      </w:r>
      <w:r w:rsidR="002E6B49">
        <w:rPr>
          <w:rFonts w:cs="Calibri"/>
          <w:sz w:val="24"/>
          <w:szCs w:val="24"/>
          <w:lang w:val="en-US"/>
        </w:rPr>
        <w:t>borrowing</w:t>
      </w:r>
      <w:r w:rsidR="002E6B49" w:rsidRPr="002E6B49">
        <w:rPr>
          <w:rFonts w:cs="Calibri"/>
          <w:sz w:val="24"/>
          <w:szCs w:val="24"/>
          <w:lang w:val="en-US"/>
        </w:rPr>
        <w:t xml:space="preserve"> </w:t>
      </w:r>
      <w:r w:rsidRPr="00F121FC">
        <w:rPr>
          <w:rFonts w:cs="Calibri"/>
          <w:sz w:val="24"/>
          <w:szCs w:val="24"/>
          <w:lang w:val="en-US"/>
        </w:rPr>
        <w:t>activities in the name of the Australian Capital Territory.</w:t>
      </w:r>
      <w:bookmarkEnd w:id="6"/>
    </w:p>
    <w:p w14:paraId="5FEEB40F" w14:textId="3AA9C10F" w:rsidR="00F121FC" w:rsidRPr="00F121FC" w:rsidRDefault="002E6B49" w:rsidP="00EB797C">
      <w:pPr>
        <w:spacing w:before="0" w:after="240"/>
        <w:jc w:val="both"/>
        <w:rPr>
          <w:rFonts w:cs="Calibri"/>
          <w:sz w:val="24"/>
          <w:szCs w:val="24"/>
          <w:lang w:val="en-US"/>
        </w:rPr>
      </w:pPr>
      <w:r>
        <w:rPr>
          <w:rFonts w:cs="Calibri"/>
          <w:sz w:val="24"/>
          <w:szCs w:val="24"/>
          <w:lang w:val="en-US"/>
        </w:rPr>
        <w:t>A</w:t>
      </w:r>
      <w:r w:rsidR="00F121FC" w:rsidRPr="00F121FC">
        <w:rPr>
          <w:rFonts w:cs="Calibri"/>
          <w:sz w:val="24"/>
          <w:szCs w:val="24"/>
          <w:lang w:val="en-US"/>
        </w:rPr>
        <w:t xml:space="preserve"> centralised legislative, governance and control </w:t>
      </w:r>
      <w:r w:rsidR="004D5168">
        <w:rPr>
          <w:rFonts w:cs="Calibri"/>
          <w:sz w:val="24"/>
          <w:szCs w:val="24"/>
          <w:lang w:val="en-US"/>
        </w:rPr>
        <w:t>framework underpins</w:t>
      </w:r>
      <w:r w:rsidR="00F121FC" w:rsidRPr="00F121FC">
        <w:rPr>
          <w:rFonts w:cs="Calibri"/>
          <w:sz w:val="24"/>
          <w:szCs w:val="24"/>
          <w:lang w:val="en-US"/>
        </w:rPr>
        <w:t xml:space="preserve"> </w:t>
      </w:r>
      <w:r>
        <w:rPr>
          <w:rFonts w:cs="Calibri"/>
          <w:sz w:val="24"/>
          <w:szCs w:val="24"/>
          <w:lang w:val="en-US"/>
        </w:rPr>
        <w:t>borrowing</w:t>
      </w:r>
      <w:r w:rsidRPr="002E6B49">
        <w:rPr>
          <w:rFonts w:cs="Calibri"/>
          <w:sz w:val="24"/>
          <w:szCs w:val="24"/>
          <w:lang w:val="en-US"/>
        </w:rPr>
        <w:t xml:space="preserve"> </w:t>
      </w:r>
      <w:r w:rsidRPr="00F121FC">
        <w:rPr>
          <w:rFonts w:cs="Calibri"/>
          <w:sz w:val="24"/>
          <w:szCs w:val="24"/>
          <w:lang w:val="en-US"/>
        </w:rPr>
        <w:t xml:space="preserve">activities </w:t>
      </w:r>
      <w:r w:rsidR="004D5168">
        <w:rPr>
          <w:rFonts w:cs="Calibri"/>
          <w:sz w:val="24"/>
          <w:szCs w:val="24"/>
          <w:lang w:val="en-US"/>
        </w:rPr>
        <w:t>to achieve the following outcomes</w:t>
      </w:r>
      <w:r w:rsidR="00F121FC" w:rsidRPr="00F121FC">
        <w:rPr>
          <w:rFonts w:cs="Calibri"/>
          <w:sz w:val="24"/>
          <w:szCs w:val="24"/>
          <w:lang w:val="en-US"/>
        </w:rPr>
        <w:t>:</w:t>
      </w:r>
    </w:p>
    <w:p w14:paraId="637E818F" w14:textId="0E55D78B" w:rsidR="00F121FC" w:rsidRPr="00F121FC" w:rsidRDefault="00EA1351" w:rsidP="00EB797C">
      <w:pPr>
        <w:numPr>
          <w:ilvl w:val="0"/>
          <w:numId w:val="22"/>
        </w:numPr>
        <w:tabs>
          <w:tab w:val="clear" w:pos="360"/>
          <w:tab w:val="num" w:pos="709"/>
        </w:tabs>
        <w:spacing w:before="0" w:after="240"/>
        <w:ind w:left="567" w:hanging="425"/>
        <w:jc w:val="both"/>
        <w:rPr>
          <w:rFonts w:cs="Calibri"/>
          <w:sz w:val="24"/>
          <w:szCs w:val="24"/>
        </w:rPr>
      </w:pPr>
      <w:r>
        <w:rPr>
          <w:rFonts w:cs="Calibri"/>
          <w:sz w:val="24"/>
          <w:szCs w:val="24"/>
        </w:rPr>
        <w:t>c</w:t>
      </w:r>
      <w:r w:rsidR="00F121FC" w:rsidRPr="00F121FC">
        <w:rPr>
          <w:rFonts w:cs="Calibri"/>
          <w:sz w:val="24"/>
          <w:szCs w:val="24"/>
        </w:rPr>
        <w:t xml:space="preserve">onsistent application of </w:t>
      </w:r>
      <w:r w:rsidR="002E6B49">
        <w:rPr>
          <w:rFonts w:cs="Calibri"/>
          <w:sz w:val="24"/>
          <w:szCs w:val="24"/>
        </w:rPr>
        <w:t xml:space="preserve">policy </w:t>
      </w:r>
      <w:r w:rsidR="00F121FC" w:rsidRPr="00F121FC">
        <w:rPr>
          <w:rFonts w:cs="Calibri"/>
          <w:sz w:val="24"/>
          <w:szCs w:val="24"/>
        </w:rPr>
        <w:t>and governance</w:t>
      </w:r>
      <w:r w:rsidR="004D5168">
        <w:rPr>
          <w:rFonts w:cs="Calibri"/>
          <w:sz w:val="24"/>
          <w:szCs w:val="24"/>
        </w:rPr>
        <w:t xml:space="preserve"> requirements</w:t>
      </w:r>
      <w:r w:rsidR="00F121FC" w:rsidRPr="00F121FC">
        <w:rPr>
          <w:rFonts w:cs="Calibri"/>
          <w:sz w:val="24"/>
          <w:szCs w:val="24"/>
        </w:rPr>
        <w:t>;</w:t>
      </w:r>
    </w:p>
    <w:p w14:paraId="073D2A30" w14:textId="7E147363" w:rsidR="00F121FC" w:rsidRPr="00F121FC" w:rsidRDefault="00EA1351" w:rsidP="00EB797C">
      <w:pPr>
        <w:numPr>
          <w:ilvl w:val="0"/>
          <w:numId w:val="22"/>
        </w:numPr>
        <w:tabs>
          <w:tab w:val="clear" w:pos="360"/>
          <w:tab w:val="num" w:pos="709"/>
        </w:tabs>
        <w:spacing w:before="0" w:after="240"/>
        <w:ind w:left="567" w:hanging="425"/>
        <w:jc w:val="both"/>
        <w:rPr>
          <w:rFonts w:cs="Calibri"/>
          <w:sz w:val="24"/>
          <w:szCs w:val="24"/>
        </w:rPr>
      </w:pPr>
      <w:r>
        <w:rPr>
          <w:rFonts w:cs="Calibri"/>
          <w:sz w:val="24"/>
          <w:szCs w:val="24"/>
        </w:rPr>
        <w:t>a</w:t>
      </w:r>
      <w:r w:rsidR="004D5168">
        <w:rPr>
          <w:rFonts w:cs="Calibri"/>
          <w:sz w:val="24"/>
          <w:szCs w:val="24"/>
        </w:rPr>
        <w:t xml:space="preserve"> s</w:t>
      </w:r>
      <w:r w:rsidR="00F121FC" w:rsidRPr="00F121FC">
        <w:rPr>
          <w:rFonts w:cs="Calibri"/>
          <w:sz w:val="24"/>
          <w:szCs w:val="24"/>
        </w:rPr>
        <w:t xml:space="preserve">ingle Territory entity </w:t>
      </w:r>
      <w:r w:rsidR="004D5168">
        <w:rPr>
          <w:rFonts w:cs="Calibri"/>
          <w:sz w:val="24"/>
          <w:szCs w:val="24"/>
        </w:rPr>
        <w:t>engaging with</w:t>
      </w:r>
      <w:r w:rsidR="00F121FC" w:rsidRPr="00F121FC">
        <w:rPr>
          <w:rFonts w:cs="Calibri"/>
          <w:sz w:val="24"/>
          <w:szCs w:val="24"/>
        </w:rPr>
        <w:t xml:space="preserve"> financial markets;</w:t>
      </w:r>
    </w:p>
    <w:p w14:paraId="508821BE" w14:textId="7AC6A255" w:rsidR="00F121FC" w:rsidRPr="00F121FC" w:rsidRDefault="00EA1351" w:rsidP="00EB797C">
      <w:pPr>
        <w:numPr>
          <w:ilvl w:val="0"/>
          <w:numId w:val="22"/>
        </w:numPr>
        <w:tabs>
          <w:tab w:val="clear" w:pos="360"/>
          <w:tab w:val="num" w:pos="709"/>
        </w:tabs>
        <w:spacing w:before="0" w:after="240"/>
        <w:ind w:left="567" w:hanging="425"/>
        <w:jc w:val="both"/>
        <w:rPr>
          <w:rFonts w:cs="Calibri"/>
          <w:sz w:val="24"/>
          <w:szCs w:val="24"/>
        </w:rPr>
      </w:pPr>
      <w:r>
        <w:rPr>
          <w:rFonts w:cs="Calibri"/>
          <w:sz w:val="24"/>
          <w:szCs w:val="24"/>
        </w:rPr>
        <w:t>c</w:t>
      </w:r>
      <w:r w:rsidR="004D5168">
        <w:rPr>
          <w:rFonts w:cs="Calibri"/>
          <w:sz w:val="24"/>
          <w:szCs w:val="24"/>
        </w:rPr>
        <w:t>ompliance with l</w:t>
      </w:r>
      <w:r w:rsidR="00F121FC" w:rsidRPr="00F121FC">
        <w:rPr>
          <w:rFonts w:cs="Calibri"/>
          <w:sz w:val="24"/>
          <w:szCs w:val="24"/>
        </w:rPr>
        <w:t xml:space="preserve">egislative </w:t>
      </w:r>
      <w:r w:rsidR="004D5168">
        <w:rPr>
          <w:rFonts w:cs="Calibri"/>
          <w:sz w:val="24"/>
          <w:szCs w:val="24"/>
        </w:rPr>
        <w:t>obligations</w:t>
      </w:r>
      <w:r w:rsidR="00F121FC" w:rsidRPr="00F121FC">
        <w:rPr>
          <w:rFonts w:cs="Calibri"/>
          <w:sz w:val="24"/>
          <w:szCs w:val="24"/>
        </w:rPr>
        <w:t>;</w:t>
      </w:r>
    </w:p>
    <w:p w14:paraId="1183599B" w14:textId="2D68E500" w:rsidR="00F121FC" w:rsidRPr="00F121FC" w:rsidRDefault="00EA1351" w:rsidP="00EB797C">
      <w:pPr>
        <w:numPr>
          <w:ilvl w:val="0"/>
          <w:numId w:val="22"/>
        </w:numPr>
        <w:tabs>
          <w:tab w:val="clear" w:pos="360"/>
          <w:tab w:val="num" w:pos="709"/>
        </w:tabs>
        <w:spacing w:before="0" w:after="240"/>
        <w:ind w:left="567" w:hanging="425"/>
        <w:jc w:val="both"/>
        <w:rPr>
          <w:rFonts w:cs="Calibri"/>
          <w:sz w:val="24"/>
          <w:szCs w:val="24"/>
        </w:rPr>
      </w:pPr>
      <w:r>
        <w:rPr>
          <w:rFonts w:cs="Calibri"/>
          <w:sz w:val="24"/>
          <w:szCs w:val="24"/>
        </w:rPr>
        <w:t>e</w:t>
      </w:r>
      <w:r w:rsidR="00F121FC" w:rsidRPr="00F121FC">
        <w:rPr>
          <w:rFonts w:cs="Calibri"/>
          <w:sz w:val="24"/>
          <w:szCs w:val="24"/>
        </w:rPr>
        <w:t>conomies of scale and cost efficiencies; and</w:t>
      </w:r>
    </w:p>
    <w:p w14:paraId="77115224" w14:textId="4866E3B4" w:rsidR="00F121FC" w:rsidRPr="00F121FC" w:rsidRDefault="00EA1351" w:rsidP="00EB797C">
      <w:pPr>
        <w:numPr>
          <w:ilvl w:val="0"/>
          <w:numId w:val="22"/>
        </w:numPr>
        <w:tabs>
          <w:tab w:val="clear" w:pos="360"/>
          <w:tab w:val="num" w:pos="709"/>
        </w:tabs>
        <w:spacing w:before="0" w:after="240"/>
        <w:ind w:left="567" w:hanging="425"/>
        <w:jc w:val="both"/>
        <w:rPr>
          <w:rFonts w:cs="Calibri"/>
          <w:sz w:val="24"/>
          <w:szCs w:val="24"/>
        </w:rPr>
      </w:pPr>
      <w:r>
        <w:rPr>
          <w:rFonts w:cs="Calibri"/>
          <w:sz w:val="24"/>
          <w:szCs w:val="24"/>
        </w:rPr>
        <w:t>c</w:t>
      </w:r>
      <w:r w:rsidR="004D5168">
        <w:rPr>
          <w:rFonts w:cs="Calibri"/>
          <w:sz w:val="24"/>
          <w:szCs w:val="24"/>
        </w:rPr>
        <w:t>onsistency in f</w:t>
      </w:r>
      <w:r w:rsidR="00F121FC" w:rsidRPr="00F121FC">
        <w:rPr>
          <w:rFonts w:cs="Calibri"/>
          <w:sz w:val="24"/>
          <w:szCs w:val="24"/>
        </w:rPr>
        <w:t xml:space="preserve">inancial </w:t>
      </w:r>
      <w:r w:rsidR="004D5168">
        <w:rPr>
          <w:rFonts w:cs="Calibri"/>
          <w:sz w:val="24"/>
          <w:szCs w:val="24"/>
        </w:rPr>
        <w:t>r</w:t>
      </w:r>
      <w:r w:rsidR="00F121FC" w:rsidRPr="00F121FC">
        <w:rPr>
          <w:rFonts w:cs="Calibri"/>
          <w:sz w:val="24"/>
          <w:szCs w:val="24"/>
        </w:rPr>
        <w:t xml:space="preserve">eporting and </w:t>
      </w:r>
      <w:r w:rsidR="004D5168">
        <w:rPr>
          <w:rFonts w:cs="Calibri"/>
          <w:sz w:val="24"/>
          <w:szCs w:val="24"/>
        </w:rPr>
        <w:t>b</w:t>
      </w:r>
      <w:r w:rsidR="00F121FC" w:rsidRPr="00F121FC">
        <w:rPr>
          <w:rFonts w:cs="Calibri"/>
          <w:sz w:val="24"/>
          <w:szCs w:val="24"/>
        </w:rPr>
        <w:t>udgeting.</w:t>
      </w:r>
    </w:p>
    <w:p w14:paraId="6D111D0F" w14:textId="31495951" w:rsidR="002E6B49" w:rsidRDefault="002E6B49" w:rsidP="00EB797C">
      <w:pPr>
        <w:spacing w:before="0" w:after="240"/>
        <w:jc w:val="both"/>
        <w:rPr>
          <w:rFonts w:cs="Calibri"/>
          <w:sz w:val="24"/>
          <w:szCs w:val="24"/>
          <w:lang w:val="en-US"/>
        </w:rPr>
      </w:pPr>
      <w:r w:rsidRPr="002E6B49">
        <w:rPr>
          <w:rFonts w:cs="Calibri"/>
          <w:sz w:val="24"/>
          <w:szCs w:val="24"/>
          <w:lang w:val="en-US"/>
        </w:rPr>
        <w:t xml:space="preserve">This framework is intended to </w:t>
      </w:r>
      <w:r w:rsidR="004D5168">
        <w:rPr>
          <w:rFonts w:cs="Calibri"/>
          <w:sz w:val="24"/>
          <w:szCs w:val="24"/>
          <w:lang w:val="en-US"/>
        </w:rPr>
        <w:t xml:space="preserve">provide high-level guidance on </w:t>
      </w:r>
      <w:r w:rsidRPr="002E6B49">
        <w:rPr>
          <w:rFonts w:cs="Calibri"/>
          <w:sz w:val="24"/>
          <w:szCs w:val="24"/>
          <w:lang w:val="en-US"/>
        </w:rPr>
        <w:t xml:space="preserve">the </w:t>
      </w:r>
      <w:r>
        <w:rPr>
          <w:rFonts w:cs="Calibri"/>
          <w:sz w:val="24"/>
          <w:szCs w:val="24"/>
          <w:lang w:val="en-US"/>
        </w:rPr>
        <w:t xml:space="preserve">Territory’s </w:t>
      </w:r>
      <w:r w:rsidR="004D5168">
        <w:rPr>
          <w:rFonts w:cs="Calibri"/>
          <w:sz w:val="24"/>
          <w:szCs w:val="24"/>
          <w:lang w:val="en-US"/>
        </w:rPr>
        <w:t xml:space="preserve">approach to </w:t>
      </w:r>
      <w:r w:rsidRPr="002E6B49">
        <w:rPr>
          <w:rFonts w:cs="Calibri"/>
          <w:sz w:val="24"/>
          <w:szCs w:val="24"/>
          <w:lang w:val="en-US"/>
        </w:rPr>
        <w:t>debt issuance</w:t>
      </w:r>
      <w:r w:rsidR="004D5168">
        <w:rPr>
          <w:rFonts w:cs="Calibri"/>
          <w:sz w:val="24"/>
          <w:szCs w:val="24"/>
          <w:lang w:val="en-US"/>
        </w:rPr>
        <w:t xml:space="preserve">, </w:t>
      </w:r>
      <w:r w:rsidRPr="002E6B49">
        <w:rPr>
          <w:rFonts w:cs="Calibri"/>
          <w:sz w:val="24"/>
          <w:szCs w:val="24"/>
          <w:lang w:val="en-US"/>
        </w:rPr>
        <w:t xml:space="preserve">management </w:t>
      </w:r>
      <w:r w:rsidR="004D5168">
        <w:rPr>
          <w:rFonts w:cs="Calibri"/>
          <w:sz w:val="24"/>
          <w:szCs w:val="24"/>
          <w:lang w:val="en-US"/>
        </w:rPr>
        <w:t xml:space="preserve">and </w:t>
      </w:r>
      <w:r w:rsidRPr="002E6B49">
        <w:rPr>
          <w:rFonts w:cs="Calibri"/>
          <w:sz w:val="24"/>
          <w:szCs w:val="24"/>
          <w:lang w:val="en-US"/>
        </w:rPr>
        <w:t xml:space="preserve">the governance and oversight of </w:t>
      </w:r>
      <w:r>
        <w:rPr>
          <w:rFonts w:cs="Calibri"/>
          <w:sz w:val="24"/>
          <w:szCs w:val="24"/>
          <w:lang w:val="en-US"/>
        </w:rPr>
        <w:t>borrowing</w:t>
      </w:r>
      <w:r w:rsidRPr="002E6B49">
        <w:rPr>
          <w:rFonts w:cs="Calibri"/>
          <w:sz w:val="24"/>
          <w:szCs w:val="24"/>
          <w:lang w:val="en-US"/>
        </w:rPr>
        <w:t xml:space="preserve"> </w:t>
      </w:r>
      <w:r w:rsidR="004D5168">
        <w:rPr>
          <w:rFonts w:cs="Calibri"/>
          <w:sz w:val="24"/>
          <w:szCs w:val="24"/>
          <w:lang w:val="en-US"/>
        </w:rPr>
        <w:t>activities</w:t>
      </w:r>
      <w:r w:rsidRPr="002E6B49">
        <w:rPr>
          <w:rFonts w:cs="Calibri"/>
          <w:sz w:val="24"/>
          <w:szCs w:val="24"/>
          <w:lang w:val="en-US"/>
        </w:rPr>
        <w:t xml:space="preserve">. </w:t>
      </w:r>
    </w:p>
    <w:p w14:paraId="761AA717" w14:textId="77777777" w:rsidR="00EA6F8A" w:rsidRPr="0019125B" w:rsidRDefault="00EA6F8A" w:rsidP="00383A18">
      <w:pPr>
        <w:pStyle w:val="Heading1"/>
      </w:pPr>
      <w:bookmarkStart w:id="7" w:name="_Toc238200008"/>
      <w:r w:rsidRPr="0019125B">
        <w:t>LEGISLATIVE REQUIREMENTS</w:t>
      </w:r>
      <w:bookmarkEnd w:id="4"/>
      <w:bookmarkEnd w:id="7"/>
    </w:p>
    <w:p w14:paraId="45F819AB" w14:textId="4B8632E0" w:rsidR="00890E2F" w:rsidRPr="00890E2F" w:rsidRDefault="00890E2F" w:rsidP="00EB797C">
      <w:pPr>
        <w:spacing w:before="0" w:after="240"/>
        <w:jc w:val="both"/>
        <w:rPr>
          <w:rFonts w:cs="Calibri"/>
          <w:sz w:val="24"/>
          <w:szCs w:val="24"/>
          <w:lang w:val="en-US"/>
        </w:rPr>
      </w:pPr>
      <w:r w:rsidRPr="00890E2F">
        <w:rPr>
          <w:rFonts w:cs="Calibri"/>
          <w:sz w:val="24"/>
          <w:szCs w:val="24"/>
          <w:lang w:val="en-US"/>
        </w:rPr>
        <w:t xml:space="preserve">The Australian Capital Territory (Territory) is a body politic established by section 7 of the </w:t>
      </w:r>
      <w:r w:rsidRPr="00890E2F">
        <w:rPr>
          <w:rFonts w:cs="Calibri"/>
          <w:i/>
          <w:iCs/>
          <w:sz w:val="24"/>
          <w:szCs w:val="24"/>
          <w:lang w:val="en-US"/>
        </w:rPr>
        <w:t>Australian Capital Territory (Self-Government) Act 1988</w:t>
      </w:r>
      <w:r w:rsidRPr="00890E2F">
        <w:rPr>
          <w:rFonts w:cs="Calibri"/>
          <w:sz w:val="24"/>
          <w:szCs w:val="24"/>
          <w:lang w:val="en-US"/>
        </w:rPr>
        <w:t xml:space="preserve"> (</w:t>
      </w:r>
      <w:proofErr w:type="spellStart"/>
      <w:r w:rsidRPr="00890E2F">
        <w:rPr>
          <w:rFonts w:cs="Calibri"/>
          <w:sz w:val="24"/>
          <w:szCs w:val="24"/>
          <w:lang w:val="en-US"/>
        </w:rPr>
        <w:t>Cth</w:t>
      </w:r>
      <w:proofErr w:type="spellEnd"/>
      <w:r w:rsidRPr="00890E2F">
        <w:rPr>
          <w:rFonts w:cs="Calibri"/>
          <w:sz w:val="24"/>
          <w:szCs w:val="24"/>
          <w:lang w:val="en-US"/>
        </w:rPr>
        <w:t>).</w:t>
      </w:r>
    </w:p>
    <w:p w14:paraId="6F97899C" w14:textId="3EB21C64" w:rsidR="00890E2F" w:rsidRPr="00890E2F" w:rsidRDefault="004D5168" w:rsidP="00EB797C">
      <w:pPr>
        <w:spacing w:before="0" w:after="240"/>
        <w:jc w:val="both"/>
        <w:rPr>
          <w:rFonts w:cs="Calibri"/>
          <w:sz w:val="24"/>
          <w:szCs w:val="24"/>
          <w:lang w:val="en-US"/>
        </w:rPr>
      </w:pPr>
      <w:proofErr w:type="gramStart"/>
      <w:r>
        <w:rPr>
          <w:rFonts w:cs="Calibri"/>
          <w:sz w:val="24"/>
          <w:szCs w:val="24"/>
          <w:lang w:val="en-US"/>
        </w:rPr>
        <w:t>For the purpose of</w:t>
      </w:r>
      <w:proofErr w:type="gramEnd"/>
      <w:r>
        <w:rPr>
          <w:rFonts w:cs="Calibri"/>
          <w:sz w:val="24"/>
          <w:szCs w:val="24"/>
          <w:lang w:val="en-US"/>
        </w:rPr>
        <w:t xml:space="preserve"> this framework, the term </w:t>
      </w:r>
      <w:r w:rsidR="00890E2F" w:rsidRPr="00890E2F">
        <w:rPr>
          <w:rFonts w:cs="Calibri"/>
          <w:sz w:val="24"/>
          <w:szCs w:val="24"/>
          <w:lang w:val="en-US"/>
        </w:rPr>
        <w:t xml:space="preserve">Territory </w:t>
      </w:r>
      <w:r>
        <w:rPr>
          <w:rFonts w:cs="Calibri"/>
          <w:sz w:val="24"/>
          <w:szCs w:val="24"/>
          <w:lang w:val="en-US"/>
        </w:rPr>
        <w:t>refers to</w:t>
      </w:r>
      <w:r w:rsidR="00890E2F" w:rsidRPr="00890E2F">
        <w:rPr>
          <w:rFonts w:cs="Calibri"/>
          <w:sz w:val="24"/>
          <w:szCs w:val="24"/>
          <w:lang w:val="en-US"/>
        </w:rPr>
        <w:t xml:space="preserve">: </w:t>
      </w:r>
    </w:p>
    <w:p w14:paraId="2387195D" w14:textId="45252F04" w:rsidR="00890E2F" w:rsidRPr="00890E2F" w:rsidRDefault="00890E2F" w:rsidP="00EB797C">
      <w:pPr>
        <w:numPr>
          <w:ilvl w:val="0"/>
          <w:numId w:val="22"/>
        </w:numPr>
        <w:tabs>
          <w:tab w:val="clear" w:pos="360"/>
          <w:tab w:val="num" w:pos="709"/>
        </w:tabs>
        <w:spacing w:before="0" w:after="240"/>
        <w:ind w:left="567" w:hanging="425"/>
        <w:jc w:val="both"/>
        <w:rPr>
          <w:rFonts w:cs="Calibri"/>
          <w:sz w:val="24"/>
          <w:szCs w:val="24"/>
        </w:rPr>
      </w:pPr>
      <w:r w:rsidRPr="00890E2F">
        <w:rPr>
          <w:rFonts w:cs="Calibri"/>
          <w:sz w:val="24"/>
          <w:szCs w:val="24"/>
        </w:rPr>
        <w:t>the Australian Capital Territory</w:t>
      </w:r>
      <w:r w:rsidR="004D5168">
        <w:rPr>
          <w:rFonts w:cs="Calibri"/>
          <w:sz w:val="24"/>
          <w:szCs w:val="24"/>
        </w:rPr>
        <w:t xml:space="preserve"> in a geographical sense</w:t>
      </w:r>
      <w:r w:rsidRPr="00890E2F">
        <w:rPr>
          <w:rFonts w:cs="Calibri"/>
          <w:sz w:val="24"/>
          <w:szCs w:val="24"/>
        </w:rPr>
        <w:t xml:space="preserve">; and </w:t>
      </w:r>
    </w:p>
    <w:p w14:paraId="10E4C9A6" w14:textId="0FD74AA1" w:rsidR="00890E2F" w:rsidRPr="00890E2F" w:rsidRDefault="00890E2F" w:rsidP="00EB797C">
      <w:pPr>
        <w:numPr>
          <w:ilvl w:val="0"/>
          <w:numId w:val="22"/>
        </w:numPr>
        <w:tabs>
          <w:tab w:val="clear" w:pos="360"/>
          <w:tab w:val="num" w:pos="709"/>
        </w:tabs>
        <w:spacing w:before="0" w:after="240"/>
        <w:ind w:left="567" w:hanging="425"/>
        <w:jc w:val="both"/>
        <w:rPr>
          <w:rFonts w:cs="Calibri"/>
          <w:sz w:val="24"/>
          <w:szCs w:val="24"/>
        </w:rPr>
      </w:pPr>
      <w:r w:rsidRPr="00890E2F">
        <w:rPr>
          <w:rFonts w:cs="Calibri"/>
          <w:sz w:val="24"/>
          <w:szCs w:val="24"/>
        </w:rPr>
        <w:t xml:space="preserve">the body politic established </w:t>
      </w:r>
      <w:r w:rsidR="00EC74C9">
        <w:rPr>
          <w:rFonts w:cs="Calibri"/>
          <w:sz w:val="24"/>
          <w:szCs w:val="24"/>
        </w:rPr>
        <w:t>under</w:t>
      </w:r>
      <w:r w:rsidRPr="00890E2F">
        <w:rPr>
          <w:rFonts w:cs="Calibri"/>
          <w:sz w:val="24"/>
          <w:szCs w:val="24"/>
        </w:rPr>
        <w:t xml:space="preserve"> section 7 of the </w:t>
      </w:r>
      <w:r w:rsidRPr="00890E2F">
        <w:rPr>
          <w:rFonts w:cs="Calibri"/>
          <w:i/>
          <w:iCs/>
          <w:sz w:val="24"/>
          <w:szCs w:val="24"/>
        </w:rPr>
        <w:t>Australian Capital Territory (Self-Government) Act 1988</w:t>
      </w:r>
      <w:r w:rsidRPr="00890E2F">
        <w:rPr>
          <w:rFonts w:cs="Calibri"/>
          <w:sz w:val="24"/>
          <w:szCs w:val="24"/>
        </w:rPr>
        <w:t xml:space="preserve"> (</w:t>
      </w:r>
      <w:proofErr w:type="spellStart"/>
      <w:r w:rsidRPr="00890E2F">
        <w:rPr>
          <w:rFonts w:cs="Calibri"/>
          <w:sz w:val="24"/>
          <w:szCs w:val="24"/>
        </w:rPr>
        <w:t>Cth</w:t>
      </w:r>
      <w:proofErr w:type="spellEnd"/>
      <w:r w:rsidRPr="00890E2F">
        <w:rPr>
          <w:rFonts w:cs="Calibri"/>
          <w:sz w:val="24"/>
          <w:szCs w:val="24"/>
        </w:rPr>
        <w:t xml:space="preserve">). </w:t>
      </w:r>
    </w:p>
    <w:p w14:paraId="0079760B" w14:textId="691392C3" w:rsidR="00890E2F" w:rsidRPr="00890E2F" w:rsidRDefault="00890E2F" w:rsidP="00EB797C">
      <w:pPr>
        <w:spacing w:before="0" w:after="240"/>
        <w:jc w:val="both"/>
        <w:rPr>
          <w:rFonts w:cs="Calibri"/>
          <w:sz w:val="24"/>
          <w:szCs w:val="24"/>
          <w:lang w:val="en-US"/>
        </w:rPr>
      </w:pPr>
      <w:r w:rsidRPr="00890E2F">
        <w:rPr>
          <w:rFonts w:cs="Calibri"/>
          <w:sz w:val="24"/>
          <w:szCs w:val="24"/>
          <w:lang w:val="en-US"/>
        </w:rPr>
        <w:t xml:space="preserve">The legal entity for </w:t>
      </w:r>
      <w:r w:rsidR="00EC74C9">
        <w:rPr>
          <w:rFonts w:cs="Calibri"/>
          <w:sz w:val="24"/>
          <w:szCs w:val="24"/>
          <w:lang w:val="en-US"/>
        </w:rPr>
        <w:t xml:space="preserve">capital market </w:t>
      </w:r>
      <w:r>
        <w:rPr>
          <w:rFonts w:cs="Calibri"/>
          <w:sz w:val="24"/>
          <w:szCs w:val="24"/>
          <w:lang w:val="en-US"/>
        </w:rPr>
        <w:t xml:space="preserve">borrowings referred </w:t>
      </w:r>
      <w:r w:rsidR="00EC74C9">
        <w:rPr>
          <w:rFonts w:cs="Calibri"/>
          <w:sz w:val="24"/>
          <w:szCs w:val="24"/>
          <w:lang w:val="en-US"/>
        </w:rPr>
        <w:t xml:space="preserve">to in this </w:t>
      </w:r>
      <w:r>
        <w:rPr>
          <w:rFonts w:cs="Calibri"/>
          <w:sz w:val="24"/>
          <w:szCs w:val="24"/>
          <w:lang w:val="en-US"/>
        </w:rPr>
        <w:t xml:space="preserve">framework </w:t>
      </w:r>
      <w:r w:rsidRPr="00890E2F">
        <w:rPr>
          <w:rFonts w:cs="Calibri"/>
          <w:sz w:val="24"/>
          <w:szCs w:val="24"/>
          <w:lang w:val="en-US"/>
        </w:rPr>
        <w:t>is the Australian Capital Territory.</w:t>
      </w:r>
    </w:p>
    <w:p w14:paraId="15A0DC05" w14:textId="7C0C3F0A" w:rsidR="00F121FC" w:rsidRPr="00F121FC" w:rsidRDefault="00F121FC" w:rsidP="00EB797C">
      <w:pPr>
        <w:spacing w:before="0" w:after="240"/>
        <w:jc w:val="both"/>
        <w:rPr>
          <w:rFonts w:cs="Calibri"/>
          <w:sz w:val="24"/>
          <w:szCs w:val="24"/>
          <w:lang w:val="en-US"/>
        </w:rPr>
      </w:pPr>
      <w:r w:rsidRPr="00F121FC">
        <w:rPr>
          <w:rFonts w:cs="Calibri"/>
          <w:sz w:val="24"/>
          <w:szCs w:val="24"/>
          <w:lang w:val="en-US"/>
        </w:rPr>
        <w:lastRenderedPageBreak/>
        <w:t xml:space="preserve">The </w:t>
      </w:r>
      <w:r w:rsidR="00EC74C9">
        <w:rPr>
          <w:rFonts w:cs="Calibri"/>
          <w:sz w:val="24"/>
          <w:szCs w:val="24"/>
          <w:lang w:val="en-US"/>
        </w:rPr>
        <w:t xml:space="preserve">Territory’s authority to borrow is provided under the </w:t>
      </w:r>
      <w:r w:rsidRPr="00F121FC">
        <w:rPr>
          <w:rFonts w:cs="Calibri"/>
          <w:i/>
          <w:iCs/>
          <w:sz w:val="24"/>
          <w:szCs w:val="24"/>
          <w:lang w:val="en-US"/>
        </w:rPr>
        <w:t>Financial Management Act 1996</w:t>
      </w:r>
      <w:r w:rsidRPr="00F121FC">
        <w:rPr>
          <w:rFonts w:cs="Calibri"/>
          <w:sz w:val="24"/>
          <w:szCs w:val="24"/>
          <w:lang w:val="en-US"/>
        </w:rPr>
        <w:t xml:space="preserve"> (FMA)</w:t>
      </w:r>
      <w:r w:rsidR="00EC74C9">
        <w:rPr>
          <w:rFonts w:cs="Calibri"/>
          <w:sz w:val="24"/>
          <w:szCs w:val="24"/>
          <w:lang w:val="en-US"/>
        </w:rPr>
        <w:t>, which establishes the legislative basis for borrowing activities</w:t>
      </w:r>
      <w:r w:rsidRPr="00F121FC">
        <w:rPr>
          <w:rFonts w:cs="Calibri"/>
          <w:sz w:val="24"/>
          <w:szCs w:val="24"/>
          <w:lang w:val="en-US"/>
        </w:rPr>
        <w:t>.</w:t>
      </w:r>
    </w:p>
    <w:p w14:paraId="57255D91" w14:textId="26C7D929" w:rsidR="00F121FC" w:rsidRDefault="00F121FC" w:rsidP="00EB797C">
      <w:pPr>
        <w:numPr>
          <w:ilvl w:val="0"/>
          <w:numId w:val="22"/>
        </w:numPr>
        <w:tabs>
          <w:tab w:val="clear" w:pos="360"/>
          <w:tab w:val="num" w:pos="709"/>
        </w:tabs>
        <w:spacing w:before="0" w:after="240"/>
        <w:ind w:left="567" w:hanging="425"/>
        <w:jc w:val="both"/>
        <w:rPr>
          <w:rFonts w:cs="Calibri"/>
          <w:sz w:val="24"/>
          <w:szCs w:val="24"/>
        </w:rPr>
      </w:pPr>
      <w:r w:rsidRPr="00F121FC">
        <w:rPr>
          <w:rFonts w:cs="Calibri"/>
          <w:sz w:val="24"/>
          <w:szCs w:val="24"/>
        </w:rPr>
        <w:t xml:space="preserve">Section </w:t>
      </w:r>
      <w:r w:rsidR="00890E2F">
        <w:rPr>
          <w:rFonts w:cs="Calibri"/>
          <w:sz w:val="24"/>
          <w:szCs w:val="24"/>
        </w:rPr>
        <w:t>40</w:t>
      </w:r>
      <w:r w:rsidRPr="00F121FC">
        <w:rPr>
          <w:rFonts w:cs="Calibri"/>
          <w:sz w:val="24"/>
          <w:szCs w:val="24"/>
        </w:rPr>
        <w:t xml:space="preserve"> provides that the Treasurer may</w:t>
      </w:r>
      <w:r w:rsidR="00890E2F">
        <w:rPr>
          <w:rFonts w:cs="Calibri"/>
          <w:sz w:val="24"/>
          <w:szCs w:val="24"/>
        </w:rPr>
        <w:t xml:space="preserve">, </w:t>
      </w:r>
      <w:r w:rsidR="00890E2F" w:rsidRPr="00890E2F">
        <w:rPr>
          <w:rFonts w:cs="Calibri"/>
          <w:sz w:val="24"/>
          <w:szCs w:val="24"/>
        </w:rPr>
        <w:t>on behalf of the Territory, if necessary or expedient in the public interest to do so—</w:t>
      </w:r>
    </w:p>
    <w:p w14:paraId="704E4491" w14:textId="52800577" w:rsidR="00890E2F" w:rsidRPr="00890E2F" w:rsidRDefault="00890E2F" w:rsidP="00EB797C">
      <w:pPr>
        <w:tabs>
          <w:tab w:val="left" w:pos="1276"/>
        </w:tabs>
        <w:spacing w:before="0" w:after="240"/>
        <w:ind w:firstLine="851"/>
        <w:jc w:val="both"/>
        <w:rPr>
          <w:rFonts w:cs="Calibri"/>
          <w:sz w:val="24"/>
          <w:szCs w:val="24"/>
        </w:rPr>
      </w:pPr>
      <w:r w:rsidRPr="00890E2F">
        <w:rPr>
          <w:rFonts w:cs="Calibri"/>
          <w:sz w:val="24"/>
          <w:szCs w:val="24"/>
        </w:rPr>
        <w:t>(a)</w:t>
      </w:r>
      <w:r>
        <w:rPr>
          <w:rFonts w:cs="Calibri"/>
          <w:sz w:val="24"/>
          <w:szCs w:val="24"/>
        </w:rPr>
        <w:tab/>
      </w:r>
      <w:r w:rsidRPr="00890E2F">
        <w:rPr>
          <w:rFonts w:cs="Calibri"/>
          <w:sz w:val="24"/>
          <w:szCs w:val="24"/>
        </w:rPr>
        <w:t xml:space="preserve">borrow money; </w:t>
      </w:r>
    </w:p>
    <w:p w14:paraId="05A959AD" w14:textId="6BD0BDAF" w:rsidR="00890E2F" w:rsidRPr="00890E2F" w:rsidRDefault="00890E2F" w:rsidP="00EB797C">
      <w:pPr>
        <w:tabs>
          <w:tab w:val="left" w:pos="1276"/>
        </w:tabs>
        <w:spacing w:before="0" w:after="240"/>
        <w:ind w:left="1276" w:hanging="425"/>
        <w:jc w:val="both"/>
        <w:rPr>
          <w:rFonts w:cs="Calibri"/>
          <w:sz w:val="24"/>
          <w:szCs w:val="24"/>
        </w:rPr>
      </w:pPr>
      <w:r w:rsidRPr="00890E2F">
        <w:rPr>
          <w:rFonts w:cs="Calibri"/>
          <w:sz w:val="24"/>
          <w:szCs w:val="24"/>
        </w:rPr>
        <w:t>(b)</w:t>
      </w:r>
      <w:r>
        <w:rPr>
          <w:rFonts w:cs="Calibri"/>
          <w:sz w:val="24"/>
          <w:szCs w:val="24"/>
        </w:rPr>
        <w:tab/>
      </w:r>
      <w:r w:rsidR="00EC74C9">
        <w:rPr>
          <w:rFonts w:cs="Calibri"/>
          <w:sz w:val="24"/>
          <w:szCs w:val="24"/>
        </w:rPr>
        <w:t>provide security for the repayment of borrowings or payment of interest</w:t>
      </w:r>
      <w:r w:rsidRPr="00890E2F">
        <w:rPr>
          <w:rFonts w:cs="Calibri"/>
          <w:sz w:val="24"/>
          <w:szCs w:val="24"/>
        </w:rPr>
        <w:t>; or</w:t>
      </w:r>
    </w:p>
    <w:p w14:paraId="7601379B" w14:textId="2D963C2B" w:rsidR="00890E2F" w:rsidRDefault="00890E2F" w:rsidP="00EB797C">
      <w:pPr>
        <w:tabs>
          <w:tab w:val="left" w:pos="1276"/>
        </w:tabs>
        <w:spacing w:before="0" w:after="240"/>
        <w:ind w:firstLine="851"/>
        <w:jc w:val="both"/>
        <w:rPr>
          <w:rFonts w:cs="Calibri"/>
          <w:sz w:val="24"/>
          <w:szCs w:val="24"/>
        </w:rPr>
      </w:pPr>
      <w:r w:rsidRPr="00890E2F">
        <w:rPr>
          <w:rFonts w:cs="Calibri"/>
          <w:sz w:val="24"/>
          <w:szCs w:val="24"/>
        </w:rPr>
        <w:t>(c)</w:t>
      </w:r>
      <w:r>
        <w:rPr>
          <w:rFonts w:cs="Calibri"/>
          <w:sz w:val="24"/>
          <w:szCs w:val="24"/>
        </w:rPr>
        <w:tab/>
      </w:r>
      <w:proofErr w:type="gramStart"/>
      <w:r w:rsidRPr="00890E2F">
        <w:rPr>
          <w:rFonts w:cs="Calibri"/>
          <w:sz w:val="24"/>
          <w:szCs w:val="24"/>
        </w:rPr>
        <w:t>enter into</w:t>
      </w:r>
      <w:proofErr w:type="gramEnd"/>
      <w:r w:rsidRPr="00890E2F">
        <w:rPr>
          <w:rFonts w:cs="Calibri"/>
          <w:sz w:val="24"/>
          <w:szCs w:val="24"/>
        </w:rPr>
        <w:t xml:space="preserve"> financing lease</w:t>
      </w:r>
      <w:r w:rsidR="00EC74C9">
        <w:rPr>
          <w:rFonts w:cs="Calibri"/>
          <w:sz w:val="24"/>
          <w:szCs w:val="24"/>
        </w:rPr>
        <w:t>s</w:t>
      </w:r>
      <w:r w:rsidRPr="00890E2F">
        <w:rPr>
          <w:rFonts w:cs="Calibri"/>
          <w:sz w:val="24"/>
          <w:szCs w:val="24"/>
        </w:rPr>
        <w:t>.</w:t>
      </w:r>
    </w:p>
    <w:p w14:paraId="4E7722CD" w14:textId="23A9553A" w:rsidR="003104F4" w:rsidRDefault="003104F4" w:rsidP="00EB797C">
      <w:pPr>
        <w:numPr>
          <w:ilvl w:val="0"/>
          <w:numId w:val="22"/>
        </w:numPr>
        <w:tabs>
          <w:tab w:val="clear" w:pos="360"/>
          <w:tab w:val="num" w:pos="709"/>
        </w:tabs>
        <w:spacing w:before="0" w:after="240"/>
        <w:ind w:left="567" w:hanging="425"/>
        <w:jc w:val="both"/>
        <w:rPr>
          <w:rFonts w:cs="Calibri"/>
          <w:sz w:val="24"/>
          <w:szCs w:val="24"/>
        </w:rPr>
      </w:pPr>
      <w:r>
        <w:rPr>
          <w:rFonts w:cs="Calibri"/>
          <w:sz w:val="24"/>
          <w:szCs w:val="24"/>
        </w:rPr>
        <w:t xml:space="preserve">Section 45 requires that </w:t>
      </w:r>
      <w:r w:rsidR="00EC74C9">
        <w:rPr>
          <w:rFonts w:cs="Calibri"/>
          <w:sz w:val="24"/>
          <w:szCs w:val="24"/>
        </w:rPr>
        <w:t>all</w:t>
      </w:r>
      <w:r>
        <w:rPr>
          <w:rFonts w:cs="Calibri"/>
          <w:sz w:val="24"/>
          <w:szCs w:val="24"/>
        </w:rPr>
        <w:t xml:space="preserve"> proceeds of borrowings </w:t>
      </w:r>
      <w:r w:rsidR="00EC74C9">
        <w:rPr>
          <w:rFonts w:cs="Calibri"/>
          <w:sz w:val="24"/>
          <w:szCs w:val="24"/>
        </w:rPr>
        <w:t xml:space="preserve">undertaken </w:t>
      </w:r>
      <w:r>
        <w:rPr>
          <w:rFonts w:cs="Calibri"/>
          <w:sz w:val="24"/>
          <w:szCs w:val="24"/>
        </w:rPr>
        <w:t xml:space="preserve">on behalf of the Territory </w:t>
      </w:r>
      <w:r w:rsidR="00EC74C9">
        <w:rPr>
          <w:rFonts w:cs="Calibri"/>
          <w:sz w:val="24"/>
          <w:szCs w:val="24"/>
        </w:rPr>
        <w:t>are to</w:t>
      </w:r>
      <w:r>
        <w:rPr>
          <w:rFonts w:cs="Calibri"/>
          <w:sz w:val="24"/>
          <w:szCs w:val="24"/>
        </w:rPr>
        <w:t xml:space="preserve"> be paid into the Territory Banking Account.</w:t>
      </w:r>
    </w:p>
    <w:p w14:paraId="4F8374E4" w14:textId="1CFEFED4" w:rsidR="00F121FC" w:rsidRPr="00F121FC" w:rsidRDefault="00F121FC" w:rsidP="00EB797C">
      <w:pPr>
        <w:numPr>
          <w:ilvl w:val="0"/>
          <w:numId w:val="22"/>
        </w:numPr>
        <w:tabs>
          <w:tab w:val="clear" w:pos="360"/>
          <w:tab w:val="num" w:pos="709"/>
        </w:tabs>
        <w:spacing w:before="0" w:after="240"/>
        <w:ind w:left="567" w:hanging="425"/>
        <w:jc w:val="both"/>
        <w:rPr>
          <w:rFonts w:cs="Calibri"/>
          <w:sz w:val="24"/>
          <w:szCs w:val="24"/>
        </w:rPr>
      </w:pPr>
      <w:r w:rsidRPr="00F121FC">
        <w:rPr>
          <w:rFonts w:cs="Calibri"/>
          <w:sz w:val="24"/>
          <w:szCs w:val="24"/>
        </w:rPr>
        <w:t xml:space="preserve">Section </w:t>
      </w:r>
      <w:r w:rsidR="008A6435">
        <w:rPr>
          <w:rFonts w:cs="Calibri"/>
          <w:sz w:val="24"/>
          <w:szCs w:val="24"/>
        </w:rPr>
        <w:t>46</w:t>
      </w:r>
      <w:r w:rsidRPr="00F121FC">
        <w:rPr>
          <w:rFonts w:cs="Calibri"/>
          <w:sz w:val="24"/>
          <w:szCs w:val="24"/>
        </w:rPr>
        <w:t xml:space="preserve"> provides that the Treasurer</w:t>
      </w:r>
      <w:r w:rsidR="008A6435">
        <w:rPr>
          <w:rFonts w:cs="Calibri"/>
          <w:sz w:val="24"/>
          <w:szCs w:val="24"/>
        </w:rPr>
        <w:t xml:space="preserve"> may, without further appropriation, make payments ne</w:t>
      </w:r>
      <w:r w:rsidR="00EC74C9">
        <w:rPr>
          <w:rFonts w:cs="Calibri"/>
          <w:sz w:val="24"/>
          <w:szCs w:val="24"/>
        </w:rPr>
        <w:t>cessary</w:t>
      </w:r>
      <w:r w:rsidR="008A6435">
        <w:rPr>
          <w:rFonts w:cs="Calibri"/>
          <w:sz w:val="24"/>
          <w:szCs w:val="24"/>
        </w:rPr>
        <w:t xml:space="preserve"> for</w:t>
      </w:r>
      <w:r w:rsidR="008A6435" w:rsidRPr="00890E2F">
        <w:rPr>
          <w:rFonts w:cs="Calibri"/>
          <w:sz w:val="24"/>
          <w:szCs w:val="24"/>
        </w:rPr>
        <w:t>—</w:t>
      </w:r>
    </w:p>
    <w:p w14:paraId="6D67E63A" w14:textId="07FF68BE" w:rsidR="008A6435" w:rsidRPr="008A6435" w:rsidRDefault="008A6435" w:rsidP="00EB797C">
      <w:pPr>
        <w:tabs>
          <w:tab w:val="left" w:pos="1276"/>
        </w:tabs>
        <w:spacing w:before="0" w:after="240"/>
        <w:ind w:firstLine="851"/>
        <w:jc w:val="both"/>
        <w:rPr>
          <w:rFonts w:cs="Calibri"/>
          <w:sz w:val="24"/>
          <w:szCs w:val="24"/>
        </w:rPr>
      </w:pPr>
      <w:r w:rsidRPr="008A6435">
        <w:rPr>
          <w:rFonts w:cs="Calibri"/>
          <w:sz w:val="24"/>
          <w:szCs w:val="24"/>
        </w:rPr>
        <w:t>(a)</w:t>
      </w:r>
      <w:r w:rsidRPr="008A6435">
        <w:rPr>
          <w:rFonts w:cs="Calibri"/>
          <w:sz w:val="24"/>
          <w:szCs w:val="24"/>
        </w:rPr>
        <w:tab/>
        <w:t xml:space="preserve">interest on borrowings; </w:t>
      </w:r>
    </w:p>
    <w:p w14:paraId="45F8378E" w14:textId="129C5A55" w:rsidR="008A6435" w:rsidRPr="008A6435" w:rsidRDefault="008A6435" w:rsidP="00EB797C">
      <w:pPr>
        <w:tabs>
          <w:tab w:val="left" w:pos="1276"/>
        </w:tabs>
        <w:spacing w:before="0" w:after="240"/>
        <w:ind w:left="1276" w:hanging="425"/>
        <w:jc w:val="both"/>
        <w:rPr>
          <w:rFonts w:cs="Calibri"/>
          <w:sz w:val="24"/>
          <w:szCs w:val="24"/>
        </w:rPr>
      </w:pPr>
      <w:r w:rsidRPr="008A6435">
        <w:rPr>
          <w:rFonts w:cs="Calibri"/>
          <w:sz w:val="24"/>
          <w:szCs w:val="24"/>
        </w:rPr>
        <w:t>(b)</w:t>
      </w:r>
      <w:r w:rsidRPr="008A6435">
        <w:rPr>
          <w:rFonts w:cs="Calibri"/>
          <w:sz w:val="24"/>
          <w:szCs w:val="24"/>
        </w:rPr>
        <w:tab/>
        <w:t>repayment of borrowings; or</w:t>
      </w:r>
    </w:p>
    <w:p w14:paraId="5E781F6C" w14:textId="6C0BF11C" w:rsidR="008A6435" w:rsidRPr="008A6435" w:rsidRDefault="008A6435" w:rsidP="00EB797C">
      <w:pPr>
        <w:tabs>
          <w:tab w:val="left" w:pos="1276"/>
        </w:tabs>
        <w:spacing w:before="0" w:after="240"/>
        <w:ind w:firstLine="851"/>
        <w:jc w:val="both"/>
        <w:rPr>
          <w:rFonts w:cs="Calibri"/>
          <w:sz w:val="24"/>
          <w:szCs w:val="24"/>
        </w:rPr>
      </w:pPr>
      <w:r w:rsidRPr="008A6435">
        <w:rPr>
          <w:rFonts w:cs="Calibri"/>
          <w:sz w:val="24"/>
          <w:szCs w:val="24"/>
        </w:rPr>
        <w:t>(c)</w:t>
      </w:r>
      <w:r w:rsidRPr="008A6435">
        <w:rPr>
          <w:rFonts w:cs="Calibri"/>
          <w:sz w:val="24"/>
          <w:szCs w:val="24"/>
        </w:rPr>
        <w:tab/>
        <w:t xml:space="preserve">expenses </w:t>
      </w:r>
      <w:r w:rsidR="00EC74C9">
        <w:rPr>
          <w:rFonts w:cs="Calibri"/>
          <w:sz w:val="24"/>
          <w:szCs w:val="24"/>
        </w:rPr>
        <w:t xml:space="preserve">associated with borrowing and </w:t>
      </w:r>
      <w:r w:rsidRPr="008A6435">
        <w:rPr>
          <w:rFonts w:cs="Calibri"/>
          <w:sz w:val="24"/>
          <w:szCs w:val="24"/>
        </w:rPr>
        <w:t>repay</w:t>
      </w:r>
      <w:r w:rsidR="00EC74C9">
        <w:rPr>
          <w:rFonts w:cs="Calibri"/>
          <w:sz w:val="24"/>
          <w:szCs w:val="24"/>
        </w:rPr>
        <w:t>ment activities</w:t>
      </w:r>
      <w:r w:rsidRPr="008A6435">
        <w:rPr>
          <w:rFonts w:cs="Calibri"/>
          <w:sz w:val="24"/>
          <w:szCs w:val="24"/>
        </w:rPr>
        <w:t>.</w:t>
      </w:r>
    </w:p>
    <w:p w14:paraId="0CB5877F" w14:textId="161A9255" w:rsidR="003723DE" w:rsidRPr="004F745D" w:rsidRDefault="003723DE" w:rsidP="003723DE">
      <w:pPr>
        <w:pStyle w:val="Heading1"/>
      </w:pPr>
      <w:bookmarkStart w:id="8" w:name="_Toc238200009"/>
      <w:r>
        <w:t>TERRITORY BANKING ACCOUNT</w:t>
      </w:r>
      <w:bookmarkEnd w:id="8"/>
    </w:p>
    <w:p w14:paraId="7666CF67" w14:textId="741C81CD" w:rsidR="00615D4E" w:rsidRDefault="00615D4E" w:rsidP="00EB797C">
      <w:pPr>
        <w:spacing w:before="0" w:after="240"/>
        <w:jc w:val="both"/>
        <w:rPr>
          <w:rFonts w:cs="Calibri"/>
          <w:sz w:val="24"/>
          <w:szCs w:val="24"/>
          <w:lang w:val="en-US"/>
        </w:rPr>
      </w:pPr>
      <w:r w:rsidRPr="00615D4E">
        <w:rPr>
          <w:rFonts w:cs="Calibri"/>
          <w:sz w:val="24"/>
          <w:szCs w:val="24"/>
          <w:lang w:val="en-US"/>
        </w:rPr>
        <w:t>Unlike the other Australian states</w:t>
      </w:r>
      <w:r w:rsidR="00EC74C9">
        <w:rPr>
          <w:rFonts w:cs="Calibri"/>
          <w:sz w:val="24"/>
          <w:szCs w:val="24"/>
          <w:lang w:val="en-US"/>
        </w:rPr>
        <w:t xml:space="preserve">, </w:t>
      </w:r>
      <w:r w:rsidRPr="00615D4E">
        <w:rPr>
          <w:rFonts w:cs="Calibri"/>
          <w:sz w:val="24"/>
          <w:szCs w:val="24"/>
          <w:lang w:val="en-US"/>
        </w:rPr>
        <w:t>Territor</w:t>
      </w:r>
      <w:r w:rsidR="00EC74C9">
        <w:rPr>
          <w:rFonts w:cs="Calibri"/>
          <w:sz w:val="24"/>
          <w:szCs w:val="24"/>
          <w:lang w:val="en-US"/>
        </w:rPr>
        <w:t>ies</w:t>
      </w:r>
      <w:r w:rsidRPr="00615D4E">
        <w:rPr>
          <w:rFonts w:cs="Calibri"/>
          <w:sz w:val="24"/>
          <w:szCs w:val="24"/>
          <w:lang w:val="en-US"/>
        </w:rPr>
        <w:t xml:space="preserve"> and the Commonwealth Government</w:t>
      </w:r>
      <w:r w:rsidR="00EC74C9">
        <w:rPr>
          <w:rFonts w:cs="Calibri"/>
          <w:sz w:val="24"/>
          <w:szCs w:val="24"/>
          <w:lang w:val="en-US"/>
        </w:rPr>
        <w:t xml:space="preserve">, where separate statutory corporations or authorities manage investment and borrowing activities, these functions </w:t>
      </w:r>
      <w:r w:rsidR="00B5769F">
        <w:rPr>
          <w:rFonts w:cs="Calibri"/>
          <w:sz w:val="24"/>
          <w:szCs w:val="24"/>
          <w:lang w:val="en-US"/>
        </w:rPr>
        <w:t xml:space="preserve">are undertaken </w:t>
      </w:r>
      <w:r w:rsidR="00EC74C9">
        <w:rPr>
          <w:rFonts w:cs="Calibri"/>
          <w:sz w:val="24"/>
          <w:szCs w:val="24"/>
          <w:lang w:val="en-US"/>
        </w:rPr>
        <w:t>centrally within Treasury through the TBA.</w:t>
      </w:r>
    </w:p>
    <w:p w14:paraId="3049B8E6" w14:textId="10D10A25" w:rsidR="00F82430" w:rsidRDefault="00615D4E" w:rsidP="00EB797C">
      <w:pPr>
        <w:spacing w:before="0" w:after="240"/>
        <w:jc w:val="both"/>
        <w:rPr>
          <w:rFonts w:cs="Calibri"/>
          <w:sz w:val="24"/>
          <w:szCs w:val="24"/>
          <w:lang w:val="en-US"/>
        </w:rPr>
      </w:pPr>
      <w:r w:rsidRPr="00615D4E">
        <w:rPr>
          <w:rFonts w:cs="Calibri"/>
          <w:sz w:val="24"/>
          <w:szCs w:val="24"/>
          <w:lang w:val="en-US"/>
        </w:rPr>
        <w:t>T</w:t>
      </w:r>
      <w:r>
        <w:rPr>
          <w:rFonts w:cs="Calibri"/>
          <w:sz w:val="24"/>
          <w:szCs w:val="24"/>
          <w:lang w:val="en-US"/>
        </w:rPr>
        <w:t xml:space="preserve">he </w:t>
      </w:r>
      <w:r w:rsidR="00333AA7">
        <w:rPr>
          <w:rFonts w:cs="Calibri"/>
          <w:sz w:val="24"/>
          <w:szCs w:val="24"/>
          <w:lang w:val="en-US"/>
        </w:rPr>
        <w:t xml:space="preserve">TBA </w:t>
      </w:r>
      <w:r>
        <w:rPr>
          <w:rFonts w:cs="Calibri"/>
          <w:sz w:val="24"/>
          <w:szCs w:val="24"/>
          <w:lang w:val="en-US"/>
        </w:rPr>
        <w:t xml:space="preserve">is prescribed as a separate directorate </w:t>
      </w:r>
      <w:r w:rsidR="00EC74C9">
        <w:rPr>
          <w:rFonts w:cs="Calibri"/>
          <w:sz w:val="24"/>
          <w:szCs w:val="24"/>
          <w:lang w:val="en-US"/>
        </w:rPr>
        <w:t xml:space="preserve">under section </w:t>
      </w:r>
      <w:r>
        <w:rPr>
          <w:rFonts w:cs="Calibri"/>
          <w:sz w:val="24"/>
          <w:szCs w:val="24"/>
          <w:lang w:val="en-US"/>
        </w:rPr>
        <w:t xml:space="preserve">133 of the FMA. The </w:t>
      </w:r>
      <w:r w:rsidR="00333AA7">
        <w:rPr>
          <w:rFonts w:cs="Calibri"/>
          <w:sz w:val="24"/>
          <w:szCs w:val="24"/>
          <w:lang w:val="en-US"/>
        </w:rPr>
        <w:t>TBA</w:t>
      </w:r>
      <w:r w:rsidR="00EC74C9">
        <w:rPr>
          <w:rFonts w:cs="Calibri"/>
          <w:sz w:val="24"/>
          <w:szCs w:val="24"/>
          <w:lang w:val="en-US"/>
        </w:rPr>
        <w:t xml:space="preserve"> operates the central public account and performs a range of functions through Treasury’s Investments and Borrowings Unit, including</w:t>
      </w:r>
      <w:r>
        <w:rPr>
          <w:rFonts w:cs="Calibri"/>
          <w:sz w:val="24"/>
          <w:szCs w:val="24"/>
          <w:lang w:val="en-US"/>
        </w:rPr>
        <w:t>:</w:t>
      </w:r>
    </w:p>
    <w:p w14:paraId="1B879EA5" w14:textId="760C6FB8" w:rsidR="00F82430" w:rsidRDefault="00BA4D66" w:rsidP="00EB797C">
      <w:pPr>
        <w:numPr>
          <w:ilvl w:val="0"/>
          <w:numId w:val="22"/>
        </w:numPr>
        <w:tabs>
          <w:tab w:val="clear" w:pos="360"/>
          <w:tab w:val="num" w:pos="709"/>
        </w:tabs>
        <w:spacing w:before="0" w:after="240"/>
        <w:ind w:left="567" w:hanging="425"/>
        <w:jc w:val="both"/>
        <w:rPr>
          <w:rFonts w:cs="Calibri"/>
          <w:sz w:val="24"/>
          <w:szCs w:val="24"/>
        </w:rPr>
      </w:pPr>
      <w:r w:rsidRPr="00F82430">
        <w:rPr>
          <w:rFonts w:cs="Calibri"/>
          <w:sz w:val="24"/>
          <w:szCs w:val="24"/>
        </w:rPr>
        <w:t>manag</w:t>
      </w:r>
      <w:r w:rsidR="00EC74C9">
        <w:rPr>
          <w:rFonts w:cs="Calibri"/>
          <w:sz w:val="24"/>
          <w:szCs w:val="24"/>
        </w:rPr>
        <w:t>ing</w:t>
      </w:r>
      <w:r w:rsidRPr="00F82430">
        <w:rPr>
          <w:rFonts w:cs="Calibri"/>
          <w:sz w:val="24"/>
          <w:szCs w:val="24"/>
        </w:rPr>
        <w:t xml:space="preserve"> the Territory’s financial investment assets and borrowing liabilities</w:t>
      </w:r>
      <w:r w:rsidR="00EC74C9">
        <w:rPr>
          <w:rFonts w:cs="Calibri"/>
          <w:sz w:val="24"/>
          <w:szCs w:val="24"/>
        </w:rPr>
        <w:t>, supported by established investment and borrowing policies and objectives</w:t>
      </w:r>
      <w:r w:rsidR="00F82430">
        <w:rPr>
          <w:rFonts w:cs="Calibri"/>
          <w:sz w:val="24"/>
          <w:szCs w:val="24"/>
        </w:rPr>
        <w:t>;</w:t>
      </w:r>
    </w:p>
    <w:p w14:paraId="3BB1E858" w14:textId="7F4B9E08" w:rsidR="00F82430" w:rsidRDefault="00BA4D66" w:rsidP="00EB797C">
      <w:pPr>
        <w:numPr>
          <w:ilvl w:val="0"/>
          <w:numId w:val="22"/>
        </w:numPr>
        <w:tabs>
          <w:tab w:val="clear" w:pos="360"/>
          <w:tab w:val="num" w:pos="709"/>
        </w:tabs>
        <w:spacing w:before="0" w:after="240"/>
        <w:ind w:left="567" w:hanging="425"/>
        <w:jc w:val="both"/>
        <w:rPr>
          <w:rFonts w:cs="Calibri"/>
          <w:sz w:val="24"/>
          <w:szCs w:val="24"/>
        </w:rPr>
      </w:pPr>
      <w:r w:rsidRPr="00F82430">
        <w:rPr>
          <w:rFonts w:cs="Calibri"/>
          <w:sz w:val="24"/>
          <w:szCs w:val="24"/>
        </w:rPr>
        <w:t>coordinati</w:t>
      </w:r>
      <w:r w:rsidR="00EC74C9">
        <w:rPr>
          <w:rFonts w:cs="Calibri"/>
          <w:sz w:val="24"/>
          <w:szCs w:val="24"/>
        </w:rPr>
        <w:t>ng</w:t>
      </w:r>
      <w:r w:rsidRPr="00F82430">
        <w:rPr>
          <w:rFonts w:cs="Calibri"/>
          <w:sz w:val="24"/>
          <w:szCs w:val="24"/>
        </w:rPr>
        <w:t xml:space="preserve"> and implement</w:t>
      </w:r>
      <w:r w:rsidR="00EC74C9">
        <w:rPr>
          <w:rFonts w:cs="Calibri"/>
          <w:sz w:val="24"/>
          <w:szCs w:val="24"/>
        </w:rPr>
        <w:t xml:space="preserve">ing </w:t>
      </w:r>
      <w:r w:rsidRPr="00F82430">
        <w:rPr>
          <w:rFonts w:cs="Calibri"/>
          <w:sz w:val="24"/>
          <w:szCs w:val="24"/>
        </w:rPr>
        <w:t>cash management, investment and borrowing activities.</w:t>
      </w:r>
      <w:r w:rsidR="00615D4E" w:rsidRPr="00F82430">
        <w:rPr>
          <w:rFonts w:cs="Calibri"/>
          <w:sz w:val="24"/>
          <w:szCs w:val="24"/>
        </w:rPr>
        <w:t xml:space="preserve"> </w:t>
      </w:r>
    </w:p>
    <w:p w14:paraId="14CE53FB" w14:textId="28CB24CA" w:rsidR="003723DE" w:rsidRPr="00F82430" w:rsidRDefault="00EC74C9" w:rsidP="00EB797C">
      <w:pPr>
        <w:spacing w:before="0" w:after="240"/>
        <w:jc w:val="both"/>
        <w:rPr>
          <w:rFonts w:cs="Calibri"/>
          <w:sz w:val="24"/>
          <w:szCs w:val="24"/>
          <w:lang w:val="en-US"/>
        </w:rPr>
      </w:pPr>
      <w:r>
        <w:rPr>
          <w:rFonts w:cs="Calibri"/>
          <w:sz w:val="24"/>
          <w:szCs w:val="24"/>
          <w:lang w:val="en-US"/>
        </w:rPr>
        <w:t xml:space="preserve">In addition, the </w:t>
      </w:r>
      <w:r w:rsidR="00333AA7">
        <w:rPr>
          <w:rFonts w:cs="Calibri"/>
          <w:sz w:val="24"/>
          <w:szCs w:val="24"/>
          <w:lang w:val="en-US"/>
        </w:rPr>
        <w:t>TBA</w:t>
      </w:r>
      <w:r w:rsidR="00615D4E" w:rsidRPr="00F82430">
        <w:rPr>
          <w:rFonts w:cs="Calibri"/>
          <w:sz w:val="24"/>
          <w:szCs w:val="24"/>
          <w:lang w:val="en-US"/>
        </w:rPr>
        <w:t xml:space="preserve"> </w:t>
      </w:r>
      <w:r w:rsidR="00BA4D66" w:rsidRPr="00F82430">
        <w:rPr>
          <w:rFonts w:cs="Calibri"/>
          <w:sz w:val="24"/>
          <w:szCs w:val="24"/>
          <w:lang w:val="en-US"/>
        </w:rPr>
        <w:t xml:space="preserve">is responsible for the </w:t>
      </w:r>
      <w:r>
        <w:rPr>
          <w:rFonts w:cs="Calibri"/>
          <w:sz w:val="24"/>
          <w:szCs w:val="24"/>
          <w:lang w:val="en-US"/>
        </w:rPr>
        <w:t xml:space="preserve">disbursement of </w:t>
      </w:r>
      <w:proofErr w:type="gramStart"/>
      <w:r>
        <w:rPr>
          <w:rFonts w:cs="Calibri"/>
          <w:sz w:val="24"/>
          <w:szCs w:val="24"/>
          <w:lang w:val="en-US"/>
        </w:rPr>
        <w:t>appropriated</w:t>
      </w:r>
      <w:proofErr w:type="gramEnd"/>
      <w:r>
        <w:rPr>
          <w:rFonts w:cs="Calibri"/>
          <w:sz w:val="24"/>
          <w:szCs w:val="24"/>
          <w:lang w:val="en-US"/>
        </w:rPr>
        <w:t xml:space="preserve"> funds to agencies and directorates, and receiving all revenues collected</w:t>
      </w:r>
      <w:r w:rsidR="00BA4D66" w:rsidRPr="00F82430">
        <w:rPr>
          <w:rFonts w:cs="Calibri"/>
          <w:sz w:val="24"/>
          <w:szCs w:val="24"/>
          <w:lang w:val="en-US"/>
        </w:rPr>
        <w:t xml:space="preserve"> </w:t>
      </w:r>
      <w:r w:rsidR="00615D4E" w:rsidRPr="00F82430">
        <w:rPr>
          <w:rFonts w:cs="Calibri"/>
          <w:sz w:val="24"/>
          <w:szCs w:val="24"/>
          <w:lang w:val="en-US"/>
        </w:rPr>
        <w:t>on behalf of the Territory.</w:t>
      </w:r>
    </w:p>
    <w:p w14:paraId="0AAC7321" w14:textId="0A5BA01B" w:rsidR="002014DC" w:rsidRPr="004F745D" w:rsidRDefault="00CC7435" w:rsidP="00383A18">
      <w:pPr>
        <w:pStyle w:val="Heading1"/>
      </w:pPr>
      <w:bookmarkStart w:id="9" w:name="_Toc238200010"/>
      <w:bookmarkEnd w:id="5"/>
      <w:r>
        <w:lastRenderedPageBreak/>
        <w:t>BORROWINGS</w:t>
      </w:r>
      <w:r w:rsidR="00F121FC">
        <w:t xml:space="preserve"> GOVERNANCE</w:t>
      </w:r>
      <w:bookmarkEnd w:id="9"/>
    </w:p>
    <w:p w14:paraId="0279EEB0" w14:textId="2DF54121" w:rsidR="00F121FC" w:rsidRPr="00F121FC" w:rsidRDefault="00F121FC" w:rsidP="00EB797C">
      <w:pPr>
        <w:spacing w:before="0" w:after="240"/>
        <w:jc w:val="both"/>
        <w:rPr>
          <w:rFonts w:cs="Calibri"/>
          <w:sz w:val="24"/>
          <w:szCs w:val="24"/>
          <w:lang w:val="en-US"/>
        </w:rPr>
      </w:pPr>
      <w:r w:rsidRPr="00F121FC">
        <w:rPr>
          <w:rFonts w:cs="Calibri"/>
          <w:sz w:val="24"/>
          <w:szCs w:val="24"/>
          <w:lang w:val="en-US"/>
        </w:rPr>
        <w:t xml:space="preserve">Under Administrative Arrangements </w:t>
      </w:r>
      <w:r w:rsidR="00214896">
        <w:rPr>
          <w:rFonts w:cs="Calibri"/>
          <w:sz w:val="24"/>
          <w:szCs w:val="24"/>
          <w:lang w:val="en-US"/>
        </w:rPr>
        <w:t>(established periodically by Notifiable Instrument)</w:t>
      </w:r>
      <w:r w:rsidR="00EC74C9">
        <w:rPr>
          <w:rFonts w:cs="Calibri"/>
          <w:sz w:val="24"/>
          <w:szCs w:val="24"/>
          <w:lang w:val="en-US"/>
        </w:rPr>
        <w:t>,</w:t>
      </w:r>
      <w:r w:rsidR="00214896">
        <w:rPr>
          <w:rFonts w:cs="Calibri"/>
          <w:sz w:val="24"/>
          <w:szCs w:val="24"/>
          <w:lang w:val="en-US"/>
        </w:rPr>
        <w:t xml:space="preserve"> </w:t>
      </w:r>
      <w:r w:rsidRPr="00F121FC">
        <w:rPr>
          <w:rFonts w:cs="Calibri"/>
          <w:sz w:val="24"/>
          <w:szCs w:val="24"/>
          <w:lang w:val="en-US"/>
        </w:rPr>
        <w:t>the Treasurer is responsible for</w:t>
      </w:r>
      <w:r w:rsidR="00214896">
        <w:rPr>
          <w:rFonts w:cs="Calibri"/>
          <w:sz w:val="24"/>
          <w:szCs w:val="24"/>
          <w:lang w:val="en-US"/>
        </w:rPr>
        <w:t xml:space="preserve">, among other functions, borrowing and funds </w:t>
      </w:r>
      <w:r w:rsidR="00EC74C9">
        <w:rPr>
          <w:rFonts w:cs="Calibri"/>
          <w:sz w:val="24"/>
          <w:szCs w:val="24"/>
          <w:lang w:val="en-US"/>
        </w:rPr>
        <w:t>management</w:t>
      </w:r>
      <w:r w:rsidR="00B95632">
        <w:rPr>
          <w:rFonts w:cs="Calibri"/>
          <w:sz w:val="24"/>
          <w:szCs w:val="24"/>
          <w:lang w:val="en-US"/>
        </w:rPr>
        <w:t xml:space="preserve">, as well as the administration of the </w:t>
      </w:r>
      <w:r w:rsidR="00B5769F">
        <w:rPr>
          <w:rFonts w:cs="Calibri"/>
          <w:sz w:val="24"/>
          <w:szCs w:val="24"/>
          <w:lang w:val="en-US"/>
        </w:rPr>
        <w:t>FMA</w:t>
      </w:r>
      <w:r w:rsidRPr="00F121FC">
        <w:rPr>
          <w:rFonts w:cs="Calibri"/>
          <w:sz w:val="24"/>
          <w:szCs w:val="24"/>
          <w:lang w:val="en-US"/>
        </w:rPr>
        <w:t>.</w:t>
      </w:r>
    </w:p>
    <w:p w14:paraId="1AC67735" w14:textId="39504404" w:rsidR="00F121FC" w:rsidRDefault="00F121FC" w:rsidP="00EB797C">
      <w:pPr>
        <w:spacing w:before="0" w:after="240"/>
        <w:jc w:val="both"/>
        <w:rPr>
          <w:rFonts w:cs="Calibri"/>
          <w:sz w:val="24"/>
          <w:szCs w:val="24"/>
          <w:lang w:val="en-US"/>
        </w:rPr>
      </w:pPr>
      <w:r w:rsidRPr="00F121FC">
        <w:rPr>
          <w:rFonts w:cs="Calibri"/>
          <w:sz w:val="24"/>
          <w:szCs w:val="24"/>
          <w:lang w:val="en-US"/>
        </w:rPr>
        <w:t xml:space="preserve">Operational </w:t>
      </w:r>
      <w:r w:rsidR="00214896">
        <w:rPr>
          <w:rFonts w:cs="Calibri"/>
          <w:sz w:val="24"/>
          <w:szCs w:val="24"/>
          <w:lang w:val="en-US"/>
        </w:rPr>
        <w:t>borrowing</w:t>
      </w:r>
      <w:r w:rsidRPr="00F121FC">
        <w:rPr>
          <w:rFonts w:cs="Calibri"/>
          <w:sz w:val="24"/>
          <w:szCs w:val="24"/>
          <w:lang w:val="en-US"/>
        </w:rPr>
        <w:t xml:space="preserve"> decisions and </w:t>
      </w:r>
      <w:r w:rsidR="00B95632">
        <w:rPr>
          <w:rFonts w:cs="Calibri"/>
          <w:sz w:val="24"/>
          <w:szCs w:val="24"/>
          <w:lang w:val="en-US"/>
        </w:rPr>
        <w:t xml:space="preserve">associated </w:t>
      </w:r>
      <w:proofErr w:type="spellStart"/>
      <w:r w:rsidRPr="00F121FC">
        <w:rPr>
          <w:rFonts w:cs="Calibri"/>
          <w:sz w:val="24"/>
          <w:szCs w:val="24"/>
          <w:lang w:val="en-US"/>
        </w:rPr>
        <w:t>authorisations</w:t>
      </w:r>
      <w:proofErr w:type="spellEnd"/>
      <w:r w:rsidRPr="00F121FC">
        <w:rPr>
          <w:rFonts w:cs="Calibri"/>
          <w:sz w:val="24"/>
          <w:szCs w:val="24"/>
          <w:lang w:val="en-US"/>
        </w:rPr>
        <w:t xml:space="preserve"> </w:t>
      </w:r>
      <w:r w:rsidR="00B95632">
        <w:rPr>
          <w:rFonts w:cs="Calibri"/>
          <w:sz w:val="24"/>
          <w:szCs w:val="24"/>
          <w:lang w:val="en-US"/>
        </w:rPr>
        <w:t xml:space="preserve">are undertaken by designated </w:t>
      </w:r>
      <w:r w:rsidRPr="00F121FC">
        <w:rPr>
          <w:rFonts w:cs="Calibri"/>
          <w:sz w:val="24"/>
          <w:szCs w:val="24"/>
          <w:lang w:val="en-US"/>
        </w:rPr>
        <w:t>Treasury officials</w:t>
      </w:r>
      <w:r w:rsidR="00B95632">
        <w:rPr>
          <w:rFonts w:cs="Calibri"/>
          <w:sz w:val="24"/>
          <w:szCs w:val="24"/>
          <w:lang w:val="en-US"/>
        </w:rPr>
        <w:t xml:space="preserve">. These officials exercise delegated authority from the Treasurer, in accordance with the relevant provisions of the </w:t>
      </w:r>
      <w:r w:rsidRPr="00F121FC">
        <w:rPr>
          <w:rFonts w:cs="Calibri"/>
          <w:i/>
          <w:iCs/>
          <w:sz w:val="24"/>
          <w:szCs w:val="24"/>
          <w:lang w:val="en-US"/>
        </w:rPr>
        <w:t>Legislation Act 2001</w:t>
      </w:r>
      <w:r w:rsidR="00B95632">
        <w:rPr>
          <w:rFonts w:cs="Calibri"/>
          <w:sz w:val="24"/>
          <w:szCs w:val="24"/>
          <w:lang w:val="en-US"/>
        </w:rPr>
        <w:t xml:space="preserve"> and applicable </w:t>
      </w:r>
      <w:r w:rsidR="00B5769F">
        <w:rPr>
          <w:rFonts w:cs="Calibri"/>
          <w:sz w:val="24"/>
          <w:szCs w:val="24"/>
          <w:lang w:val="en-US"/>
        </w:rPr>
        <w:t xml:space="preserve">FMA </w:t>
      </w:r>
      <w:r w:rsidR="00B95632">
        <w:rPr>
          <w:rFonts w:cs="Calibri"/>
          <w:sz w:val="24"/>
          <w:szCs w:val="24"/>
          <w:lang w:val="en-US"/>
        </w:rPr>
        <w:t>financial delegations.</w:t>
      </w:r>
    </w:p>
    <w:p w14:paraId="249EBABB" w14:textId="77777777" w:rsidR="00C41891" w:rsidRPr="00DB42D6" w:rsidRDefault="00C41891" w:rsidP="00C41891">
      <w:pPr>
        <w:numPr>
          <w:ilvl w:val="1"/>
          <w:numId w:val="0"/>
        </w:numPr>
        <w:spacing w:before="240" w:after="240"/>
        <w:jc w:val="both"/>
        <w:rPr>
          <w:rFonts w:cs="Calibri"/>
          <w:b/>
          <w:bCs/>
          <w:color w:val="7030A0"/>
          <w:sz w:val="32"/>
          <w:szCs w:val="32"/>
          <w:lang w:val="en-US"/>
        </w:rPr>
      </w:pPr>
      <w:r>
        <w:rPr>
          <w:rFonts w:cs="Calibri"/>
          <w:b/>
          <w:bCs/>
          <w:color w:val="7030A0"/>
          <w:sz w:val="32"/>
          <w:szCs w:val="32"/>
          <w:lang w:val="en-US"/>
        </w:rPr>
        <w:t>BORROWING AUTHORISATIONS AND DELEGATIONS</w:t>
      </w:r>
    </w:p>
    <w:p w14:paraId="786E5CCA" w14:textId="55F447AC" w:rsidR="00C41891" w:rsidRDefault="00C41891" w:rsidP="00EB797C">
      <w:pPr>
        <w:spacing w:before="0" w:after="240"/>
        <w:jc w:val="both"/>
        <w:rPr>
          <w:rFonts w:cs="Calibri"/>
          <w:sz w:val="24"/>
          <w:szCs w:val="24"/>
          <w:lang w:val="en-US"/>
        </w:rPr>
      </w:pPr>
      <w:r w:rsidRPr="00D07E37">
        <w:rPr>
          <w:rFonts w:cs="Calibri"/>
          <w:sz w:val="24"/>
          <w:szCs w:val="24"/>
          <w:lang w:val="en-US"/>
        </w:rPr>
        <w:t xml:space="preserve">As part of </w:t>
      </w:r>
      <w:r>
        <w:rPr>
          <w:rFonts w:cs="Calibri"/>
          <w:sz w:val="24"/>
          <w:szCs w:val="24"/>
          <w:lang w:val="en-US"/>
        </w:rPr>
        <w:t>the</w:t>
      </w:r>
      <w:r w:rsidRPr="00D07E37">
        <w:rPr>
          <w:rFonts w:cs="Calibri"/>
          <w:sz w:val="24"/>
          <w:szCs w:val="24"/>
          <w:lang w:val="en-US"/>
        </w:rPr>
        <w:t xml:space="preserve"> governance and accountability</w:t>
      </w:r>
      <w:r w:rsidR="00B95632">
        <w:rPr>
          <w:rFonts w:cs="Calibri"/>
          <w:sz w:val="24"/>
          <w:szCs w:val="24"/>
          <w:lang w:val="en-US"/>
        </w:rPr>
        <w:t xml:space="preserve"> framework</w:t>
      </w:r>
      <w:r w:rsidRPr="00D07E37">
        <w:rPr>
          <w:rFonts w:cs="Calibri"/>
          <w:sz w:val="24"/>
          <w:szCs w:val="24"/>
          <w:lang w:val="en-US"/>
        </w:rPr>
        <w:t xml:space="preserve">, the Treasurer </w:t>
      </w:r>
      <w:r w:rsidR="00B95632">
        <w:rPr>
          <w:rFonts w:cs="Calibri"/>
          <w:sz w:val="24"/>
          <w:szCs w:val="24"/>
          <w:lang w:val="en-US"/>
        </w:rPr>
        <w:t>issues</w:t>
      </w:r>
      <w:r w:rsidRPr="00D07E37">
        <w:rPr>
          <w:rFonts w:cs="Calibri"/>
          <w:sz w:val="24"/>
          <w:szCs w:val="24"/>
          <w:lang w:val="en-US"/>
        </w:rPr>
        <w:t xml:space="preserve"> Treasury Authorisation</w:t>
      </w:r>
      <w:r>
        <w:rPr>
          <w:rFonts w:cs="Calibri"/>
          <w:sz w:val="24"/>
          <w:szCs w:val="24"/>
          <w:lang w:val="en-US"/>
        </w:rPr>
        <w:t>s</w:t>
      </w:r>
      <w:r w:rsidRPr="00D07E37">
        <w:rPr>
          <w:rFonts w:cs="Calibri"/>
          <w:sz w:val="24"/>
          <w:szCs w:val="24"/>
          <w:lang w:val="en-US"/>
        </w:rPr>
        <w:t xml:space="preserve"> (updated </w:t>
      </w:r>
      <w:r>
        <w:rPr>
          <w:rFonts w:cs="Calibri"/>
          <w:sz w:val="24"/>
          <w:szCs w:val="24"/>
          <w:lang w:val="en-US"/>
        </w:rPr>
        <w:t>periodically</w:t>
      </w:r>
      <w:r w:rsidRPr="00D07E37">
        <w:rPr>
          <w:rFonts w:cs="Calibri"/>
          <w:sz w:val="24"/>
          <w:szCs w:val="24"/>
          <w:lang w:val="en-US"/>
        </w:rPr>
        <w:t>)</w:t>
      </w:r>
      <w:r w:rsidR="00B95632">
        <w:rPr>
          <w:rFonts w:cs="Calibri"/>
          <w:sz w:val="24"/>
          <w:szCs w:val="24"/>
          <w:lang w:val="en-US"/>
        </w:rPr>
        <w:t xml:space="preserve"> to supplement the borrowing approval provisions under section 40 of the</w:t>
      </w:r>
      <w:r>
        <w:rPr>
          <w:rFonts w:cs="Calibri"/>
          <w:sz w:val="24"/>
          <w:szCs w:val="24"/>
          <w:lang w:val="en-US"/>
        </w:rPr>
        <w:t xml:space="preserve"> FMA. </w:t>
      </w:r>
    </w:p>
    <w:p w14:paraId="3CEAAED0" w14:textId="04262929" w:rsidR="00C41891" w:rsidRDefault="00C41891" w:rsidP="00EB797C">
      <w:pPr>
        <w:spacing w:before="0" w:after="240"/>
        <w:jc w:val="both"/>
        <w:rPr>
          <w:rFonts w:cs="Calibri"/>
          <w:sz w:val="24"/>
          <w:szCs w:val="24"/>
          <w:lang w:val="en-US"/>
        </w:rPr>
      </w:pPr>
      <w:r>
        <w:rPr>
          <w:rFonts w:cs="Calibri"/>
          <w:sz w:val="24"/>
          <w:szCs w:val="24"/>
          <w:lang w:val="en-US"/>
        </w:rPr>
        <w:t>The</w:t>
      </w:r>
      <w:r w:rsidR="00B95632">
        <w:rPr>
          <w:rFonts w:cs="Calibri"/>
          <w:sz w:val="24"/>
          <w:szCs w:val="24"/>
          <w:lang w:val="en-US"/>
        </w:rPr>
        <w:t>se</w:t>
      </w:r>
      <w:r>
        <w:rPr>
          <w:rFonts w:cs="Calibri"/>
          <w:sz w:val="24"/>
          <w:szCs w:val="24"/>
          <w:lang w:val="en-US"/>
        </w:rPr>
        <w:t xml:space="preserve"> </w:t>
      </w:r>
      <w:r w:rsidRPr="00D07E37">
        <w:rPr>
          <w:rFonts w:cs="Calibri"/>
          <w:sz w:val="24"/>
          <w:szCs w:val="24"/>
          <w:lang w:val="en-US"/>
        </w:rPr>
        <w:t>Treasury Authorisation</w:t>
      </w:r>
      <w:r>
        <w:rPr>
          <w:rFonts w:cs="Calibri"/>
          <w:sz w:val="24"/>
          <w:szCs w:val="24"/>
          <w:lang w:val="en-US"/>
        </w:rPr>
        <w:t>s</w:t>
      </w:r>
      <w:r w:rsidRPr="00D07E37">
        <w:rPr>
          <w:rFonts w:cs="Calibri"/>
          <w:sz w:val="24"/>
          <w:szCs w:val="24"/>
          <w:lang w:val="en-US"/>
        </w:rPr>
        <w:t>:</w:t>
      </w:r>
    </w:p>
    <w:p w14:paraId="12413E1A" w14:textId="6EEE968D" w:rsidR="00C41891" w:rsidRPr="00D07E37" w:rsidRDefault="00B95632" w:rsidP="00EB797C">
      <w:pPr>
        <w:numPr>
          <w:ilvl w:val="0"/>
          <w:numId w:val="22"/>
        </w:numPr>
        <w:tabs>
          <w:tab w:val="clear" w:pos="360"/>
          <w:tab w:val="num" w:pos="709"/>
        </w:tabs>
        <w:spacing w:before="0" w:after="240"/>
        <w:ind w:left="567" w:hanging="425"/>
        <w:jc w:val="both"/>
        <w:rPr>
          <w:rFonts w:cs="Calibri"/>
          <w:sz w:val="24"/>
          <w:szCs w:val="24"/>
        </w:rPr>
      </w:pPr>
      <w:r>
        <w:rPr>
          <w:rFonts w:cs="Calibri"/>
          <w:sz w:val="24"/>
          <w:szCs w:val="24"/>
        </w:rPr>
        <w:t>establish</w:t>
      </w:r>
      <w:r w:rsidR="00C41891">
        <w:rPr>
          <w:rFonts w:cs="Calibri"/>
          <w:sz w:val="24"/>
          <w:szCs w:val="24"/>
        </w:rPr>
        <w:t xml:space="preserve"> </w:t>
      </w:r>
      <w:r w:rsidR="00C41891" w:rsidRPr="00D07E37">
        <w:rPr>
          <w:rFonts w:cs="Calibri"/>
          <w:sz w:val="24"/>
          <w:szCs w:val="24"/>
        </w:rPr>
        <w:t>a maximum borrowing limit</w:t>
      </w:r>
      <w:r>
        <w:rPr>
          <w:rFonts w:cs="Calibri"/>
          <w:sz w:val="24"/>
          <w:szCs w:val="24"/>
        </w:rPr>
        <w:t xml:space="preserve">, incorporating existing outstanding borrowings and the most recent Budget and forward estimates for </w:t>
      </w:r>
      <w:r w:rsidR="00B5769F">
        <w:rPr>
          <w:rFonts w:cs="Calibri"/>
          <w:sz w:val="24"/>
          <w:szCs w:val="24"/>
        </w:rPr>
        <w:t xml:space="preserve">the </w:t>
      </w:r>
      <w:r>
        <w:rPr>
          <w:rFonts w:cs="Calibri"/>
          <w:sz w:val="24"/>
          <w:szCs w:val="24"/>
        </w:rPr>
        <w:t>general government and Icon Water</w:t>
      </w:r>
      <w:r w:rsidR="00C41891">
        <w:rPr>
          <w:rFonts w:cs="Calibri"/>
          <w:sz w:val="24"/>
          <w:szCs w:val="24"/>
        </w:rPr>
        <w:t>;</w:t>
      </w:r>
    </w:p>
    <w:p w14:paraId="6BF82B6F" w14:textId="5AC3D465" w:rsidR="00C41891" w:rsidRPr="00D07E37" w:rsidRDefault="00B95632" w:rsidP="00EB797C">
      <w:pPr>
        <w:numPr>
          <w:ilvl w:val="0"/>
          <w:numId w:val="22"/>
        </w:numPr>
        <w:tabs>
          <w:tab w:val="clear" w:pos="360"/>
          <w:tab w:val="num" w:pos="709"/>
        </w:tabs>
        <w:spacing w:before="0" w:after="240"/>
        <w:ind w:left="567" w:hanging="425"/>
        <w:jc w:val="both"/>
        <w:rPr>
          <w:rFonts w:cs="Calibri"/>
          <w:sz w:val="24"/>
          <w:szCs w:val="24"/>
        </w:rPr>
      </w:pPr>
      <w:r>
        <w:rPr>
          <w:rFonts w:cs="Calibri"/>
          <w:sz w:val="24"/>
          <w:szCs w:val="24"/>
        </w:rPr>
        <w:t>set out the general terms and conditions applicable to new borrowings</w:t>
      </w:r>
      <w:r w:rsidR="00C41891">
        <w:rPr>
          <w:rFonts w:cs="Calibri"/>
          <w:sz w:val="24"/>
          <w:szCs w:val="24"/>
        </w:rPr>
        <w:t>; and</w:t>
      </w:r>
    </w:p>
    <w:p w14:paraId="2AA71FCF" w14:textId="4425E79B" w:rsidR="00C41891" w:rsidRPr="00D07E37" w:rsidRDefault="00B95632" w:rsidP="00EB797C">
      <w:pPr>
        <w:numPr>
          <w:ilvl w:val="0"/>
          <w:numId w:val="22"/>
        </w:numPr>
        <w:tabs>
          <w:tab w:val="clear" w:pos="360"/>
          <w:tab w:val="num" w:pos="709"/>
        </w:tabs>
        <w:spacing w:before="0" w:after="240"/>
        <w:ind w:left="567" w:hanging="425"/>
        <w:jc w:val="both"/>
        <w:rPr>
          <w:rFonts w:cs="Calibri"/>
          <w:sz w:val="24"/>
          <w:szCs w:val="24"/>
        </w:rPr>
      </w:pPr>
      <w:r>
        <w:rPr>
          <w:rFonts w:cs="Calibri"/>
          <w:sz w:val="24"/>
          <w:szCs w:val="24"/>
        </w:rPr>
        <w:t xml:space="preserve">delegate </w:t>
      </w:r>
      <w:r w:rsidR="00C41891">
        <w:rPr>
          <w:rFonts w:cs="Calibri"/>
          <w:sz w:val="24"/>
          <w:szCs w:val="24"/>
        </w:rPr>
        <w:t xml:space="preserve">authority </w:t>
      </w:r>
      <w:r w:rsidR="00C41891" w:rsidRPr="00D07E37">
        <w:rPr>
          <w:rFonts w:cs="Calibri"/>
          <w:sz w:val="24"/>
          <w:szCs w:val="24"/>
        </w:rPr>
        <w:t xml:space="preserve">to the Under Treasurer to </w:t>
      </w:r>
      <w:r>
        <w:rPr>
          <w:rFonts w:cs="Calibri"/>
          <w:sz w:val="24"/>
          <w:szCs w:val="24"/>
        </w:rPr>
        <w:t xml:space="preserve">execute </w:t>
      </w:r>
      <w:r w:rsidR="00C41891" w:rsidRPr="00D07E37">
        <w:rPr>
          <w:rFonts w:cs="Calibri"/>
          <w:sz w:val="24"/>
          <w:szCs w:val="24"/>
        </w:rPr>
        <w:t xml:space="preserve">borrowing transactions within the approved limit and </w:t>
      </w:r>
      <w:r>
        <w:rPr>
          <w:rFonts w:cs="Calibri"/>
          <w:sz w:val="24"/>
          <w:szCs w:val="24"/>
        </w:rPr>
        <w:t xml:space="preserve">in accordance </w:t>
      </w:r>
      <w:r w:rsidR="00C41891" w:rsidRPr="00D07E37">
        <w:rPr>
          <w:rFonts w:cs="Calibri"/>
          <w:sz w:val="24"/>
          <w:szCs w:val="24"/>
        </w:rPr>
        <w:t xml:space="preserve">with the </w:t>
      </w:r>
      <w:r>
        <w:rPr>
          <w:rFonts w:cs="Calibri"/>
          <w:sz w:val="24"/>
          <w:szCs w:val="24"/>
        </w:rPr>
        <w:t xml:space="preserve">specified </w:t>
      </w:r>
      <w:r w:rsidR="00C41891" w:rsidRPr="00D07E37">
        <w:rPr>
          <w:rFonts w:cs="Calibri"/>
          <w:sz w:val="24"/>
          <w:szCs w:val="24"/>
        </w:rPr>
        <w:t>terms and conditions</w:t>
      </w:r>
      <w:r w:rsidR="00C41891">
        <w:rPr>
          <w:rFonts w:cs="Calibri"/>
          <w:sz w:val="24"/>
          <w:szCs w:val="24"/>
        </w:rPr>
        <w:t>.</w:t>
      </w:r>
    </w:p>
    <w:p w14:paraId="213CEF2A" w14:textId="02E5AA17" w:rsidR="00B95632" w:rsidRDefault="00B95632" w:rsidP="00EB797C">
      <w:pPr>
        <w:spacing w:before="0" w:after="240"/>
        <w:jc w:val="both"/>
        <w:rPr>
          <w:rFonts w:cs="Calibri"/>
          <w:sz w:val="24"/>
          <w:szCs w:val="24"/>
          <w:lang w:val="en-US"/>
        </w:rPr>
      </w:pPr>
      <w:r>
        <w:rPr>
          <w:rFonts w:cs="Calibri"/>
          <w:sz w:val="24"/>
          <w:szCs w:val="24"/>
          <w:lang w:val="en-US"/>
        </w:rPr>
        <w:t xml:space="preserve">For each new issuance of a </w:t>
      </w:r>
      <w:r w:rsidR="00C41891">
        <w:rPr>
          <w:rFonts w:cs="Calibri"/>
          <w:sz w:val="24"/>
          <w:szCs w:val="24"/>
          <w:lang w:val="en-US"/>
        </w:rPr>
        <w:t>fixed rate medium</w:t>
      </w:r>
      <w:r>
        <w:rPr>
          <w:rFonts w:cs="Calibri"/>
          <w:sz w:val="24"/>
          <w:szCs w:val="24"/>
          <w:lang w:val="en-US"/>
        </w:rPr>
        <w:t>-</w:t>
      </w:r>
      <w:r w:rsidR="00C41891">
        <w:rPr>
          <w:rFonts w:cs="Calibri"/>
          <w:sz w:val="24"/>
          <w:szCs w:val="24"/>
          <w:lang w:val="en-US"/>
        </w:rPr>
        <w:t>term note, floating rate note or inflation</w:t>
      </w:r>
      <w:r>
        <w:rPr>
          <w:rFonts w:cs="Calibri"/>
          <w:sz w:val="24"/>
          <w:szCs w:val="24"/>
          <w:lang w:val="en-US"/>
        </w:rPr>
        <w:t>-</w:t>
      </w:r>
      <w:r w:rsidR="00C41891">
        <w:rPr>
          <w:rFonts w:cs="Calibri"/>
          <w:sz w:val="24"/>
          <w:szCs w:val="24"/>
          <w:lang w:val="en-US"/>
        </w:rPr>
        <w:t>linked note</w:t>
      </w:r>
      <w:r>
        <w:rPr>
          <w:rFonts w:cs="Calibri"/>
          <w:sz w:val="24"/>
          <w:szCs w:val="24"/>
          <w:lang w:val="en-US"/>
        </w:rPr>
        <w:t xml:space="preserve">, </w:t>
      </w:r>
      <w:r w:rsidR="00C41891" w:rsidRPr="00D07E37">
        <w:rPr>
          <w:rFonts w:cs="Calibri"/>
          <w:sz w:val="24"/>
          <w:szCs w:val="24"/>
          <w:lang w:val="en-US"/>
        </w:rPr>
        <w:t xml:space="preserve">the Under Treasurer </w:t>
      </w:r>
      <w:r>
        <w:rPr>
          <w:rFonts w:cs="Calibri"/>
          <w:sz w:val="24"/>
          <w:szCs w:val="24"/>
          <w:lang w:val="en-US"/>
        </w:rPr>
        <w:t>issues</w:t>
      </w:r>
      <w:r w:rsidR="00C41891" w:rsidRPr="00D07E37">
        <w:rPr>
          <w:rFonts w:cs="Calibri"/>
          <w:sz w:val="24"/>
          <w:szCs w:val="24"/>
          <w:lang w:val="en-US"/>
        </w:rPr>
        <w:t xml:space="preserve"> a </w:t>
      </w:r>
      <w:r>
        <w:rPr>
          <w:rFonts w:cs="Calibri"/>
          <w:sz w:val="24"/>
          <w:szCs w:val="24"/>
          <w:lang w:val="en-US"/>
        </w:rPr>
        <w:t xml:space="preserve">transaction-specific </w:t>
      </w:r>
      <w:r w:rsidR="00C41891" w:rsidRPr="00D07E37">
        <w:rPr>
          <w:rFonts w:cs="Calibri"/>
          <w:sz w:val="24"/>
          <w:szCs w:val="24"/>
          <w:lang w:val="en-US"/>
        </w:rPr>
        <w:t>Treasury Authorisation</w:t>
      </w:r>
      <w:r>
        <w:rPr>
          <w:rFonts w:cs="Calibri"/>
          <w:sz w:val="24"/>
          <w:szCs w:val="24"/>
          <w:lang w:val="en-US"/>
        </w:rPr>
        <w:t xml:space="preserve">. This </w:t>
      </w:r>
      <w:proofErr w:type="spellStart"/>
      <w:r>
        <w:rPr>
          <w:rFonts w:cs="Calibri"/>
          <w:sz w:val="24"/>
          <w:szCs w:val="24"/>
          <w:lang w:val="en-US"/>
        </w:rPr>
        <w:t>authorisation</w:t>
      </w:r>
      <w:proofErr w:type="spellEnd"/>
      <w:r>
        <w:rPr>
          <w:rFonts w:cs="Calibri"/>
          <w:sz w:val="24"/>
          <w:szCs w:val="24"/>
          <w:lang w:val="en-US"/>
        </w:rPr>
        <w:t xml:space="preserve"> supplements the section </w:t>
      </w:r>
      <w:r w:rsidR="00C41891">
        <w:rPr>
          <w:rFonts w:cs="Calibri"/>
          <w:sz w:val="24"/>
          <w:szCs w:val="24"/>
          <w:lang w:val="en-US"/>
        </w:rPr>
        <w:t xml:space="preserve">40 FMA </w:t>
      </w:r>
      <w:r w:rsidR="00B5769F">
        <w:rPr>
          <w:rFonts w:cs="Calibri"/>
          <w:sz w:val="24"/>
          <w:szCs w:val="24"/>
          <w:lang w:val="en-US"/>
        </w:rPr>
        <w:t xml:space="preserve">Treasurer </w:t>
      </w:r>
      <w:proofErr w:type="spellStart"/>
      <w:r w:rsidR="00B5769F">
        <w:rPr>
          <w:rFonts w:cs="Calibri"/>
          <w:sz w:val="24"/>
          <w:szCs w:val="24"/>
          <w:lang w:val="en-US"/>
        </w:rPr>
        <w:t>authorisation</w:t>
      </w:r>
      <w:proofErr w:type="spellEnd"/>
      <w:r>
        <w:rPr>
          <w:rFonts w:cs="Calibri"/>
          <w:sz w:val="24"/>
          <w:szCs w:val="24"/>
          <w:lang w:val="en-US"/>
        </w:rPr>
        <w:t xml:space="preserve"> and sets out the detailed terms and conditions of the borrowing.</w:t>
      </w:r>
    </w:p>
    <w:p w14:paraId="56AEE470" w14:textId="0F72ACDB" w:rsidR="00C41891" w:rsidRDefault="00B95632" w:rsidP="00EB797C">
      <w:pPr>
        <w:spacing w:before="0" w:after="240"/>
        <w:jc w:val="both"/>
        <w:rPr>
          <w:rFonts w:cs="Calibri"/>
          <w:sz w:val="24"/>
          <w:szCs w:val="24"/>
          <w:lang w:val="en-US"/>
        </w:rPr>
      </w:pPr>
      <w:r>
        <w:rPr>
          <w:rFonts w:cs="Calibri"/>
          <w:sz w:val="24"/>
          <w:szCs w:val="24"/>
          <w:lang w:val="en-US"/>
        </w:rPr>
        <w:t xml:space="preserve">All transaction-specific </w:t>
      </w:r>
      <w:proofErr w:type="spellStart"/>
      <w:r>
        <w:rPr>
          <w:rFonts w:cs="Calibri"/>
          <w:sz w:val="24"/>
          <w:szCs w:val="24"/>
          <w:lang w:val="en-US"/>
        </w:rPr>
        <w:t>authorisations</w:t>
      </w:r>
      <w:proofErr w:type="spellEnd"/>
      <w:r>
        <w:rPr>
          <w:rFonts w:cs="Calibri"/>
          <w:sz w:val="24"/>
          <w:szCs w:val="24"/>
          <w:lang w:val="en-US"/>
        </w:rPr>
        <w:t xml:space="preserve"> must be consistent with the prevailing Treasurer-approved Treasury </w:t>
      </w:r>
      <w:proofErr w:type="spellStart"/>
      <w:r>
        <w:rPr>
          <w:rFonts w:cs="Calibri"/>
          <w:sz w:val="24"/>
          <w:szCs w:val="24"/>
          <w:lang w:val="en-US"/>
        </w:rPr>
        <w:t>authorisation</w:t>
      </w:r>
      <w:proofErr w:type="spellEnd"/>
      <w:r>
        <w:rPr>
          <w:rFonts w:cs="Calibri"/>
          <w:sz w:val="24"/>
          <w:szCs w:val="24"/>
          <w:lang w:val="en-US"/>
        </w:rPr>
        <w:t>, including the applicable borrowing limit and general terms and conditions.</w:t>
      </w:r>
    </w:p>
    <w:p w14:paraId="4A5152F3" w14:textId="77777777" w:rsidR="00B95632" w:rsidRDefault="00B95632" w:rsidP="00B95632">
      <w:pPr>
        <w:spacing w:before="0" w:after="240"/>
        <w:rPr>
          <w:rFonts w:cs="Calibri"/>
          <w:sz w:val="24"/>
          <w:szCs w:val="24"/>
          <w:lang w:val="en-US"/>
        </w:rPr>
      </w:pPr>
    </w:p>
    <w:p w14:paraId="70F15918" w14:textId="77777777" w:rsidR="00B95632" w:rsidRDefault="00B95632" w:rsidP="00B95632">
      <w:pPr>
        <w:spacing w:before="0" w:after="240"/>
        <w:rPr>
          <w:rFonts w:cs="Calibri"/>
          <w:sz w:val="24"/>
          <w:szCs w:val="24"/>
          <w:lang w:val="en-US"/>
        </w:rPr>
      </w:pPr>
    </w:p>
    <w:p w14:paraId="54E979E3" w14:textId="2C5BBEAE" w:rsidR="00C41891" w:rsidRPr="00923C55" w:rsidRDefault="00C41891" w:rsidP="00C41891">
      <w:pPr>
        <w:pStyle w:val="Heading1"/>
      </w:pPr>
      <w:bookmarkStart w:id="10" w:name="_Toc238200011"/>
      <w:r w:rsidRPr="00B95632">
        <w:lastRenderedPageBreak/>
        <w:t>OBJECTIVES AND STRATEGY</w:t>
      </w:r>
      <w:bookmarkEnd w:id="10"/>
    </w:p>
    <w:p w14:paraId="1BF5CF2F" w14:textId="77777777" w:rsidR="00C41891" w:rsidRPr="00DB42D6" w:rsidRDefault="00C41891" w:rsidP="00C41891">
      <w:pPr>
        <w:numPr>
          <w:ilvl w:val="1"/>
          <w:numId w:val="0"/>
        </w:numPr>
        <w:spacing w:before="240" w:after="240"/>
        <w:jc w:val="both"/>
        <w:rPr>
          <w:rFonts w:cs="Calibri"/>
          <w:b/>
          <w:bCs/>
          <w:color w:val="7030A0"/>
          <w:sz w:val="32"/>
          <w:szCs w:val="32"/>
          <w:lang w:val="en-US"/>
        </w:rPr>
      </w:pPr>
      <w:r w:rsidRPr="00DB42D6">
        <w:rPr>
          <w:rFonts w:cs="Calibri"/>
          <w:b/>
          <w:bCs/>
          <w:color w:val="7030A0"/>
          <w:sz w:val="32"/>
          <w:szCs w:val="32"/>
          <w:lang w:val="en-US"/>
        </w:rPr>
        <w:t>DEBT MANAGEMENT OBJECTIVES</w:t>
      </w:r>
    </w:p>
    <w:p w14:paraId="401A101F" w14:textId="3AC64888" w:rsidR="00C41891" w:rsidRPr="00860AFA" w:rsidRDefault="00C41891" w:rsidP="00EB797C">
      <w:pPr>
        <w:spacing w:before="0" w:after="240"/>
        <w:jc w:val="both"/>
        <w:rPr>
          <w:rFonts w:cs="Calibri"/>
          <w:sz w:val="24"/>
          <w:szCs w:val="24"/>
          <w:lang w:val="en-US"/>
        </w:rPr>
      </w:pPr>
      <w:r w:rsidRPr="00860AFA">
        <w:rPr>
          <w:rFonts w:cs="Calibri"/>
          <w:sz w:val="24"/>
          <w:szCs w:val="24"/>
          <w:lang w:val="en-US"/>
        </w:rPr>
        <w:t xml:space="preserve">The primary </w:t>
      </w:r>
      <w:r w:rsidR="00B5769F">
        <w:rPr>
          <w:rFonts w:cs="Calibri"/>
          <w:sz w:val="24"/>
          <w:szCs w:val="24"/>
          <w:lang w:val="en-US"/>
        </w:rPr>
        <w:t xml:space="preserve">debt management </w:t>
      </w:r>
      <w:r w:rsidR="005156BC">
        <w:rPr>
          <w:rFonts w:cs="Calibri"/>
          <w:sz w:val="24"/>
          <w:szCs w:val="24"/>
          <w:lang w:val="en-US"/>
        </w:rPr>
        <w:t>objective</w:t>
      </w:r>
      <w:r w:rsidRPr="00860AFA">
        <w:rPr>
          <w:rFonts w:cs="Calibri"/>
          <w:sz w:val="24"/>
          <w:szCs w:val="24"/>
          <w:lang w:val="en-US"/>
        </w:rPr>
        <w:t xml:space="preserve"> is to meet the ongoing financing </w:t>
      </w:r>
      <w:r w:rsidR="005156BC">
        <w:rPr>
          <w:rFonts w:cs="Calibri"/>
          <w:sz w:val="24"/>
          <w:szCs w:val="24"/>
          <w:lang w:val="en-US"/>
        </w:rPr>
        <w:t>requirements</w:t>
      </w:r>
      <w:r w:rsidRPr="00860AFA">
        <w:rPr>
          <w:rFonts w:cs="Calibri"/>
          <w:sz w:val="24"/>
          <w:szCs w:val="24"/>
          <w:lang w:val="en-US"/>
        </w:rPr>
        <w:t xml:space="preserve"> of the Territory having regard to the Territory’s </w:t>
      </w:r>
      <w:r w:rsidR="00523DB4">
        <w:rPr>
          <w:rFonts w:cs="Calibri"/>
          <w:sz w:val="24"/>
          <w:szCs w:val="24"/>
          <w:lang w:val="en-US"/>
        </w:rPr>
        <w:t xml:space="preserve">broader </w:t>
      </w:r>
      <w:r w:rsidRPr="00860AFA">
        <w:rPr>
          <w:rFonts w:cs="Calibri"/>
          <w:sz w:val="24"/>
          <w:szCs w:val="24"/>
          <w:lang w:val="en-US"/>
        </w:rPr>
        <w:t>macroeconomic and fiscal strategies.</w:t>
      </w:r>
    </w:p>
    <w:p w14:paraId="42E94B21" w14:textId="7D61BACD" w:rsidR="00C41891" w:rsidRPr="00860AFA" w:rsidRDefault="00C41891" w:rsidP="00EB797C">
      <w:pPr>
        <w:spacing w:before="0" w:after="240"/>
        <w:jc w:val="both"/>
        <w:rPr>
          <w:rFonts w:cs="Calibri"/>
          <w:sz w:val="24"/>
          <w:szCs w:val="24"/>
          <w:lang w:val="en-US"/>
        </w:rPr>
      </w:pPr>
      <w:r w:rsidRPr="00860AFA">
        <w:rPr>
          <w:rFonts w:cs="Calibri"/>
          <w:sz w:val="24"/>
          <w:szCs w:val="24"/>
          <w:lang w:val="en-US"/>
        </w:rPr>
        <w:t xml:space="preserve">The </w:t>
      </w:r>
      <w:r w:rsidR="00523DB4">
        <w:rPr>
          <w:rFonts w:cs="Calibri"/>
          <w:sz w:val="24"/>
          <w:szCs w:val="24"/>
          <w:lang w:val="en-US"/>
        </w:rPr>
        <w:t xml:space="preserve">key </w:t>
      </w:r>
      <w:r w:rsidRPr="00860AFA">
        <w:rPr>
          <w:rFonts w:cs="Calibri"/>
          <w:sz w:val="24"/>
          <w:szCs w:val="24"/>
          <w:lang w:val="en-US"/>
        </w:rPr>
        <w:t xml:space="preserve">debt management objectives </w:t>
      </w:r>
      <w:r w:rsidR="00523DB4">
        <w:rPr>
          <w:rFonts w:cs="Calibri"/>
          <w:sz w:val="24"/>
          <w:szCs w:val="24"/>
          <w:lang w:val="en-US"/>
        </w:rPr>
        <w:t>are to</w:t>
      </w:r>
      <w:r w:rsidRPr="00860AFA">
        <w:rPr>
          <w:rFonts w:cs="Calibri"/>
          <w:sz w:val="24"/>
          <w:szCs w:val="24"/>
          <w:lang w:val="en-US"/>
        </w:rPr>
        <w:t>:</w:t>
      </w:r>
    </w:p>
    <w:p w14:paraId="0AF410FA" w14:textId="7931719A" w:rsidR="00C41891" w:rsidRPr="00860AFA" w:rsidRDefault="00523DB4" w:rsidP="00EB797C">
      <w:pPr>
        <w:numPr>
          <w:ilvl w:val="0"/>
          <w:numId w:val="22"/>
        </w:numPr>
        <w:tabs>
          <w:tab w:val="clear" w:pos="360"/>
          <w:tab w:val="num" w:pos="709"/>
        </w:tabs>
        <w:spacing w:before="0" w:after="240"/>
        <w:ind w:left="567" w:hanging="425"/>
        <w:jc w:val="both"/>
        <w:rPr>
          <w:rFonts w:cs="Calibri"/>
          <w:sz w:val="24"/>
          <w:szCs w:val="24"/>
        </w:rPr>
      </w:pPr>
      <w:r>
        <w:rPr>
          <w:rFonts w:cs="Calibri"/>
          <w:sz w:val="24"/>
          <w:szCs w:val="24"/>
        </w:rPr>
        <w:t xml:space="preserve">ensure the timely management of </w:t>
      </w:r>
      <w:r w:rsidR="00C41891" w:rsidRPr="00860AFA">
        <w:rPr>
          <w:rFonts w:cs="Calibri"/>
          <w:sz w:val="24"/>
          <w:szCs w:val="24"/>
        </w:rPr>
        <w:t>the Government’s liquidity and financial payment obligations</w:t>
      </w:r>
      <w:r w:rsidR="00044242">
        <w:rPr>
          <w:rFonts w:cs="Calibri"/>
          <w:sz w:val="24"/>
          <w:szCs w:val="24"/>
        </w:rPr>
        <w:t>;</w:t>
      </w:r>
    </w:p>
    <w:p w14:paraId="503BEE15" w14:textId="494CB9CA" w:rsidR="00C41891" w:rsidRPr="00860AFA" w:rsidRDefault="00C41891" w:rsidP="00EB797C">
      <w:pPr>
        <w:numPr>
          <w:ilvl w:val="0"/>
          <w:numId w:val="22"/>
        </w:numPr>
        <w:tabs>
          <w:tab w:val="clear" w:pos="360"/>
          <w:tab w:val="num" w:pos="709"/>
        </w:tabs>
        <w:spacing w:before="0" w:after="240"/>
        <w:ind w:left="567" w:hanging="425"/>
        <w:jc w:val="both"/>
        <w:rPr>
          <w:rFonts w:cs="Calibri"/>
          <w:sz w:val="24"/>
          <w:szCs w:val="24"/>
        </w:rPr>
      </w:pPr>
      <w:r>
        <w:rPr>
          <w:rFonts w:cs="Calibri"/>
          <w:sz w:val="24"/>
          <w:szCs w:val="24"/>
        </w:rPr>
        <w:t>rais</w:t>
      </w:r>
      <w:r w:rsidR="00523DB4">
        <w:rPr>
          <w:rFonts w:cs="Calibri"/>
          <w:sz w:val="24"/>
          <w:szCs w:val="24"/>
        </w:rPr>
        <w:t>e funds to support the Government’s ongoing capital requirements</w:t>
      </w:r>
      <w:r w:rsidR="00044242">
        <w:rPr>
          <w:rFonts w:cs="Calibri"/>
          <w:sz w:val="24"/>
          <w:szCs w:val="24"/>
        </w:rPr>
        <w:t>;</w:t>
      </w:r>
    </w:p>
    <w:p w14:paraId="26297C5D" w14:textId="496C91AD" w:rsidR="00C41891" w:rsidRPr="00860AFA" w:rsidRDefault="00523DB4" w:rsidP="00EB797C">
      <w:pPr>
        <w:numPr>
          <w:ilvl w:val="0"/>
          <w:numId w:val="22"/>
        </w:numPr>
        <w:tabs>
          <w:tab w:val="clear" w:pos="360"/>
          <w:tab w:val="num" w:pos="709"/>
        </w:tabs>
        <w:spacing w:before="0" w:after="240"/>
        <w:ind w:left="567" w:hanging="425"/>
        <w:jc w:val="both"/>
        <w:rPr>
          <w:rFonts w:cs="Calibri"/>
          <w:sz w:val="24"/>
          <w:szCs w:val="24"/>
        </w:rPr>
      </w:pPr>
      <w:r>
        <w:rPr>
          <w:rFonts w:cs="Calibri"/>
          <w:sz w:val="24"/>
          <w:szCs w:val="24"/>
        </w:rPr>
        <w:t xml:space="preserve">achieve </w:t>
      </w:r>
      <w:r w:rsidR="00C41891" w:rsidRPr="00860AFA">
        <w:rPr>
          <w:rFonts w:cs="Calibri"/>
          <w:sz w:val="24"/>
          <w:szCs w:val="24"/>
        </w:rPr>
        <w:t xml:space="preserve">competitive </w:t>
      </w:r>
      <w:r>
        <w:rPr>
          <w:rFonts w:cs="Calibri"/>
          <w:sz w:val="24"/>
          <w:szCs w:val="24"/>
        </w:rPr>
        <w:t xml:space="preserve">funding </w:t>
      </w:r>
      <w:r w:rsidR="00C41891" w:rsidRPr="00860AFA">
        <w:rPr>
          <w:rFonts w:cs="Calibri"/>
          <w:sz w:val="24"/>
          <w:szCs w:val="24"/>
        </w:rPr>
        <w:t>cost</w:t>
      </w:r>
      <w:r>
        <w:rPr>
          <w:rFonts w:cs="Calibri"/>
          <w:sz w:val="24"/>
          <w:szCs w:val="24"/>
        </w:rPr>
        <w:t>s</w:t>
      </w:r>
      <w:r w:rsidR="00C41891" w:rsidRPr="00860AFA">
        <w:rPr>
          <w:rFonts w:cs="Calibri"/>
          <w:sz w:val="24"/>
          <w:szCs w:val="24"/>
        </w:rPr>
        <w:t xml:space="preserve"> </w:t>
      </w:r>
      <w:r>
        <w:rPr>
          <w:rFonts w:cs="Calibri"/>
          <w:sz w:val="24"/>
          <w:szCs w:val="24"/>
        </w:rPr>
        <w:t>relative</w:t>
      </w:r>
      <w:r w:rsidR="00C41891" w:rsidRPr="00860AFA">
        <w:rPr>
          <w:rFonts w:cs="Calibri"/>
          <w:sz w:val="24"/>
          <w:szCs w:val="24"/>
        </w:rPr>
        <w:t xml:space="preserve"> </w:t>
      </w:r>
      <w:r>
        <w:rPr>
          <w:rFonts w:cs="Calibri"/>
          <w:sz w:val="24"/>
          <w:szCs w:val="24"/>
        </w:rPr>
        <w:t>to</w:t>
      </w:r>
      <w:r w:rsidR="00C41891" w:rsidRPr="00860AFA">
        <w:rPr>
          <w:rFonts w:cs="Calibri"/>
          <w:sz w:val="24"/>
          <w:szCs w:val="24"/>
        </w:rPr>
        <w:t xml:space="preserve"> </w:t>
      </w:r>
      <w:r w:rsidR="00C41891">
        <w:rPr>
          <w:rFonts w:cs="Calibri"/>
          <w:sz w:val="24"/>
          <w:szCs w:val="24"/>
        </w:rPr>
        <w:t>Australia Semi-g</w:t>
      </w:r>
      <w:r w:rsidR="00C41891" w:rsidRPr="00860AFA">
        <w:rPr>
          <w:rFonts w:cs="Calibri"/>
          <w:sz w:val="24"/>
          <w:szCs w:val="24"/>
        </w:rPr>
        <w:t xml:space="preserve">overnment peers, </w:t>
      </w:r>
      <w:proofErr w:type="gramStart"/>
      <w:r>
        <w:rPr>
          <w:rFonts w:cs="Calibri"/>
          <w:sz w:val="24"/>
          <w:szCs w:val="24"/>
        </w:rPr>
        <w:t>taking into account</w:t>
      </w:r>
      <w:proofErr w:type="gramEnd"/>
      <w:r>
        <w:rPr>
          <w:rFonts w:cs="Calibri"/>
          <w:sz w:val="24"/>
          <w:szCs w:val="24"/>
        </w:rPr>
        <w:t xml:space="preserve"> the Territory’s credit rating and outstanding debt profile</w:t>
      </w:r>
      <w:r w:rsidR="00044242">
        <w:rPr>
          <w:rFonts w:cs="Calibri"/>
          <w:sz w:val="24"/>
          <w:szCs w:val="24"/>
        </w:rPr>
        <w:t>;</w:t>
      </w:r>
    </w:p>
    <w:p w14:paraId="2094C25F" w14:textId="291DDD6D" w:rsidR="00C41891" w:rsidRPr="00860AFA" w:rsidRDefault="00523DB4" w:rsidP="00EB797C">
      <w:pPr>
        <w:numPr>
          <w:ilvl w:val="0"/>
          <w:numId w:val="22"/>
        </w:numPr>
        <w:tabs>
          <w:tab w:val="clear" w:pos="360"/>
          <w:tab w:val="num" w:pos="709"/>
        </w:tabs>
        <w:spacing w:before="0" w:after="240"/>
        <w:ind w:left="567" w:hanging="425"/>
        <w:jc w:val="both"/>
        <w:rPr>
          <w:rFonts w:cs="Calibri"/>
          <w:sz w:val="24"/>
          <w:szCs w:val="24"/>
        </w:rPr>
      </w:pPr>
      <w:r>
        <w:rPr>
          <w:rFonts w:cs="Calibri"/>
          <w:sz w:val="24"/>
          <w:szCs w:val="24"/>
        </w:rPr>
        <w:t>manage refinancing and maturity risks through appropriate diversification of issuance tenors, volumes and liquidity</w:t>
      </w:r>
      <w:r w:rsidR="00044242">
        <w:rPr>
          <w:rFonts w:cs="Calibri"/>
          <w:sz w:val="24"/>
          <w:szCs w:val="24"/>
        </w:rPr>
        <w:t>;</w:t>
      </w:r>
    </w:p>
    <w:p w14:paraId="05F16E0A" w14:textId="2D8BEFCB" w:rsidR="00C41891" w:rsidRPr="00860AFA" w:rsidRDefault="00C41891" w:rsidP="00EB797C">
      <w:pPr>
        <w:numPr>
          <w:ilvl w:val="0"/>
          <w:numId w:val="22"/>
        </w:numPr>
        <w:tabs>
          <w:tab w:val="clear" w:pos="360"/>
          <w:tab w:val="num" w:pos="709"/>
        </w:tabs>
        <w:spacing w:before="0" w:after="240"/>
        <w:ind w:left="567" w:hanging="425"/>
        <w:jc w:val="both"/>
        <w:rPr>
          <w:rFonts w:cs="Calibri"/>
          <w:sz w:val="24"/>
          <w:szCs w:val="24"/>
        </w:rPr>
      </w:pPr>
      <w:r>
        <w:rPr>
          <w:rFonts w:cs="Calibri"/>
          <w:sz w:val="24"/>
          <w:szCs w:val="24"/>
        </w:rPr>
        <w:t>m</w:t>
      </w:r>
      <w:r w:rsidRPr="00860AFA">
        <w:rPr>
          <w:rFonts w:cs="Calibri"/>
          <w:sz w:val="24"/>
          <w:szCs w:val="24"/>
        </w:rPr>
        <w:t>inimis</w:t>
      </w:r>
      <w:r w:rsidR="00523DB4">
        <w:rPr>
          <w:rFonts w:cs="Calibri"/>
          <w:sz w:val="24"/>
          <w:szCs w:val="24"/>
        </w:rPr>
        <w:t xml:space="preserve">e variability in </w:t>
      </w:r>
      <w:r w:rsidRPr="00860AFA">
        <w:rPr>
          <w:rFonts w:cs="Calibri"/>
          <w:sz w:val="24"/>
          <w:szCs w:val="24"/>
        </w:rPr>
        <w:t>interest</w:t>
      </w:r>
      <w:r w:rsidR="00523DB4">
        <w:rPr>
          <w:rFonts w:cs="Calibri"/>
          <w:sz w:val="24"/>
          <w:szCs w:val="24"/>
        </w:rPr>
        <w:t xml:space="preserve"> costs over time</w:t>
      </w:r>
      <w:r w:rsidR="00044242">
        <w:rPr>
          <w:rFonts w:cs="Calibri"/>
          <w:sz w:val="24"/>
          <w:szCs w:val="24"/>
        </w:rPr>
        <w:t>; and</w:t>
      </w:r>
    </w:p>
    <w:p w14:paraId="1A17199A" w14:textId="605D3EAC" w:rsidR="00C41891" w:rsidRPr="00860AFA" w:rsidRDefault="00523DB4" w:rsidP="00EB797C">
      <w:pPr>
        <w:numPr>
          <w:ilvl w:val="0"/>
          <w:numId w:val="22"/>
        </w:numPr>
        <w:tabs>
          <w:tab w:val="clear" w:pos="360"/>
          <w:tab w:val="num" w:pos="709"/>
        </w:tabs>
        <w:spacing w:before="0" w:after="240"/>
        <w:ind w:left="567" w:hanging="425"/>
        <w:jc w:val="both"/>
        <w:rPr>
          <w:rFonts w:cs="Calibri"/>
          <w:sz w:val="24"/>
          <w:szCs w:val="24"/>
        </w:rPr>
      </w:pPr>
      <w:r>
        <w:rPr>
          <w:rFonts w:cs="Calibri"/>
          <w:sz w:val="24"/>
          <w:szCs w:val="24"/>
        </w:rPr>
        <w:t>promote a diverse and sustainable investor base through broad market participation</w:t>
      </w:r>
      <w:r w:rsidR="00044242">
        <w:rPr>
          <w:rFonts w:cs="Calibri"/>
          <w:sz w:val="24"/>
          <w:szCs w:val="24"/>
        </w:rPr>
        <w:t>.</w:t>
      </w:r>
    </w:p>
    <w:p w14:paraId="033DE39E" w14:textId="77777777" w:rsidR="00C41891" w:rsidRPr="00DB42D6" w:rsidRDefault="00C41891" w:rsidP="00C41891">
      <w:pPr>
        <w:numPr>
          <w:ilvl w:val="1"/>
          <w:numId w:val="0"/>
        </w:numPr>
        <w:spacing w:before="240" w:after="240"/>
        <w:jc w:val="both"/>
        <w:rPr>
          <w:rFonts w:cs="Calibri"/>
          <w:b/>
          <w:bCs/>
          <w:color w:val="7030A0"/>
          <w:sz w:val="32"/>
          <w:szCs w:val="32"/>
          <w:lang w:val="en-US"/>
        </w:rPr>
      </w:pPr>
      <w:r w:rsidRPr="00DB42D6">
        <w:rPr>
          <w:rFonts w:cs="Calibri"/>
          <w:b/>
          <w:bCs/>
          <w:color w:val="7030A0"/>
          <w:sz w:val="32"/>
          <w:szCs w:val="32"/>
          <w:lang w:val="en-US"/>
        </w:rPr>
        <w:t>DEBT MANAGEMENT STRATEGY</w:t>
      </w:r>
    </w:p>
    <w:p w14:paraId="7851E07D" w14:textId="76F532C8" w:rsidR="00C41891" w:rsidRPr="008B65CC" w:rsidRDefault="00C41891" w:rsidP="00EB797C">
      <w:pPr>
        <w:spacing w:before="0" w:after="240"/>
        <w:jc w:val="both"/>
        <w:rPr>
          <w:rFonts w:cs="Calibri"/>
          <w:sz w:val="24"/>
          <w:szCs w:val="24"/>
          <w:lang w:val="en-US"/>
        </w:rPr>
      </w:pPr>
      <w:r w:rsidRPr="008B65CC">
        <w:rPr>
          <w:rFonts w:cs="Calibri"/>
          <w:sz w:val="24"/>
          <w:szCs w:val="24"/>
          <w:lang w:val="en-US"/>
        </w:rPr>
        <w:t xml:space="preserve">The debt management strategy </w:t>
      </w:r>
      <w:r w:rsidR="00523DB4">
        <w:rPr>
          <w:rFonts w:cs="Calibri"/>
          <w:sz w:val="24"/>
          <w:szCs w:val="24"/>
          <w:lang w:val="en-US"/>
        </w:rPr>
        <w:t xml:space="preserve">supports the achievement of the Territory’s debt management objectives by guiding borrowing decisions and managing financial risks. The strategy considers the financial and risk characteristics of the Territory’s current and project cash </w:t>
      </w:r>
      <w:proofErr w:type="gramStart"/>
      <w:r w:rsidR="00523DB4">
        <w:rPr>
          <w:rFonts w:cs="Calibri"/>
          <w:sz w:val="24"/>
          <w:szCs w:val="24"/>
          <w:lang w:val="en-US"/>
        </w:rPr>
        <w:t>flows</w:t>
      </w:r>
      <w:proofErr w:type="gramEnd"/>
      <w:r w:rsidR="00523DB4">
        <w:rPr>
          <w:rFonts w:cs="Calibri"/>
          <w:sz w:val="24"/>
          <w:szCs w:val="24"/>
          <w:lang w:val="en-US"/>
        </w:rPr>
        <w:t>.</w:t>
      </w:r>
      <w:r w:rsidRPr="008B65CC">
        <w:rPr>
          <w:rFonts w:cs="Calibri"/>
          <w:sz w:val="24"/>
          <w:szCs w:val="24"/>
          <w:lang w:val="en-US"/>
        </w:rPr>
        <w:t xml:space="preserve">  </w:t>
      </w:r>
    </w:p>
    <w:p w14:paraId="781E0F2C" w14:textId="21E5D720" w:rsidR="00C41891" w:rsidRPr="008B65CC" w:rsidRDefault="00C41891" w:rsidP="00EB797C">
      <w:pPr>
        <w:spacing w:before="0" w:after="240"/>
        <w:jc w:val="both"/>
        <w:rPr>
          <w:rFonts w:cs="Calibri"/>
          <w:sz w:val="24"/>
          <w:szCs w:val="24"/>
          <w:lang w:val="en-US"/>
        </w:rPr>
      </w:pPr>
      <w:r w:rsidRPr="008B65CC">
        <w:rPr>
          <w:rFonts w:cs="Calibri"/>
          <w:sz w:val="24"/>
          <w:szCs w:val="24"/>
          <w:lang w:val="en-US"/>
        </w:rPr>
        <w:t>The</w:t>
      </w:r>
      <w:r w:rsidR="00523DB4">
        <w:rPr>
          <w:rFonts w:cs="Calibri"/>
          <w:sz w:val="24"/>
          <w:szCs w:val="24"/>
          <w:lang w:val="en-US"/>
        </w:rPr>
        <w:t xml:space="preserve"> strategy facilitates the assessment and management of trade-offs between expected borrowing costs and associated risks within the debt portfolio.</w:t>
      </w:r>
    </w:p>
    <w:p w14:paraId="3439142E" w14:textId="15A8C23A" w:rsidR="00C41891" w:rsidRPr="008B65CC" w:rsidRDefault="00523DB4" w:rsidP="00EB797C">
      <w:pPr>
        <w:spacing w:before="0" w:after="240"/>
        <w:jc w:val="both"/>
        <w:rPr>
          <w:rFonts w:cs="Calibri"/>
          <w:sz w:val="24"/>
          <w:szCs w:val="24"/>
          <w:lang w:val="en-US"/>
        </w:rPr>
      </w:pPr>
      <w:r>
        <w:rPr>
          <w:rFonts w:cs="Calibri"/>
          <w:sz w:val="24"/>
          <w:szCs w:val="24"/>
          <w:lang w:val="en-US"/>
        </w:rPr>
        <w:t xml:space="preserve">Each financial year, </w:t>
      </w:r>
      <w:r w:rsidR="00C41891">
        <w:rPr>
          <w:rFonts w:cs="Calibri"/>
          <w:sz w:val="24"/>
          <w:szCs w:val="24"/>
          <w:lang w:val="en-US"/>
        </w:rPr>
        <w:t>Treasury</w:t>
      </w:r>
      <w:r w:rsidR="00C41891" w:rsidRPr="008B65CC">
        <w:rPr>
          <w:rFonts w:cs="Calibri"/>
          <w:sz w:val="24"/>
          <w:szCs w:val="24"/>
          <w:lang w:val="en-US"/>
        </w:rPr>
        <w:t xml:space="preserve"> develops a</w:t>
      </w:r>
      <w:r w:rsidR="00C41891">
        <w:rPr>
          <w:rFonts w:cs="Calibri"/>
          <w:sz w:val="24"/>
          <w:szCs w:val="24"/>
          <w:lang w:val="en-US"/>
        </w:rPr>
        <w:t xml:space="preserve"> debt</w:t>
      </w:r>
      <w:r w:rsidR="00C41891" w:rsidRPr="008B65CC">
        <w:rPr>
          <w:rFonts w:cs="Calibri"/>
          <w:sz w:val="24"/>
          <w:szCs w:val="24"/>
          <w:lang w:val="en-US"/>
        </w:rPr>
        <w:t xml:space="preserve"> issuance </w:t>
      </w:r>
      <w:r w:rsidR="00B50A0E">
        <w:rPr>
          <w:rFonts w:cs="Calibri"/>
          <w:sz w:val="24"/>
          <w:szCs w:val="24"/>
          <w:lang w:val="en-US"/>
        </w:rPr>
        <w:t>strategy</w:t>
      </w:r>
      <w:r w:rsidR="00C41891" w:rsidRPr="008B65CC">
        <w:rPr>
          <w:rFonts w:cs="Calibri"/>
          <w:sz w:val="24"/>
          <w:szCs w:val="24"/>
          <w:lang w:val="en-US"/>
        </w:rPr>
        <w:t xml:space="preserve"> </w:t>
      </w:r>
      <w:r>
        <w:rPr>
          <w:rFonts w:cs="Calibri"/>
          <w:sz w:val="24"/>
          <w:szCs w:val="24"/>
          <w:lang w:val="en-US"/>
        </w:rPr>
        <w:t xml:space="preserve">informed by the Government’s Budget </w:t>
      </w:r>
      <w:r w:rsidR="00C41891" w:rsidRPr="008B65CC">
        <w:rPr>
          <w:rFonts w:cs="Calibri"/>
          <w:sz w:val="24"/>
          <w:szCs w:val="24"/>
          <w:lang w:val="en-US"/>
        </w:rPr>
        <w:t>estimates</w:t>
      </w:r>
      <w:r w:rsidR="00F33495">
        <w:rPr>
          <w:rFonts w:cs="Calibri"/>
          <w:sz w:val="24"/>
          <w:szCs w:val="24"/>
          <w:lang w:val="en-US"/>
        </w:rPr>
        <w:t xml:space="preserve"> </w:t>
      </w:r>
      <w:r>
        <w:rPr>
          <w:rFonts w:cs="Calibri"/>
          <w:sz w:val="24"/>
          <w:szCs w:val="24"/>
          <w:lang w:val="en-US"/>
        </w:rPr>
        <w:t>of financing requirements. This process also considers prevailing capital market conditions, investor demand, risk factors and potential cost implications.</w:t>
      </w:r>
    </w:p>
    <w:p w14:paraId="45AFD0CF" w14:textId="0894DC5E" w:rsidR="00C41891" w:rsidRPr="008A5850" w:rsidRDefault="00C41891" w:rsidP="00EB797C">
      <w:pPr>
        <w:spacing w:before="0" w:after="240"/>
        <w:jc w:val="both"/>
        <w:rPr>
          <w:rFonts w:cs="Calibri"/>
          <w:sz w:val="24"/>
          <w:szCs w:val="24"/>
          <w:lang w:val="en-US"/>
        </w:rPr>
      </w:pPr>
      <w:r w:rsidRPr="008B65CC">
        <w:rPr>
          <w:rFonts w:cs="Calibri"/>
          <w:sz w:val="24"/>
          <w:szCs w:val="24"/>
          <w:lang w:val="en-US"/>
        </w:rPr>
        <w:t xml:space="preserve">The debt </w:t>
      </w:r>
      <w:r w:rsidR="00044242">
        <w:rPr>
          <w:rFonts w:cs="Calibri"/>
          <w:sz w:val="24"/>
          <w:szCs w:val="24"/>
          <w:lang w:val="en-US"/>
        </w:rPr>
        <w:t>management strategy</w:t>
      </w:r>
      <w:r w:rsidRPr="008B65CC">
        <w:rPr>
          <w:rFonts w:cs="Calibri"/>
          <w:sz w:val="24"/>
          <w:szCs w:val="24"/>
          <w:lang w:val="en-US"/>
        </w:rPr>
        <w:t xml:space="preserve"> </w:t>
      </w:r>
      <w:r w:rsidR="00523DB4">
        <w:rPr>
          <w:rFonts w:cs="Calibri"/>
          <w:sz w:val="24"/>
          <w:szCs w:val="24"/>
          <w:lang w:val="en-US"/>
        </w:rPr>
        <w:t xml:space="preserve">is designed to ensure alignment with, and effective delivery of, the Territory’s </w:t>
      </w:r>
      <w:r>
        <w:rPr>
          <w:rFonts w:cs="Calibri"/>
          <w:sz w:val="24"/>
          <w:szCs w:val="24"/>
          <w:lang w:val="en-US"/>
        </w:rPr>
        <w:t>debt management objectives</w:t>
      </w:r>
      <w:r w:rsidR="00044242">
        <w:rPr>
          <w:rFonts w:cs="Calibri"/>
          <w:sz w:val="24"/>
          <w:szCs w:val="24"/>
          <w:lang w:val="en-US"/>
        </w:rPr>
        <w:t>.</w:t>
      </w:r>
      <w:r w:rsidRPr="008B65CC">
        <w:rPr>
          <w:rFonts w:cs="Calibri"/>
          <w:sz w:val="24"/>
          <w:szCs w:val="24"/>
          <w:lang w:val="en-US"/>
        </w:rPr>
        <w:t xml:space="preserve"> </w:t>
      </w:r>
    </w:p>
    <w:p w14:paraId="277B0125" w14:textId="0B75EA72" w:rsidR="00214896" w:rsidRPr="008A5850" w:rsidRDefault="00214896" w:rsidP="008A5850">
      <w:pPr>
        <w:pStyle w:val="Heading1"/>
        <w:rPr>
          <w:b w:val="0"/>
        </w:rPr>
      </w:pPr>
      <w:bookmarkStart w:id="11" w:name="_Toc238200012"/>
      <w:r w:rsidRPr="008A5850">
        <w:lastRenderedPageBreak/>
        <w:t>DOMESTIC DEBT ISSUANCE PROGRAMME</w:t>
      </w:r>
      <w:bookmarkEnd w:id="11"/>
    </w:p>
    <w:p w14:paraId="08EEE1FC" w14:textId="4A3C7506" w:rsidR="00CC7435" w:rsidRDefault="00214896" w:rsidP="00EB797C">
      <w:pPr>
        <w:spacing w:before="0" w:after="240"/>
        <w:jc w:val="both"/>
        <w:rPr>
          <w:rFonts w:cs="Calibri"/>
          <w:sz w:val="24"/>
          <w:szCs w:val="24"/>
          <w:lang w:val="en-US"/>
        </w:rPr>
      </w:pPr>
      <w:r>
        <w:rPr>
          <w:rFonts w:cs="Calibri"/>
          <w:sz w:val="24"/>
          <w:szCs w:val="24"/>
          <w:lang w:val="en-US"/>
        </w:rPr>
        <w:t xml:space="preserve">Treasury has </w:t>
      </w:r>
      <w:r w:rsidRPr="00214896">
        <w:rPr>
          <w:rFonts w:cs="Calibri"/>
          <w:sz w:val="24"/>
          <w:szCs w:val="24"/>
          <w:lang w:val="en-US"/>
        </w:rPr>
        <w:t xml:space="preserve">established </w:t>
      </w:r>
      <w:r w:rsidR="009D54D3">
        <w:rPr>
          <w:rFonts w:cs="Calibri"/>
          <w:sz w:val="24"/>
          <w:szCs w:val="24"/>
          <w:lang w:val="en-US"/>
        </w:rPr>
        <w:t xml:space="preserve">an </w:t>
      </w:r>
      <w:r w:rsidRPr="00214896">
        <w:rPr>
          <w:rFonts w:cs="Calibri"/>
          <w:sz w:val="24"/>
          <w:szCs w:val="24"/>
          <w:lang w:val="en-US"/>
        </w:rPr>
        <w:t xml:space="preserve">Australian Dollar Debt Issuance </w:t>
      </w:r>
      <w:proofErr w:type="spellStart"/>
      <w:r w:rsidRPr="00214896">
        <w:rPr>
          <w:rFonts w:cs="Calibri"/>
          <w:sz w:val="24"/>
          <w:szCs w:val="24"/>
          <w:lang w:val="en-US"/>
        </w:rPr>
        <w:t>Programme</w:t>
      </w:r>
      <w:proofErr w:type="spellEnd"/>
      <w:r w:rsidRPr="00214896">
        <w:rPr>
          <w:rFonts w:cs="Calibri"/>
          <w:sz w:val="24"/>
          <w:szCs w:val="24"/>
          <w:lang w:val="en-US"/>
        </w:rPr>
        <w:t xml:space="preserve"> (</w:t>
      </w:r>
      <w:proofErr w:type="spellStart"/>
      <w:r w:rsidRPr="00214896">
        <w:rPr>
          <w:rFonts w:cs="Calibri"/>
          <w:sz w:val="24"/>
          <w:szCs w:val="24"/>
          <w:lang w:val="en-US"/>
        </w:rPr>
        <w:t>Programme</w:t>
      </w:r>
      <w:proofErr w:type="spellEnd"/>
      <w:r w:rsidRPr="00214896">
        <w:rPr>
          <w:rFonts w:cs="Calibri"/>
          <w:sz w:val="24"/>
          <w:szCs w:val="24"/>
          <w:lang w:val="en-US"/>
        </w:rPr>
        <w:t xml:space="preserve">) under which approved borrowings are raised </w:t>
      </w:r>
      <w:r w:rsidR="009D54D3">
        <w:rPr>
          <w:rFonts w:cs="Calibri"/>
          <w:sz w:val="24"/>
          <w:szCs w:val="24"/>
          <w:lang w:val="en-US"/>
        </w:rPr>
        <w:t xml:space="preserve">through </w:t>
      </w:r>
      <w:r w:rsidRPr="00214896">
        <w:rPr>
          <w:rFonts w:cs="Calibri"/>
          <w:sz w:val="24"/>
          <w:szCs w:val="24"/>
          <w:lang w:val="en-US"/>
        </w:rPr>
        <w:t>the issuance of financial debt instruments (Notes) in the Australian capital markets</w:t>
      </w:r>
      <w:r>
        <w:rPr>
          <w:rFonts w:cs="Calibri"/>
          <w:sz w:val="24"/>
          <w:szCs w:val="24"/>
          <w:lang w:val="en-US"/>
        </w:rPr>
        <w:t>.</w:t>
      </w:r>
    </w:p>
    <w:p w14:paraId="5316046A" w14:textId="5F9B0B81" w:rsidR="00CC7435" w:rsidRPr="00214896" w:rsidRDefault="00CC7435" w:rsidP="00EB797C">
      <w:pPr>
        <w:numPr>
          <w:ilvl w:val="0"/>
          <w:numId w:val="22"/>
        </w:numPr>
        <w:tabs>
          <w:tab w:val="clear" w:pos="360"/>
          <w:tab w:val="num" w:pos="709"/>
        </w:tabs>
        <w:spacing w:before="0" w:after="240"/>
        <w:ind w:left="567" w:hanging="425"/>
        <w:jc w:val="both"/>
        <w:rPr>
          <w:rFonts w:cs="Calibri"/>
          <w:sz w:val="24"/>
          <w:szCs w:val="24"/>
        </w:rPr>
      </w:pPr>
      <w:r w:rsidRPr="00214896">
        <w:rPr>
          <w:rFonts w:cs="Calibri"/>
          <w:sz w:val="24"/>
          <w:szCs w:val="24"/>
        </w:rPr>
        <w:t xml:space="preserve">Territory </w:t>
      </w:r>
      <w:r w:rsidR="00214896">
        <w:rPr>
          <w:rFonts w:cs="Calibri"/>
          <w:sz w:val="24"/>
          <w:szCs w:val="24"/>
        </w:rPr>
        <w:t>Notes (B</w:t>
      </w:r>
      <w:r w:rsidRPr="00214896">
        <w:rPr>
          <w:rFonts w:cs="Calibri"/>
          <w:sz w:val="24"/>
          <w:szCs w:val="24"/>
        </w:rPr>
        <w:t>onds</w:t>
      </w:r>
      <w:r w:rsidR="00214896">
        <w:rPr>
          <w:rFonts w:cs="Calibri"/>
          <w:sz w:val="24"/>
          <w:szCs w:val="24"/>
        </w:rPr>
        <w:t>)</w:t>
      </w:r>
      <w:r w:rsidRPr="00214896">
        <w:rPr>
          <w:rFonts w:cs="Calibri"/>
          <w:sz w:val="24"/>
          <w:szCs w:val="24"/>
        </w:rPr>
        <w:t xml:space="preserve"> are issued </w:t>
      </w:r>
      <w:r w:rsidR="009D54D3">
        <w:rPr>
          <w:rFonts w:cs="Calibri"/>
          <w:sz w:val="24"/>
          <w:szCs w:val="24"/>
        </w:rPr>
        <w:t xml:space="preserve">under </w:t>
      </w:r>
      <w:r w:rsidRPr="00214896">
        <w:rPr>
          <w:rFonts w:cs="Calibri"/>
          <w:sz w:val="24"/>
          <w:szCs w:val="24"/>
        </w:rPr>
        <w:t xml:space="preserve">the terms and conditions of the Programme </w:t>
      </w:r>
      <w:r w:rsidR="009D54D3">
        <w:rPr>
          <w:rFonts w:cs="Calibri"/>
          <w:sz w:val="24"/>
          <w:szCs w:val="24"/>
        </w:rPr>
        <w:t xml:space="preserve">in the name of the </w:t>
      </w:r>
      <w:r w:rsidRPr="00214896">
        <w:rPr>
          <w:rFonts w:cs="Calibri"/>
          <w:sz w:val="24"/>
          <w:szCs w:val="24"/>
        </w:rPr>
        <w:t>Australian Capital Territory</w:t>
      </w:r>
      <w:r w:rsidR="00214896">
        <w:rPr>
          <w:rFonts w:cs="Calibri"/>
          <w:sz w:val="24"/>
          <w:szCs w:val="24"/>
        </w:rPr>
        <w:t xml:space="preserve"> (the Issuer)</w:t>
      </w:r>
      <w:r w:rsidRPr="00214896">
        <w:rPr>
          <w:rFonts w:cs="Calibri"/>
          <w:sz w:val="24"/>
          <w:szCs w:val="24"/>
        </w:rPr>
        <w:t xml:space="preserve">, </w:t>
      </w:r>
      <w:r w:rsidR="009D54D3">
        <w:rPr>
          <w:rFonts w:cs="Calibri"/>
          <w:sz w:val="24"/>
          <w:szCs w:val="24"/>
        </w:rPr>
        <w:t xml:space="preserve">being the </w:t>
      </w:r>
      <w:r w:rsidRPr="00214896">
        <w:rPr>
          <w:rFonts w:cs="Calibri"/>
          <w:sz w:val="24"/>
          <w:szCs w:val="24"/>
        </w:rPr>
        <w:t>legal</w:t>
      </w:r>
      <w:r w:rsidR="009D54D3">
        <w:rPr>
          <w:rFonts w:cs="Calibri"/>
          <w:sz w:val="24"/>
          <w:szCs w:val="24"/>
        </w:rPr>
        <w:t xml:space="preserve"> issuing</w:t>
      </w:r>
      <w:r w:rsidRPr="00214896">
        <w:rPr>
          <w:rFonts w:cs="Calibri"/>
          <w:sz w:val="24"/>
          <w:szCs w:val="24"/>
        </w:rPr>
        <w:t xml:space="preserve"> entity.</w:t>
      </w:r>
    </w:p>
    <w:p w14:paraId="48AA1976" w14:textId="1733CE96" w:rsidR="00CC7435" w:rsidRPr="00CC7435" w:rsidRDefault="00214896" w:rsidP="00EB797C">
      <w:pPr>
        <w:spacing w:before="0" w:after="240"/>
        <w:jc w:val="both"/>
        <w:rPr>
          <w:rFonts w:cs="Calibri"/>
          <w:sz w:val="24"/>
          <w:szCs w:val="24"/>
          <w:lang w:val="en-US"/>
        </w:rPr>
      </w:pPr>
      <w:r>
        <w:rPr>
          <w:rFonts w:cs="Calibri"/>
          <w:sz w:val="24"/>
          <w:szCs w:val="24"/>
          <w:lang w:val="en-US"/>
        </w:rPr>
        <w:t xml:space="preserve">The </w:t>
      </w:r>
      <w:proofErr w:type="spellStart"/>
      <w:r>
        <w:rPr>
          <w:rFonts w:cs="Calibri"/>
          <w:sz w:val="24"/>
          <w:szCs w:val="24"/>
          <w:lang w:val="en-US"/>
        </w:rPr>
        <w:t>Programme</w:t>
      </w:r>
      <w:proofErr w:type="spellEnd"/>
      <w:r>
        <w:rPr>
          <w:rFonts w:cs="Calibri"/>
          <w:sz w:val="24"/>
          <w:szCs w:val="24"/>
          <w:lang w:val="en-US"/>
        </w:rPr>
        <w:t xml:space="preserve"> comprises</w:t>
      </w:r>
      <w:r w:rsidR="00F57238">
        <w:rPr>
          <w:rFonts w:cs="Calibri"/>
          <w:sz w:val="24"/>
          <w:szCs w:val="24"/>
          <w:lang w:val="en-US"/>
        </w:rPr>
        <w:t xml:space="preserve"> the following key documentation</w:t>
      </w:r>
      <w:r>
        <w:rPr>
          <w:rFonts w:cs="Calibri"/>
          <w:sz w:val="24"/>
          <w:szCs w:val="24"/>
          <w:lang w:val="en-US"/>
        </w:rPr>
        <w:t>:</w:t>
      </w:r>
    </w:p>
    <w:p w14:paraId="215AB24B" w14:textId="791CE2B4" w:rsidR="00214896" w:rsidRPr="00214896" w:rsidRDefault="00214896" w:rsidP="00EB797C">
      <w:pPr>
        <w:numPr>
          <w:ilvl w:val="0"/>
          <w:numId w:val="22"/>
        </w:numPr>
        <w:tabs>
          <w:tab w:val="clear" w:pos="360"/>
          <w:tab w:val="num" w:pos="709"/>
        </w:tabs>
        <w:spacing w:before="0" w:after="240"/>
        <w:ind w:left="567" w:hanging="425"/>
        <w:jc w:val="both"/>
        <w:rPr>
          <w:rFonts w:cs="Calibri"/>
          <w:sz w:val="24"/>
          <w:szCs w:val="24"/>
        </w:rPr>
      </w:pPr>
      <w:r w:rsidRPr="00214896">
        <w:rPr>
          <w:rFonts w:cs="Calibri"/>
          <w:sz w:val="24"/>
          <w:szCs w:val="24"/>
        </w:rPr>
        <w:t>Information Memorandum</w:t>
      </w:r>
      <w:r w:rsidR="00F57238">
        <w:rPr>
          <w:rFonts w:cs="Calibri"/>
          <w:sz w:val="24"/>
          <w:szCs w:val="24"/>
        </w:rPr>
        <w:t>,</w:t>
      </w:r>
      <w:r w:rsidRPr="00214896">
        <w:rPr>
          <w:rFonts w:cs="Calibri"/>
          <w:sz w:val="24"/>
          <w:szCs w:val="24"/>
        </w:rPr>
        <w:t xml:space="preserve"> which provides detailed information </w:t>
      </w:r>
      <w:r w:rsidR="00F57238">
        <w:rPr>
          <w:rFonts w:cs="Calibri"/>
          <w:sz w:val="24"/>
          <w:szCs w:val="24"/>
        </w:rPr>
        <w:t>about</w:t>
      </w:r>
      <w:r w:rsidRPr="00214896">
        <w:rPr>
          <w:rFonts w:cs="Calibri"/>
          <w:sz w:val="24"/>
          <w:szCs w:val="24"/>
        </w:rPr>
        <w:t xml:space="preserve"> the Issuer and the terms and conditions</w:t>
      </w:r>
      <w:r w:rsidR="00F57238">
        <w:rPr>
          <w:rFonts w:cs="Calibri"/>
          <w:sz w:val="24"/>
          <w:szCs w:val="24"/>
        </w:rPr>
        <w:t xml:space="preserve"> applicable to the </w:t>
      </w:r>
      <w:r w:rsidRPr="00214896">
        <w:rPr>
          <w:rFonts w:cs="Calibri"/>
          <w:sz w:val="24"/>
          <w:szCs w:val="24"/>
        </w:rPr>
        <w:t>issued Notes;</w:t>
      </w:r>
    </w:p>
    <w:p w14:paraId="2F769C72" w14:textId="52AEFA35" w:rsidR="00214896" w:rsidRPr="00214896" w:rsidRDefault="00214896" w:rsidP="00EB797C">
      <w:pPr>
        <w:numPr>
          <w:ilvl w:val="0"/>
          <w:numId w:val="22"/>
        </w:numPr>
        <w:tabs>
          <w:tab w:val="clear" w:pos="360"/>
          <w:tab w:val="num" w:pos="709"/>
        </w:tabs>
        <w:spacing w:before="0" w:after="240"/>
        <w:ind w:left="567" w:hanging="425"/>
        <w:jc w:val="both"/>
        <w:rPr>
          <w:rFonts w:cs="Calibri"/>
          <w:sz w:val="24"/>
          <w:szCs w:val="24"/>
        </w:rPr>
      </w:pPr>
      <w:r w:rsidRPr="00214896">
        <w:rPr>
          <w:rFonts w:cs="Calibri"/>
          <w:sz w:val="24"/>
          <w:szCs w:val="24"/>
        </w:rPr>
        <w:t>Agency Agreement</w:t>
      </w:r>
      <w:r w:rsidR="00F57238">
        <w:rPr>
          <w:rFonts w:cs="Calibri"/>
          <w:sz w:val="24"/>
          <w:szCs w:val="24"/>
        </w:rPr>
        <w:t xml:space="preserve">, which is </w:t>
      </w:r>
      <w:r w:rsidRPr="00214896">
        <w:rPr>
          <w:rFonts w:cs="Calibri"/>
          <w:sz w:val="24"/>
          <w:szCs w:val="24"/>
        </w:rPr>
        <w:t>the ASX Austraclear Registry and Issuing and Paying Agency Services Agreement between ASX Austraclear and the Territory;</w:t>
      </w:r>
    </w:p>
    <w:p w14:paraId="745C99E7" w14:textId="56B9C551" w:rsidR="00214896" w:rsidRPr="00214896" w:rsidRDefault="00214896" w:rsidP="00EB797C">
      <w:pPr>
        <w:numPr>
          <w:ilvl w:val="0"/>
          <w:numId w:val="22"/>
        </w:numPr>
        <w:tabs>
          <w:tab w:val="clear" w:pos="360"/>
          <w:tab w:val="num" w:pos="709"/>
        </w:tabs>
        <w:spacing w:before="0" w:after="240"/>
        <w:ind w:left="567" w:hanging="425"/>
        <w:jc w:val="both"/>
        <w:rPr>
          <w:rFonts w:cs="Calibri"/>
          <w:sz w:val="24"/>
          <w:szCs w:val="24"/>
        </w:rPr>
      </w:pPr>
      <w:r w:rsidRPr="00214896">
        <w:rPr>
          <w:rFonts w:cs="Calibri"/>
          <w:sz w:val="24"/>
          <w:szCs w:val="24"/>
        </w:rPr>
        <w:t>Note Deed Poll</w:t>
      </w:r>
      <w:r w:rsidR="00F57238">
        <w:rPr>
          <w:rFonts w:cs="Calibri"/>
          <w:sz w:val="24"/>
          <w:szCs w:val="24"/>
        </w:rPr>
        <w:t>,</w:t>
      </w:r>
      <w:r w:rsidRPr="00214896">
        <w:rPr>
          <w:rFonts w:cs="Calibri"/>
          <w:sz w:val="24"/>
          <w:szCs w:val="24"/>
        </w:rPr>
        <w:t xml:space="preserve"> </w:t>
      </w:r>
      <w:r w:rsidR="00F57238">
        <w:rPr>
          <w:rFonts w:cs="Calibri"/>
          <w:sz w:val="24"/>
          <w:szCs w:val="24"/>
        </w:rPr>
        <w:t xml:space="preserve">which is </w:t>
      </w:r>
      <w:r w:rsidRPr="00214896">
        <w:rPr>
          <w:rFonts w:cs="Calibri"/>
          <w:sz w:val="24"/>
          <w:szCs w:val="24"/>
        </w:rPr>
        <w:t xml:space="preserve">a legal </w:t>
      </w:r>
      <w:r w:rsidR="00F57238">
        <w:rPr>
          <w:rFonts w:cs="Calibri"/>
          <w:sz w:val="24"/>
          <w:szCs w:val="24"/>
        </w:rPr>
        <w:t>instrument</w:t>
      </w:r>
      <w:r w:rsidRPr="00214896">
        <w:rPr>
          <w:rFonts w:cs="Calibri"/>
          <w:sz w:val="24"/>
          <w:szCs w:val="24"/>
        </w:rPr>
        <w:t xml:space="preserve"> binding </w:t>
      </w:r>
      <w:r w:rsidR="00F57238">
        <w:rPr>
          <w:rFonts w:cs="Calibri"/>
          <w:sz w:val="24"/>
          <w:szCs w:val="24"/>
        </w:rPr>
        <w:t>on</w:t>
      </w:r>
      <w:r w:rsidRPr="00214896">
        <w:rPr>
          <w:rFonts w:cs="Calibri"/>
          <w:sz w:val="24"/>
          <w:szCs w:val="24"/>
        </w:rPr>
        <w:t xml:space="preserve"> the Territory </w:t>
      </w:r>
      <w:r w:rsidR="00F57238">
        <w:rPr>
          <w:rFonts w:cs="Calibri"/>
          <w:sz w:val="24"/>
          <w:szCs w:val="24"/>
        </w:rPr>
        <w:t xml:space="preserve">that evidences the obligations in respect of the </w:t>
      </w:r>
      <w:r w:rsidRPr="00214896">
        <w:rPr>
          <w:rFonts w:cs="Calibri"/>
          <w:sz w:val="24"/>
          <w:szCs w:val="24"/>
        </w:rPr>
        <w:t>issue</w:t>
      </w:r>
      <w:r w:rsidR="00F57238">
        <w:rPr>
          <w:rFonts w:cs="Calibri"/>
          <w:sz w:val="24"/>
          <w:szCs w:val="24"/>
        </w:rPr>
        <w:t>d</w:t>
      </w:r>
      <w:r w:rsidRPr="00214896">
        <w:rPr>
          <w:rFonts w:cs="Calibri"/>
          <w:sz w:val="24"/>
          <w:szCs w:val="24"/>
        </w:rPr>
        <w:t xml:space="preserve"> Notes;</w:t>
      </w:r>
    </w:p>
    <w:p w14:paraId="1F89209E" w14:textId="384CB4DD" w:rsidR="00214896" w:rsidRPr="00214896" w:rsidRDefault="00214896" w:rsidP="00EB797C">
      <w:pPr>
        <w:numPr>
          <w:ilvl w:val="0"/>
          <w:numId w:val="22"/>
        </w:numPr>
        <w:tabs>
          <w:tab w:val="clear" w:pos="360"/>
          <w:tab w:val="num" w:pos="709"/>
        </w:tabs>
        <w:spacing w:before="0" w:after="240"/>
        <w:ind w:left="567" w:hanging="425"/>
        <w:jc w:val="both"/>
        <w:rPr>
          <w:rFonts w:cs="Calibri"/>
          <w:sz w:val="24"/>
          <w:szCs w:val="24"/>
        </w:rPr>
      </w:pPr>
      <w:r w:rsidRPr="00214896">
        <w:rPr>
          <w:rFonts w:cs="Calibri"/>
          <w:sz w:val="24"/>
          <w:szCs w:val="24"/>
        </w:rPr>
        <w:t>Dealer Agreement</w:t>
      </w:r>
      <w:r w:rsidR="00F57238">
        <w:rPr>
          <w:rFonts w:cs="Calibri"/>
          <w:sz w:val="24"/>
          <w:szCs w:val="24"/>
        </w:rPr>
        <w:t>,</w:t>
      </w:r>
      <w:r w:rsidRPr="00214896">
        <w:rPr>
          <w:rFonts w:cs="Calibri"/>
          <w:sz w:val="24"/>
          <w:szCs w:val="24"/>
        </w:rPr>
        <w:t xml:space="preserve"> which </w:t>
      </w:r>
      <w:r w:rsidR="00F57238">
        <w:rPr>
          <w:rFonts w:cs="Calibri"/>
          <w:sz w:val="24"/>
          <w:szCs w:val="24"/>
        </w:rPr>
        <w:t>sets out the</w:t>
      </w:r>
      <w:r w:rsidRPr="00214896">
        <w:rPr>
          <w:rFonts w:cs="Calibri"/>
          <w:sz w:val="24"/>
          <w:szCs w:val="24"/>
        </w:rPr>
        <w:t xml:space="preserve"> roles</w:t>
      </w:r>
      <w:r w:rsidR="00F57238">
        <w:rPr>
          <w:rFonts w:cs="Calibri"/>
          <w:sz w:val="24"/>
          <w:szCs w:val="24"/>
        </w:rPr>
        <w:t xml:space="preserve">, responsibilities and terms governing the relationship between the Territory and the </w:t>
      </w:r>
      <w:r w:rsidRPr="00214896">
        <w:rPr>
          <w:rFonts w:cs="Calibri"/>
          <w:sz w:val="24"/>
          <w:szCs w:val="24"/>
        </w:rPr>
        <w:t xml:space="preserve">Programme </w:t>
      </w:r>
      <w:r w:rsidR="00F57238">
        <w:rPr>
          <w:rFonts w:cs="Calibri"/>
          <w:sz w:val="24"/>
          <w:szCs w:val="24"/>
        </w:rPr>
        <w:t>d</w:t>
      </w:r>
      <w:r w:rsidRPr="00214896">
        <w:rPr>
          <w:rFonts w:cs="Calibri"/>
          <w:sz w:val="24"/>
          <w:szCs w:val="24"/>
        </w:rPr>
        <w:t>ealer</w:t>
      </w:r>
      <w:r w:rsidR="00B5769F">
        <w:rPr>
          <w:rFonts w:cs="Calibri"/>
          <w:sz w:val="24"/>
          <w:szCs w:val="24"/>
        </w:rPr>
        <w:t>s</w:t>
      </w:r>
      <w:r w:rsidRPr="00214896">
        <w:rPr>
          <w:rFonts w:cs="Calibri"/>
          <w:sz w:val="24"/>
          <w:szCs w:val="24"/>
        </w:rPr>
        <w:t xml:space="preserve"> </w:t>
      </w:r>
      <w:r w:rsidR="00F57238">
        <w:rPr>
          <w:rFonts w:cs="Calibri"/>
          <w:sz w:val="24"/>
          <w:szCs w:val="24"/>
        </w:rPr>
        <w:t>in relation to the issuance of Notes</w:t>
      </w:r>
      <w:r w:rsidRPr="00214896">
        <w:rPr>
          <w:rFonts w:cs="Calibri"/>
          <w:sz w:val="24"/>
          <w:szCs w:val="24"/>
        </w:rPr>
        <w:t>; and</w:t>
      </w:r>
    </w:p>
    <w:p w14:paraId="3ECD418E" w14:textId="7C67C73F" w:rsidR="00CC7435" w:rsidRPr="00214896" w:rsidRDefault="00214896" w:rsidP="00EB797C">
      <w:pPr>
        <w:numPr>
          <w:ilvl w:val="0"/>
          <w:numId w:val="22"/>
        </w:numPr>
        <w:tabs>
          <w:tab w:val="clear" w:pos="360"/>
          <w:tab w:val="num" w:pos="709"/>
        </w:tabs>
        <w:spacing w:before="0" w:after="240"/>
        <w:ind w:left="567" w:hanging="425"/>
        <w:jc w:val="both"/>
        <w:rPr>
          <w:rFonts w:cs="Calibri"/>
          <w:sz w:val="24"/>
          <w:szCs w:val="24"/>
        </w:rPr>
      </w:pPr>
      <w:r w:rsidRPr="00214896">
        <w:rPr>
          <w:rFonts w:cs="Calibri"/>
          <w:sz w:val="24"/>
          <w:szCs w:val="24"/>
        </w:rPr>
        <w:t>Legal Opinion</w:t>
      </w:r>
      <w:r w:rsidR="00F57238">
        <w:rPr>
          <w:rFonts w:cs="Calibri"/>
          <w:sz w:val="24"/>
          <w:szCs w:val="24"/>
        </w:rPr>
        <w:t xml:space="preserve">, which provides legal confirmation regarding the validity and enforceability of the </w:t>
      </w:r>
      <w:r w:rsidRPr="00214896">
        <w:rPr>
          <w:rFonts w:cs="Calibri"/>
          <w:sz w:val="24"/>
          <w:szCs w:val="24"/>
        </w:rPr>
        <w:t>Programme</w:t>
      </w:r>
      <w:r w:rsidR="00F57238">
        <w:rPr>
          <w:rFonts w:cs="Calibri"/>
          <w:sz w:val="24"/>
          <w:szCs w:val="24"/>
        </w:rPr>
        <w:t xml:space="preserve"> and associated documentation</w:t>
      </w:r>
      <w:r>
        <w:rPr>
          <w:rFonts w:cs="Calibri"/>
          <w:sz w:val="24"/>
          <w:szCs w:val="24"/>
        </w:rPr>
        <w:t>.</w:t>
      </w:r>
    </w:p>
    <w:p w14:paraId="54EF8200" w14:textId="75537F34" w:rsidR="00DB42D6" w:rsidRPr="00CE5359" w:rsidRDefault="00DB42D6" w:rsidP="00DB42D6">
      <w:pPr>
        <w:numPr>
          <w:ilvl w:val="1"/>
          <w:numId w:val="0"/>
        </w:numPr>
        <w:spacing w:before="240" w:after="240"/>
        <w:jc w:val="both"/>
        <w:rPr>
          <w:rFonts w:cs="Calibri"/>
          <w:b/>
          <w:bCs/>
          <w:color w:val="7030A0"/>
          <w:sz w:val="32"/>
          <w:szCs w:val="32"/>
          <w:lang w:val="en-US"/>
        </w:rPr>
      </w:pPr>
      <w:r>
        <w:rPr>
          <w:rFonts w:cs="Calibri"/>
          <w:b/>
          <w:bCs/>
          <w:color w:val="7030A0"/>
          <w:sz w:val="32"/>
          <w:szCs w:val="32"/>
          <w:lang w:val="en-US"/>
        </w:rPr>
        <w:t>PROGRAMME LEGAL ADVISER</w:t>
      </w:r>
    </w:p>
    <w:p w14:paraId="7E30EA4D" w14:textId="74176F14" w:rsidR="00940BF4" w:rsidRDefault="00421117" w:rsidP="00EB797C">
      <w:pPr>
        <w:spacing w:before="0" w:after="240"/>
        <w:jc w:val="both"/>
        <w:rPr>
          <w:rFonts w:cs="Calibri"/>
          <w:sz w:val="24"/>
          <w:szCs w:val="24"/>
          <w:lang w:val="en-US"/>
        </w:rPr>
      </w:pPr>
      <w:r>
        <w:rPr>
          <w:rFonts w:cs="Calibri"/>
          <w:sz w:val="24"/>
          <w:szCs w:val="24"/>
          <w:lang w:val="en-US"/>
        </w:rPr>
        <w:t xml:space="preserve">Treasury </w:t>
      </w:r>
      <w:r w:rsidR="00F57238">
        <w:rPr>
          <w:rFonts w:cs="Calibri"/>
          <w:sz w:val="24"/>
          <w:szCs w:val="24"/>
          <w:lang w:val="en-US"/>
        </w:rPr>
        <w:t>engages</w:t>
      </w:r>
      <w:r w:rsidR="00940BF4" w:rsidRPr="00634162">
        <w:rPr>
          <w:rFonts w:cs="Calibri"/>
          <w:sz w:val="24"/>
          <w:szCs w:val="24"/>
          <w:lang w:val="en-US"/>
        </w:rPr>
        <w:t xml:space="preserve"> an external</w:t>
      </w:r>
      <w:r w:rsidR="00F57238">
        <w:rPr>
          <w:rFonts w:cs="Calibri"/>
          <w:sz w:val="24"/>
          <w:szCs w:val="24"/>
          <w:lang w:val="en-US"/>
        </w:rPr>
        <w:t xml:space="preserve"> </w:t>
      </w:r>
      <w:r w:rsidR="002A4116">
        <w:rPr>
          <w:rFonts w:cs="Calibri"/>
          <w:sz w:val="24"/>
          <w:szCs w:val="24"/>
          <w:lang w:val="en-US"/>
        </w:rPr>
        <w:t>specialist</w:t>
      </w:r>
      <w:r w:rsidR="00940BF4" w:rsidRPr="00634162">
        <w:rPr>
          <w:rFonts w:cs="Calibri"/>
          <w:sz w:val="24"/>
          <w:szCs w:val="24"/>
          <w:lang w:val="en-US"/>
        </w:rPr>
        <w:t xml:space="preserve"> legal </w:t>
      </w:r>
      <w:r w:rsidR="00F57238">
        <w:rPr>
          <w:rFonts w:cs="Calibri"/>
          <w:sz w:val="24"/>
          <w:szCs w:val="24"/>
          <w:lang w:val="en-US"/>
        </w:rPr>
        <w:t>advisor</w:t>
      </w:r>
      <w:r w:rsidR="00940BF4" w:rsidRPr="00634162">
        <w:rPr>
          <w:rFonts w:cs="Calibri"/>
          <w:sz w:val="24"/>
          <w:szCs w:val="24"/>
          <w:lang w:val="en-US"/>
        </w:rPr>
        <w:t xml:space="preserve"> to provide </w:t>
      </w:r>
      <w:r w:rsidR="009B3566">
        <w:rPr>
          <w:rFonts w:cs="Calibri"/>
          <w:sz w:val="24"/>
          <w:szCs w:val="24"/>
          <w:lang w:val="en-US"/>
        </w:rPr>
        <w:t xml:space="preserve">ongoing </w:t>
      </w:r>
      <w:r w:rsidR="00940BF4" w:rsidRPr="00634162">
        <w:rPr>
          <w:rFonts w:cs="Calibri"/>
          <w:sz w:val="24"/>
          <w:szCs w:val="24"/>
          <w:lang w:val="en-US"/>
        </w:rPr>
        <w:t xml:space="preserve">support in relation to the </w:t>
      </w:r>
      <w:r w:rsidR="009B3566">
        <w:rPr>
          <w:rFonts w:cs="Calibri"/>
          <w:sz w:val="24"/>
          <w:szCs w:val="24"/>
          <w:lang w:val="en-US"/>
        </w:rPr>
        <w:t xml:space="preserve">debt issuance </w:t>
      </w:r>
      <w:proofErr w:type="spellStart"/>
      <w:r w:rsidR="00940BF4" w:rsidRPr="00634162">
        <w:rPr>
          <w:rFonts w:cs="Calibri"/>
          <w:sz w:val="24"/>
          <w:szCs w:val="24"/>
          <w:lang w:val="en-US"/>
        </w:rPr>
        <w:t>Program</w:t>
      </w:r>
      <w:r w:rsidR="00634162" w:rsidRPr="00634162">
        <w:rPr>
          <w:rFonts w:cs="Calibri"/>
          <w:sz w:val="24"/>
          <w:szCs w:val="24"/>
          <w:lang w:val="en-US"/>
        </w:rPr>
        <w:t>me</w:t>
      </w:r>
      <w:proofErr w:type="spellEnd"/>
      <w:r w:rsidR="009B3566">
        <w:rPr>
          <w:rFonts w:cs="Calibri"/>
          <w:sz w:val="24"/>
          <w:szCs w:val="24"/>
          <w:lang w:val="en-US"/>
        </w:rPr>
        <w:t xml:space="preserve">. This includes maintaining and updating </w:t>
      </w:r>
      <w:proofErr w:type="spellStart"/>
      <w:r w:rsidR="009B3566">
        <w:rPr>
          <w:rFonts w:cs="Calibri"/>
          <w:sz w:val="24"/>
          <w:szCs w:val="24"/>
          <w:lang w:val="en-US"/>
        </w:rPr>
        <w:t>Programme</w:t>
      </w:r>
      <w:proofErr w:type="spellEnd"/>
      <w:r w:rsidR="009B3566">
        <w:rPr>
          <w:rFonts w:cs="Calibri"/>
          <w:sz w:val="24"/>
          <w:szCs w:val="24"/>
          <w:lang w:val="en-US"/>
        </w:rPr>
        <w:t xml:space="preserve"> documentation, providing legal opinions on the </w:t>
      </w:r>
      <w:proofErr w:type="spellStart"/>
      <w:r w:rsidR="009B3566">
        <w:rPr>
          <w:rFonts w:cs="Calibri"/>
          <w:sz w:val="24"/>
          <w:szCs w:val="24"/>
          <w:lang w:val="en-US"/>
        </w:rPr>
        <w:t>Programme</w:t>
      </w:r>
      <w:proofErr w:type="spellEnd"/>
      <w:r w:rsidR="009B3566">
        <w:rPr>
          <w:rFonts w:cs="Calibri"/>
          <w:sz w:val="24"/>
          <w:szCs w:val="24"/>
          <w:lang w:val="en-US"/>
        </w:rPr>
        <w:t xml:space="preserve"> documentation, providing legal opinions on the </w:t>
      </w:r>
      <w:proofErr w:type="spellStart"/>
      <w:r w:rsidR="009B3566">
        <w:rPr>
          <w:rFonts w:cs="Calibri"/>
          <w:sz w:val="24"/>
          <w:szCs w:val="24"/>
          <w:lang w:val="en-US"/>
        </w:rPr>
        <w:t>Programme</w:t>
      </w:r>
      <w:proofErr w:type="spellEnd"/>
      <w:r w:rsidR="00940BF4" w:rsidRPr="00634162">
        <w:rPr>
          <w:rFonts w:cs="Calibri"/>
          <w:sz w:val="24"/>
          <w:szCs w:val="24"/>
          <w:lang w:val="en-US"/>
        </w:rPr>
        <w:t xml:space="preserve">, </w:t>
      </w:r>
      <w:r w:rsidR="009B3566">
        <w:rPr>
          <w:rFonts w:cs="Calibri"/>
          <w:sz w:val="24"/>
          <w:szCs w:val="24"/>
          <w:lang w:val="en-US"/>
        </w:rPr>
        <w:t>and preparing the necessary legal documentation for each new debt issuance transaction.</w:t>
      </w:r>
    </w:p>
    <w:p w14:paraId="14041EF6" w14:textId="57D0A86A" w:rsidR="00DB42D6" w:rsidRPr="00CE5359" w:rsidRDefault="00DB42D6" w:rsidP="00DB42D6">
      <w:pPr>
        <w:numPr>
          <w:ilvl w:val="1"/>
          <w:numId w:val="0"/>
        </w:numPr>
        <w:spacing w:before="240" w:after="240"/>
        <w:jc w:val="both"/>
        <w:rPr>
          <w:rFonts w:cs="Calibri"/>
          <w:b/>
          <w:bCs/>
          <w:color w:val="7030A0"/>
          <w:sz w:val="32"/>
          <w:szCs w:val="32"/>
          <w:lang w:val="en-US"/>
        </w:rPr>
      </w:pPr>
      <w:r>
        <w:rPr>
          <w:rFonts w:cs="Calibri"/>
          <w:b/>
          <w:bCs/>
          <w:color w:val="7030A0"/>
          <w:sz w:val="32"/>
          <w:szCs w:val="32"/>
          <w:lang w:val="en-US"/>
        </w:rPr>
        <w:t>PROGRAMME DEALER</w:t>
      </w:r>
      <w:r w:rsidR="00B5769F">
        <w:rPr>
          <w:rFonts w:cs="Calibri"/>
          <w:b/>
          <w:bCs/>
          <w:color w:val="7030A0"/>
          <w:sz w:val="32"/>
          <w:szCs w:val="32"/>
          <w:lang w:val="en-US"/>
        </w:rPr>
        <w:t>S</w:t>
      </w:r>
    </w:p>
    <w:p w14:paraId="56F26D87" w14:textId="0203243C" w:rsidR="009E69E2" w:rsidRDefault="00421117" w:rsidP="00EB797C">
      <w:pPr>
        <w:spacing w:before="0" w:after="240"/>
        <w:jc w:val="both"/>
        <w:rPr>
          <w:rFonts w:cs="Calibri"/>
          <w:sz w:val="24"/>
          <w:szCs w:val="24"/>
          <w:lang w:val="en-US"/>
        </w:rPr>
      </w:pPr>
      <w:r>
        <w:rPr>
          <w:rFonts w:cs="Calibri"/>
          <w:sz w:val="24"/>
          <w:szCs w:val="24"/>
          <w:lang w:val="en-US"/>
        </w:rPr>
        <w:t xml:space="preserve">Treasury’s debt issuance </w:t>
      </w:r>
      <w:r w:rsidR="009B3566">
        <w:rPr>
          <w:rFonts w:cs="Calibri"/>
          <w:sz w:val="24"/>
          <w:szCs w:val="24"/>
          <w:lang w:val="en-US"/>
        </w:rPr>
        <w:t xml:space="preserve">activities are </w:t>
      </w:r>
      <w:r w:rsidR="00634162" w:rsidRPr="00CB4F7C">
        <w:rPr>
          <w:rFonts w:cs="Calibri"/>
          <w:sz w:val="24"/>
          <w:szCs w:val="24"/>
          <w:lang w:val="en-US"/>
        </w:rPr>
        <w:t>supported by a panel of Dealer</w:t>
      </w:r>
      <w:r w:rsidR="00B5769F">
        <w:rPr>
          <w:rFonts w:cs="Calibri"/>
          <w:sz w:val="24"/>
          <w:szCs w:val="24"/>
          <w:lang w:val="en-US"/>
        </w:rPr>
        <w:t>s</w:t>
      </w:r>
      <w:r>
        <w:rPr>
          <w:rFonts w:cs="Calibri"/>
          <w:sz w:val="24"/>
          <w:szCs w:val="24"/>
          <w:lang w:val="en-US"/>
        </w:rPr>
        <w:t xml:space="preserve">, each </w:t>
      </w:r>
      <w:r w:rsidR="009B3566">
        <w:rPr>
          <w:rFonts w:cs="Calibri"/>
          <w:sz w:val="24"/>
          <w:szCs w:val="24"/>
          <w:lang w:val="en-US"/>
        </w:rPr>
        <w:t xml:space="preserve">appointed under the </w:t>
      </w:r>
      <w:proofErr w:type="spellStart"/>
      <w:r>
        <w:rPr>
          <w:rFonts w:cs="Calibri"/>
          <w:sz w:val="24"/>
          <w:szCs w:val="24"/>
          <w:lang w:val="en-US"/>
        </w:rPr>
        <w:t>Programme</w:t>
      </w:r>
      <w:proofErr w:type="spellEnd"/>
      <w:r>
        <w:rPr>
          <w:rFonts w:cs="Calibri"/>
          <w:sz w:val="24"/>
          <w:szCs w:val="24"/>
          <w:lang w:val="en-US"/>
        </w:rPr>
        <w:t xml:space="preserve"> Dealer Agreement</w:t>
      </w:r>
      <w:r w:rsidR="00634162" w:rsidRPr="00CB4F7C">
        <w:rPr>
          <w:rFonts w:cs="Calibri"/>
          <w:sz w:val="24"/>
          <w:szCs w:val="24"/>
          <w:lang w:val="en-US"/>
        </w:rPr>
        <w:t>.</w:t>
      </w:r>
    </w:p>
    <w:p w14:paraId="57A5AB74" w14:textId="518E3AED" w:rsidR="009B3566" w:rsidRPr="00CB4F7C" w:rsidRDefault="009E69E2" w:rsidP="00EB797C">
      <w:pPr>
        <w:spacing w:before="0" w:after="240"/>
        <w:jc w:val="both"/>
        <w:rPr>
          <w:rFonts w:cs="Calibri"/>
          <w:sz w:val="24"/>
          <w:szCs w:val="24"/>
          <w:lang w:val="en-US"/>
        </w:rPr>
      </w:pPr>
      <w:r>
        <w:rPr>
          <w:rFonts w:cs="Calibri"/>
          <w:sz w:val="24"/>
          <w:szCs w:val="24"/>
          <w:lang w:val="en-US"/>
        </w:rPr>
        <w:t>Dealer</w:t>
      </w:r>
      <w:r w:rsidR="00B5769F">
        <w:rPr>
          <w:rFonts w:cs="Calibri"/>
          <w:sz w:val="24"/>
          <w:szCs w:val="24"/>
          <w:lang w:val="en-US"/>
        </w:rPr>
        <w:t>s</w:t>
      </w:r>
      <w:r>
        <w:rPr>
          <w:rFonts w:cs="Calibri"/>
          <w:sz w:val="24"/>
          <w:szCs w:val="24"/>
          <w:lang w:val="en-US"/>
        </w:rPr>
        <w:t xml:space="preserve"> act as intermediaries between the Territory and investors, </w:t>
      </w:r>
      <w:r w:rsidR="009B3566">
        <w:rPr>
          <w:rFonts w:cs="Calibri"/>
          <w:sz w:val="24"/>
          <w:szCs w:val="24"/>
          <w:lang w:val="en-US"/>
        </w:rPr>
        <w:t>facilitating efficient access to capital markets. In consultation with Treasury, Dealer</w:t>
      </w:r>
      <w:r w:rsidR="00B5769F">
        <w:rPr>
          <w:rFonts w:cs="Calibri"/>
          <w:sz w:val="24"/>
          <w:szCs w:val="24"/>
          <w:lang w:val="en-US"/>
        </w:rPr>
        <w:t>s</w:t>
      </w:r>
      <w:r w:rsidR="009B3566">
        <w:rPr>
          <w:rFonts w:cs="Calibri"/>
          <w:sz w:val="24"/>
          <w:szCs w:val="24"/>
          <w:lang w:val="en-US"/>
        </w:rPr>
        <w:t xml:space="preserve"> undertake a range of functions to promote, structure and execute Note issuances, including:</w:t>
      </w:r>
    </w:p>
    <w:p w14:paraId="36F3494C" w14:textId="0A622D41" w:rsidR="00CB4F7C" w:rsidRDefault="00CC3E73" w:rsidP="00EB797C">
      <w:pPr>
        <w:numPr>
          <w:ilvl w:val="0"/>
          <w:numId w:val="22"/>
        </w:numPr>
        <w:tabs>
          <w:tab w:val="clear" w:pos="360"/>
          <w:tab w:val="num" w:pos="709"/>
        </w:tabs>
        <w:spacing w:before="0"/>
        <w:ind w:left="567" w:hanging="425"/>
        <w:jc w:val="both"/>
        <w:rPr>
          <w:rFonts w:cs="Calibri"/>
          <w:sz w:val="24"/>
          <w:szCs w:val="24"/>
        </w:rPr>
      </w:pPr>
      <w:r>
        <w:rPr>
          <w:rFonts w:cs="Calibri"/>
          <w:sz w:val="24"/>
          <w:szCs w:val="24"/>
        </w:rPr>
        <w:lastRenderedPageBreak/>
        <w:t xml:space="preserve">providing </w:t>
      </w:r>
      <w:r w:rsidR="009B3566">
        <w:rPr>
          <w:rFonts w:cs="Calibri"/>
          <w:sz w:val="24"/>
          <w:szCs w:val="24"/>
        </w:rPr>
        <w:t>market intelligence and analysis on the timing, structure</w:t>
      </w:r>
      <w:r w:rsidR="00F23DA7">
        <w:rPr>
          <w:rFonts w:cs="Calibri"/>
          <w:sz w:val="24"/>
          <w:szCs w:val="24"/>
        </w:rPr>
        <w:t xml:space="preserve"> and terms of issuance</w:t>
      </w:r>
      <w:r w:rsidR="00AE3F32">
        <w:rPr>
          <w:rFonts w:cs="Calibri"/>
          <w:sz w:val="24"/>
          <w:szCs w:val="24"/>
        </w:rPr>
        <w:t xml:space="preserve">, </w:t>
      </w:r>
      <w:proofErr w:type="gramStart"/>
      <w:r w:rsidR="00AE3F32">
        <w:rPr>
          <w:rFonts w:cs="Calibri"/>
          <w:sz w:val="24"/>
          <w:szCs w:val="24"/>
        </w:rPr>
        <w:t>taking into account</w:t>
      </w:r>
      <w:proofErr w:type="gramEnd"/>
      <w:r w:rsidR="00AE3F32">
        <w:rPr>
          <w:rFonts w:cs="Calibri"/>
          <w:sz w:val="24"/>
          <w:szCs w:val="24"/>
        </w:rPr>
        <w:t xml:space="preserve"> </w:t>
      </w:r>
      <w:r w:rsidR="00BF0D38">
        <w:rPr>
          <w:rFonts w:cs="Calibri"/>
          <w:sz w:val="24"/>
          <w:szCs w:val="24"/>
        </w:rPr>
        <w:t xml:space="preserve">market conditions, </w:t>
      </w:r>
      <w:r w:rsidRPr="00CC3E73">
        <w:rPr>
          <w:rFonts w:cs="Calibri"/>
          <w:sz w:val="24"/>
          <w:szCs w:val="24"/>
        </w:rPr>
        <w:t>investor demand and competing supply</w:t>
      </w:r>
      <w:r w:rsidR="009E69E2">
        <w:rPr>
          <w:rFonts w:cs="Calibri"/>
          <w:sz w:val="24"/>
          <w:szCs w:val="24"/>
        </w:rPr>
        <w:t>;</w:t>
      </w:r>
    </w:p>
    <w:p w14:paraId="35ADCD9B" w14:textId="63864508" w:rsidR="00CC3E73" w:rsidRPr="00CC3E73" w:rsidRDefault="00CC3E73" w:rsidP="00EB797C">
      <w:pPr>
        <w:numPr>
          <w:ilvl w:val="0"/>
          <w:numId w:val="22"/>
        </w:numPr>
        <w:tabs>
          <w:tab w:val="clear" w:pos="360"/>
          <w:tab w:val="num" w:pos="709"/>
        </w:tabs>
        <w:spacing w:before="0"/>
        <w:ind w:left="567" w:hanging="425"/>
        <w:jc w:val="both"/>
        <w:rPr>
          <w:rFonts w:cs="Calibri"/>
          <w:sz w:val="24"/>
          <w:szCs w:val="24"/>
        </w:rPr>
      </w:pPr>
      <w:r w:rsidRPr="00CC3E73">
        <w:rPr>
          <w:rFonts w:cs="Calibri"/>
          <w:sz w:val="24"/>
          <w:szCs w:val="24"/>
        </w:rPr>
        <w:t>coordinat</w:t>
      </w:r>
      <w:r w:rsidR="009E69E2">
        <w:rPr>
          <w:rFonts w:cs="Calibri"/>
          <w:sz w:val="24"/>
          <w:szCs w:val="24"/>
        </w:rPr>
        <w:t>ing</w:t>
      </w:r>
      <w:r w:rsidRPr="00CC3E73">
        <w:rPr>
          <w:rFonts w:cs="Calibri"/>
          <w:sz w:val="24"/>
          <w:szCs w:val="24"/>
        </w:rPr>
        <w:t xml:space="preserve"> with advisors, determining </w:t>
      </w:r>
      <w:r w:rsidR="00AE3F32">
        <w:rPr>
          <w:rFonts w:cs="Calibri"/>
          <w:sz w:val="24"/>
          <w:szCs w:val="24"/>
        </w:rPr>
        <w:t xml:space="preserve">the </w:t>
      </w:r>
      <w:r w:rsidRPr="00CC3E73">
        <w:rPr>
          <w:rFonts w:cs="Calibri"/>
          <w:sz w:val="24"/>
          <w:szCs w:val="24"/>
        </w:rPr>
        <w:t xml:space="preserve">sales </w:t>
      </w:r>
      <w:r w:rsidR="00AE3F32">
        <w:rPr>
          <w:rFonts w:cs="Calibri"/>
          <w:sz w:val="24"/>
          <w:szCs w:val="24"/>
        </w:rPr>
        <w:t>approach</w:t>
      </w:r>
      <w:r w:rsidRPr="00CC3E73">
        <w:rPr>
          <w:rFonts w:cs="Calibri"/>
          <w:sz w:val="24"/>
          <w:szCs w:val="24"/>
        </w:rPr>
        <w:t xml:space="preserve">, </w:t>
      </w:r>
      <w:r w:rsidR="009E69E2">
        <w:rPr>
          <w:rFonts w:cs="Calibri"/>
          <w:sz w:val="24"/>
          <w:szCs w:val="24"/>
        </w:rPr>
        <w:t xml:space="preserve">and </w:t>
      </w:r>
      <w:r w:rsidR="00AE3F32">
        <w:rPr>
          <w:rFonts w:cs="Calibri"/>
          <w:sz w:val="24"/>
          <w:szCs w:val="24"/>
        </w:rPr>
        <w:t xml:space="preserve">supporting marketing activities, including investor </w:t>
      </w:r>
      <w:r w:rsidRPr="00CC3E73">
        <w:rPr>
          <w:rFonts w:cs="Calibri"/>
          <w:sz w:val="24"/>
          <w:szCs w:val="24"/>
        </w:rPr>
        <w:t>roadshow preparation</w:t>
      </w:r>
      <w:r w:rsidR="009E69E2">
        <w:rPr>
          <w:rFonts w:cs="Calibri"/>
          <w:sz w:val="24"/>
          <w:szCs w:val="24"/>
        </w:rPr>
        <w:t>;</w:t>
      </w:r>
    </w:p>
    <w:p w14:paraId="0EDDF5D4" w14:textId="30FAC4AB" w:rsidR="00CC3E73" w:rsidRPr="00CC3E73" w:rsidRDefault="00CC3E73" w:rsidP="00EB797C">
      <w:pPr>
        <w:numPr>
          <w:ilvl w:val="0"/>
          <w:numId w:val="22"/>
        </w:numPr>
        <w:tabs>
          <w:tab w:val="clear" w:pos="360"/>
          <w:tab w:val="num" w:pos="709"/>
        </w:tabs>
        <w:spacing w:before="0"/>
        <w:ind w:left="567" w:hanging="425"/>
        <w:jc w:val="both"/>
        <w:rPr>
          <w:rFonts w:cs="Calibri"/>
          <w:sz w:val="24"/>
          <w:szCs w:val="24"/>
        </w:rPr>
      </w:pPr>
      <w:r w:rsidRPr="00CC3E73">
        <w:rPr>
          <w:rFonts w:cs="Calibri"/>
          <w:sz w:val="24"/>
          <w:szCs w:val="24"/>
        </w:rPr>
        <w:t>assist</w:t>
      </w:r>
      <w:r w:rsidR="009E69E2">
        <w:rPr>
          <w:rFonts w:cs="Calibri"/>
          <w:sz w:val="24"/>
          <w:szCs w:val="24"/>
        </w:rPr>
        <w:t>ing</w:t>
      </w:r>
      <w:r w:rsidR="00AE3F32">
        <w:rPr>
          <w:rFonts w:cs="Calibri"/>
          <w:sz w:val="24"/>
          <w:szCs w:val="24"/>
        </w:rPr>
        <w:t xml:space="preserve">, </w:t>
      </w:r>
      <w:r w:rsidRPr="00CC3E73">
        <w:rPr>
          <w:rFonts w:cs="Calibri"/>
          <w:sz w:val="24"/>
          <w:szCs w:val="24"/>
        </w:rPr>
        <w:t>in conjunction with legal and other advis</w:t>
      </w:r>
      <w:r w:rsidR="00AE3F32">
        <w:rPr>
          <w:rFonts w:cs="Calibri"/>
          <w:sz w:val="24"/>
          <w:szCs w:val="24"/>
        </w:rPr>
        <w:t>ers, in the preparation of required issuance documentation</w:t>
      </w:r>
      <w:r w:rsidR="009E69E2">
        <w:rPr>
          <w:rFonts w:cs="Calibri"/>
          <w:sz w:val="24"/>
          <w:szCs w:val="24"/>
        </w:rPr>
        <w:t>;</w:t>
      </w:r>
    </w:p>
    <w:p w14:paraId="68E1AC95" w14:textId="78076A33" w:rsidR="00CC3E73" w:rsidRPr="00CC3E73" w:rsidRDefault="00CC3E73" w:rsidP="00EB797C">
      <w:pPr>
        <w:numPr>
          <w:ilvl w:val="0"/>
          <w:numId w:val="22"/>
        </w:numPr>
        <w:tabs>
          <w:tab w:val="clear" w:pos="360"/>
          <w:tab w:val="num" w:pos="709"/>
        </w:tabs>
        <w:spacing w:before="0"/>
        <w:ind w:left="567" w:hanging="425"/>
        <w:jc w:val="both"/>
        <w:rPr>
          <w:rFonts w:cs="Calibri"/>
          <w:sz w:val="24"/>
          <w:szCs w:val="24"/>
        </w:rPr>
      </w:pPr>
      <w:r w:rsidRPr="00CC3E73">
        <w:rPr>
          <w:rFonts w:cs="Calibri"/>
          <w:sz w:val="24"/>
          <w:szCs w:val="24"/>
        </w:rPr>
        <w:t>issu</w:t>
      </w:r>
      <w:r w:rsidR="009E69E2">
        <w:rPr>
          <w:rFonts w:cs="Calibri"/>
          <w:sz w:val="24"/>
          <w:szCs w:val="24"/>
        </w:rPr>
        <w:t>ing</w:t>
      </w:r>
      <w:r w:rsidRPr="00CC3E73">
        <w:rPr>
          <w:rFonts w:cs="Calibri"/>
          <w:sz w:val="24"/>
          <w:szCs w:val="24"/>
        </w:rPr>
        <w:t xml:space="preserve"> </w:t>
      </w:r>
      <w:r w:rsidR="00AE3F32">
        <w:rPr>
          <w:rFonts w:cs="Calibri"/>
          <w:sz w:val="24"/>
          <w:szCs w:val="24"/>
        </w:rPr>
        <w:t xml:space="preserve">market </w:t>
      </w:r>
      <w:r w:rsidRPr="00CC3E73">
        <w:rPr>
          <w:rFonts w:cs="Calibri"/>
          <w:sz w:val="24"/>
          <w:szCs w:val="24"/>
        </w:rPr>
        <w:t>announcement</w:t>
      </w:r>
      <w:r w:rsidR="009E69E2">
        <w:rPr>
          <w:rFonts w:cs="Calibri"/>
          <w:sz w:val="24"/>
          <w:szCs w:val="24"/>
        </w:rPr>
        <w:t>s</w:t>
      </w:r>
      <w:r w:rsidRPr="00CC3E73">
        <w:rPr>
          <w:rFonts w:cs="Calibri"/>
          <w:sz w:val="24"/>
          <w:szCs w:val="24"/>
        </w:rPr>
        <w:t xml:space="preserve"> </w:t>
      </w:r>
      <w:r w:rsidR="00AE3F32">
        <w:rPr>
          <w:rFonts w:cs="Calibri"/>
          <w:sz w:val="24"/>
          <w:szCs w:val="24"/>
        </w:rPr>
        <w:t>regarding</w:t>
      </w:r>
      <w:r w:rsidRPr="00CC3E73">
        <w:rPr>
          <w:rFonts w:cs="Calibri"/>
          <w:sz w:val="24"/>
          <w:szCs w:val="24"/>
        </w:rPr>
        <w:t xml:space="preserve"> funding intentions</w:t>
      </w:r>
      <w:r w:rsidR="00AE3F32">
        <w:rPr>
          <w:rFonts w:cs="Calibri"/>
          <w:sz w:val="24"/>
          <w:szCs w:val="24"/>
        </w:rPr>
        <w:t xml:space="preserve">, </w:t>
      </w:r>
      <w:r w:rsidR="005977D2">
        <w:rPr>
          <w:rFonts w:cs="Calibri"/>
          <w:sz w:val="24"/>
          <w:szCs w:val="24"/>
        </w:rPr>
        <w:t>as</w:t>
      </w:r>
      <w:r w:rsidRPr="00CC3E73">
        <w:rPr>
          <w:rFonts w:cs="Calibri"/>
          <w:sz w:val="24"/>
          <w:szCs w:val="24"/>
        </w:rPr>
        <w:t xml:space="preserve"> </w:t>
      </w:r>
      <w:r w:rsidR="00AE3F32">
        <w:rPr>
          <w:rFonts w:cs="Calibri"/>
          <w:sz w:val="24"/>
          <w:szCs w:val="24"/>
        </w:rPr>
        <w:t xml:space="preserve">directed </w:t>
      </w:r>
      <w:r w:rsidRPr="00CC3E73">
        <w:rPr>
          <w:rFonts w:cs="Calibri"/>
          <w:sz w:val="24"/>
          <w:szCs w:val="24"/>
        </w:rPr>
        <w:t>by the Territory</w:t>
      </w:r>
      <w:r w:rsidR="009E69E2">
        <w:rPr>
          <w:rFonts w:cs="Calibri"/>
          <w:sz w:val="24"/>
          <w:szCs w:val="24"/>
        </w:rPr>
        <w:t>;</w:t>
      </w:r>
    </w:p>
    <w:p w14:paraId="7B4BC450" w14:textId="68827774" w:rsidR="00CC3E73" w:rsidRPr="00CC3E73" w:rsidRDefault="00AE3F32" w:rsidP="00EB797C">
      <w:pPr>
        <w:numPr>
          <w:ilvl w:val="0"/>
          <w:numId w:val="22"/>
        </w:numPr>
        <w:tabs>
          <w:tab w:val="clear" w:pos="360"/>
          <w:tab w:val="num" w:pos="709"/>
        </w:tabs>
        <w:spacing w:before="0"/>
        <w:ind w:left="567" w:hanging="425"/>
        <w:jc w:val="both"/>
        <w:rPr>
          <w:rFonts w:cs="Calibri"/>
          <w:sz w:val="24"/>
          <w:szCs w:val="24"/>
        </w:rPr>
      </w:pPr>
      <w:r>
        <w:rPr>
          <w:rFonts w:cs="Calibri"/>
          <w:sz w:val="24"/>
          <w:szCs w:val="24"/>
        </w:rPr>
        <w:t xml:space="preserve">distributing </w:t>
      </w:r>
      <w:r w:rsidR="00CC3E73" w:rsidRPr="00CC3E73">
        <w:rPr>
          <w:rFonts w:cs="Calibri"/>
          <w:sz w:val="24"/>
          <w:szCs w:val="24"/>
        </w:rPr>
        <w:t>key programme documentation to investors</w:t>
      </w:r>
      <w:r w:rsidR="009E69E2">
        <w:rPr>
          <w:rFonts w:cs="Calibri"/>
          <w:sz w:val="24"/>
          <w:szCs w:val="24"/>
        </w:rPr>
        <w:t>;</w:t>
      </w:r>
    </w:p>
    <w:p w14:paraId="24B7188A" w14:textId="1F3202F4" w:rsidR="00CC3E73" w:rsidRPr="00CC3E73" w:rsidRDefault="00CC3E73" w:rsidP="00EB797C">
      <w:pPr>
        <w:numPr>
          <w:ilvl w:val="0"/>
          <w:numId w:val="22"/>
        </w:numPr>
        <w:tabs>
          <w:tab w:val="clear" w:pos="360"/>
          <w:tab w:val="num" w:pos="709"/>
        </w:tabs>
        <w:spacing w:before="0"/>
        <w:ind w:left="567" w:hanging="425"/>
        <w:jc w:val="both"/>
        <w:rPr>
          <w:rFonts w:cs="Calibri"/>
          <w:sz w:val="24"/>
          <w:szCs w:val="24"/>
        </w:rPr>
      </w:pPr>
      <w:r w:rsidRPr="00CC3E73">
        <w:rPr>
          <w:rFonts w:cs="Calibri"/>
          <w:sz w:val="24"/>
          <w:szCs w:val="24"/>
        </w:rPr>
        <w:t>launch</w:t>
      </w:r>
      <w:r w:rsidR="009E69E2">
        <w:rPr>
          <w:rFonts w:cs="Calibri"/>
          <w:sz w:val="24"/>
          <w:szCs w:val="24"/>
        </w:rPr>
        <w:t>ing</w:t>
      </w:r>
      <w:r w:rsidRPr="00CC3E73">
        <w:rPr>
          <w:rFonts w:cs="Calibri"/>
          <w:sz w:val="24"/>
          <w:szCs w:val="24"/>
        </w:rPr>
        <w:t xml:space="preserve"> </w:t>
      </w:r>
      <w:r w:rsidR="00AE3F32">
        <w:rPr>
          <w:rFonts w:cs="Calibri"/>
          <w:sz w:val="24"/>
          <w:szCs w:val="24"/>
        </w:rPr>
        <w:t>issuances</w:t>
      </w:r>
      <w:r w:rsidRPr="00CC3E73">
        <w:rPr>
          <w:rFonts w:cs="Calibri"/>
          <w:sz w:val="24"/>
          <w:szCs w:val="24"/>
        </w:rPr>
        <w:t xml:space="preserve"> to market</w:t>
      </w:r>
      <w:r w:rsidR="009E69E2">
        <w:rPr>
          <w:rFonts w:cs="Calibri"/>
          <w:sz w:val="24"/>
          <w:szCs w:val="24"/>
        </w:rPr>
        <w:t>;</w:t>
      </w:r>
    </w:p>
    <w:p w14:paraId="1F353A21" w14:textId="2EE9B6F9" w:rsidR="00CC3E73" w:rsidRPr="00CC3E73" w:rsidRDefault="00AE3F32" w:rsidP="00EB797C">
      <w:pPr>
        <w:numPr>
          <w:ilvl w:val="0"/>
          <w:numId w:val="22"/>
        </w:numPr>
        <w:tabs>
          <w:tab w:val="clear" w:pos="360"/>
          <w:tab w:val="num" w:pos="709"/>
        </w:tabs>
        <w:spacing w:before="0"/>
        <w:ind w:left="567" w:hanging="425"/>
        <w:jc w:val="both"/>
        <w:rPr>
          <w:rFonts w:cs="Calibri"/>
          <w:sz w:val="24"/>
          <w:szCs w:val="24"/>
        </w:rPr>
      </w:pPr>
      <w:r>
        <w:rPr>
          <w:rFonts w:cs="Calibri"/>
          <w:sz w:val="24"/>
          <w:szCs w:val="24"/>
        </w:rPr>
        <w:t>managing the bookbuild process, including capturing investor demand and pricing indications</w:t>
      </w:r>
      <w:r w:rsidR="00D43177">
        <w:rPr>
          <w:rFonts w:cs="Calibri"/>
          <w:sz w:val="24"/>
          <w:szCs w:val="24"/>
        </w:rPr>
        <w:t>;</w:t>
      </w:r>
    </w:p>
    <w:p w14:paraId="5803CF37" w14:textId="6E45A18C" w:rsidR="00CC3E73" w:rsidRDefault="00AE3F32" w:rsidP="00EB797C">
      <w:pPr>
        <w:numPr>
          <w:ilvl w:val="0"/>
          <w:numId w:val="22"/>
        </w:numPr>
        <w:tabs>
          <w:tab w:val="clear" w:pos="360"/>
          <w:tab w:val="num" w:pos="709"/>
        </w:tabs>
        <w:spacing w:before="0"/>
        <w:ind w:left="567" w:hanging="425"/>
        <w:jc w:val="both"/>
        <w:rPr>
          <w:rFonts w:cs="Calibri"/>
          <w:sz w:val="24"/>
          <w:szCs w:val="24"/>
        </w:rPr>
      </w:pPr>
      <w:r>
        <w:rPr>
          <w:rFonts w:cs="Calibri"/>
          <w:sz w:val="24"/>
          <w:szCs w:val="24"/>
        </w:rPr>
        <w:t>supporting</w:t>
      </w:r>
      <w:r w:rsidR="00CC3E73" w:rsidRPr="00CC3E73">
        <w:rPr>
          <w:rFonts w:cs="Calibri"/>
          <w:sz w:val="24"/>
          <w:szCs w:val="24"/>
        </w:rPr>
        <w:t xml:space="preserve"> the Territory </w:t>
      </w:r>
      <w:r>
        <w:rPr>
          <w:rFonts w:cs="Calibri"/>
          <w:sz w:val="24"/>
          <w:szCs w:val="24"/>
        </w:rPr>
        <w:t>in</w:t>
      </w:r>
      <w:r w:rsidR="00CC3E73" w:rsidRPr="00CC3E73">
        <w:rPr>
          <w:rFonts w:cs="Calibri"/>
          <w:sz w:val="24"/>
          <w:szCs w:val="24"/>
        </w:rPr>
        <w:t xml:space="preserve"> determining final pricing (issue yield)</w:t>
      </w:r>
      <w:r w:rsidR="00D43177">
        <w:rPr>
          <w:rFonts w:cs="Calibri"/>
          <w:sz w:val="24"/>
          <w:szCs w:val="24"/>
        </w:rPr>
        <w:t>;</w:t>
      </w:r>
    </w:p>
    <w:p w14:paraId="17F234F4" w14:textId="038D4405" w:rsidR="00CC3E73" w:rsidRPr="00CC3E73" w:rsidRDefault="00777702" w:rsidP="00EB797C">
      <w:pPr>
        <w:numPr>
          <w:ilvl w:val="0"/>
          <w:numId w:val="22"/>
        </w:numPr>
        <w:tabs>
          <w:tab w:val="clear" w:pos="360"/>
          <w:tab w:val="num" w:pos="709"/>
        </w:tabs>
        <w:spacing w:before="0"/>
        <w:ind w:left="567" w:hanging="425"/>
        <w:jc w:val="both"/>
        <w:rPr>
          <w:rFonts w:cs="Calibri"/>
          <w:sz w:val="24"/>
          <w:szCs w:val="24"/>
        </w:rPr>
      </w:pPr>
      <w:r>
        <w:rPr>
          <w:rFonts w:cs="Calibri"/>
          <w:sz w:val="24"/>
          <w:szCs w:val="24"/>
        </w:rPr>
        <w:t xml:space="preserve">subscribing </w:t>
      </w:r>
      <w:r w:rsidR="00AE3F32">
        <w:rPr>
          <w:rFonts w:cs="Calibri"/>
          <w:sz w:val="24"/>
          <w:szCs w:val="24"/>
        </w:rPr>
        <w:t>to the issued</w:t>
      </w:r>
      <w:r>
        <w:rPr>
          <w:rFonts w:cs="Calibri"/>
          <w:sz w:val="24"/>
          <w:szCs w:val="24"/>
        </w:rPr>
        <w:t xml:space="preserve"> Notes</w:t>
      </w:r>
      <w:r w:rsidR="00D43177">
        <w:rPr>
          <w:rFonts w:cs="Calibri"/>
          <w:sz w:val="24"/>
          <w:szCs w:val="24"/>
        </w:rPr>
        <w:t>;</w:t>
      </w:r>
    </w:p>
    <w:p w14:paraId="1D28557F" w14:textId="7AA855B9" w:rsidR="00CC3E73" w:rsidRDefault="00CC3E73" w:rsidP="00EB797C">
      <w:pPr>
        <w:numPr>
          <w:ilvl w:val="0"/>
          <w:numId w:val="22"/>
        </w:numPr>
        <w:tabs>
          <w:tab w:val="clear" w:pos="360"/>
          <w:tab w:val="num" w:pos="709"/>
        </w:tabs>
        <w:spacing w:before="0"/>
        <w:ind w:left="567" w:hanging="425"/>
        <w:jc w:val="both"/>
        <w:rPr>
          <w:rFonts w:cs="Calibri"/>
          <w:sz w:val="24"/>
          <w:szCs w:val="24"/>
        </w:rPr>
      </w:pPr>
      <w:r w:rsidRPr="00CC3E73">
        <w:rPr>
          <w:rFonts w:cs="Calibri"/>
          <w:sz w:val="24"/>
          <w:szCs w:val="24"/>
        </w:rPr>
        <w:t xml:space="preserve">assisting </w:t>
      </w:r>
      <w:r w:rsidR="00AE3F32">
        <w:rPr>
          <w:rFonts w:cs="Calibri"/>
          <w:sz w:val="24"/>
          <w:szCs w:val="24"/>
        </w:rPr>
        <w:t xml:space="preserve">with transaction </w:t>
      </w:r>
      <w:r w:rsidRPr="00CC3E73">
        <w:rPr>
          <w:rFonts w:cs="Calibri"/>
          <w:sz w:val="24"/>
          <w:szCs w:val="24"/>
        </w:rPr>
        <w:t>settlement</w:t>
      </w:r>
      <w:r w:rsidR="00B64651">
        <w:rPr>
          <w:rFonts w:cs="Calibri"/>
          <w:sz w:val="24"/>
          <w:szCs w:val="24"/>
        </w:rPr>
        <w:t xml:space="preserve">; and </w:t>
      </w:r>
    </w:p>
    <w:p w14:paraId="259C165D" w14:textId="7399E8E4" w:rsidR="00B64651" w:rsidRPr="00CC3E73" w:rsidRDefault="00AE3F32" w:rsidP="00EB797C">
      <w:pPr>
        <w:numPr>
          <w:ilvl w:val="0"/>
          <w:numId w:val="22"/>
        </w:numPr>
        <w:tabs>
          <w:tab w:val="clear" w:pos="360"/>
          <w:tab w:val="num" w:pos="709"/>
        </w:tabs>
        <w:spacing w:before="0" w:after="240"/>
        <w:ind w:left="567" w:hanging="425"/>
        <w:jc w:val="both"/>
        <w:rPr>
          <w:rFonts w:cs="Calibri"/>
          <w:sz w:val="24"/>
          <w:szCs w:val="24"/>
        </w:rPr>
      </w:pPr>
      <w:r>
        <w:rPr>
          <w:rFonts w:cs="Calibri"/>
          <w:sz w:val="24"/>
          <w:szCs w:val="24"/>
        </w:rPr>
        <w:t xml:space="preserve">supporting liquidity by facilitating </w:t>
      </w:r>
      <w:r w:rsidR="00604725">
        <w:rPr>
          <w:rFonts w:cs="Calibri"/>
          <w:sz w:val="24"/>
          <w:szCs w:val="24"/>
        </w:rPr>
        <w:t xml:space="preserve">secondary market </w:t>
      </w:r>
      <w:r w:rsidR="00B64651">
        <w:rPr>
          <w:rFonts w:cs="Calibri"/>
          <w:sz w:val="24"/>
          <w:szCs w:val="24"/>
        </w:rPr>
        <w:t xml:space="preserve">trading in </w:t>
      </w:r>
      <w:r>
        <w:rPr>
          <w:rFonts w:cs="Calibri"/>
          <w:sz w:val="24"/>
          <w:szCs w:val="24"/>
        </w:rPr>
        <w:t xml:space="preserve">issued </w:t>
      </w:r>
      <w:r w:rsidR="00B64651">
        <w:rPr>
          <w:rFonts w:cs="Calibri"/>
          <w:sz w:val="24"/>
          <w:szCs w:val="24"/>
        </w:rPr>
        <w:t>Territory Notes</w:t>
      </w:r>
      <w:r>
        <w:rPr>
          <w:rFonts w:cs="Calibri"/>
          <w:sz w:val="24"/>
          <w:szCs w:val="24"/>
        </w:rPr>
        <w:t>.</w:t>
      </w:r>
    </w:p>
    <w:p w14:paraId="6E7141C7" w14:textId="59573D62" w:rsidR="00CE5359" w:rsidRPr="00CE5359" w:rsidRDefault="00CE5359" w:rsidP="00EB797C">
      <w:pPr>
        <w:numPr>
          <w:ilvl w:val="1"/>
          <w:numId w:val="0"/>
        </w:numPr>
        <w:spacing w:before="240"/>
        <w:jc w:val="both"/>
        <w:rPr>
          <w:rFonts w:cs="Calibri"/>
          <w:b/>
          <w:bCs/>
          <w:color w:val="7030A0"/>
          <w:sz w:val="32"/>
          <w:szCs w:val="32"/>
          <w:lang w:val="en-US"/>
        </w:rPr>
      </w:pPr>
      <w:r w:rsidRPr="00CE5359">
        <w:rPr>
          <w:rFonts w:cs="Calibri"/>
          <w:b/>
          <w:bCs/>
          <w:color w:val="7030A0"/>
          <w:sz w:val="32"/>
          <w:szCs w:val="32"/>
          <w:lang w:val="en-US"/>
        </w:rPr>
        <w:t xml:space="preserve">DEBT ISSUANCE </w:t>
      </w:r>
      <w:r>
        <w:rPr>
          <w:rFonts w:cs="Calibri"/>
          <w:b/>
          <w:bCs/>
          <w:color w:val="7030A0"/>
          <w:sz w:val="32"/>
          <w:szCs w:val="32"/>
          <w:lang w:val="en-US"/>
        </w:rPr>
        <w:t>INSTRUMENTS</w:t>
      </w:r>
    </w:p>
    <w:p w14:paraId="42702413" w14:textId="22467161" w:rsidR="00421117" w:rsidRPr="00B00ACD" w:rsidRDefault="00AE3F32" w:rsidP="00EB797C">
      <w:pPr>
        <w:spacing w:before="0"/>
        <w:jc w:val="both"/>
        <w:rPr>
          <w:rFonts w:cs="Calibri"/>
          <w:sz w:val="24"/>
          <w:szCs w:val="24"/>
          <w:lang w:val="en-US"/>
        </w:rPr>
      </w:pPr>
      <w:r>
        <w:rPr>
          <w:rFonts w:cs="Calibri"/>
          <w:sz w:val="24"/>
          <w:szCs w:val="24"/>
          <w:lang w:val="en-US"/>
        </w:rPr>
        <w:t xml:space="preserve">The Territory may issue a range of </w:t>
      </w:r>
      <w:r w:rsidR="00DF71EE">
        <w:rPr>
          <w:rFonts w:cs="Calibri"/>
          <w:sz w:val="24"/>
          <w:szCs w:val="24"/>
          <w:lang w:val="en-US"/>
        </w:rPr>
        <w:t>Australian dollar</w:t>
      </w:r>
      <w:r>
        <w:rPr>
          <w:rFonts w:cs="Calibri"/>
          <w:sz w:val="24"/>
          <w:szCs w:val="24"/>
          <w:lang w:val="en-US"/>
        </w:rPr>
        <w:t xml:space="preserve">-denominated </w:t>
      </w:r>
      <w:r w:rsidR="00DF71EE">
        <w:rPr>
          <w:rFonts w:cs="Calibri"/>
          <w:sz w:val="24"/>
          <w:szCs w:val="24"/>
          <w:lang w:val="en-US"/>
        </w:rPr>
        <w:t>d</w:t>
      </w:r>
      <w:r w:rsidR="00CE5359" w:rsidRPr="00B00ACD">
        <w:rPr>
          <w:rFonts w:cs="Calibri"/>
          <w:sz w:val="24"/>
          <w:szCs w:val="24"/>
          <w:lang w:val="en-US"/>
        </w:rPr>
        <w:t xml:space="preserve">ebt instruments </w:t>
      </w:r>
      <w:r w:rsidR="00421117" w:rsidRPr="00B00ACD">
        <w:rPr>
          <w:rFonts w:cs="Calibri"/>
          <w:sz w:val="24"/>
          <w:szCs w:val="24"/>
          <w:lang w:val="en-US"/>
        </w:rPr>
        <w:t xml:space="preserve">under the </w:t>
      </w:r>
      <w:proofErr w:type="spellStart"/>
      <w:r w:rsidR="00421117" w:rsidRPr="00B00ACD">
        <w:rPr>
          <w:rFonts w:cs="Calibri"/>
          <w:sz w:val="24"/>
          <w:szCs w:val="24"/>
          <w:lang w:val="en-US"/>
        </w:rPr>
        <w:t>Programme</w:t>
      </w:r>
      <w:proofErr w:type="spellEnd"/>
      <w:r>
        <w:rPr>
          <w:rFonts w:cs="Calibri"/>
          <w:sz w:val="24"/>
          <w:szCs w:val="24"/>
          <w:lang w:val="en-US"/>
        </w:rPr>
        <w:t>,</w:t>
      </w:r>
      <w:r w:rsidR="00421117" w:rsidRPr="00B00ACD">
        <w:rPr>
          <w:rFonts w:cs="Calibri"/>
          <w:sz w:val="24"/>
          <w:szCs w:val="24"/>
          <w:lang w:val="en-US"/>
        </w:rPr>
        <w:t xml:space="preserve"> includ</w:t>
      </w:r>
      <w:r>
        <w:rPr>
          <w:rFonts w:cs="Calibri"/>
          <w:sz w:val="24"/>
          <w:szCs w:val="24"/>
          <w:lang w:val="en-US"/>
        </w:rPr>
        <w:t>ing</w:t>
      </w:r>
      <w:r w:rsidR="00421117" w:rsidRPr="00B00ACD">
        <w:rPr>
          <w:rFonts w:cs="Calibri"/>
          <w:sz w:val="24"/>
          <w:szCs w:val="24"/>
          <w:lang w:val="en-US"/>
        </w:rPr>
        <w:t>:</w:t>
      </w:r>
    </w:p>
    <w:p w14:paraId="2466A8BC" w14:textId="35116EEC" w:rsidR="00421117" w:rsidRPr="00F33495" w:rsidRDefault="00B00ACD" w:rsidP="00EB797C">
      <w:pPr>
        <w:numPr>
          <w:ilvl w:val="0"/>
          <w:numId w:val="22"/>
        </w:numPr>
        <w:tabs>
          <w:tab w:val="clear" w:pos="360"/>
          <w:tab w:val="num" w:pos="709"/>
        </w:tabs>
        <w:spacing w:before="0"/>
        <w:ind w:left="567" w:hanging="425"/>
        <w:jc w:val="both"/>
        <w:rPr>
          <w:rFonts w:cs="Calibri"/>
          <w:sz w:val="24"/>
          <w:szCs w:val="24"/>
        </w:rPr>
      </w:pPr>
      <w:r w:rsidRPr="005F3B58">
        <w:rPr>
          <w:rFonts w:cs="Calibri"/>
          <w:b/>
          <w:bCs/>
          <w:sz w:val="24"/>
          <w:szCs w:val="24"/>
        </w:rPr>
        <w:t>E</w:t>
      </w:r>
      <w:r w:rsidR="00CE5359" w:rsidRPr="005F3B58">
        <w:rPr>
          <w:rFonts w:cs="Calibri"/>
          <w:b/>
          <w:bCs/>
          <w:sz w:val="24"/>
          <w:szCs w:val="24"/>
        </w:rPr>
        <w:t xml:space="preserve">lectronic </w:t>
      </w:r>
      <w:r w:rsidRPr="005F3B58">
        <w:rPr>
          <w:rFonts w:cs="Calibri"/>
          <w:b/>
          <w:bCs/>
          <w:sz w:val="24"/>
          <w:szCs w:val="24"/>
        </w:rPr>
        <w:t>P</w:t>
      </w:r>
      <w:r w:rsidR="00CE5359" w:rsidRPr="005F3B58">
        <w:rPr>
          <w:rFonts w:cs="Calibri"/>
          <w:b/>
          <w:bCs/>
          <w:sz w:val="24"/>
          <w:szCs w:val="24"/>
        </w:rPr>
        <w:t xml:space="preserve">romissory </w:t>
      </w:r>
      <w:r w:rsidRPr="005F3B58">
        <w:rPr>
          <w:rFonts w:cs="Calibri"/>
          <w:b/>
          <w:bCs/>
          <w:sz w:val="24"/>
          <w:szCs w:val="24"/>
        </w:rPr>
        <w:t>N</w:t>
      </w:r>
      <w:r w:rsidR="00CE5359" w:rsidRPr="005F3B58">
        <w:rPr>
          <w:rFonts w:cs="Calibri"/>
          <w:b/>
          <w:bCs/>
          <w:sz w:val="24"/>
          <w:szCs w:val="24"/>
        </w:rPr>
        <w:t>otes</w:t>
      </w:r>
      <w:r w:rsidR="00AE3F32">
        <w:rPr>
          <w:rFonts w:cs="Calibri"/>
          <w:b/>
          <w:bCs/>
          <w:sz w:val="24"/>
          <w:szCs w:val="24"/>
        </w:rPr>
        <w:t xml:space="preserve"> (EPNs)</w:t>
      </w:r>
      <w:r w:rsidR="00B64651" w:rsidRPr="00AE3F32">
        <w:rPr>
          <w:rFonts w:cs="Calibri"/>
          <w:sz w:val="24"/>
          <w:szCs w:val="24"/>
        </w:rPr>
        <w:t xml:space="preserve"> </w:t>
      </w:r>
      <w:r w:rsidR="00B64651" w:rsidRPr="00F33495">
        <w:rPr>
          <w:rFonts w:cs="Calibri"/>
          <w:sz w:val="24"/>
          <w:szCs w:val="24"/>
        </w:rPr>
        <w:t>are short</w:t>
      </w:r>
      <w:r w:rsidR="00AE3F32">
        <w:rPr>
          <w:rFonts w:cs="Calibri"/>
          <w:sz w:val="24"/>
          <w:szCs w:val="24"/>
        </w:rPr>
        <w:t>-</w:t>
      </w:r>
      <w:r w:rsidR="00B64651" w:rsidRPr="00F33495">
        <w:rPr>
          <w:rFonts w:cs="Calibri"/>
          <w:sz w:val="24"/>
          <w:szCs w:val="24"/>
        </w:rPr>
        <w:t xml:space="preserve">term money market </w:t>
      </w:r>
      <w:r w:rsidR="00AE3F32">
        <w:rPr>
          <w:rFonts w:cs="Calibri"/>
          <w:sz w:val="24"/>
          <w:szCs w:val="24"/>
        </w:rPr>
        <w:t xml:space="preserve">instruments, typically with maturities of </w:t>
      </w:r>
      <w:r w:rsidR="00B64651" w:rsidRPr="00F33495">
        <w:rPr>
          <w:rFonts w:cs="Calibri"/>
          <w:sz w:val="24"/>
          <w:szCs w:val="24"/>
        </w:rPr>
        <w:t>3</w:t>
      </w:r>
      <w:r w:rsidR="00AE3F32">
        <w:rPr>
          <w:rFonts w:cs="Calibri"/>
          <w:sz w:val="24"/>
          <w:szCs w:val="24"/>
        </w:rPr>
        <w:t xml:space="preserve"> to </w:t>
      </w:r>
      <w:r w:rsidR="00B64651" w:rsidRPr="00F33495">
        <w:rPr>
          <w:rFonts w:cs="Calibri"/>
          <w:sz w:val="24"/>
          <w:szCs w:val="24"/>
        </w:rPr>
        <w:t xml:space="preserve">6 months. </w:t>
      </w:r>
      <w:r w:rsidR="00AE3F32">
        <w:rPr>
          <w:rFonts w:cs="Calibri"/>
          <w:sz w:val="24"/>
          <w:szCs w:val="24"/>
        </w:rPr>
        <w:t xml:space="preserve">EPNs are issued at a </w:t>
      </w:r>
      <w:r w:rsidR="00B64651" w:rsidRPr="00F33495">
        <w:rPr>
          <w:rFonts w:cs="Calibri"/>
          <w:sz w:val="24"/>
          <w:szCs w:val="24"/>
        </w:rPr>
        <w:t>discount to face value</w:t>
      </w:r>
      <w:r w:rsidR="00AE3F32">
        <w:rPr>
          <w:rFonts w:cs="Calibri"/>
          <w:sz w:val="24"/>
          <w:szCs w:val="24"/>
        </w:rPr>
        <w:t xml:space="preserve">, with the difference </w:t>
      </w:r>
      <w:r w:rsidR="00B64651" w:rsidRPr="00F33495">
        <w:rPr>
          <w:rFonts w:cs="Calibri"/>
          <w:sz w:val="24"/>
          <w:szCs w:val="24"/>
        </w:rPr>
        <w:t>representing the interest</w:t>
      </w:r>
      <w:r w:rsidR="00AE3F32">
        <w:rPr>
          <w:rFonts w:cs="Calibri"/>
          <w:sz w:val="24"/>
          <w:szCs w:val="24"/>
        </w:rPr>
        <w:t xml:space="preserve"> earned</w:t>
      </w:r>
      <w:r w:rsidR="00B64651" w:rsidRPr="00F33495">
        <w:rPr>
          <w:rFonts w:cs="Calibri"/>
          <w:sz w:val="24"/>
          <w:szCs w:val="24"/>
        </w:rPr>
        <w:t xml:space="preserve">. </w:t>
      </w:r>
      <w:r w:rsidR="00AE3F32">
        <w:rPr>
          <w:rFonts w:cs="Calibri"/>
          <w:sz w:val="24"/>
          <w:szCs w:val="24"/>
        </w:rPr>
        <w:t xml:space="preserve">The </w:t>
      </w:r>
      <w:proofErr w:type="gramStart"/>
      <w:r w:rsidR="00AE3F32">
        <w:rPr>
          <w:rFonts w:cs="Calibri"/>
          <w:sz w:val="24"/>
          <w:szCs w:val="24"/>
        </w:rPr>
        <w:t>full face</w:t>
      </w:r>
      <w:proofErr w:type="gramEnd"/>
      <w:r w:rsidR="00AE3F32">
        <w:rPr>
          <w:rFonts w:cs="Calibri"/>
          <w:sz w:val="24"/>
          <w:szCs w:val="24"/>
        </w:rPr>
        <w:t xml:space="preserve"> value is repaid at maturity. </w:t>
      </w:r>
      <w:r w:rsidR="00D34A89" w:rsidRPr="00F33495">
        <w:rPr>
          <w:rFonts w:cs="Calibri"/>
          <w:sz w:val="24"/>
          <w:szCs w:val="24"/>
          <w:lang w:val="en-US"/>
        </w:rPr>
        <w:t>Issuance</w:t>
      </w:r>
      <w:r w:rsidR="00AE3F32">
        <w:rPr>
          <w:rFonts w:cs="Calibri"/>
          <w:sz w:val="24"/>
          <w:szCs w:val="24"/>
          <w:lang w:val="en-US"/>
        </w:rPr>
        <w:t>s</w:t>
      </w:r>
      <w:r w:rsidR="00D34A89" w:rsidRPr="00F33495">
        <w:rPr>
          <w:rFonts w:cs="Calibri"/>
          <w:sz w:val="24"/>
          <w:szCs w:val="24"/>
          <w:lang w:val="en-US"/>
        </w:rPr>
        <w:t xml:space="preserve"> with maturities </w:t>
      </w:r>
      <w:r w:rsidR="00AE3F32">
        <w:rPr>
          <w:rFonts w:cs="Calibri"/>
          <w:sz w:val="24"/>
          <w:szCs w:val="24"/>
          <w:lang w:val="en-US"/>
        </w:rPr>
        <w:t xml:space="preserve">of </w:t>
      </w:r>
      <w:r w:rsidR="00D34A89" w:rsidRPr="00F33495">
        <w:rPr>
          <w:rFonts w:cs="Calibri"/>
          <w:sz w:val="24"/>
          <w:szCs w:val="24"/>
          <w:lang w:val="en-US"/>
        </w:rPr>
        <w:t xml:space="preserve">less than 12 months are </w:t>
      </w:r>
      <w:r w:rsidR="00AE3F32">
        <w:rPr>
          <w:rFonts w:cs="Calibri"/>
          <w:sz w:val="24"/>
          <w:szCs w:val="24"/>
          <w:lang w:val="en-US"/>
        </w:rPr>
        <w:t>generally</w:t>
      </w:r>
      <w:r w:rsidR="00D34A89" w:rsidRPr="00F33495">
        <w:rPr>
          <w:rFonts w:cs="Calibri"/>
          <w:sz w:val="24"/>
          <w:szCs w:val="24"/>
          <w:lang w:val="en-US"/>
        </w:rPr>
        <w:t xml:space="preserve"> </w:t>
      </w:r>
      <w:r w:rsidR="00AE3F32">
        <w:rPr>
          <w:rFonts w:cs="Calibri"/>
          <w:sz w:val="24"/>
          <w:szCs w:val="24"/>
          <w:lang w:val="en-US"/>
        </w:rPr>
        <w:t>to support liquidity</w:t>
      </w:r>
      <w:r w:rsidR="00D34A89" w:rsidRPr="00F33495">
        <w:rPr>
          <w:rFonts w:cs="Calibri"/>
          <w:sz w:val="24"/>
          <w:szCs w:val="24"/>
          <w:lang w:val="en-US"/>
        </w:rPr>
        <w:t xml:space="preserve"> management or</w:t>
      </w:r>
      <w:r w:rsidR="00AE3F32">
        <w:rPr>
          <w:rFonts w:cs="Calibri"/>
          <w:sz w:val="24"/>
          <w:szCs w:val="24"/>
          <w:lang w:val="en-US"/>
        </w:rPr>
        <w:t xml:space="preserve"> to address</w:t>
      </w:r>
      <w:r w:rsidR="002F4492">
        <w:rPr>
          <w:rFonts w:cs="Calibri"/>
          <w:sz w:val="24"/>
          <w:szCs w:val="24"/>
          <w:lang w:val="en-US"/>
        </w:rPr>
        <w:t xml:space="preserve"> </w:t>
      </w:r>
      <w:r w:rsidR="00D34A89" w:rsidRPr="00F33495">
        <w:rPr>
          <w:rFonts w:cs="Calibri"/>
          <w:sz w:val="24"/>
          <w:szCs w:val="24"/>
          <w:lang w:val="en-US"/>
        </w:rPr>
        <w:t>short-term mismatch</w:t>
      </w:r>
      <w:r w:rsidR="002F4492">
        <w:rPr>
          <w:rFonts w:cs="Calibri"/>
          <w:sz w:val="24"/>
          <w:szCs w:val="24"/>
          <w:lang w:val="en-US"/>
        </w:rPr>
        <w:t>es between revenue receipts and payment obligations</w:t>
      </w:r>
      <w:r w:rsidR="00D34A89" w:rsidRPr="00F33495">
        <w:rPr>
          <w:rFonts w:cs="Calibri"/>
          <w:sz w:val="24"/>
          <w:szCs w:val="24"/>
          <w:lang w:val="en-US"/>
        </w:rPr>
        <w:t>.</w:t>
      </w:r>
      <w:r w:rsidR="00B64651" w:rsidRPr="00F33495">
        <w:rPr>
          <w:rFonts w:cs="Calibri"/>
          <w:sz w:val="24"/>
          <w:szCs w:val="24"/>
        </w:rPr>
        <w:t xml:space="preserve"> </w:t>
      </w:r>
    </w:p>
    <w:p w14:paraId="03B572C4" w14:textId="78D928A0" w:rsidR="00B64651" w:rsidRPr="005F3B58" w:rsidRDefault="00B64651" w:rsidP="00EB797C">
      <w:pPr>
        <w:numPr>
          <w:ilvl w:val="0"/>
          <w:numId w:val="22"/>
        </w:numPr>
        <w:tabs>
          <w:tab w:val="clear" w:pos="360"/>
          <w:tab w:val="num" w:pos="709"/>
        </w:tabs>
        <w:spacing w:before="0" w:after="240"/>
        <w:ind w:left="567" w:hanging="425"/>
        <w:jc w:val="both"/>
        <w:rPr>
          <w:rFonts w:cs="Calibri"/>
          <w:sz w:val="24"/>
          <w:szCs w:val="24"/>
        </w:rPr>
      </w:pPr>
      <w:r w:rsidRPr="005F3B58">
        <w:rPr>
          <w:rFonts w:cs="Calibri"/>
          <w:b/>
          <w:bCs/>
          <w:sz w:val="24"/>
          <w:szCs w:val="24"/>
        </w:rPr>
        <w:t>Floating Rate Notes</w:t>
      </w:r>
      <w:r w:rsidR="002F4492">
        <w:rPr>
          <w:rFonts w:cs="Calibri"/>
          <w:b/>
          <w:bCs/>
          <w:sz w:val="24"/>
          <w:szCs w:val="24"/>
        </w:rPr>
        <w:t xml:space="preserve"> (FRNs)</w:t>
      </w:r>
      <w:r w:rsidRPr="005F3B58">
        <w:rPr>
          <w:rFonts w:cs="Calibri"/>
          <w:sz w:val="24"/>
          <w:szCs w:val="24"/>
        </w:rPr>
        <w:t xml:space="preserve"> are </w:t>
      </w:r>
      <w:r w:rsidR="00313BCE" w:rsidRPr="005F3B58">
        <w:rPr>
          <w:rFonts w:cs="Calibri"/>
          <w:sz w:val="24"/>
          <w:szCs w:val="24"/>
        </w:rPr>
        <w:t>debt securit</w:t>
      </w:r>
      <w:r w:rsidR="002F4492">
        <w:rPr>
          <w:rFonts w:cs="Calibri"/>
          <w:sz w:val="24"/>
          <w:szCs w:val="24"/>
        </w:rPr>
        <w:t>ies typically issued with maturities of 2 to 5 years.</w:t>
      </w:r>
      <w:r w:rsidR="00313BCE" w:rsidRPr="005F3B58">
        <w:rPr>
          <w:rFonts w:cs="Calibri"/>
          <w:sz w:val="24"/>
          <w:szCs w:val="24"/>
        </w:rPr>
        <w:t xml:space="preserve"> </w:t>
      </w:r>
      <w:r w:rsidR="002F4492">
        <w:rPr>
          <w:rFonts w:cs="Calibri"/>
          <w:sz w:val="24"/>
          <w:szCs w:val="24"/>
        </w:rPr>
        <w:t>I</w:t>
      </w:r>
      <w:r w:rsidR="00313BCE" w:rsidRPr="005F3B58">
        <w:rPr>
          <w:rFonts w:cs="Calibri"/>
          <w:sz w:val="24"/>
          <w:szCs w:val="24"/>
        </w:rPr>
        <w:t>nterest payments are linked to a variable benchmark rate,</w:t>
      </w:r>
      <w:r w:rsidR="002F4492">
        <w:rPr>
          <w:rFonts w:cs="Calibri"/>
          <w:sz w:val="24"/>
          <w:szCs w:val="24"/>
        </w:rPr>
        <w:t xml:space="preserve"> usually t</w:t>
      </w:r>
      <w:r w:rsidR="00313BCE" w:rsidRPr="005F3B58">
        <w:rPr>
          <w:rFonts w:cs="Calibri"/>
          <w:sz w:val="24"/>
          <w:szCs w:val="24"/>
        </w:rPr>
        <w:t>he Bank Bill Swap Rate (BBSW)</w:t>
      </w:r>
      <w:r w:rsidR="002F4492">
        <w:rPr>
          <w:rFonts w:cs="Calibri"/>
          <w:sz w:val="24"/>
          <w:szCs w:val="24"/>
        </w:rPr>
        <w:t>, plus a fixed margin determined at issuance</w:t>
      </w:r>
      <w:r w:rsidR="00313BCE" w:rsidRPr="005F3B58">
        <w:rPr>
          <w:rFonts w:cs="Calibri"/>
          <w:sz w:val="24"/>
          <w:szCs w:val="24"/>
        </w:rPr>
        <w:t xml:space="preserve">. </w:t>
      </w:r>
      <w:r w:rsidR="005F3B58" w:rsidRPr="005F3B58">
        <w:rPr>
          <w:rFonts w:cs="Calibri"/>
          <w:sz w:val="24"/>
          <w:szCs w:val="24"/>
        </w:rPr>
        <w:t xml:space="preserve">Interest </w:t>
      </w:r>
      <w:r w:rsidR="002F4492">
        <w:rPr>
          <w:rFonts w:cs="Calibri"/>
          <w:sz w:val="24"/>
          <w:szCs w:val="24"/>
        </w:rPr>
        <w:t>is paid quarterly and resets in line with the benchmark rate. The principal is repaid at maturity</w:t>
      </w:r>
      <w:r w:rsidR="00F33495" w:rsidRPr="005F3B58">
        <w:rPr>
          <w:rFonts w:cs="Calibri"/>
          <w:sz w:val="24"/>
          <w:szCs w:val="24"/>
        </w:rPr>
        <w:t>.</w:t>
      </w:r>
      <w:r w:rsidR="002F4492">
        <w:rPr>
          <w:rFonts w:cs="Calibri"/>
          <w:sz w:val="24"/>
          <w:szCs w:val="24"/>
        </w:rPr>
        <w:t xml:space="preserve"> FRNs with maturities greater than 12 months are generally issued to support the Government’s budget funding requirements.</w:t>
      </w:r>
      <w:r w:rsidR="00F33495" w:rsidRPr="005F3B58">
        <w:rPr>
          <w:rFonts w:cs="Calibri"/>
          <w:sz w:val="24"/>
          <w:szCs w:val="24"/>
        </w:rPr>
        <w:t xml:space="preserve">  </w:t>
      </w:r>
    </w:p>
    <w:p w14:paraId="40B76F89" w14:textId="589757DF" w:rsidR="00421117" w:rsidRPr="005F3B58" w:rsidRDefault="00B00ACD" w:rsidP="00EB797C">
      <w:pPr>
        <w:numPr>
          <w:ilvl w:val="0"/>
          <w:numId w:val="22"/>
        </w:numPr>
        <w:tabs>
          <w:tab w:val="clear" w:pos="360"/>
          <w:tab w:val="num" w:pos="709"/>
        </w:tabs>
        <w:spacing w:before="0" w:after="240"/>
        <w:ind w:left="567" w:hanging="425"/>
        <w:jc w:val="both"/>
        <w:rPr>
          <w:rFonts w:cs="Calibri"/>
          <w:sz w:val="24"/>
          <w:szCs w:val="24"/>
        </w:rPr>
      </w:pPr>
      <w:r w:rsidRPr="005F3B58">
        <w:rPr>
          <w:rFonts w:cs="Calibri"/>
          <w:b/>
          <w:bCs/>
          <w:sz w:val="24"/>
          <w:szCs w:val="24"/>
        </w:rPr>
        <w:lastRenderedPageBreak/>
        <w:t>Fi</w:t>
      </w:r>
      <w:r w:rsidR="00421117" w:rsidRPr="005F3B58">
        <w:rPr>
          <w:rFonts w:cs="Calibri"/>
          <w:b/>
          <w:bCs/>
          <w:sz w:val="24"/>
          <w:szCs w:val="24"/>
        </w:rPr>
        <w:t xml:space="preserve">xed </w:t>
      </w:r>
      <w:r w:rsidRPr="005F3B58">
        <w:rPr>
          <w:rFonts w:cs="Calibri"/>
          <w:b/>
          <w:bCs/>
          <w:sz w:val="24"/>
          <w:szCs w:val="24"/>
        </w:rPr>
        <w:t>R</w:t>
      </w:r>
      <w:r w:rsidR="00421117" w:rsidRPr="005F3B58">
        <w:rPr>
          <w:rFonts w:cs="Calibri"/>
          <w:b/>
          <w:bCs/>
          <w:sz w:val="24"/>
          <w:szCs w:val="24"/>
        </w:rPr>
        <w:t xml:space="preserve">ate </w:t>
      </w:r>
      <w:r w:rsidRPr="005F3B58">
        <w:rPr>
          <w:rFonts w:cs="Calibri"/>
          <w:b/>
          <w:bCs/>
          <w:sz w:val="24"/>
          <w:szCs w:val="24"/>
        </w:rPr>
        <w:t>M</w:t>
      </w:r>
      <w:r w:rsidR="00CE5359" w:rsidRPr="005F3B58">
        <w:rPr>
          <w:rFonts w:cs="Calibri"/>
          <w:b/>
          <w:bCs/>
          <w:sz w:val="24"/>
          <w:szCs w:val="24"/>
        </w:rPr>
        <w:t xml:space="preserve">edium </w:t>
      </w:r>
      <w:r w:rsidRPr="005F3B58">
        <w:rPr>
          <w:rFonts w:cs="Calibri"/>
          <w:b/>
          <w:bCs/>
          <w:sz w:val="24"/>
          <w:szCs w:val="24"/>
        </w:rPr>
        <w:t>T</w:t>
      </w:r>
      <w:r w:rsidR="00CE5359" w:rsidRPr="005F3B58">
        <w:rPr>
          <w:rFonts w:cs="Calibri"/>
          <w:b/>
          <w:bCs/>
          <w:sz w:val="24"/>
          <w:szCs w:val="24"/>
        </w:rPr>
        <w:t xml:space="preserve">erm </w:t>
      </w:r>
      <w:r w:rsidRPr="005F3B58">
        <w:rPr>
          <w:rFonts w:cs="Calibri"/>
          <w:b/>
          <w:bCs/>
          <w:sz w:val="24"/>
          <w:szCs w:val="24"/>
        </w:rPr>
        <w:t>N</w:t>
      </w:r>
      <w:r w:rsidR="00CE5359" w:rsidRPr="005F3B58">
        <w:rPr>
          <w:rFonts w:cs="Calibri"/>
          <w:b/>
          <w:bCs/>
          <w:sz w:val="24"/>
          <w:szCs w:val="24"/>
        </w:rPr>
        <w:t>otes</w:t>
      </w:r>
      <w:r w:rsidR="002F4492">
        <w:rPr>
          <w:rFonts w:cs="Calibri"/>
          <w:b/>
          <w:bCs/>
          <w:sz w:val="24"/>
          <w:szCs w:val="24"/>
        </w:rPr>
        <w:t xml:space="preserve"> (MTNs)</w:t>
      </w:r>
      <w:r w:rsidR="00866711" w:rsidRPr="005F3B58">
        <w:rPr>
          <w:rFonts w:cs="Calibri"/>
          <w:sz w:val="24"/>
          <w:szCs w:val="24"/>
        </w:rPr>
        <w:t xml:space="preserve"> are debt securities </w:t>
      </w:r>
      <w:r w:rsidR="00B5769F">
        <w:rPr>
          <w:rFonts w:cs="Calibri"/>
          <w:sz w:val="24"/>
          <w:szCs w:val="24"/>
        </w:rPr>
        <w:t xml:space="preserve">typically issued </w:t>
      </w:r>
      <w:r w:rsidR="00866711" w:rsidRPr="005F3B58">
        <w:rPr>
          <w:rFonts w:cs="Calibri"/>
          <w:sz w:val="24"/>
          <w:szCs w:val="24"/>
        </w:rPr>
        <w:t>with</w:t>
      </w:r>
      <w:r w:rsidR="002F4492">
        <w:rPr>
          <w:rFonts w:cs="Calibri"/>
          <w:sz w:val="24"/>
          <w:szCs w:val="24"/>
        </w:rPr>
        <w:t xml:space="preserve"> maturities of 3 to 12 years</w:t>
      </w:r>
      <w:r w:rsidR="00866711" w:rsidRPr="005F3B58">
        <w:rPr>
          <w:rFonts w:cs="Calibri"/>
          <w:sz w:val="24"/>
          <w:szCs w:val="24"/>
        </w:rPr>
        <w:t xml:space="preserve">. These securities are issued at </w:t>
      </w:r>
      <w:r w:rsidR="002F4492">
        <w:rPr>
          <w:rFonts w:cs="Calibri"/>
          <w:sz w:val="24"/>
          <w:szCs w:val="24"/>
        </w:rPr>
        <w:t>a price (</w:t>
      </w:r>
      <w:r w:rsidR="00866711" w:rsidRPr="005F3B58">
        <w:rPr>
          <w:rFonts w:cs="Calibri"/>
          <w:sz w:val="24"/>
          <w:szCs w:val="24"/>
        </w:rPr>
        <w:t>either a discount or premium to face value</w:t>
      </w:r>
      <w:r w:rsidR="002F4492">
        <w:rPr>
          <w:rFonts w:cs="Calibri"/>
          <w:sz w:val="24"/>
          <w:szCs w:val="24"/>
        </w:rPr>
        <w:t>)</w:t>
      </w:r>
      <w:r w:rsidR="00866711" w:rsidRPr="005F3B58">
        <w:rPr>
          <w:rFonts w:cs="Calibri"/>
          <w:sz w:val="24"/>
          <w:szCs w:val="24"/>
        </w:rPr>
        <w:t xml:space="preserve"> </w:t>
      </w:r>
      <w:r w:rsidR="002F4492">
        <w:rPr>
          <w:rFonts w:cs="Calibri"/>
          <w:sz w:val="24"/>
          <w:szCs w:val="24"/>
        </w:rPr>
        <w:t>determined by market conditions and the relationship between the coupon rate and the issue yield. Interest is paid semi-annually at a fixed rate for the life of the security, with principal repaid at maturity. MTNs with maturities greater than 12 months are used to finance the Government’s budget funding requirements.</w:t>
      </w:r>
      <w:r w:rsidR="00866711" w:rsidRPr="005F3B58">
        <w:rPr>
          <w:rFonts w:cs="Calibri"/>
          <w:sz w:val="24"/>
          <w:szCs w:val="24"/>
        </w:rPr>
        <w:t xml:space="preserve">  </w:t>
      </w:r>
    </w:p>
    <w:p w14:paraId="585AD565" w14:textId="3721474B" w:rsidR="00CE5359" w:rsidRDefault="00B00ACD" w:rsidP="00EB797C">
      <w:pPr>
        <w:numPr>
          <w:ilvl w:val="0"/>
          <w:numId w:val="22"/>
        </w:numPr>
        <w:tabs>
          <w:tab w:val="clear" w:pos="360"/>
          <w:tab w:val="num" w:pos="709"/>
        </w:tabs>
        <w:spacing w:before="0" w:after="240"/>
        <w:ind w:left="567" w:hanging="425"/>
        <w:jc w:val="both"/>
        <w:rPr>
          <w:rFonts w:cs="Calibri"/>
          <w:sz w:val="24"/>
          <w:szCs w:val="24"/>
        </w:rPr>
      </w:pPr>
      <w:r w:rsidRPr="005F3B58">
        <w:rPr>
          <w:rFonts w:cs="Calibri"/>
          <w:b/>
          <w:bCs/>
          <w:sz w:val="24"/>
          <w:szCs w:val="24"/>
        </w:rPr>
        <w:t>I</w:t>
      </w:r>
      <w:r w:rsidR="00CE5359" w:rsidRPr="005F3B58">
        <w:rPr>
          <w:rFonts w:cs="Calibri"/>
          <w:b/>
          <w:bCs/>
          <w:sz w:val="24"/>
          <w:szCs w:val="24"/>
        </w:rPr>
        <w:t>nflation-</w:t>
      </w:r>
      <w:r w:rsidRPr="005F3B58">
        <w:rPr>
          <w:rFonts w:cs="Calibri"/>
          <w:b/>
          <w:bCs/>
          <w:sz w:val="24"/>
          <w:szCs w:val="24"/>
        </w:rPr>
        <w:t>L</w:t>
      </w:r>
      <w:r w:rsidR="00CE5359" w:rsidRPr="005F3B58">
        <w:rPr>
          <w:rFonts w:cs="Calibri"/>
          <w:b/>
          <w:bCs/>
          <w:sz w:val="24"/>
          <w:szCs w:val="24"/>
        </w:rPr>
        <w:t xml:space="preserve">inked </w:t>
      </w:r>
      <w:r w:rsidRPr="005F3B58">
        <w:rPr>
          <w:rFonts w:cs="Calibri"/>
          <w:b/>
          <w:bCs/>
          <w:sz w:val="24"/>
          <w:szCs w:val="24"/>
        </w:rPr>
        <w:t>N</w:t>
      </w:r>
      <w:r w:rsidR="00CE5359" w:rsidRPr="005F3B58">
        <w:rPr>
          <w:rFonts w:cs="Calibri"/>
          <w:b/>
          <w:bCs/>
          <w:sz w:val="24"/>
          <w:szCs w:val="24"/>
        </w:rPr>
        <w:t>ot</w:t>
      </w:r>
      <w:r w:rsidRPr="005F3B58">
        <w:rPr>
          <w:rFonts w:cs="Calibri"/>
          <w:b/>
          <w:bCs/>
          <w:sz w:val="24"/>
          <w:szCs w:val="24"/>
        </w:rPr>
        <w:t>e</w:t>
      </w:r>
      <w:r w:rsidR="00CE5359" w:rsidRPr="005F3B58">
        <w:rPr>
          <w:rFonts w:cs="Calibri"/>
          <w:b/>
          <w:bCs/>
          <w:sz w:val="24"/>
          <w:szCs w:val="24"/>
        </w:rPr>
        <w:t>s</w:t>
      </w:r>
      <w:r w:rsidR="002F4492">
        <w:rPr>
          <w:rFonts w:cs="Calibri"/>
          <w:b/>
          <w:bCs/>
          <w:sz w:val="24"/>
          <w:szCs w:val="24"/>
        </w:rPr>
        <w:t xml:space="preserve"> (ILNs)</w:t>
      </w:r>
      <w:r w:rsidR="00FC1594">
        <w:rPr>
          <w:rFonts w:cs="Calibri"/>
          <w:sz w:val="24"/>
          <w:szCs w:val="24"/>
        </w:rPr>
        <w:t xml:space="preserve"> are debt securities with medium to long-term maturities wh</w:t>
      </w:r>
      <w:r w:rsidR="002F4492">
        <w:rPr>
          <w:rFonts w:cs="Calibri"/>
          <w:sz w:val="24"/>
          <w:szCs w:val="24"/>
        </w:rPr>
        <w:t>ere</w:t>
      </w:r>
      <w:r w:rsidR="00FC1594">
        <w:rPr>
          <w:rFonts w:cs="Calibri"/>
          <w:sz w:val="24"/>
          <w:szCs w:val="24"/>
        </w:rPr>
        <w:t xml:space="preserve"> </w:t>
      </w:r>
      <w:r w:rsidR="002F4492">
        <w:rPr>
          <w:rFonts w:cs="Calibri"/>
          <w:sz w:val="24"/>
          <w:szCs w:val="24"/>
        </w:rPr>
        <w:t xml:space="preserve">both </w:t>
      </w:r>
      <w:r w:rsidR="00FC1594">
        <w:rPr>
          <w:rFonts w:cs="Calibri"/>
          <w:sz w:val="24"/>
          <w:szCs w:val="24"/>
        </w:rPr>
        <w:t xml:space="preserve">principal and coupon payments are adjusted </w:t>
      </w:r>
      <w:r w:rsidR="002F4492">
        <w:rPr>
          <w:rFonts w:cs="Calibri"/>
          <w:sz w:val="24"/>
          <w:szCs w:val="24"/>
        </w:rPr>
        <w:t xml:space="preserve">in line with </w:t>
      </w:r>
      <w:r w:rsidR="00FC1594">
        <w:rPr>
          <w:rFonts w:cs="Calibri"/>
          <w:sz w:val="24"/>
          <w:szCs w:val="24"/>
        </w:rPr>
        <w:t>the Consumer Price Index (CPI).</w:t>
      </w:r>
      <w:r w:rsidR="001975A7">
        <w:rPr>
          <w:rFonts w:cs="Calibri"/>
          <w:sz w:val="24"/>
          <w:szCs w:val="24"/>
        </w:rPr>
        <w:t xml:space="preserve"> </w:t>
      </w:r>
      <w:r w:rsidR="002F4492">
        <w:rPr>
          <w:rFonts w:cs="Calibri"/>
          <w:sz w:val="24"/>
          <w:szCs w:val="24"/>
        </w:rPr>
        <w:t xml:space="preserve">Common structures include </w:t>
      </w:r>
      <w:r w:rsidR="001975A7">
        <w:rPr>
          <w:rFonts w:cs="Calibri"/>
          <w:sz w:val="24"/>
          <w:szCs w:val="24"/>
        </w:rPr>
        <w:t>Capital Indexed Bonds</w:t>
      </w:r>
      <w:r w:rsidR="002F4492">
        <w:rPr>
          <w:rFonts w:cs="Calibri"/>
          <w:sz w:val="24"/>
          <w:szCs w:val="24"/>
        </w:rPr>
        <w:t xml:space="preserve">, which pay periodic interest with principal repaid at maturity, and </w:t>
      </w:r>
      <w:r w:rsidR="001975A7">
        <w:rPr>
          <w:rFonts w:cs="Calibri"/>
          <w:sz w:val="24"/>
          <w:szCs w:val="24"/>
        </w:rPr>
        <w:t>Indexed Annuity Bonds</w:t>
      </w:r>
      <w:r w:rsidR="002F4492">
        <w:rPr>
          <w:rFonts w:cs="Calibri"/>
          <w:sz w:val="24"/>
          <w:szCs w:val="24"/>
        </w:rPr>
        <w:t>, which provide periodic payments of both interest and principal over the life of the security</w:t>
      </w:r>
      <w:r w:rsidR="001975A7">
        <w:rPr>
          <w:rFonts w:cs="Calibri"/>
          <w:sz w:val="24"/>
          <w:szCs w:val="24"/>
        </w:rPr>
        <w:t>.</w:t>
      </w:r>
      <w:r w:rsidR="002F4492">
        <w:rPr>
          <w:rFonts w:cs="Calibri"/>
          <w:sz w:val="24"/>
          <w:szCs w:val="24"/>
        </w:rPr>
        <w:t xml:space="preserve"> ILNs with maturities greater than 12 months are used to finance the Government’s budget funding requirements</w:t>
      </w:r>
      <w:r w:rsidR="00F33495" w:rsidRPr="000B7D47">
        <w:rPr>
          <w:rFonts w:cs="Calibri"/>
          <w:sz w:val="24"/>
          <w:szCs w:val="24"/>
          <w:lang w:val="en-US"/>
        </w:rPr>
        <w:t>.</w:t>
      </w:r>
    </w:p>
    <w:p w14:paraId="7EE2D822" w14:textId="1ACB5D90" w:rsidR="00DB42D6" w:rsidRPr="00DB42D6" w:rsidRDefault="00DB42D6" w:rsidP="00DB42D6">
      <w:pPr>
        <w:numPr>
          <w:ilvl w:val="1"/>
          <w:numId w:val="0"/>
        </w:numPr>
        <w:spacing w:before="240" w:after="240"/>
        <w:jc w:val="both"/>
        <w:rPr>
          <w:rFonts w:cs="Calibri"/>
          <w:b/>
          <w:bCs/>
          <w:color w:val="7030A0"/>
          <w:sz w:val="32"/>
          <w:szCs w:val="32"/>
          <w:lang w:val="en-US"/>
        </w:rPr>
      </w:pPr>
      <w:r w:rsidRPr="00DB42D6">
        <w:rPr>
          <w:rFonts w:cs="Calibri"/>
          <w:b/>
          <w:bCs/>
          <w:color w:val="7030A0"/>
          <w:sz w:val="32"/>
          <w:szCs w:val="32"/>
          <w:lang w:val="en-US"/>
        </w:rPr>
        <w:t>CENTRAL SECURITIES DEPOSITORY</w:t>
      </w:r>
    </w:p>
    <w:p w14:paraId="5F8A99B2" w14:textId="50B150E4" w:rsidR="00DB42D6" w:rsidRDefault="00DB42D6" w:rsidP="00EB797C">
      <w:pPr>
        <w:spacing w:before="0" w:after="240"/>
        <w:jc w:val="both"/>
        <w:rPr>
          <w:rFonts w:cs="Calibri"/>
          <w:sz w:val="24"/>
          <w:szCs w:val="24"/>
          <w:lang w:val="en-US"/>
        </w:rPr>
      </w:pPr>
      <w:r w:rsidRPr="00D205B7">
        <w:rPr>
          <w:rFonts w:cs="Calibri"/>
          <w:sz w:val="24"/>
          <w:szCs w:val="24"/>
          <w:lang w:val="en-US"/>
        </w:rPr>
        <w:t xml:space="preserve">To </w:t>
      </w:r>
      <w:r w:rsidR="00356723">
        <w:rPr>
          <w:rFonts w:cs="Calibri"/>
          <w:sz w:val="24"/>
          <w:szCs w:val="24"/>
          <w:lang w:val="en-US"/>
        </w:rPr>
        <w:t>support</w:t>
      </w:r>
      <w:r w:rsidRPr="00D205B7">
        <w:rPr>
          <w:rFonts w:cs="Calibri"/>
          <w:sz w:val="24"/>
          <w:szCs w:val="24"/>
          <w:lang w:val="en-US"/>
        </w:rPr>
        <w:t xml:space="preserve"> the efficient</w:t>
      </w:r>
      <w:r w:rsidR="00B85291">
        <w:rPr>
          <w:rFonts w:cs="Calibri"/>
          <w:sz w:val="24"/>
          <w:szCs w:val="24"/>
          <w:lang w:val="en-US"/>
        </w:rPr>
        <w:t xml:space="preserve"> issuance, settlement and custody of debt securities in Australia, issuers utilise a </w:t>
      </w:r>
      <w:r w:rsidRPr="00D205B7">
        <w:rPr>
          <w:rFonts w:cs="Calibri"/>
          <w:sz w:val="24"/>
          <w:szCs w:val="24"/>
          <w:lang w:val="en-US"/>
        </w:rPr>
        <w:t>Central Securities Depository</w:t>
      </w:r>
      <w:r w:rsidR="00B85291">
        <w:rPr>
          <w:rFonts w:cs="Calibri"/>
          <w:sz w:val="24"/>
          <w:szCs w:val="24"/>
          <w:lang w:val="en-US"/>
        </w:rPr>
        <w:t xml:space="preserve"> (CSD)</w:t>
      </w:r>
      <w:r w:rsidRPr="00D205B7">
        <w:rPr>
          <w:rFonts w:cs="Calibri"/>
          <w:sz w:val="24"/>
          <w:szCs w:val="24"/>
          <w:lang w:val="en-US"/>
        </w:rPr>
        <w:t>.</w:t>
      </w:r>
      <w:r w:rsidR="005B7B1B">
        <w:rPr>
          <w:rFonts w:cs="Calibri"/>
          <w:sz w:val="24"/>
          <w:szCs w:val="24"/>
          <w:lang w:val="en-US"/>
        </w:rPr>
        <w:t xml:space="preserve"> </w:t>
      </w:r>
      <w:r w:rsidR="00B85291">
        <w:rPr>
          <w:rFonts w:cs="Calibri"/>
          <w:sz w:val="24"/>
          <w:szCs w:val="24"/>
          <w:lang w:val="en-US"/>
        </w:rPr>
        <w:t xml:space="preserve">A </w:t>
      </w:r>
      <w:r w:rsidR="00333AA7">
        <w:rPr>
          <w:rFonts w:cs="Calibri"/>
          <w:sz w:val="24"/>
          <w:szCs w:val="24"/>
          <w:lang w:val="en-US"/>
        </w:rPr>
        <w:t>CSD</w:t>
      </w:r>
      <w:r w:rsidR="00B85291">
        <w:rPr>
          <w:rFonts w:cs="Calibri"/>
          <w:sz w:val="24"/>
          <w:szCs w:val="24"/>
          <w:lang w:val="en-US"/>
        </w:rPr>
        <w:t xml:space="preserve"> facilitates</w:t>
      </w:r>
      <w:r w:rsidR="005B7B1B" w:rsidRPr="005B7B1B">
        <w:rPr>
          <w:rFonts w:cs="Calibri"/>
          <w:sz w:val="24"/>
          <w:szCs w:val="24"/>
          <w:lang w:val="en-US"/>
        </w:rPr>
        <w:t xml:space="preserve"> </w:t>
      </w:r>
      <w:r w:rsidR="00B85291">
        <w:rPr>
          <w:rFonts w:cs="Calibri"/>
          <w:sz w:val="24"/>
          <w:szCs w:val="24"/>
          <w:lang w:val="en-US"/>
        </w:rPr>
        <w:t>the electronic recording of ownership, settlement of transactions and maintenance of securities registers, including records of holdings on behalf of issuers.</w:t>
      </w:r>
    </w:p>
    <w:p w14:paraId="63C050E0" w14:textId="77BAB78C" w:rsidR="00D205B7" w:rsidRDefault="00D205B7" w:rsidP="00EB797C">
      <w:pPr>
        <w:spacing w:before="0" w:after="240"/>
        <w:jc w:val="both"/>
        <w:rPr>
          <w:rFonts w:cs="Calibri"/>
          <w:sz w:val="24"/>
          <w:szCs w:val="24"/>
          <w:lang w:val="en-US"/>
        </w:rPr>
      </w:pPr>
      <w:r>
        <w:rPr>
          <w:rFonts w:cs="Calibri"/>
          <w:sz w:val="24"/>
          <w:szCs w:val="24"/>
          <w:lang w:val="en-US"/>
        </w:rPr>
        <w:t>I</w:t>
      </w:r>
      <w:r w:rsidRPr="00D205B7">
        <w:rPr>
          <w:rFonts w:cs="Calibri"/>
          <w:sz w:val="24"/>
          <w:szCs w:val="24"/>
          <w:lang w:val="en-US"/>
        </w:rPr>
        <w:t xml:space="preserve">n Australia, Austraclear is the primary </w:t>
      </w:r>
      <w:r w:rsidR="00333AA7">
        <w:rPr>
          <w:rFonts w:cs="Calibri"/>
          <w:sz w:val="24"/>
          <w:szCs w:val="24"/>
          <w:lang w:val="en-US"/>
        </w:rPr>
        <w:t>CSD</w:t>
      </w:r>
      <w:r w:rsidRPr="00D205B7">
        <w:rPr>
          <w:rFonts w:cs="Calibri"/>
          <w:sz w:val="24"/>
          <w:szCs w:val="24"/>
          <w:lang w:val="en-US"/>
        </w:rPr>
        <w:t>.</w:t>
      </w:r>
      <w:r>
        <w:rPr>
          <w:rFonts w:cs="Calibri"/>
          <w:sz w:val="24"/>
          <w:szCs w:val="24"/>
          <w:lang w:val="en-US"/>
        </w:rPr>
        <w:t xml:space="preserve"> </w:t>
      </w:r>
      <w:r w:rsidR="00B85291">
        <w:rPr>
          <w:rFonts w:cs="Calibri"/>
          <w:sz w:val="24"/>
          <w:szCs w:val="24"/>
          <w:lang w:val="en-US"/>
        </w:rPr>
        <w:t xml:space="preserve">Austraclear provides settlement and custody services for a broad range of financial instruments, including </w:t>
      </w:r>
      <w:r w:rsidRPr="00D205B7">
        <w:rPr>
          <w:rFonts w:cs="Calibri"/>
          <w:sz w:val="24"/>
          <w:szCs w:val="24"/>
          <w:lang w:val="en-US"/>
        </w:rPr>
        <w:t xml:space="preserve">government bonds and corporate </w:t>
      </w:r>
      <w:r w:rsidR="00B85291">
        <w:rPr>
          <w:rFonts w:cs="Calibri"/>
          <w:sz w:val="24"/>
          <w:szCs w:val="24"/>
          <w:lang w:val="en-US"/>
        </w:rPr>
        <w:t>debt securities</w:t>
      </w:r>
      <w:r w:rsidRPr="00D205B7">
        <w:rPr>
          <w:rFonts w:cs="Calibri"/>
          <w:sz w:val="24"/>
          <w:szCs w:val="24"/>
          <w:lang w:val="en-US"/>
        </w:rPr>
        <w:t>.</w:t>
      </w:r>
      <w:r>
        <w:rPr>
          <w:rFonts w:cs="Calibri"/>
          <w:sz w:val="24"/>
          <w:szCs w:val="24"/>
          <w:lang w:val="en-US"/>
        </w:rPr>
        <w:t xml:space="preserve"> </w:t>
      </w:r>
      <w:r w:rsidRPr="00D205B7">
        <w:rPr>
          <w:rFonts w:cs="Calibri"/>
          <w:sz w:val="24"/>
          <w:szCs w:val="24"/>
          <w:lang w:val="en-US"/>
        </w:rPr>
        <w:t>Austraclear is a subsidiary of the Australian Securities Exchange</w:t>
      </w:r>
      <w:r w:rsidR="00B85291">
        <w:rPr>
          <w:rFonts w:cs="Calibri"/>
          <w:sz w:val="24"/>
          <w:szCs w:val="24"/>
          <w:lang w:val="en-US"/>
        </w:rPr>
        <w:t xml:space="preserve"> (ASX)</w:t>
      </w:r>
      <w:r w:rsidRPr="00D205B7">
        <w:rPr>
          <w:rFonts w:cs="Calibri"/>
          <w:sz w:val="24"/>
          <w:szCs w:val="24"/>
          <w:lang w:val="en-US"/>
        </w:rPr>
        <w:t>.</w:t>
      </w:r>
    </w:p>
    <w:p w14:paraId="6337198E" w14:textId="0B74E00B" w:rsidR="00DB42D6" w:rsidRDefault="00D16B09" w:rsidP="00EB797C">
      <w:pPr>
        <w:spacing w:before="0" w:after="240"/>
        <w:jc w:val="both"/>
        <w:rPr>
          <w:rFonts w:cs="Calibri"/>
          <w:sz w:val="24"/>
          <w:szCs w:val="24"/>
          <w:lang w:val="en-US"/>
        </w:rPr>
      </w:pPr>
      <w:r w:rsidRPr="00D16B09">
        <w:rPr>
          <w:rFonts w:cs="Calibri"/>
          <w:sz w:val="24"/>
          <w:szCs w:val="24"/>
          <w:lang w:val="en-US"/>
        </w:rPr>
        <w:t xml:space="preserve">The Territory became an associate participant </w:t>
      </w:r>
      <w:r w:rsidR="00B85291">
        <w:rPr>
          <w:rFonts w:cs="Calibri"/>
          <w:sz w:val="24"/>
          <w:szCs w:val="24"/>
          <w:lang w:val="en-US"/>
        </w:rPr>
        <w:t xml:space="preserve">in </w:t>
      </w:r>
      <w:r w:rsidRPr="00D16B09">
        <w:rPr>
          <w:rFonts w:cs="Calibri"/>
          <w:sz w:val="24"/>
          <w:szCs w:val="24"/>
          <w:lang w:val="en-US"/>
        </w:rPr>
        <w:t xml:space="preserve">the Austraclear </w:t>
      </w:r>
      <w:r w:rsidR="00B85291">
        <w:rPr>
          <w:rFonts w:cs="Calibri"/>
          <w:sz w:val="24"/>
          <w:szCs w:val="24"/>
          <w:lang w:val="en-US"/>
        </w:rPr>
        <w:t>s</w:t>
      </w:r>
      <w:r w:rsidRPr="00D16B09">
        <w:rPr>
          <w:rFonts w:cs="Calibri"/>
          <w:sz w:val="24"/>
          <w:szCs w:val="24"/>
          <w:lang w:val="en-US"/>
        </w:rPr>
        <w:t>ystem</w:t>
      </w:r>
      <w:r w:rsidR="00B85291">
        <w:rPr>
          <w:rFonts w:cs="Calibri"/>
          <w:sz w:val="24"/>
          <w:szCs w:val="24"/>
          <w:lang w:val="en-US"/>
        </w:rPr>
        <w:t xml:space="preserve"> </w:t>
      </w:r>
      <w:r w:rsidRPr="00D16B09">
        <w:rPr>
          <w:rFonts w:cs="Calibri"/>
          <w:sz w:val="24"/>
          <w:szCs w:val="24"/>
          <w:lang w:val="en-US"/>
        </w:rPr>
        <w:t>in July 1990.</w:t>
      </w:r>
      <w:r w:rsidR="005E5A3A">
        <w:rPr>
          <w:rFonts w:cs="Calibri"/>
          <w:sz w:val="24"/>
          <w:szCs w:val="24"/>
          <w:lang w:val="en-US"/>
        </w:rPr>
        <w:t xml:space="preserve"> </w:t>
      </w:r>
      <w:r w:rsidR="005B7B1B">
        <w:rPr>
          <w:rFonts w:cs="Calibri"/>
          <w:sz w:val="24"/>
          <w:szCs w:val="24"/>
          <w:lang w:val="en-US"/>
        </w:rPr>
        <w:t>All Territory</w:t>
      </w:r>
      <w:r w:rsidR="00B85291">
        <w:rPr>
          <w:rFonts w:cs="Calibri"/>
          <w:sz w:val="24"/>
          <w:szCs w:val="24"/>
          <w:lang w:val="en-US"/>
        </w:rPr>
        <w:t>-</w:t>
      </w:r>
      <w:r w:rsidR="005B7B1B">
        <w:rPr>
          <w:rFonts w:cs="Calibri"/>
          <w:sz w:val="24"/>
          <w:szCs w:val="24"/>
          <w:lang w:val="en-US"/>
        </w:rPr>
        <w:t xml:space="preserve">issued notes are </w:t>
      </w:r>
      <w:r w:rsidR="00B85291">
        <w:rPr>
          <w:rFonts w:cs="Calibri"/>
          <w:sz w:val="24"/>
          <w:szCs w:val="24"/>
          <w:lang w:val="en-US"/>
        </w:rPr>
        <w:t xml:space="preserve">held and transacted through </w:t>
      </w:r>
      <w:r w:rsidR="005B7B1B">
        <w:rPr>
          <w:rFonts w:cs="Calibri"/>
          <w:sz w:val="24"/>
          <w:szCs w:val="24"/>
          <w:lang w:val="en-US"/>
        </w:rPr>
        <w:t xml:space="preserve">the Austraclear </w:t>
      </w:r>
      <w:r w:rsidR="00333AA7">
        <w:rPr>
          <w:rFonts w:cs="Calibri"/>
          <w:sz w:val="24"/>
          <w:szCs w:val="24"/>
          <w:lang w:val="en-US"/>
        </w:rPr>
        <w:t>CSD</w:t>
      </w:r>
      <w:r w:rsidR="00DB42D6" w:rsidRPr="005B7B1B">
        <w:rPr>
          <w:rFonts w:cs="Calibri"/>
          <w:sz w:val="24"/>
          <w:szCs w:val="24"/>
          <w:lang w:val="en-US"/>
        </w:rPr>
        <w:t>.</w:t>
      </w:r>
    </w:p>
    <w:p w14:paraId="53DC38E6" w14:textId="22A9EC5D" w:rsidR="00DB42D6" w:rsidRPr="00DB42D6" w:rsidRDefault="00D07E37" w:rsidP="00DB42D6">
      <w:pPr>
        <w:numPr>
          <w:ilvl w:val="1"/>
          <w:numId w:val="0"/>
        </w:numPr>
        <w:spacing w:before="240" w:after="240"/>
        <w:jc w:val="both"/>
        <w:rPr>
          <w:rFonts w:cs="Calibri"/>
          <w:b/>
          <w:bCs/>
          <w:color w:val="7030A0"/>
          <w:sz w:val="32"/>
          <w:szCs w:val="32"/>
          <w:lang w:val="en-US"/>
        </w:rPr>
      </w:pPr>
      <w:r>
        <w:rPr>
          <w:rFonts w:cs="Calibri"/>
          <w:b/>
          <w:bCs/>
          <w:color w:val="7030A0"/>
          <w:sz w:val="32"/>
          <w:szCs w:val="32"/>
          <w:lang w:val="en-US"/>
        </w:rPr>
        <w:t xml:space="preserve">REGISTRY, ISSUING AND PAYING </w:t>
      </w:r>
      <w:r w:rsidR="00DB42D6" w:rsidRPr="00DB42D6">
        <w:rPr>
          <w:rFonts w:cs="Calibri"/>
          <w:b/>
          <w:bCs/>
          <w:color w:val="7030A0"/>
          <w:sz w:val="32"/>
          <w:szCs w:val="32"/>
          <w:lang w:val="en-US"/>
        </w:rPr>
        <w:t>AGENCY SERVICES</w:t>
      </w:r>
    </w:p>
    <w:p w14:paraId="0457ED17" w14:textId="133BDA3A" w:rsidR="005E5A3A" w:rsidRDefault="005E5A3A" w:rsidP="00EB797C">
      <w:pPr>
        <w:spacing w:before="0" w:after="240"/>
        <w:jc w:val="both"/>
        <w:rPr>
          <w:rFonts w:cs="Calibri"/>
          <w:sz w:val="24"/>
          <w:szCs w:val="24"/>
          <w:lang w:val="en-US"/>
        </w:rPr>
      </w:pPr>
      <w:r w:rsidRPr="009A780F">
        <w:rPr>
          <w:rFonts w:cs="Calibri"/>
          <w:sz w:val="24"/>
          <w:szCs w:val="24"/>
          <w:lang w:val="en-US"/>
        </w:rPr>
        <w:t xml:space="preserve">Austraclear Services Limited </w:t>
      </w:r>
      <w:r>
        <w:rPr>
          <w:rFonts w:cs="Calibri"/>
          <w:sz w:val="24"/>
          <w:szCs w:val="24"/>
          <w:lang w:val="en-US"/>
        </w:rPr>
        <w:t xml:space="preserve">is the Territory’s appointed </w:t>
      </w:r>
      <w:r w:rsidR="00B85291">
        <w:rPr>
          <w:rFonts w:cs="Calibri"/>
          <w:sz w:val="24"/>
          <w:szCs w:val="24"/>
          <w:lang w:val="en-US"/>
        </w:rPr>
        <w:t>provider of r</w:t>
      </w:r>
      <w:r w:rsidRPr="009A780F">
        <w:rPr>
          <w:rFonts w:cs="Calibri"/>
          <w:sz w:val="24"/>
          <w:szCs w:val="24"/>
          <w:lang w:val="en-US"/>
        </w:rPr>
        <w:t xml:space="preserve">egistry, </w:t>
      </w:r>
      <w:r w:rsidR="00B85291">
        <w:rPr>
          <w:rFonts w:cs="Calibri"/>
          <w:sz w:val="24"/>
          <w:szCs w:val="24"/>
          <w:lang w:val="en-US"/>
        </w:rPr>
        <w:t>i</w:t>
      </w:r>
      <w:r w:rsidRPr="009A780F">
        <w:rPr>
          <w:rFonts w:cs="Calibri"/>
          <w:sz w:val="24"/>
          <w:szCs w:val="24"/>
          <w:lang w:val="en-US"/>
        </w:rPr>
        <w:t xml:space="preserve">ssuing and </w:t>
      </w:r>
      <w:r w:rsidR="00B85291">
        <w:rPr>
          <w:rFonts w:cs="Calibri"/>
          <w:sz w:val="24"/>
          <w:szCs w:val="24"/>
          <w:lang w:val="en-US"/>
        </w:rPr>
        <w:t>p</w:t>
      </w:r>
      <w:r w:rsidRPr="009A780F">
        <w:rPr>
          <w:rFonts w:cs="Calibri"/>
          <w:sz w:val="24"/>
          <w:szCs w:val="24"/>
          <w:lang w:val="en-US"/>
        </w:rPr>
        <w:t>aying agency services.</w:t>
      </w:r>
    </w:p>
    <w:p w14:paraId="15D72228" w14:textId="284578BC" w:rsidR="005E5A3A" w:rsidRDefault="00B85291" w:rsidP="00EB797C">
      <w:pPr>
        <w:spacing w:before="0" w:after="240"/>
        <w:jc w:val="both"/>
        <w:rPr>
          <w:rFonts w:cs="Calibri"/>
          <w:sz w:val="24"/>
          <w:szCs w:val="24"/>
        </w:rPr>
      </w:pPr>
      <w:r>
        <w:rPr>
          <w:rFonts w:cs="Calibri"/>
          <w:sz w:val="24"/>
          <w:szCs w:val="24"/>
          <w:lang w:val="en-US"/>
        </w:rPr>
        <w:t>The</w:t>
      </w:r>
      <w:r w:rsidR="00D16B09" w:rsidRPr="00D16B09">
        <w:rPr>
          <w:rFonts w:cs="Calibri"/>
          <w:sz w:val="24"/>
          <w:szCs w:val="24"/>
          <w:lang w:val="en-US"/>
        </w:rPr>
        <w:t xml:space="preserve"> issuance of debt securities require</w:t>
      </w:r>
      <w:r>
        <w:rPr>
          <w:rFonts w:cs="Calibri"/>
          <w:sz w:val="24"/>
          <w:szCs w:val="24"/>
          <w:lang w:val="en-US"/>
        </w:rPr>
        <w:t>s the establishment of a registry to support the efficient creation of new securities and the effective administration of ongoing obligations. The registry facilitates the accurate maintenance of records and the timely execution of all associated corporate actions.</w:t>
      </w:r>
      <w:r w:rsidR="00D16B09" w:rsidRPr="00D16B09">
        <w:rPr>
          <w:rFonts w:cs="Calibri"/>
          <w:sz w:val="24"/>
          <w:szCs w:val="24"/>
        </w:rPr>
        <w:t xml:space="preserve"> </w:t>
      </w:r>
    </w:p>
    <w:p w14:paraId="722586F2" w14:textId="77777777" w:rsidR="00B85291" w:rsidRDefault="00B85291" w:rsidP="00EB797C">
      <w:pPr>
        <w:spacing w:before="0" w:after="240"/>
        <w:jc w:val="both"/>
        <w:rPr>
          <w:rFonts w:cs="Calibri"/>
          <w:sz w:val="24"/>
          <w:szCs w:val="24"/>
          <w:lang w:val="en-US"/>
        </w:rPr>
      </w:pPr>
      <w:r>
        <w:rPr>
          <w:rFonts w:cs="Calibri"/>
          <w:sz w:val="24"/>
          <w:szCs w:val="24"/>
          <w:lang w:val="en-US"/>
        </w:rPr>
        <w:t xml:space="preserve">As </w:t>
      </w:r>
      <w:proofErr w:type="gramStart"/>
      <w:r>
        <w:rPr>
          <w:rFonts w:cs="Calibri"/>
          <w:sz w:val="24"/>
          <w:szCs w:val="24"/>
          <w:lang w:val="en-US"/>
        </w:rPr>
        <w:t>register</w:t>
      </w:r>
      <w:proofErr w:type="gramEnd"/>
      <w:r>
        <w:rPr>
          <w:rFonts w:cs="Calibri"/>
          <w:sz w:val="24"/>
          <w:szCs w:val="24"/>
          <w:lang w:val="en-US"/>
        </w:rPr>
        <w:t>, Austraclear Services Limited is responsible for:</w:t>
      </w:r>
    </w:p>
    <w:p w14:paraId="17282C16" w14:textId="74758FEE" w:rsidR="004E1A9D" w:rsidRDefault="00EA1351" w:rsidP="00EB797C">
      <w:pPr>
        <w:numPr>
          <w:ilvl w:val="0"/>
          <w:numId w:val="22"/>
        </w:numPr>
        <w:tabs>
          <w:tab w:val="clear" w:pos="360"/>
          <w:tab w:val="num" w:pos="709"/>
        </w:tabs>
        <w:spacing w:before="0" w:after="240"/>
        <w:ind w:left="567" w:hanging="425"/>
        <w:jc w:val="both"/>
        <w:rPr>
          <w:rFonts w:cs="Calibri"/>
          <w:sz w:val="24"/>
          <w:szCs w:val="24"/>
          <w:lang w:val="en-US"/>
        </w:rPr>
      </w:pPr>
      <w:r>
        <w:rPr>
          <w:rFonts w:cs="Calibri"/>
          <w:sz w:val="24"/>
          <w:szCs w:val="24"/>
          <w:lang w:val="en-US"/>
        </w:rPr>
        <w:t>m</w:t>
      </w:r>
      <w:r w:rsidR="004E1A9D">
        <w:rPr>
          <w:rFonts w:cs="Calibri"/>
          <w:sz w:val="24"/>
          <w:szCs w:val="24"/>
          <w:lang w:val="en-US"/>
        </w:rPr>
        <w:t>aintaining the register of securities and associated records;</w:t>
      </w:r>
    </w:p>
    <w:p w14:paraId="263C8626" w14:textId="1F38885E" w:rsidR="004E1A9D" w:rsidRDefault="00EA1351" w:rsidP="00EB797C">
      <w:pPr>
        <w:numPr>
          <w:ilvl w:val="0"/>
          <w:numId w:val="22"/>
        </w:numPr>
        <w:tabs>
          <w:tab w:val="clear" w:pos="360"/>
          <w:tab w:val="num" w:pos="709"/>
        </w:tabs>
        <w:spacing w:before="0" w:after="240"/>
        <w:ind w:left="567" w:hanging="425"/>
        <w:jc w:val="both"/>
        <w:rPr>
          <w:rFonts w:cs="Calibri"/>
          <w:sz w:val="24"/>
          <w:szCs w:val="24"/>
          <w:lang w:val="en-US"/>
        </w:rPr>
      </w:pPr>
      <w:r>
        <w:rPr>
          <w:rFonts w:cs="Calibri"/>
          <w:sz w:val="24"/>
          <w:szCs w:val="24"/>
          <w:lang w:val="en-US"/>
        </w:rPr>
        <w:lastRenderedPageBreak/>
        <w:t>h</w:t>
      </w:r>
      <w:r w:rsidR="004E1A9D">
        <w:rPr>
          <w:rFonts w:cs="Calibri"/>
          <w:sz w:val="24"/>
          <w:szCs w:val="24"/>
          <w:lang w:val="en-US"/>
        </w:rPr>
        <w:t>olding and managing issuance documentation;</w:t>
      </w:r>
    </w:p>
    <w:p w14:paraId="5058415A" w14:textId="2A0704AE" w:rsidR="004E1A9D" w:rsidRDefault="00EA1351" w:rsidP="00EB797C">
      <w:pPr>
        <w:numPr>
          <w:ilvl w:val="0"/>
          <w:numId w:val="22"/>
        </w:numPr>
        <w:tabs>
          <w:tab w:val="clear" w:pos="360"/>
          <w:tab w:val="num" w:pos="709"/>
        </w:tabs>
        <w:spacing w:before="0" w:after="240"/>
        <w:ind w:left="567" w:hanging="425"/>
        <w:jc w:val="both"/>
        <w:rPr>
          <w:rFonts w:cs="Calibri"/>
          <w:sz w:val="24"/>
          <w:szCs w:val="24"/>
          <w:lang w:val="en-US"/>
        </w:rPr>
      </w:pPr>
      <w:r>
        <w:rPr>
          <w:rFonts w:cs="Calibri"/>
          <w:sz w:val="24"/>
          <w:szCs w:val="24"/>
          <w:lang w:val="en-US"/>
        </w:rPr>
        <w:t>p</w:t>
      </w:r>
      <w:r w:rsidR="004E1A9D">
        <w:rPr>
          <w:rFonts w:cs="Calibri"/>
          <w:sz w:val="24"/>
          <w:szCs w:val="24"/>
          <w:lang w:val="en-US"/>
        </w:rPr>
        <w:t>roviding certificates where required;</w:t>
      </w:r>
    </w:p>
    <w:p w14:paraId="191ED751" w14:textId="67197570" w:rsidR="004E1A9D" w:rsidRDefault="00EA1351" w:rsidP="00EB797C">
      <w:pPr>
        <w:numPr>
          <w:ilvl w:val="0"/>
          <w:numId w:val="22"/>
        </w:numPr>
        <w:tabs>
          <w:tab w:val="clear" w:pos="360"/>
          <w:tab w:val="num" w:pos="709"/>
        </w:tabs>
        <w:spacing w:before="0" w:after="240"/>
        <w:ind w:left="567" w:hanging="425"/>
        <w:jc w:val="both"/>
        <w:rPr>
          <w:rFonts w:cs="Calibri"/>
          <w:sz w:val="24"/>
          <w:szCs w:val="24"/>
          <w:lang w:val="en-US"/>
        </w:rPr>
      </w:pPr>
      <w:r>
        <w:rPr>
          <w:rFonts w:cs="Calibri"/>
          <w:sz w:val="24"/>
          <w:szCs w:val="24"/>
          <w:lang w:val="en-US"/>
        </w:rPr>
        <w:t>m</w:t>
      </w:r>
      <w:r w:rsidR="004E1A9D">
        <w:rPr>
          <w:rFonts w:cs="Calibri"/>
          <w:sz w:val="24"/>
          <w:szCs w:val="24"/>
          <w:lang w:val="en-US"/>
        </w:rPr>
        <w:t xml:space="preserve">aking the register available for inspection; and </w:t>
      </w:r>
    </w:p>
    <w:p w14:paraId="4A0BD03C" w14:textId="67FAB96C" w:rsidR="004E1A9D" w:rsidRDefault="00EA1351" w:rsidP="00EB797C">
      <w:pPr>
        <w:numPr>
          <w:ilvl w:val="0"/>
          <w:numId w:val="22"/>
        </w:numPr>
        <w:tabs>
          <w:tab w:val="clear" w:pos="360"/>
          <w:tab w:val="num" w:pos="709"/>
        </w:tabs>
        <w:spacing w:before="0" w:after="240"/>
        <w:ind w:left="567" w:hanging="425"/>
        <w:jc w:val="both"/>
        <w:rPr>
          <w:rFonts w:cs="Calibri"/>
          <w:sz w:val="24"/>
          <w:szCs w:val="24"/>
          <w:lang w:val="en-US"/>
        </w:rPr>
      </w:pPr>
      <w:r>
        <w:rPr>
          <w:rFonts w:cs="Calibri"/>
          <w:sz w:val="24"/>
          <w:szCs w:val="24"/>
          <w:lang w:val="en-US"/>
        </w:rPr>
        <w:t>s</w:t>
      </w:r>
      <w:r w:rsidR="004E1A9D">
        <w:rPr>
          <w:rFonts w:cs="Calibri"/>
          <w:sz w:val="24"/>
          <w:szCs w:val="24"/>
          <w:lang w:val="en-US"/>
        </w:rPr>
        <w:t>upplying relevant documentation to authorised third parties.</w:t>
      </w:r>
    </w:p>
    <w:p w14:paraId="3BB27645" w14:textId="4B1051CE" w:rsidR="004E1A9D" w:rsidRDefault="004E1A9D" w:rsidP="00EB797C">
      <w:pPr>
        <w:spacing w:before="0" w:after="240"/>
        <w:jc w:val="both"/>
        <w:rPr>
          <w:rFonts w:cs="Calibri"/>
          <w:sz w:val="24"/>
          <w:szCs w:val="24"/>
          <w:lang w:val="en-US"/>
        </w:rPr>
      </w:pPr>
      <w:r>
        <w:rPr>
          <w:rFonts w:cs="Calibri"/>
          <w:sz w:val="24"/>
          <w:szCs w:val="24"/>
          <w:lang w:val="en-US"/>
        </w:rPr>
        <w:t>Austraclear also undertakes issuing and paying agency functions on behalf of the Territory, including:</w:t>
      </w:r>
    </w:p>
    <w:p w14:paraId="619373EA" w14:textId="2B068C0C" w:rsidR="004E1A9D" w:rsidRDefault="00EA1351" w:rsidP="00EB797C">
      <w:pPr>
        <w:numPr>
          <w:ilvl w:val="0"/>
          <w:numId w:val="22"/>
        </w:numPr>
        <w:tabs>
          <w:tab w:val="clear" w:pos="360"/>
          <w:tab w:val="num" w:pos="709"/>
        </w:tabs>
        <w:spacing w:before="0" w:after="240"/>
        <w:ind w:left="567" w:hanging="425"/>
        <w:jc w:val="both"/>
        <w:rPr>
          <w:rFonts w:cs="Calibri"/>
          <w:sz w:val="24"/>
          <w:szCs w:val="24"/>
          <w:lang w:val="en-US"/>
        </w:rPr>
      </w:pPr>
      <w:r>
        <w:rPr>
          <w:rFonts w:cs="Calibri"/>
          <w:sz w:val="24"/>
          <w:szCs w:val="24"/>
          <w:lang w:val="en-US"/>
        </w:rPr>
        <w:t>e</w:t>
      </w:r>
      <w:r w:rsidR="004E1A9D">
        <w:rPr>
          <w:rFonts w:cs="Calibri"/>
          <w:sz w:val="24"/>
          <w:szCs w:val="24"/>
          <w:lang w:val="en-US"/>
        </w:rPr>
        <w:t>stablishing new securities within the Austraclear system;</w:t>
      </w:r>
    </w:p>
    <w:p w14:paraId="77798CD7" w14:textId="2DF7EB49" w:rsidR="004E1A9D" w:rsidRDefault="00EA1351" w:rsidP="00EB797C">
      <w:pPr>
        <w:numPr>
          <w:ilvl w:val="0"/>
          <w:numId w:val="22"/>
        </w:numPr>
        <w:tabs>
          <w:tab w:val="clear" w:pos="360"/>
          <w:tab w:val="num" w:pos="709"/>
        </w:tabs>
        <w:spacing w:before="0" w:after="240"/>
        <w:ind w:left="567" w:hanging="425"/>
        <w:jc w:val="both"/>
        <w:rPr>
          <w:rFonts w:cs="Calibri"/>
          <w:sz w:val="24"/>
          <w:szCs w:val="24"/>
          <w:lang w:val="en-US"/>
        </w:rPr>
      </w:pPr>
      <w:r>
        <w:rPr>
          <w:rFonts w:cs="Calibri"/>
          <w:sz w:val="24"/>
          <w:szCs w:val="24"/>
          <w:lang w:val="en-US"/>
        </w:rPr>
        <w:t>d</w:t>
      </w:r>
      <w:r w:rsidR="004E1A9D">
        <w:rPr>
          <w:rFonts w:cs="Calibri"/>
          <w:sz w:val="24"/>
          <w:szCs w:val="24"/>
          <w:lang w:val="en-US"/>
        </w:rPr>
        <w:t>epositing securities and transferring them to initial investors;</w:t>
      </w:r>
    </w:p>
    <w:p w14:paraId="067E04C9" w14:textId="6F57864C" w:rsidR="004E1A9D" w:rsidRDefault="00EA1351" w:rsidP="00EB797C">
      <w:pPr>
        <w:numPr>
          <w:ilvl w:val="0"/>
          <w:numId w:val="22"/>
        </w:numPr>
        <w:tabs>
          <w:tab w:val="clear" w:pos="360"/>
          <w:tab w:val="num" w:pos="709"/>
        </w:tabs>
        <w:spacing w:before="0" w:after="240"/>
        <w:ind w:left="567" w:hanging="425"/>
        <w:jc w:val="both"/>
        <w:rPr>
          <w:rFonts w:cs="Calibri"/>
          <w:sz w:val="24"/>
          <w:szCs w:val="24"/>
          <w:lang w:val="en-US"/>
        </w:rPr>
      </w:pPr>
      <w:r>
        <w:rPr>
          <w:rFonts w:cs="Calibri"/>
          <w:sz w:val="24"/>
          <w:szCs w:val="24"/>
          <w:lang w:val="en-US"/>
        </w:rPr>
        <w:t>f</w:t>
      </w:r>
      <w:r w:rsidR="004E1A9D">
        <w:rPr>
          <w:rFonts w:cs="Calibri"/>
          <w:sz w:val="24"/>
          <w:szCs w:val="24"/>
          <w:lang w:val="en-US"/>
        </w:rPr>
        <w:t>acilitating early redemption or withdrawal of securities where applicable;</w:t>
      </w:r>
    </w:p>
    <w:p w14:paraId="19A79564" w14:textId="1634E0BE" w:rsidR="004E1A9D" w:rsidRDefault="00EA1351" w:rsidP="00EB797C">
      <w:pPr>
        <w:numPr>
          <w:ilvl w:val="0"/>
          <w:numId w:val="22"/>
        </w:numPr>
        <w:tabs>
          <w:tab w:val="clear" w:pos="360"/>
          <w:tab w:val="num" w:pos="709"/>
        </w:tabs>
        <w:spacing w:before="0" w:after="240"/>
        <w:ind w:left="567" w:hanging="425"/>
        <w:jc w:val="both"/>
        <w:rPr>
          <w:rFonts w:cs="Calibri"/>
          <w:sz w:val="24"/>
          <w:szCs w:val="24"/>
          <w:lang w:val="en-US"/>
        </w:rPr>
      </w:pPr>
      <w:r>
        <w:rPr>
          <w:rFonts w:cs="Calibri"/>
          <w:sz w:val="24"/>
          <w:szCs w:val="24"/>
          <w:lang w:val="en-US"/>
        </w:rPr>
        <w:t>a</w:t>
      </w:r>
      <w:r w:rsidR="004E1A9D">
        <w:rPr>
          <w:rFonts w:cs="Calibri"/>
          <w:sz w:val="24"/>
          <w:szCs w:val="24"/>
          <w:lang w:val="en-US"/>
        </w:rPr>
        <w:t>dministering corporate actions;</w:t>
      </w:r>
    </w:p>
    <w:p w14:paraId="6BDC1BEF" w14:textId="2FC5AD8F" w:rsidR="004E1A9D" w:rsidRDefault="00EA1351" w:rsidP="00EB797C">
      <w:pPr>
        <w:numPr>
          <w:ilvl w:val="0"/>
          <w:numId w:val="22"/>
        </w:numPr>
        <w:tabs>
          <w:tab w:val="clear" w:pos="360"/>
          <w:tab w:val="num" w:pos="709"/>
        </w:tabs>
        <w:spacing w:before="0" w:after="240"/>
        <w:ind w:left="567" w:hanging="425"/>
        <w:jc w:val="both"/>
        <w:rPr>
          <w:rFonts w:cs="Calibri"/>
          <w:sz w:val="24"/>
          <w:szCs w:val="24"/>
          <w:lang w:val="en-US"/>
        </w:rPr>
      </w:pPr>
      <w:r>
        <w:rPr>
          <w:rFonts w:cs="Calibri"/>
          <w:sz w:val="24"/>
          <w:szCs w:val="24"/>
          <w:lang w:val="en-US"/>
        </w:rPr>
        <w:t>p</w:t>
      </w:r>
      <w:r w:rsidR="004E1A9D">
        <w:rPr>
          <w:rFonts w:cs="Calibri"/>
          <w:sz w:val="24"/>
          <w:szCs w:val="24"/>
          <w:lang w:val="en-US"/>
        </w:rPr>
        <w:t>roviding record date reports for interest and maturity payments; and</w:t>
      </w:r>
    </w:p>
    <w:p w14:paraId="205A0AFD" w14:textId="12396104" w:rsidR="004E1A9D" w:rsidRDefault="00EA1351" w:rsidP="00EB797C">
      <w:pPr>
        <w:numPr>
          <w:ilvl w:val="0"/>
          <w:numId w:val="22"/>
        </w:numPr>
        <w:tabs>
          <w:tab w:val="clear" w:pos="360"/>
          <w:tab w:val="num" w:pos="709"/>
        </w:tabs>
        <w:spacing w:before="0" w:after="240"/>
        <w:ind w:left="567" w:hanging="425"/>
        <w:jc w:val="both"/>
        <w:rPr>
          <w:rFonts w:cs="Calibri"/>
          <w:sz w:val="24"/>
          <w:szCs w:val="24"/>
          <w:lang w:val="en-US"/>
        </w:rPr>
      </w:pPr>
      <w:r>
        <w:rPr>
          <w:rFonts w:cs="Calibri"/>
          <w:sz w:val="24"/>
          <w:szCs w:val="24"/>
          <w:lang w:val="en-US"/>
        </w:rPr>
        <w:t>p</w:t>
      </w:r>
      <w:r w:rsidR="004E1A9D">
        <w:rPr>
          <w:rFonts w:cs="Calibri"/>
          <w:sz w:val="24"/>
          <w:szCs w:val="24"/>
          <w:lang w:val="en-US"/>
        </w:rPr>
        <w:t>rocessing payments of principal, interest and other amounts in accordance with issuer instructions.</w:t>
      </w:r>
    </w:p>
    <w:p w14:paraId="0475F58D" w14:textId="73289BAD" w:rsidR="004E1A9D" w:rsidRDefault="004E1A9D" w:rsidP="00EB797C">
      <w:pPr>
        <w:spacing w:before="0" w:after="240"/>
        <w:jc w:val="both"/>
        <w:rPr>
          <w:rFonts w:cs="Calibri"/>
          <w:sz w:val="24"/>
          <w:szCs w:val="24"/>
          <w:lang w:val="en-US"/>
        </w:rPr>
      </w:pPr>
      <w:r>
        <w:rPr>
          <w:rFonts w:cs="Calibri"/>
          <w:sz w:val="24"/>
          <w:szCs w:val="24"/>
          <w:lang w:val="en-US"/>
        </w:rPr>
        <w:t>In addition, Austraclear provides calculation agent services, including determining amounts or values for specific tranches or series of Notes, as specified in the relevant Pricing Supplement.</w:t>
      </w:r>
    </w:p>
    <w:p w14:paraId="36F786F8" w14:textId="34643BDE" w:rsidR="00BE5444" w:rsidRPr="00DB42D6" w:rsidRDefault="00BE5444" w:rsidP="00BE5444">
      <w:pPr>
        <w:numPr>
          <w:ilvl w:val="1"/>
          <w:numId w:val="0"/>
        </w:numPr>
        <w:spacing w:before="240" w:after="240"/>
        <w:jc w:val="both"/>
        <w:rPr>
          <w:rFonts w:cs="Calibri"/>
          <w:b/>
          <w:bCs/>
          <w:color w:val="7030A0"/>
          <w:sz w:val="32"/>
          <w:szCs w:val="32"/>
          <w:lang w:val="en-US"/>
        </w:rPr>
      </w:pPr>
      <w:r>
        <w:rPr>
          <w:rFonts w:cs="Calibri"/>
          <w:b/>
          <w:bCs/>
          <w:color w:val="7030A0"/>
          <w:sz w:val="32"/>
          <w:szCs w:val="32"/>
          <w:lang w:val="en-US"/>
        </w:rPr>
        <w:t>CREDIT RATING</w:t>
      </w:r>
    </w:p>
    <w:p w14:paraId="3940C3C7" w14:textId="417A92D8" w:rsidR="006B2512" w:rsidRDefault="004E1A9D" w:rsidP="00EB797C">
      <w:pPr>
        <w:spacing w:before="0" w:after="240"/>
        <w:jc w:val="both"/>
        <w:rPr>
          <w:rFonts w:cs="Calibri"/>
          <w:sz w:val="24"/>
          <w:szCs w:val="24"/>
          <w:lang w:val="en-US"/>
        </w:rPr>
      </w:pPr>
      <w:r>
        <w:rPr>
          <w:rFonts w:cs="Calibri"/>
          <w:sz w:val="24"/>
          <w:szCs w:val="24"/>
          <w:lang w:val="en-US"/>
        </w:rPr>
        <w:t xml:space="preserve">The Territory engages </w:t>
      </w:r>
      <w:r w:rsidR="006B2512" w:rsidRPr="007A7788">
        <w:rPr>
          <w:rFonts w:cs="Calibri"/>
          <w:sz w:val="24"/>
          <w:szCs w:val="24"/>
          <w:lang w:val="en-US"/>
        </w:rPr>
        <w:t>S&amp;P Global Ratings</w:t>
      </w:r>
      <w:r w:rsidR="006B2512">
        <w:rPr>
          <w:rFonts w:cs="Calibri"/>
          <w:sz w:val="24"/>
          <w:szCs w:val="24"/>
          <w:lang w:val="en-US"/>
        </w:rPr>
        <w:t xml:space="preserve"> to provide </w:t>
      </w:r>
      <w:r>
        <w:rPr>
          <w:rFonts w:cs="Calibri"/>
          <w:sz w:val="24"/>
          <w:szCs w:val="24"/>
          <w:lang w:val="en-US"/>
        </w:rPr>
        <w:t xml:space="preserve">independent credit rating services and to maintain a current </w:t>
      </w:r>
      <w:r w:rsidR="006B2512" w:rsidRPr="00BE5444">
        <w:rPr>
          <w:rFonts w:cs="Calibri"/>
          <w:sz w:val="24"/>
          <w:szCs w:val="24"/>
          <w:lang w:val="en-US"/>
        </w:rPr>
        <w:t>credit rating</w:t>
      </w:r>
      <w:r w:rsidR="00B5769F">
        <w:rPr>
          <w:rFonts w:cs="Calibri"/>
          <w:sz w:val="24"/>
          <w:szCs w:val="24"/>
          <w:lang w:val="en-US"/>
        </w:rPr>
        <w:t xml:space="preserve"> opinion</w:t>
      </w:r>
      <w:r w:rsidR="006B2512" w:rsidRPr="00BE5444">
        <w:rPr>
          <w:rFonts w:cs="Calibri"/>
          <w:sz w:val="24"/>
          <w:szCs w:val="24"/>
          <w:lang w:val="en-US"/>
        </w:rPr>
        <w:t>.</w:t>
      </w:r>
    </w:p>
    <w:p w14:paraId="23D0EDA1" w14:textId="7467AF60" w:rsidR="00B309F9" w:rsidRDefault="00B309F9" w:rsidP="00EB797C">
      <w:pPr>
        <w:spacing w:before="0" w:after="240"/>
        <w:jc w:val="both"/>
        <w:rPr>
          <w:rFonts w:cs="Calibri"/>
          <w:sz w:val="24"/>
          <w:szCs w:val="24"/>
          <w:lang w:val="en-US"/>
        </w:rPr>
      </w:pPr>
      <w:r>
        <w:rPr>
          <w:rFonts w:cs="Calibri"/>
          <w:sz w:val="24"/>
          <w:szCs w:val="24"/>
          <w:lang w:val="en-US"/>
        </w:rPr>
        <w:t xml:space="preserve">A </w:t>
      </w:r>
      <w:r w:rsidR="005F3B58">
        <w:rPr>
          <w:rFonts w:cs="Calibri"/>
          <w:sz w:val="24"/>
          <w:szCs w:val="24"/>
          <w:lang w:val="en-US"/>
        </w:rPr>
        <w:t xml:space="preserve">sub-sovereign </w:t>
      </w:r>
      <w:r>
        <w:rPr>
          <w:rFonts w:cs="Calibri"/>
          <w:sz w:val="24"/>
          <w:szCs w:val="24"/>
          <w:lang w:val="en-US"/>
        </w:rPr>
        <w:t xml:space="preserve">credit rating provides an </w:t>
      </w:r>
      <w:r w:rsidR="004E1A9D">
        <w:rPr>
          <w:rFonts w:cs="Calibri"/>
          <w:sz w:val="24"/>
          <w:szCs w:val="24"/>
          <w:lang w:val="en-US"/>
        </w:rPr>
        <w:t xml:space="preserve">independent </w:t>
      </w:r>
      <w:r>
        <w:rPr>
          <w:rFonts w:cs="Calibri"/>
          <w:sz w:val="24"/>
          <w:szCs w:val="24"/>
          <w:lang w:val="en-US"/>
        </w:rPr>
        <w:t xml:space="preserve">opinion on </w:t>
      </w:r>
      <w:r w:rsidR="006B2512">
        <w:rPr>
          <w:rFonts w:cs="Calibri"/>
          <w:sz w:val="24"/>
          <w:szCs w:val="24"/>
          <w:lang w:val="en-US"/>
        </w:rPr>
        <w:t>the</w:t>
      </w:r>
      <w:r>
        <w:rPr>
          <w:rFonts w:cs="Calibri"/>
          <w:sz w:val="24"/>
          <w:szCs w:val="24"/>
          <w:lang w:val="en-US"/>
        </w:rPr>
        <w:t xml:space="preserve"> </w:t>
      </w:r>
      <w:r w:rsidR="004E1A9D">
        <w:rPr>
          <w:rFonts w:cs="Calibri"/>
          <w:sz w:val="24"/>
          <w:szCs w:val="24"/>
          <w:lang w:val="en-US"/>
        </w:rPr>
        <w:t xml:space="preserve">Territory’s capacity and willingness to meet its debt obligations, including the risk of default. The rating considers a range of factors, including financial </w:t>
      </w:r>
      <w:r>
        <w:rPr>
          <w:rFonts w:cs="Calibri"/>
          <w:sz w:val="24"/>
          <w:szCs w:val="24"/>
          <w:lang w:val="en-US"/>
        </w:rPr>
        <w:t>management</w:t>
      </w:r>
      <w:r w:rsidR="004E1A9D">
        <w:rPr>
          <w:rFonts w:cs="Calibri"/>
          <w:sz w:val="24"/>
          <w:szCs w:val="24"/>
          <w:lang w:val="en-US"/>
        </w:rPr>
        <w:t xml:space="preserve"> practices</w:t>
      </w:r>
      <w:r>
        <w:rPr>
          <w:rFonts w:cs="Calibri"/>
          <w:sz w:val="24"/>
          <w:szCs w:val="24"/>
          <w:lang w:val="en-US"/>
        </w:rPr>
        <w:t xml:space="preserve">, budgetary performance, liquidity and debt </w:t>
      </w:r>
      <w:r w:rsidR="004E1A9D">
        <w:rPr>
          <w:rFonts w:cs="Calibri"/>
          <w:sz w:val="24"/>
          <w:szCs w:val="24"/>
          <w:lang w:val="en-US"/>
        </w:rPr>
        <w:t>levels</w:t>
      </w:r>
      <w:r>
        <w:rPr>
          <w:rFonts w:cs="Calibri"/>
          <w:sz w:val="24"/>
          <w:szCs w:val="24"/>
          <w:lang w:val="en-US"/>
        </w:rPr>
        <w:t>.</w:t>
      </w:r>
    </w:p>
    <w:p w14:paraId="53310342" w14:textId="7159CEF7" w:rsidR="00BE5444" w:rsidRDefault="004E1A9D" w:rsidP="00EB797C">
      <w:pPr>
        <w:spacing w:before="0" w:after="240"/>
        <w:jc w:val="both"/>
        <w:rPr>
          <w:rFonts w:cs="Calibri"/>
          <w:sz w:val="24"/>
          <w:szCs w:val="24"/>
          <w:lang w:val="en-US"/>
        </w:rPr>
      </w:pPr>
      <w:r>
        <w:rPr>
          <w:rFonts w:cs="Calibri"/>
          <w:sz w:val="24"/>
          <w:szCs w:val="24"/>
          <w:lang w:val="en-US"/>
        </w:rPr>
        <w:t>Maintaining a</w:t>
      </w:r>
      <w:r w:rsidR="00BE5444" w:rsidRPr="00BE5444">
        <w:rPr>
          <w:rFonts w:cs="Calibri"/>
          <w:sz w:val="24"/>
          <w:szCs w:val="24"/>
          <w:lang w:val="en-US"/>
        </w:rPr>
        <w:t xml:space="preserve">n independent </w:t>
      </w:r>
      <w:r>
        <w:rPr>
          <w:rFonts w:cs="Calibri"/>
          <w:sz w:val="24"/>
          <w:szCs w:val="24"/>
          <w:lang w:val="en-US"/>
        </w:rPr>
        <w:t xml:space="preserve">issuer </w:t>
      </w:r>
      <w:r w:rsidR="00BE5444" w:rsidRPr="00BE5444">
        <w:rPr>
          <w:rFonts w:cs="Calibri"/>
          <w:sz w:val="24"/>
          <w:szCs w:val="24"/>
          <w:lang w:val="en-US"/>
        </w:rPr>
        <w:t xml:space="preserve">credit rating </w:t>
      </w:r>
      <w:r>
        <w:rPr>
          <w:rFonts w:cs="Calibri"/>
          <w:sz w:val="24"/>
          <w:szCs w:val="24"/>
          <w:lang w:val="en-US"/>
        </w:rPr>
        <w:t xml:space="preserve">from a recognised credit rating agency is a prerequisite for raising borrowings through the issuance of Notes under the Territory’s Debt Issuance </w:t>
      </w:r>
      <w:proofErr w:type="spellStart"/>
      <w:r>
        <w:rPr>
          <w:rFonts w:cs="Calibri"/>
          <w:sz w:val="24"/>
          <w:szCs w:val="24"/>
          <w:lang w:val="en-US"/>
        </w:rPr>
        <w:t>Programme</w:t>
      </w:r>
      <w:proofErr w:type="spellEnd"/>
      <w:r>
        <w:rPr>
          <w:rFonts w:cs="Calibri"/>
          <w:sz w:val="24"/>
          <w:szCs w:val="24"/>
          <w:lang w:val="en-US"/>
        </w:rPr>
        <w:t>.</w:t>
      </w:r>
    </w:p>
    <w:p w14:paraId="6F23E9B1" w14:textId="77777777" w:rsidR="00EB797C" w:rsidRPr="00BE5444" w:rsidRDefault="00EB797C" w:rsidP="00EB797C">
      <w:pPr>
        <w:spacing w:before="0" w:after="240"/>
        <w:jc w:val="both"/>
        <w:rPr>
          <w:rFonts w:cs="Calibri"/>
          <w:sz w:val="24"/>
          <w:szCs w:val="24"/>
          <w:lang w:val="en-US"/>
        </w:rPr>
      </w:pPr>
    </w:p>
    <w:p w14:paraId="03D50449" w14:textId="40E6AEE1" w:rsidR="00FC6C79" w:rsidRPr="005F3B58" w:rsidRDefault="00F0461B" w:rsidP="005F3B58">
      <w:pPr>
        <w:pStyle w:val="Heading1"/>
        <w:rPr>
          <w:b w:val="0"/>
        </w:rPr>
      </w:pPr>
      <w:bookmarkStart w:id="12" w:name="_Toc86770308"/>
      <w:bookmarkStart w:id="13" w:name="_Toc89841074"/>
      <w:bookmarkStart w:id="14" w:name="_Toc238200013"/>
      <w:bookmarkStart w:id="15" w:name="_Toc126829909"/>
      <w:r w:rsidRPr="005F3B58">
        <w:lastRenderedPageBreak/>
        <w:t>DEBT ISSUANCE</w:t>
      </w:r>
      <w:bookmarkEnd w:id="12"/>
      <w:bookmarkEnd w:id="13"/>
      <w:bookmarkEnd w:id="14"/>
    </w:p>
    <w:p w14:paraId="6DA79CBE" w14:textId="751377BA" w:rsidR="00DD253F" w:rsidRPr="00DD712C" w:rsidRDefault="00DD253F" w:rsidP="004E1A9D">
      <w:pPr>
        <w:spacing w:before="0" w:after="240"/>
        <w:rPr>
          <w:rFonts w:cs="Calibri"/>
          <w:sz w:val="24"/>
          <w:szCs w:val="24"/>
          <w:u w:val="single"/>
          <w:lang w:val="en-US"/>
        </w:rPr>
      </w:pPr>
      <w:r w:rsidRPr="00DD712C">
        <w:rPr>
          <w:rFonts w:cs="Calibri"/>
          <w:sz w:val="24"/>
          <w:szCs w:val="24"/>
          <w:u w:val="single"/>
          <w:lang w:val="en-US"/>
        </w:rPr>
        <w:t>Electronic Promissory Notes</w:t>
      </w:r>
    </w:p>
    <w:p w14:paraId="4F36E8CC" w14:textId="38850B7B" w:rsidR="00DD712C" w:rsidRDefault="000B7D47" w:rsidP="00EB797C">
      <w:pPr>
        <w:spacing w:before="0" w:after="240"/>
        <w:jc w:val="both"/>
        <w:rPr>
          <w:rFonts w:cs="Calibri"/>
          <w:sz w:val="24"/>
          <w:szCs w:val="24"/>
        </w:rPr>
      </w:pPr>
      <w:r>
        <w:rPr>
          <w:rFonts w:cs="Calibri"/>
          <w:sz w:val="24"/>
          <w:szCs w:val="24"/>
          <w:lang w:val="en-US"/>
        </w:rPr>
        <w:t>Electronic Promissory Notes</w:t>
      </w:r>
      <w:r w:rsidRPr="000B7D47">
        <w:rPr>
          <w:rFonts w:cs="Calibri"/>
          <w:sz w:val="24"/>
          <w:szCs w:val="24"/>
        </w:rPr>
        <w:t xml:space="preserve"> </w:t>
      </w:r>
      <w:r w:rsidR="00265B86">
        <w:rPr>
          <w:rFonts w:cs="Calibri"/>
          <w:sz w:val="24"/>
          <w:szCs w:val="24"/>
        </w:rPr>
        <w:t>(EPNs) are issued using a competitive, market-based process involving Programme Dealer</w:t>
      </w:r>
      <w:r w:rsidR="00B5769F">
        <w:rPr>
          <w:rFonts w:cs="Calibri"/>
          <w:sz w:val="24"/>
          <w:szCs w:val="24"/>
        </w:rPr>
        <w:t>s</w:t>
      </w:r>
      <w:r w:rsidR="00265B86">
        <w:rPr>
          <w:rFonts w:cs="Calibri"/>
          <w:sz w:val="24"/>
          <w:szCs w:val="24"/>
        </w:rPr>
        <w:t xml:space="preserve"> active in the EPN market.</w:t>
      </w:r>
      <w:r w:rsidRPr="000B7D47">
        <w:rPr>
          <w:rFonts w:cs="Calibri"/>
          <w:sz w:val="24"/>
          <w:szCs w:val="24"/>
        </w:rPr>
        <w:t xml:space="preserve"> </w:t>
      </w:r>
    </w:p>
    <w:p w14:paraId="08964091" w14:textId="77777777" w:rsidR="00265B86" w:rsidRDefault="000B7D47" w:rsidP="00EB797C">
      <w:pPr>
        <w:spacing w:before="0" w:after="240"/>
        <w:jc w:val="both"/>
        <w:rPr>
          <w:rFonts w:cs="Calibri"/>
          <w:sz w:val="24"/>
          <w:szCs w:val="24"/>
        </w:rPr>
      </w:pPr>
      <w:r w:rsidRPr="000B7D47">
        <w:rPr>
          <w:rFonts w:cs="Calibri"/>
          <w:sz w:val="24"/>
          <w:szCs w:val="24"/>
        </w:rPr>
        <w:t xml:space="preserve">The issuance process </w:t>
      </w:r>
      <w:r w:rsidR="00265B86">
        <w:rPr>
          <w:rFonts w:cs="Calibri"/>
          <w:sz w:val="24"/>
          <w:szCs w:val="24"/>
        </w:rPr>
        <w:t>is designed to achieve competitive pricing and typically involves:</w:t>
      </w:r>
    </w:p>
    <w:p w14:paraId="7BBF7B41" w14:textId="05F29B39" w:rsidR="00265B86" w:rsidRDefault="00EA1351" w:rsidP="00EB797C">
      <w:pPr>
        <w:numPr>
          <w:ilvl w:val="0"/>
          <w:numId w:val="22"/>
        </w:numPr>
        <w:tabs>
          <w:tab w:val="clear" w:pos="360"/>
          <w:tab w:val="num" w:pos="709"/>
        </w:tabs>
        <w:spacing w:before="0" w:after="240"/>
        <w:ind w:left="567" w:hanging="425"/>
        <w:jc w:val="both"/>
        <w:rPr>
          <w:rFonts w:cs="Calibri"/>
          <w:sz w:val="24"/>
          <w:szCs w:val="24"/>
        </w:rPr>
      </w:pPr>
      <w:r>
        <w:rPr>
          <w:rFonts w:cs="Calibri"/>
          <w:sz w:val="24"/>
          <w:szCs w:val="24"/>
        </w:rPr>
        <w:t>n</w:t>
      </w:r>
      <w:r w:rsidR="00265B86">
        <w:rPr>
          <w:rFonts w:cs="Calibri"/>
          <w:sz w:val="24"/>
          <w:szCs w:val="24"/>
        </w:rPr>
        <w:t>otification to relevant Dealer</w:t>
      </w:r>
      <w:r w:rsidR="00B5769F">
        <w:rPr>
          <w:rFonts w:cs="Calibri"/>
          <w:sz w:val="24"/>
          <w:szCs w:val="24"/>
        </w:rPr>
        <w:t>s</w:t>
      </w:r>
      <w:r w:rsidR="00265B86">
        <w:rPr>
          <w:rFonts w:cs="Calibri"/>
          <w:sz w:val="24"/>
          <w:szCs w:val="24"/>
        </w:rPr>
        <w:t xml:space="preserve"> of the proposed issuance, including key terms such as the issue amount, issue date and maturity date;</w:t>
      </w:r>
    </w:p>
    <w:p w14:paraId="09035A1C" w14:textId="44247D34" w:rsidR="00265B86" w:rsidRDefault="00EA1351" w:rsidP="00EB797C">
      <w:pPr>
        <w:numPr>
          <w:ilvl w:val="0"/>
          <w:numId w:val="22"/>
        </w:numPr>
        <w:tabs>
          <w:tab w:val="clear" w:pos="360"/>
          <w:tab w:val="num" w:pos="709"/>
        </w:tabs>
        <w:spacing w:before="0" w:after="240"/>
        <w:ind w:left="567" w:hanging="425"/>
        <w:jc w:val="both"/>
        <w:rPr>
          <w:rFonts w:cs="Calibri"/>
          <w:sz w:val="24"/>
          <w:szCs w:val="24"/>
        </w:rPr>
      </w:pPr>
      <w:r>
        <w:rPr>
          <w:rFonts w:cs="Calibri"/>
          <w:sz w:val="24"/>
          <w:szCs w:val="24"/>
        </w:rPr>
        <w:t>s</w:t>
      </w:r>
      <w:r w:rsidR="00265B86">
        <w:rPr>
          <w:rFonts w:cs="Calibri"/>
          <w:sz w:val="24"/>
          <w:szCs w:val="24"/>
        </w:rPr>
        <w:t>ubmission of bids by Dealer</w:t>
      </w:r>
      <w:r w:rsidR="00B5769F">
        <w:rPr>
          <w:rFonts w:cs="Calibri"/>
          <w:sz w:val="24"/>
          <w:szCs w:val="24"/>
        </w:rPr>
        <w:t>s</w:t>
      </w:r>
      <w:r w:rsidR="00265B86">
        <w:rPr>
          <w:rFonts w:cs="Calibri"/>
          <w:sz w:val="24"/>
          <w:szCs w:val="24"/>
        </w:rPr>
        <w:t>; and</w:t>
      </w:r>
    </w:p>
    <w:p w14:paraId="2FAF09B0" w14:textId="5D63D1EF" w:rsidR="00265B86" w:rsidRDefault="00EA1351" w:rsidP="00EB797C">
      <w:pPr>
        <w:numPr>
          <w:ilvl w:val="0"/>
          <w:numId w:val="22"/>
        </w:numPr>
        <w:tabs>
          <w:tab w:val="clear" w:pos="360"/>
          <w:tab w:val="num" w:pos="709"/>
        </w:tabs>
        <w:spacing w:before="0" w:after="240"/>
        <w:ind w:left="567" w:hanging="425"/>
        <w:jc w:val="both"/>
        <w:rPr>
          <w:rFonts w:cs="Calibri"/>
          <w:sz w:val="24"/>
          <w:szCs w:val="24"/>
        </w:rPr>
      </w:pPr>
      <w:r>
        <w:rPr>
          <w:rFonts w:cs="Calibri"/>
          <w:sz w:val="24"/>
          <w:szCs w:val="24"/>
        </w:rPr>
        <w:t>a</w:t>
      </w:r>
      <w:r w:rsidR="00265B86">
        <w:rPr>
          <w:rFonts w:cs="Calibri"/>
          <w:sz w:val="24"/>
          <w:szCs w:val="24"/>
        </w:rPr>
        <w:t>llocation and settlement of the securities.</w:t>
      </w:r>
    </w:p>
    <w:p w14:paraId="0DAC611A" w14:textId="28B5BDBE" w:rsidR="00DD712C" w:rsidRPr="00DD712C" w:rsidRDefault="006B2512" w:rsidP="004E1A9D">
      <w:pPr>
        <w:spacing w:before="0" w:after="240"/>
        <w:rPr>
          <w:rFonts w:cs="Calibri"/>
          <w:sz w:val="24"/>
          <w:szCs w:val="24"/>
          <w:u w:val="single"/>
          <w:lang w:val="en-US"/>
        </w:rPr>
      </w:pPr>
      <w:r>
        <w:rPr>
          <w:rFonts w:cs="Calibri"/>
          <w:sz w:val="24"/>
          <w:szCs w:val="24"/>
          <w:u w:val="single"/>
          <w:lang w:val="en-US"/>
        </w:rPr>
        <w:t xml:space="preserve">Floating Rate Notes, </w:t>
      </w:r>
      <w:r w:rsidR="00DD712C">
        <w:rPr>
          <w:rFonts w:cs="Calibri"/>
          <w:sz w:val="24"/>
          <w:szCs w:val="24"/>
          <w:u w:val="single"/>
          <w:lang w:val="en-US"/>
        </w:rPr>
        <w:t>Fixed Rate Medium</w:t>
      </w:r>
      <w:r w:rsidR="00265B86">
        <w:rPr>
          <w:rFonts w:cs="Calibri"/>
          <w:sz w:val="24"/>
          <w:szCs w:val="24"/>
          <w:u w:val="single"/>
          <w:lang w:val="en-US"/>
        </w:rPr>
        <w:t>-</w:t>
      </w:r>
      <w:r w:rsidR="00DD712C">
        <w:rPr>
          <w:rFonts w:cs="Calibri"/>
          <w:sz w:val="24"/>
          <w:szCs w:val="24"/>
          <w:u w:val="single"/>
          <w:lang w:val="en-US"/>
        </w:rPr>
        <w:t xml:space="preserve">Term </w:t>
      </w:r>
      <w:r w:rsidR="00DD712C" w:rsidRPr="00DD712C">
        <w:rPr>
          <w:rFonts w:cs="Calibri"/>
          <w:sz w:val="24"/>
          <w:szCs w:val="24"/>
          <w:u w:val="single"/>
          <w:lang w:val="en-US"/>
        </w:rPr>
        <w:t>Notes</w:t>
      </w:r>
      <w:r>
        <w:rPr>
          <w:rFonts w:cs="Calibri"/>
          <w:sz w:val="24"/>
          <w:szCs w:val="24"/>
          <w:u w:val="single"/>
          <w:lang w:val="en-US"/>
        </w:rPr>
        <w:t xml:space="preserve"> and Inflation-linked Notes</w:t>
      </w:r>
    </w:p>
    <w:p w14:paraId="7A86643A" w14:textId="767DA0D1" w:rsidR="00265B86" w:rsidRDefault="006B2512" w:rsidP="00EB797C">
      <w:pPr>
        <w:spacing w:before="0" w:after="240"/>
        <w:jc w:val="both"/>
        <w:rPr>
          <w:rFonts w:cs="Calibri"/>
          <w:sz w:val="24"/>
          <w:szCs w:val="24"/>
        </w:rPr>
      </w:pPr>
      <w:r>
        <w:rPr>
          <w:rFonts w:cs="Calibri"/>
          <w:sz w:val="24"/>
          <w:szCs w:val="24"/>
        </w:rPr>
        <w:t>Floating Rate Notes</w:t>
      </w:r>
      <w:r w:rsidR="00265B86">
        <w:rPr>
          <w:rFonts w:cs="Calibri"/>
          <w:sz w:val="24"/>
          <w:szCs w:val="24"/>
        </w:rPr>
        <w:t xml:space="preserve"> (FRNs)</w:t>
      </w:r>
      <w:r>
        <w:rPr>
          <w:rFonts w:cs="Calibri"/>
          <w:sz w:val="24"/>
          <w:szCs w:val="24"/>
        </w:rPr>
        <w:t xml:space="preserve">, </w:t>
      </w:r>
      <w:r w:rsidR="009213DA">
        <w:rPr>
          <w:rFonts w:cs="Calibri"/>
          <w:sz w:val="24"/>
          <w:szCs w:val="24"/>
          <w:lang w:val="en-US"/>
        </w:rPr>
        <w:t>Fixed Rate Medium</w:t>
      </w:r>
      <w:r w:rsidR="00265B86">
        <w:rPr>
          <w:rFonts w:cs="Calibri"/>
          <w:sz w:val="24"/>
          <w:szCs w:val="24"/>
          <w:lang w:val="en-US"/>
        </w:rPr>
        <w:t>-</w:t>
      </w:r>
      <w:r w:rsidR="009213DA">
        <w:rPr>
          <w:rFonts w:cs="Calibri"/>
          <w:sz w:val="24"/>
          <w:szCs w:val="24"/>
          <w:lang w:val="en-US"/>
        </w:rPr>
        <w:t>Term Notes</w:t>
      </w:r>
      <w:r w:rsidR="00265B86">
        <w:rPr>
          <w:rFonts w:cs="Calibri"/>
          <w:sz w:val="24"/>
          <w:szCs w:val="24"/>
          <w:lang w:val="en-US"/>
        </w:rPr>
        <w:t xml:space="preserve"> (MTNs)</w:t>
      </w:r>
      <w:r w:rsidR="009213DA">
        <w:rPr>
          <w:rFonts w:cs="Calibri"/>
          <w:sz w:val="24"/>
          <w:szCs w:val="24"/>
        </w:rPr>
        <w:t xml:space="preserve"> </w:t>
      </w:r>
      <w:r>
        <w:rPr>
          <w:rFonts w:cs="Calibri"/>
          <w:sz w:val="24"/>
          <w:szCs w:val="24"/>
        </w:rPr>
        <w:t xml:space="preserve">and Inflation-linked Notes </w:t>
      </w:r>
      <w:r w:rsidR="00265B86">
        <w:rPr>
          <w:rFonts w:cs="Calibri"/>
          <w:sz w:val="24"/>
          <w:szCs w:val="24"/>
        </w:rPr>
        <w:t>(ILNs) are issued through a syndication process. Under this approach, one or more Dealer</w:t>
      </w:r>
      <w:r w:rsidR="00B5769F">
        <w:rPr>
          <w:rFonts w:cs="Calibri"/>
          <w:sz w:val="24"/>
          <w:szCs w:val="24"/>
        </w:rPr>
        <w:t>s</w:t>
      </w:r>
      <w:r w:rsidR="00265B86">
        <w:rPr>
          <w:rFonts w:cs="Calibri"/>
          <w:sz w:val="24"/>
          <w:szCs w:val="24"/>
        </w:rPr>
        <w:t xml:space="preserve"> are appointed from the Programme Dealer Panel via a Syndicate Appointment Agreement.</w:t>
      </w:r>
    </w:p>
    <w:p w14:paraId="6F4C7823" w14:textId="77777777" w:rsidR="00265B86" w:rsidRDefault="00265B86" w:rsidP="00EB797C">
      <w:pPr>
        <w:spacing w:before="0" w:after="240"/>
        <w:jc w:val="both"/>
        <w:rPr>
          <w:rFonts w:cs="Calibri"/>
          <w:sz w:val="24"/>
          <w:szCs w:val="24"/>
        </w:rPr>
      </w:pPr>
      <w:r>
        <w:rPr>
          <w:rFonts w:cs="Calibri"/>
          <w:sz w:val="24"/>
          <w:szCs w:val="24"/>
        </w:rPr>
        <w:t>The syndication process:</w:t>
      </w:r>
    </w:p>
    <w:p w14:paraId="064D7F9F" w14:textId="2A00B313" w:rsidR="00265B86" w:rsidRDefault="00EA1351" w:rsidP="00EB797C">
      <w:pPr>
        <w:numPr>
          <w:ilvl w:val="0"/>
          <w:numId w:val="22"/>
        </w:numPr>
        <w:tabs>
          <w:tab w:val="clear" w:pos="360"/>
          <w:tab w:val="num" w:pos="709"/>
        </w:tabs>
        <w:spacing w:before="0" w:after="240"/>
        <w:ind w:left="567" w:hanging="425"/>
        <w:jc w:val="both"/>
        <w:rPr>
          <w:rFonts w:cs="Calibri"/>
          <w:sz w:val="24"/>
          <w:szCs w:val="24"/>
        </w:rPr>
      </w:pPr>
      <w:r>
        <w:rPr>
          <w:rFonts w:cs="Calibri"/>
          <w:sz w:val="24"/>
          <w:szCs w:val="24"/>
        </w:rPr>
        <w:t>p</w:t>
      </w:r>
      <w:r w:rsidR="00265B86">
        <w:rPr>
          <w:rFonts w:cs="Calibri"/>
          <w:sz w:val="24"/>
          <w:szCs w:val="24"/>
        </w:rPr>
        <w:t>rovides greater certainty of execution and enhanced control over pricing and issuance volume;</w:t>
      </w:r>
    </w:p>
    <w:p w14:paraId="555A511B" w14:textId="4AB57C7A" w:rsidR="00265B86" w:rsidRDefault="00EA1351" w:rsidP="00EB797C">
      <w:pPr>
        <w:numPr>
          <w:ilvl w:val="0"/>
          <w:numId w:val="22"/>
        </w:numPr>
        <w:tabs>
          <w:tab w:val="clear" w:pos="360"/>
          <w:tab w:val="num" w:pos="709"/>
        </w:tabs>
        <w:spacing w:before="0" w:after="240"/>
        <w:ind w:left="567" w:hanging="425"/>
        <w:jc w:val="both"/>
        <w:rPr>
          <w:rFonts w:cs="Calibri"/>
          <w:sz w:val="24"/>
          <w:szCs w:val="24"/>
        </w:rPr>
      </w:pPr>
      <w:r>
        <w:rPr>
          <w:rFonts w:cs="Calibri"/>
          <w:sz w:val="24"/>
          <w:szCs w:val="24"/>
        </w:rPr>
        <w:t>s</w:t>
      </w:r>
      <w:r w:rsidR="00265B86">
        <w:rPr>
          <w:rFonts w:cs="Calibri"/>
          <w:sz w:val="24"/>
          <w:szCs w:val="24"/>
        </w:rPr>
        <w:t xml:space="preserve">upports transparent price discovery for investors; and </w:t>
      </w:r>
    </w:p>
    <w:p w14:paraId="487006AB" w14:textId="40360D03" w:rsidR="00265B86" w:rsidRDefault="00EA1351" w:rsidP="00EB797C">
      <w:pPr>
        <w:numPr>
          <w:ilvl w:val="0"/>
          <w:numId w:val="22"/>
        </w:numPr>
        <w:tabs>
          <w:tab w:val="clear" w:pos="360"/>
          <w:tab w:val="num" w:pos="709"/>
        </w:tabs>
        <w:spacing w:before="0" w:after="240"/>
        <w:ind w:left="567" w:hanging="425"/>
        <w:jc w:val="both"/>
        <w:rPr>
          <w:rFonts w:cs="Calibri"/>
          <w:sz w:val="24"/>
          <w:szCs w:val="24"/>
        </w:rPr>
      </w:pPr>
      <w:r>
        <w:rPr>
          <w:rFonts w:cs="Calibri"/>
          <w:sz w:val="24"/>
          <w:szCs w:val="24"/>
        </w:rPr>
        <w:t>f</w:t>
      </w:r>
      <w:r w:rsidR="00265B86">
        <w:rPr>
          <w:rFonts w:cs="Calibri"/>
          <w:sz w:val="24"/>
          <w:szCs w:val="24"/>
        </w:rPr>
        <w:t xml:space="preserve">acilitates compliance with the public offer test requirements for exemption from interest withholding tax under section 128F of the </w:t>
      </w:r>
      <w:r w:rsidR="00265B86" w:rsidRPr="00265B86">
        <w:rPr>
          <w:rFonts w:cs="Calibri"/>
          <w:i/>
          <w:iCs/>
          <w:sz w:val="24"/>
          <w:szCs w:val="24"/>
        </w:rPr>
        <w:t>Income Tax Assessment Act 1936 (</w:t>
      </w:r>
      <w:proofErr w:type="spellStart"/>
      <w:r w:rsidR="00265B86" w:rsidRPr="00265B86">
        <w:rPr>
          <w:rFonts w:cs="Calibri"/>
          <w:i/>
          <w:iCs/>
          <w:sz w:val="24"/>
          <w:szCs w:val="24"/>
        </w:rPr>
        <w:t>Cth</w:t>
      </w:r>
      <w:proofErr w:type="spellEnd"/>
      <w:r w:rsidR="00265B86" w:rsidRPr="00265B86">
        <w:rPr>
          <w:rFonts w:cs="Calibri"/>
          <w:i/>
          <w:iCs/>
          <w:sz w:val="24"/>
          <w:szCs w:val="24"/>
        </w:rPr>
        <w:t>)</w:t>
      </w:r>
      <w:r w:rsidR="00265B86">
        <w:rPr>
          <w:rFonts w:cs="Calibri"/>
          <w:sz w:val="24"/>
          <w:szCs w:val="24"/>
        </w:rPr>
        <w:t xml:space="preserve">. </w:t>
      </w:r>
    </w:p>
    <w:p w14:paraId="2F51181A" w14:textId="26524D00" w:rsidR="009C0DAB" w:rsidRPr="00E446D2" w:rsidRDefault="00265B86" w:rsidP="00EB797C">
      <w:pPr>
        <w:tabs>
          <w:tab w:val="num" w:pos="709"/>
        </w:tabs>
        <w:spacing w:before="0" w:after="240"/>
        <w:jc w:val="both"/>
        <w:rPr>
          <w:rFonts w:cs="Calibri"/>
          <w:sz w:val="24"/>
          <w:szCs w:val="24"/>
        </w:rPr>
      </w:pPr>
      <w:r>
        <w:rPr>
          <w:rFonts w:cs="Calibri"/>
          <w:sz w:val="24"/>
          <w:szCs w:val="24"/>
        </w:rPr>
        <w:t>S</w:t>
      </w:r>
      <w:r w:rsidR="00D30036" w:rsidRPr="00E446D2">
        <w:rPr>
          <w:rFonts w:cs="Calibri"/>
          <w:sz w:val="24"/>
          <w:szCs w:val="24"/>
        </w:rPr>
        <w:t xml:space="preserve">yndicated issuance </w:t>
      </w:r>
      <w:r>
        <w:rPr>
          <w:rFonts w:cs="Calibri"/>
          <w:sz w:val="24"/>
          <w:szCs w:val="24"/>
        </w:rPr>
        <w:t xml:space="preserve">is typically used for the establishment of new benchmark bond lines (primary issuance) and the </w:t>
      </w:r>
      <w:r w:rsidR="00B5769F">
        <w:rPr>
          <w:rFonts w:cs="Calibri"/>
          <w:sz w:val="24"/>
          <w:szCs w:val="24"/>
        </w:rPr>
        <w:t>increase</w:t>
      </w:r>
      <w:r>
        <w:rPr>
          <w:rFonts w:cs="Calibri"/>
          <w:sz w:val="24"/>
          <w:szCs w:val="24"/>
        </w:rPr>
        <w:t xml:space="preserve"> of existing bond lines.</w:t>
      </w:r>
    </w:p>
    <w:p w14:paraId="7C6BB779" w14:textId="3D9E3A43" w:rsidR="00D42527" w:rsidRDefault="00265B86" w:rsidP="00EB797C">
      <w:pPr>
        <w:spacing w:before="0" w:after="240"/>
        <w:jc w:val="both"/>
        <w:rPr>
          <w:rFonts w:cs="Calibri"/>
          <w:sz w:val="24"/>
          <w:szCs w:val="24"/>
        </w:rPr>
      </w:pPr>
      <w:r>
        <w:rPr>
          <w:rFonts w:cs="Calibri"/>
          <w:sz w:val="24"/>
          <w:szCs w:val="24"/>
        </w:rPr>
        <w:t>In limited circumstances, issuance may also occur through a reverse enquiry process. This involves a Programme Dealer proposing a transaction to Treasury, typically to increase the size of an existing bond line, for consideration</w:t>
      </w:r>
      <w:r w:rsidR="00D42527" w:rsidRPr="002465BF">
        <w:rPr>
          <w:rFonts w:cs="Calibri"/>
          <w:sz w:val="24"/>
          <w:szCs w:val="24"/>
        </w:rPr>
        <w:t>.</w:t>
      </w:r>
    </w:p>
    <w:p w14:paraId="25C9AAF2" w14:textId="77777777" w:rsidR="00EB797C" w:rsidRDefault="00EB797C" w:rsidP="00EB797C">
      <w:pPr>
        <w:spacing w:before="0" w:after="240"/>
        <w:jc w:val="both"/>
        <w:rPr>
          <w:rFonts w:cs="Calibri"/>
          <w:sz w:val="24"/>
          <w:szCs w:val="24"/>
        </w:rPr>
      </w:pPr>
    </w:p>
    <w:p w14:paraId="0E3798F5" w14:textId="475DEA67" w:rsidR="00FC6C79" w:rsidRPr="003C3879" w:rsidRDefault="003C3879" w:rsidP="00383A18">
      <w:pPr>
        <w:pStyle w:val="Heading1"/>
      </w:pPr>
      <w:bookmarkStart w:id="16" w:name="_Toc89841085"/>
      <w:bookmarkStart w:id="17" w:name="_Toc238200014"/>
      <w:r w:rsidRPr="003C3879">
        <w:lastRenderedPageBreak/>
        <w:t>RISK MANAGEMENT</w:t>
      </w:r>
      <w:bookmarkEnd w:id="16"/>
      <w:bookmarkEnd w:id="17"/>
    </w:p>
    <w:p w14:paraId="69DD3539" w14:textId="33051A14" w:rsidR="00DB42D6" w:rsidRPr="00092B81" w:rsidRDefault="00265B86" w:rsidP="00EB797C">
      <w:pPr>
        <w:spacing w:before="0" w:after="240"/>
        <w:jc w:val="both"/>
        <w:rPr>
          <w:rFonts w:cs="Calibri"/>
          <w:sz w:val="24"/>
          <w:szCs w:val="24"/>
          <w:lang w:val="en-US"/>
        </w:rPr>
      </w:pPr>
      <w:bookmarkStart w:id="18" w:name="_Toc86770320"/>
      <w:bookmarkStart w:id="19" w:name="_Toc89841086"/>
      <w:r>
        <w:rPr>
          <w:rFonts w:cs="Calibri"/>
          <w:sz w:val="24"/>
          <w:szCs w:val="24"/>
          <w:lang w:val="en-US"/>
        </w:rPr>
        <w:t>The p</w:t>
      </w:r>
      <w:r w:rsidR="00DB42D6" w:rsidRPr="00092B81">
        <w:rPr>
          <w:rFonts w:cs="Calibri"/>
          <w:sz w:val="24"/>
          <w:szCs w:val="24"/>
          <w:lang w:val="en-US"/>
        </w:rPr>
        <w:t xml:space="preserve">rudent </w:t>
      </w:r>
      <w:r w:rsidR="00BF0D38" w:rsidRPr="00092B81">
        <w:rPr>
          <w:rFonts w:cs="Calibri"/>
          <w:sz w:val="24"/>
          <w:szCs w:val="24"/>
          <w:lang w:val="en-US"/>
        </w:rPr>
        <w:t xml:space="preserve">application of </w:t>
      </w:r>
      <w:r w:rsidR="00DB42D6" w:rsidRPr="00092B81">
        <w:rPr>
          <w:rFonts w:cs="Calibri"/>
          <w:sz w:val="24"/>
          <w:szCs w:val="24"/>
          <w:lang w:val="en-US"/>
        </w:rPr>
        <w:t xml:space="preserve">debt management </w:t>
      </w:r>
      <w:r w:rsidR="006B2512">
        <w:rPr>
          <w:rFonts w:cs="Calibri"/>
          <w:sz w:val="24"/>
          <w:szCs w:val="24"/>
          <w:lang w:val="en-US"/>
        </w:rPr>
        <w:t xml:space="preserve">principles and </w:t>
      </w:r>
      <w:r w:rsidR="00DB42D6" w:rsidRPr="00092B81">
        <w:rPr>
          <w:rFonts w:cs="Calibri"/>
          <w:sz w:val="24"/>
          <w:szCs w:val="24"/>
          <w:lang w:val="en-US"/>
        </w:rPr>
        <w:t xml:space="preserve">practices </w:t>
      </w:r>
      <w:r>
        <w:rPr>
          <w:rFonts w:cs="Calibri"/>
          <w:sz w:val="24"/>
          <w:szCs w:val="24"/>
          <w:lang w:val="en-US"/>
        </w:rPr>
        <w:t>reduces the Territory’s exposure to macroeconomic, market and financial risks.</w:t>
      </w:r>
    </w:p>
    <w:p w14:paraId="664FC923" w14:textId="71C06BAC" w:rsidR="00DB42D6" w:rsidRPr="00092B81" w:rsidRDefault="00265B86" w:rsidP="00EB797C">
      <w:pPr>
        <w:spacing w:before="0" w:after="240"/>
        <w:jc w:val="both"/>
        <w:rPr>
          <w:rFonts w:cs="Calibri"/>
          <w:sz w:val="24"/>
          <w:szCs w:val="24"/>
          <w:lang w:val="en-US"/>
        </w:rPr>
      </w:pPr>
      <w:r>
        <w:rPr>
          <w:rFonts w:cs="Calibri"/>
          <w:sz w:val="24"/>
          <w:szCs w:val="24"/>
          <w:lang w:val="en-US"/>
        </w:rPr>
        <w:t xml:space="preserve">A highly prescriptive approach to debt issuance and management may limit flexibility and increase the risk of unintended outcomes, particularly in the context of changing market conditions or evolving </w:t>
      </w:r>
      <w:r w:rsidR="002959F2">
        <w:rPr>
          <w:rFonts w:cs="Calibri"/>
          <w:sz w:val="24"/>
          <w:szCs w:val="24"/>
          <w:lang w:val="en-US"/>
        </w:rPr>
        <w:t>budgetary requirements. Accordingly, the Territory adopts a principles-based approach that balances risk management with operational flexibility.</w:t>
      </w:r>
    </w:p>
    <w:p w14:paraId="1DE4201B" w14:textId="1248D81D" w:rsidR="00DB42D6" w:rsidRPr="00092B81" w:rsidRDefault="00BF0D38" w:rsidP="00EB797C">
      <w:pPr>
        <w:spacing w:before="0" w:after="240"/>
        <w:jc w:val="both"/>
        <w:rPr>
          <w:rFonts w:cs="Calibri"/>
          <w:sz w:val="24"/>
          <w:szCs w:val="24"/>
          <w:lang w:val="en-US"/>
        </w:rPr>
      </w:pPr>
      <w:r w:rsidRPr="00092B81">
        <w:rPr>
          <w:rFonts w:cs="Calibri"/>
          <w:sz w:val="24"/>
          <w:szCs w:val="24"/>
          <w:lang w:val="en-US"/>
        </w:rPr>
        <w:t xml:space="preserve">Treasury </w:t>
      </w:r>
      <w:r w:rsidR="00DB42D6" w:rsidRPr="00092B81">
        <w:rPr>
          <w:rFonts w:cs="Calibri"/>
          <w:sz w:val="24"/>
          <w:szCs w:val="24"/>
          <w:lang w:val="en-US"/>
        </w:rPr>
        <w:t xml:space="preserve">does not seek to actively manage the debt portfolio to </w:t>
      </w:r>
      <w:r w:rsidR="002959F2">
        <w:rPr>
          <w:rFonts w:cs="Calibri"/>
          <w:sz w:val="24"/>
          <w:szCs w:val="24"/>
          <w:lang w:val="en-US"/>
        </w:rPr>
        <w:t>generate gains from anticipated movements in interest rates, credit spreads or other market variables.</w:t>
      </w:r>
      <w:r w:rsidR="00DB42D6" w:rsidRPr="00092B81">
        <w:rPr>
          <w:rFonts w:cs="Calibri"/>
          <w:sz w:val="24"/>
          <w:szCs w:val="24"/>
          <w:lang w:val="en-US"/>
        </w:rPr>
        <w:t xml:space="preserve"> </w:t>
      </w:r>
    </w:p>
    <w:p w14:paraId="300DA7A6" w14:textId="77095F53" w:rsidR="00DB42D6" w:rsidRPr="00092B81" w:rsidRDefault="002959F2" w:rsidP="00EB797C">
      <w:pPr>
        <w:spacing w:before="0"/>
        <w:jc w:val="both"/>
        <w:rPr>
          <w:rFonts w:cs="Calibri"/>
          <w:sz w:val="24"/>
          <w:szCs w:val="24"/>
          <w:lang w:val="en-US"/>
        </w:rPr>
      </w:pPr>
      <w:r>
        <w:rPr>
          <w:rFonts w:cs="Calibri"/>
          <w:sz w:val="24"/>
          <w:szCs w:val="24"/>
          <w:lang w:val="en-US"/>
        </w:rPr>
        <w:t xml:space="preserve">Key risk </w:t>
      </w:r>
      <w:r w:rsidR="00DB42D6" w:rsidRPr="00092B81">
        <w:rPr>
          <w:rFonts w:cs="Calibri"/>
          <w:sz w:val="24"/>
          <w:szCs w:val="24"/>
          <w:lang w:val="en-US"/>
        </w:rPr>
        <w:t>mitigation strategies include:</w:t>
      </w:r>
    </w:p>
    <w:p w14:paraId="16E56645" w14:textId="7E692CDE" w:rsidR="00DB42D6" w:rsidRPr="00092B81" w:rsidRDefault="00EA1351" w:rsidP="00EB797C">
      <w:pPr>
        <w:numPr>
          <w:ilvl w:val="0"/>
          <w:numId w:val="22"/>
        </w:numPr>
        <w:tabs>
          <w:tab w:val="clear" w:pos="360"/>
          <w:tab w:val="num" w:pos="709"/>
        </w:tabs>
        <w:spacing w:before="0"/>
        <w:ind w:left="567" w:hanging="425"/>
        <w:jc w:val="both"/>
        <w:rPr>
          <w:rFonts w:cs="Calibri"/>
          <w:sz w:val="24"/>
          <w:szCs w:val="24"/>
        </w:rPr>
      </w:pPr>
      <w:r>
        <w:rPr>
          <w:rFonts w:cs="Calibri"/>
          <w:sz w:val="24"/>
          <w:szCs w:val="24"/>
        </w:rPr>
        <w:t>l</w:t>
      </w:r>
      <w:r w:rsidR="002959F2">
        <w:rPr>
          <w:rFonts w:cs="Calibri"/>
          <w:sz w:val="24"/>
          <w:szCs w:val="24"/>
        </w:rPr>
        <w:t>imiting exposure to interest rate risk through a measured use of floating rate instruments</w:t>
      </w:r>
      <w:r w:rsidR="00DB42D6" w:rsidRPr="00092B81">
        <w:rPr>
          <w:rFonts w:cs="Calibri"/>
          <w:sz w:val="24"/>
          <w:szCs w:val="24"/>
        </w:rPr>
        <w:t>;</w:t>
      </w:r>
    </w:p>
    <w:p w14:paraId="2A40D80B" w14:textId="74FCDA27" w:rsidR="00AC6FF0" w:rsidRDefault="00EA1351" w:rsidP="00EB797C">
      <w:pPr>
        <w:numPr>
          <w:ilvl w:val="0"/>
          <w:numId w:val="22"/>
        </w:numPr>
        <w:tabs>
          <w:tab w:val="clear" w:pos="360"/>
          <w:tab w:val="num" w:pos="709"/>
        </w:tabs>
        <w:spacing w:before="0"/>
        <w:ind w:left="567" w:hanging="425"/>
        <w:jc w:val="both"/>
        <w:rPr>
          <w:rFonts w:cs="Calibri"/>
          <w:sz w:val="24"/>
          <w:szCs w:val="24"/>
        </w:rPr>
      </w:pPr>
      <w:r>
        <w:rPr>
          <w:rFonts w:cs="Calibri"/>
          <w:sz w:val="24"/>
          <w:szCs w:val="24"/>
        </w:rPr>
        <w:t>r</w:t>
      </w:r>
      <w:r w:rsidR="002959F2">
        <w:rPr>
          <w:rFonts w:cs="Calibri"/>
          <w:sz w:val="24"/>
          <w:szCs w:val="24"/>
        </w:rPr>
        <w:t xml:space="preserve">educing </w:t>
      </w:r>
      <w:r w:rsidR="00DB42D6" w:rsidRPr="00092B81">
        <w:rPr>
          <w:rFonts w:cs="Calibri"/>
          <w:sz w:val="24"/>
          <w:szCs w:val="24"/>
        </w:rPr>
        <w:t>refinancing risk</w:t>
      </w:r>
      <w:r w:rsidR="002959F2">
        <w:rPr>
          <w:rFonts w:cs="Calibri"/>
          <w:sz w:val="24"/>
          <w:szCs w:val="24"/>
        </w:rPr>
        <w:t xml:space="preserve"> by limiting reliance on short-term borrowing for capital funding</w:t>
      </w:r>
      <w:r w:rsidR="00AC6FF0">
        <w:rPr>
          <w:rFonts w:cs="Calibri"/>
          <w:sz w:val="24"/>
          <w:szCs w:val="24"/>
        </w:rPr>
        <w:t>;</w:t>
      </w:r>
    </w:p>
    <w:p w14:paraId="79912C2C" w14:textId="67607428" w:rsidR="00DB42D6" w:rsidRPr="00092B81" w:rsidRDefault="00EA1351" w:rsidP="00EB797C">
      <w:pPr>
        <w:numPr>
          <w:ilvl w:val="0"/>
          <w:numId w:val="22"/>
        </w:numPr>
        <w:tabs>
          <w:tab w:val="clear" w:pos="360"/>
          <w:tab w:val="num" w:pos="709"/>
        </w:tabs>
        <w:spacing w:before="0"/>
        <w:ind w:left="567" w:hanging="425"/>
        <w:jc w:val="both"/>
        <w:rPr>
          <w:rFonts w:cs="Calibri"/>
          <w:sz w:val="24"/>
          <w:szCs w:val="24"/>
        </w:rPr>
      </w:pPr>
      <w:r>
        <w:rPr>
          <w:rFonts w:cs="Calibri"/>
          <w:sz w:val="24"/>
          <w:szCs w:val="24"/>
        </w:rPr>
        <w:t>m</w:t>
      </w:r>
      <w:r w:rsidR="002959F2">
        <w:rPr>
          <w:rFonts w:cs="Calibri"/>
          <w:sz w:val="24"/>
          <w:szCs w:val="24"/>
        </w:rPr>
        <w:t>aintaining a diversified debt portfolio in terms of maturities (tenor) and issuance volumes</w:t>
      </w:r>
      <w:r w:rsidR="00DB42D6" w:rsidRPr="00092B81">
        <w:rPr>
          <w:rFonts w:cs="Calibri"/>
          <w:sz w:val="24"/>
          <w:szCs w:val="24"/>
        </w:rPr>
        <w:t>;</w:t>
      </w:r>
    </w:p>
    <w:p w14:paraId="42CE5792" w14:textId="532F416A" w:rsidR="00AC6FF0" w:rsidRDefault="00DB42D6" w:rsidP="00EB797C">
      <w:pPr>
        <w:numPr>
          <w:ilvl w:val="0"/>
          <w:numId w:val="22"/>
        </w:numPr>
        <w:tabs>
          <w:tab w:val="clear" w:pos="360"/>
          <w:tab w:val="num" w:pos="709"/>
        </w:tabs>
        <w:spacing w:before="0"/>
        <w:ind w:left="567" w:hanging="425"/>
        <w:jc w:val="both"/>
        <w:rPr>
          <w:rFonts w:cs="Calibri"/>
          <w:sz w:val="24"/>
          <w:szCs w:val="24"/>
        </w:rPr>
      </w:pPr>
      <w:r w:rsidRPr="00092B81">
        <w:rPr>
          <w:rFonts w:cs="Calibri"/>
          <w:sz w:val="24"/>
          <w:szCs w:val="24"/>
        </w:rPr>
        <w:t xml:space="preserve">minimising foreign exchange rate risk </w:t>
      </w:r>
      <w:r w:rsidR="002959F2">
        <w:rPr>
          <w:rFonts w:cs="Calibri"/>
          <w:sz w:val="24"/>
          <w:szCs w:val="24"/>
        </w:rPr>
        <w:t xml:space="preserve">by </w:t>
      </w:r>
      <w:r w:rsidRPr="00092B81">
        <w:rPr>
          <w:rFonts w:cs="Calibri"/>
          <w:sz w:val="24"/>
          <w:szCs w:val="24"/>
        </w:rPr>
        <w:t>issu</w:t>
      </w:r>
      <w:r w:rsidR="002959F2">
        <w:rPr>
          <w:rFonts w:cs="Calibri"/>
          <w:sz w:val="24"/>
          <w:szCs w:val="24"/>
        </w:rPr>
        <w:t>ing</w:t>
      </w:r>
      <w:r w:rsidRPr="00092B81">
        <w:rPr>
          <w:rFonts w:cs="Calibri"/>
          <w:sz w:val="24"/>
          <w:szCs w:val="24"/>
        </w:rPr>
        <w:t xml:space="preserve"> debt securities </w:t>
      </w:r>
      <w:r w:rsidR="002959F2">
        <w:rPr>
          <w:rFonts w:cs="Calibri"/>
          <w:sz w:val="24"/>
          <w:szCs w:val="24"/>
        </w:rPr>
        <w:t xml:space="preserve">exclusively within </w:t>
      </w:r>
      <w:r w:rsidR="00BF0D38" w:rsidRPr="00092B81">
        <w:rPr>
          <w:rFonts w:cs="Calibri"/>
          <w:sz w:val="24"/>
          <w:szCs w:val="24"/>
        </w:rPr>
        <w:t>Australian</w:t>
      </w:r>
      <w:r w:rsidRPr="00092B81">
        <w:rPr>
          <w:rFonts w:cs="Calibri"/>
          <w:sz w:val="24"/>
          <w:szCs w:val="24"/>
        </w:rPr>
        <w:t xml:space="preserve"> capital markets;</w:t>
      </w:r>
    </w:p>
    <w:p w14:paraId="29A8E067" w14:textId="3F0B9270" w:rsidR="00AC6FF0" w:rsidRDefault="00AC6FF0" w:rsidP="00EB797C">
      <w:pPr>
        <w:numPr>
          <w:ilvl w:val="0"/>
          <w:numId w:val="22"/>
        </w:numPr>
        <w:tabs>
          <w:tab w:val="clear" w:pos="360"/>
          <w:tab w:val="num" w:pos="709"/>
        </w:tabs>
        <w:spacing w:before="0"/>
        <w:ind w:left="567" w:hanging="425"/>
        <w:jc w:val="both"/>
        <w:rPr>
          <w:rFonts w:cs="Calibri"/>
          <w:sz w:val="24"/>
          <w:szCs w:val="24"/>
        </w:rPr>
      </w:pPr>
      <w:r>
        <w:rPr>
          <w:rFonts w:cs="Calibri"/>
          <w:sz w:val="24"/>
          <w:szCs w:val="24"/>
        </w:rPr>
        <w:t xml:space="preserve">monitoring and forecasting cash flows </w:t>
      </w:r>
      <w:r w:rsidR="002959F2">
        <w:rPr>
          <w:rFonts w:cs="Calibri"/>
          <w:sz w:val="24"/>
          <w:szCs w:val="24"/>
        </w:rPr>
        <w:t>to ensure sufficient liquidity to meet short-term obligations</w:t>
      </w:r>
      <w:r>
        <w:rPr>
          <w:rFonts w:cs="Calibri"/>
          <w:sz w:val="24"/>
          <w:szCs w:val="24"/>
        </w:rPr>
        <w:t>;</w:t>
      </w:r>
    </w:p>
    <w:p w14:paraId="70D9DE3C" w14:textId="65C7957E" w:rsidR="00BF691A" w:rsidRPr="00AC6FF0" w:rsidRDefault="002959F2" w:rsidP="00EB797C">
      <w:pPr>
        <w:numPr>
          <w:ilvl w:val="0"/>
          <w:numId w:val="22"/>
        </w:numPr>
        <w:tabs>
          <w:tab w:val="clear" w:pos="360"/>
          <w:tab w:val="num" w:pos="709"/>
        </w:tabs>
        <w:spacing w:before="0"/>
        <w:ind w:left="567" w:hanging="425"/>
        <w:jc w:val="both"/>
        <w:rPr>
          <w:rFonts w:cs="Calibri"/>
          <w:sz w:val="24"/>
          <w:szCs w:val="24"/>
        </w:rPr>
      </w:pPr>
      <w:r>
        <w:rPr>
          <w:rFonts w:cs="Calibri"/>
          <w:sz w:val="24"/>
          <w:szCs w:val="24"/>
        </w:rPr>
        <w:t>managing liquidity prudently by balancing liquidity requirements against borrowing costs</w:t>
      </w:r>
      <w:r w:rsidR="00FC4840" w:rsidRPr="00092B81">
        <w:rPr>
          <w:rFonts w:cs="Calibri"/>
          <w:sz w:val="24"/>
          <w:szCs w:val="24"/>
        </w:rPr>
        <w:t>;</w:t>
      </w:r>
    </w:p>
    <w:p w14:paraId="3EA7DA78" w14:textId="77DDD589" w:rsidR="00FC4840" w:rsidRPr="00092B81" w:rsidRDefault="002959F2" w:rsidP="00EB797C">
      <w:pPr>
        <w:numPr>
          <w:ilvl w:val="0"/>
          <w:numId w:val="22"/>
        </w:numPr>
        <w:tabs>
          <w:tab w:val="clear" w:pos="360"/>
          <w:tab w:val="num" w:pos="709"/>
        </w:tabs>
        <w:spacing w:before="0"/>
        <w:ind w:left="567" w:hanging="425"/>
        <w:jc w:val="both"/>
        <w:rPr>
          <w:rFonts w:cs="Calibri"/>
          <w:sz w:val="24"/>
          <w:szCs w:val="24"/>
        </w:rPr>
      </w:pPr>
      <w:r>
        <w:rPr>
          <w:rFonts w:cs="Calibri"/>
          <w:sz w:val="24"/>
          <w:szCs w:val="24"/>
        </w:rPr>
        <w:t>maintaining diversity in funding instruments and issuance methods</w:t>
      </w:r>
      <w:r w:rsidR="00BF691A">
        <w:rPr>
          <w:rFonts w:cs="Calibri"/>
          <w:sz w:val="24"/>
          <w:szCs w:val="24"/>
        </w:rPr>
        <w:t>;</w:t>
      </w:r>
      <w:r w:rsidR="00FC4840" w:rsidRPr="00092B81">
        <w:rPr>
          <w:rFonts w:cs="Calibri"/>
          <w:sz w:val="24"/>
          <w:szCs w:val="24"/>
        </w:rPr>
        <w:t xml:space="preserve"> </w:t>
      </w:r>
    </w:p>
    <w:p w14:paraId="47715AE4" w14:textId="5141165E" w:rsidR="00AC6FF0" w:rsidRDefault="002959F2" w:rsidP="00EB797C">
      <w:pPr>
        <w:numPr>
          <w:ilvl w:val="0"/>
          <w:numId w:val="22"/>
        </w:numPr>
        <w:tabs>
          <w:tab w:val="clear" w:pos="360"/>
          <w:tab w:val="num" w:pos="709"/>
        </w:tabs>
        <w:spacing w:before="0"/>
        <w:ind w:left="567" w:hanging="425"/>
        <w:jc w:val="both"/>
        <w:rPr>
          <w:rFonts w:cs="Calibri"/>
          <w:sz w:val="24"/>
          <w:szCs w:val="24"/>
        </w:rPr>
      </w:pPr>
      <w:r>
        <w:rPr>
          <w:rFonts w:cs="Calibri"/>
          <w:sz w:val="24"/>
          <w:szCs w:val="24"/>
        </w:rPr>
        <w:t xml:space="preserve">utilising an </w:t>
      </w:r>
      <w:r w:rsidR="00FC4840" w:rsidRPr="00092B81">
        <w:rPr>
          <w:rFonts w:cs="Calibri"/>
          <w:sz w:val="24"/>
          <w:szCs w:val="24"/>
        </w:rPr>
        <w:t>issuing and paying agent</w:t>
      </w:r>
      <w:r w:rsidR="00FC4840">
        <w:rPr>
          <w:rFonts w:cs="Calibri"/>
          <w:sz w:val="24"/>
          <w:szCs w:val="24"/>
        </w:rPr>
        <w:t xml:space="preserve"> to </w:t>
      </w:r>
      <w:r>
        <w:rPr>
          <w:rFonts w:cs="Calibri"/>
          <w:sz w:val="24"/>
          <w:szCs w:val="24"/>
        </w:rPr>
        <w:t>reduce</w:t>
      </w:r>
      <w:r w:rsidR="00FC4840">
        <w:rPr>
          <w:rFonts w:cs="Calibri"/>
          <w:sz w:val="24"/>
          <w:szCs w:val="24"/>
        </w:rPr>
        <w:t xml:space="preserve"> operational and settlement risks</w:t>
      </w:r>
      <w:r w:rsidR="00B50A0E">
        <w:rPr>
          <w:rFonts w:cs="Calibri"/>
          <w:sz w:val="24"/>
          <w:szCs w:val="24"/>
        </w:rPr>
        <w:t xml:space="preserve"> </w:t>
      </w:r>
      <w:r>
        <w:rPr>
          <w:rFonts w:cs="Calibri"/>
          <w:sz w:val="24"/>
          <w:szCs w:val="24"/>
        </w:rPr>
        <w:t>and ensure timely and accurate settlement</w:t>
      </w:r>
      <w:r w:rsidR="00BF691A">
        <w:rPr>
          <w:rFonts w:cs="Calibri"/>
          <w:sz w:val="24"/>
          <w:szCs w:val="24"/>
        </w:rPr>
        <w:t>;</w:t>
      </w:r>
    </w:p>
    <w:p w14:paraId="16C1AA73" w14:textId="2B532C99" w:rsidR="002959F2" w:rsidRDefault="002959F2" w:rsidP="00EB797C">
      <w:pPr>
        <w:numPr>
          <w:ilvl w:val="0"/>
          <w:numId w:val="22"/>
        </w:numPr>
        <w:tabs>
          <w:tab w:val="clear" w:pos="360"/>
          <w:tab w:val="num" w:pos="709"/>
        </w:tabs>
        <w:spacing w:before="0"/>
        <w:ind w:left="567" w:hanging="425"/>
        <w:jc w:val="both"/>
        <w:rPr>
          <w:rFonts w:cs="Calibri"/>
          <w:sz w:val="24"/>
          <w:szCs w:val="24"/>
        </w:rPr>
      </w:pPr>
      <w:r>
        <w:rPr>
          <w:rFonts w:cs="Calibri"/>
          <w:sz w:val="24"/>
          <w:szCs w:val="24"/>
        </w:rPr>
        <w:t>maintaining ongoing engagement with Dealer</w:t>
      </w:r>
      <w:r w:rsidR="00B5769F">
        <w:rPr>
          <w:rFonts w:cs="Calibri"/>
          <w:sz w:val="24"/>
          <w:szCs w:val="24"/>
        </w:rPr>
        <w:t>s</w:t>
      </w:r>
      <w:r>
        <w:rPr>
          <w:rFonts w:cs="Calibri"/>
          <w:sz w:val="24"/>
          <w:szCs w:val="24"/>
        </w:rPr>
        <w:t xml:space="preserve"> and investors;</w:t>
      </w:r>
    </w:p>
    <w:p w14:paraId="1C3E5E18" w14:textId="15B7AC7C" w:rsidR="00BF691A" w:rsidRDefault="002959F2" w:rsidP="00EB797C">
      <w:pPr>
        <w:numPr>
          <w:ilvl w:val="0"/>
          <w:numId w:val="22"/>
        </w:numPr>
        <w:tabs>
          <w:tab w:val="clear" w:pos="360"/>
          <w:tab w:val="num" w:pos="709"/>
        </w:tabs>
        <w:spacing w:before="0"/>
        <w:ind w:left="567" w:hanging="425"/>
        <w:jc w:val="both"/>
        <w:rPr>
          <w:rFonts w:cs="Calibri"/>
          <w:sz w:val="24"/>
          <w:szCs w:val="24"/>
        </w:rPr>
      </w:pPr>
      <w:r>
        <w:rPr>
          <w:rFonts w:cs="Calibri"/>
          <w:sz w:val="24"/>
          <w:szCs w:val="24"/>
        </w:rPr>
        <w:t>relying on timely, accurate and relevant market and financial information</w:t>
      </w:r>
      <w:r w:rsidR="00AC6FF0">
        <w:rPr>
          <w:rFonts w:cs="Calibri"/>
          <w:sz w:val="24"/>
          <w:szCs w:val="24"/>
        </w:rPr>
        <w:t>;</w:t>
      </w:r>
      <w:r>
        <w:rPr>
          <w:rFonts w:cs="Calibri"/>
          <w:sz w:val="24"/>
          <w:szCs w:val="24"/>
        </w:rPr>
        <w:t xml:space="preserve"> and</w:t>
      </w:r>
      <w:r w:rsidR="00BF691A">
        <w:rPr>
          <w:rFonts w:cs="Calibri"/>
          <w:sz w:val="24"/>
          <w:szCs w:val="24"/>
        </w:rPr>
        <w:t xml:space="preserve"> </w:t>
      </w:r>
    </w:p>
    <w:p w14:paraId="030FBD51" w14:textId="5C983A34" w:rsidR="00BF691A" w:rsidRDefault="002959F2" w:rsidP="00EB797C">
      <w:pPr>
        <w:numPr>
          <w:ilvl w:val="0"/>
          <w:numId w:val="22"/>
        </w:numPr>
        <w:tabs>
          <w:tab w:val="clear" w:pos="360"/>
          <w:tab w:val="num" w:pos="709"/>
        </w:tabs>
        <w:spacing w:before="0"/>
        <w:ind w:left="567" w:hanging="425"/>
        <w:jc w:val="both"/>
        <w:rPr>
          <w:rFonts w:cs="Calibri"/>
          <w:sz w:val="24"/>
          <w:szCs w:val="24"/>
        </w:rPr>
      </w:pPr>
      <w:r>
        <w:rPr>
          <w:rFonts w:cs="Calibri"/>
          <w:sz w:val="24"/>
          <w:szCs w:val="24"/>
        </w:rPr>
        <w:t>supporting a robust governance framework with clear accountabilities, transparent decision-making and appropriate financial delegations.</w:t>
      </w:r>
    </w:p>
    <w:p w14:paraId="4BD11A8F" w14:textId="407534EA" w:rsidR="00FC6C79" w:rsidRPr="00AD58A2" w:rsidRDefault="00FC6C79" w:rsidP="00383A18">
      <w:pPr>
        <w:pStyle w:val="Heading1"/>
      </w:pPr>
      <w:bookmarkStart w:id="20" w:name="_Toc89841091"/>
      <w:bookmarkStart w:id="21" w:name="_Toc238200015"/>
      <w:bookmarkEnd w:id="18"/>
      <w:bookmarkEnd w:id="19"/>
      <w:r w:rsidRPr="00AD58A2">
        <w:lastRenderedPageBreak/>
        <w:t xml:space="preserve">MONITORING AND REPORTING OF </w:t>
      </w:r>
      <w:bookmarkEnd w:id="20"/>
      <w:r w:rsidR="00940BF4">
        <w:t>BORROWINGS</w:t>
      </w:r>
      <w:bookmarkEnd w:id="21"/>
    </w:p>
    <w:p w14:paraId="2FF4BB70" w14:textId="1CC16AE4" w:rsidR="00FC6C79" w:rsidRPr="00611269" w:rsidRDefault="002959F2" w:rsidP="00EB797C">
      <w:pPr>
        <w:spacing w:before="0" w:after="240"/>
        <w:jc w:val="both"/>
        <w:rPr>
          <w:rFonts w:cs="Calibri"/>
          <w:sz w:val="24"/>
          <w:szCs w:val="24"/>
          <w:lang w:val="en-US"/>
        </w:rPr>
      </w:pPr>
      <w:r>
        <w:rPr>
          <w:rFonts w:cs="Calibri"/>
          <w:sz w:val="24"/>
          <w:szCs w:val="24"/>
          <w:lang w:val="en-US"/>
        </w:rPr>
        <w:t>Borrowing activities and performance are subject to ongoing oversight, monitoring and reporting to ensure alignment with policy objectives and compliance requirements. This includes:</w:t>
      </w:r>
      <w:r w:rsidR="00FC6C79" w:rsidRPr="00611269">
        <w:rPr>
          <w:rFonts w:cs="Calibri"/>
          <w:sz w:val="24"/>
          <w:szCs w:val="24"/>
          <w:lang w:val="en-US"/>
        </w:rPr>
        <w:t xml:space="preserve"> </w:t>
      </w:r>
    </w:p>
    <w:p w14:paraId="5AC78935" w14:textId="641061EE" w:rsidR="00FC6C79" w:rsidRPr="00611269" w:rsidRDefault="00FC6C79" w:rsidP="00EB797C">
      <w:pPr>
        <w:numPr>
          <w:ilvl w:val="0"/>
          <w:numId w:val="22"/>
        </w:numPr>
        <w:tabs>
          <w:tab w:val="clear" w:pos="360"/>
          <w:tab w:val="num" w:pos="709"/>
        </w:tabs>
        <w:spacing w:before="0" w:after="240"/>
        <w:ind w:left="567" w:hanging="425"/>
        <w:jc w:val="both"/>
        <w:rPr>
          <w:rFonts w:cs="Calibri"/>
          <w:sz w:val="24"/>
          <w:szCs w:val="24"/>
        </w:rPr>
      </w:pPr>
      <w:r w:rsidRPr="00611269">
        <w:rPr>
          <w:rFonts w:cs="Calibri"/>
          <w:sz w:val="24"/>
          <w:szCs w:val="24"/>
        </w:rPr>
        <w:t>assess</w:t>
      </w:r>
      <w:r w:rsidR="002959F2">
        <w:rPr>
          <w:rFonts w:cs="Calibri"/>
          <w:sz w:val="24"/>
          <w:szCs w:val="24"/>
        </w:rPr>
        <w:t>ing outcomes against the stated debt management objectives</w:t>
      </w:r>
      <w:r w:rsidR="00AC6FF0">
        <w:rPr>
          <w:rFonts w:cs="Calibri"/>
          <w:sz w:val="24"/>
          <w:szCs w:val="24"/>
        </w:rPr>
        <w:t>;</w:t>
      </w:r>
    </w:p>
    <w:p w14:paraId="33E7A812" w14:textId="56140940" w:rsidR="00FC6C79" w:rsidRPr="00611269" w:rsidRDefault="002959F2" w:rsidP="00EB797C">
      <w:pPr>
        <w:numPr>
          <w:ilvl w:val="0"/>
          <w:numId w:val="22"/>
        </w:numPr>
        <w:tabs>
          <w:tab w:val="clear" w:pos="360"/>
          <w:tab w:val="num" w:pos="709"/>
        </w:tabs>
        <w:spacing w:before="0" w:after="240"/>
        <w:ind w:left="567" w:hanging="425"/>
        <w:jc w:val="both"/>
        <w:rPr>
          <w:rFonts w:cs="Calibri"/>
          <w:sz w:val="24"/>
          <w:szCs w:val="24"/>
        </w:rPr>
      </w:pPr>
      <w:r>
        <w:rPr>
          <w:rFonts w:cs="Calibri"/>
          <w:sz w:val="24"/>
          <w:szCs w:val="24"/>
        </w:rPr>
        <w:t xml:space="preserve">evaluating the </w:t>
      </w:r>
      <w:r w:rsidR="00FC6C79" w:rsidRPr="00611269">
        <w:rPr>
          <w:rFonts w:cs="Calibri"/>
          <w:sz w:val="24"/>
          <w:szCs w:val="24"/>
        </w:rPr>
        <w:t xml:space="preserve">performance of </w:t>
      </w:r>
      <w:r w:rsidR="00611269" w:rsidRPr="00611269">
        <w:rPr>
          <w:rFonts w:cs="Calibri"/>
          <w:sz w:val="24"/>
          <w:szCs w:val="24"/>
        </w:rPr>
        <w:t>Programme Dealer</w:t>
      </w:r>
      <w:r w:rsidR="00B5769F">
        <w:rPr>
          <w:rFonts w:cs="Calibri"/>
          <w:sz w:val="24"/>
          <w:szCs w:val="24"/>
        </w:rPr>
        <w:t>s</w:t>
      </w:r>
      <w:r w:rsidR="00FC6C79" w:rsidRPr="00611269">
        <w:rPr>
          <w:rFonts w:cs="Calibri"/>
          <w:sz w:val="24"/>
          <w:szCs w:val="24"/>
        </w:rPr>
        <w:t xml:space="preserve"> relative to established standards and benchmarks</w:t>
      </w:r>
      <w:r w:rsidR="00AC6FF0">
        <w:rPr>
          <w:rFonts w:cs="Calibri"/>
          <w:sz w:val="24"/>
          <w:szCs w:val="24"/>
        </w:rPr>
        <w:t>;</w:t>
      </w:r>
    </w:p>
    <w:p w14:paraId="59279101" w14:textId="433D8FE4" w:rsidR="00FC6C79" w:rsidRPr="00611269" w:rsidRDefault="002959F2" w:rsidP="00EB797C">
      <w:pPr>
        <w:numPr>
          <w:ilvl w:val="0"/>
          <w:numId w:val="22"/>
        </w:numPr>
        <w:tabs>
          <w:tab w:val="clear" w:pos="360"/>
          <w:tab w:val="num" w:pos="709"/>
        </w:tabs>
        <w:spacing w:before="0" w:after="240"/>
        <w:ind w:left="567" w:hanging="425"/>
        <w:jc w:val="both"/>
        <w:rPr>
          <w:rFonts w:cs="Calibri"/>
          <w:sz w:val="24"/>
          <w:szCs w:val="24"/>
        </w:rPr>
      </w:pPr>
      <w:r>
        <w:rPr>
          <w:rFonts w:cs="Calibri"/>
          <w:sz w:val="24"/>
          <w:szCs w:val="24"/>
        </w:rPr>
        <w:t>ensuring compliance with relevant legislative provisions, borrowing approvals and applicable terms and conditions</w:t>
      </w:r>
      <w:r w:rsidR="00AC6FF0">
        <w:rPr>
          <w:rFonts w:cs="Calibri"/>
          <w:sz w:val="24"/>
          <w:szCs w:val="24"/>
        </w:rPr>
        <w:t>; and</w:t>
      </w:r>
    </w:p>
    <w:p w14:paraId="5DF2C4BA" w14:textId="6F71B8BB" w:rsidR="00FC6C79" w:rsidRPr="00611269" w:rsidRDefault="002959F2" w:rsidP="00EB797C">
      <w:pPr>
        <w:numPr>
          <w:ilvl w:val="0"/>
          <w:numId w:val="22"/>
        </w:numPr>
        <w:tabs>
          <w:tab w:val="clear" w:pos="360"/>
          <w:tab w:val="num" w:pos="709"/>
        </w:tabs>
        <w:spacing w:before="0" w:after="240"/>
        <w:ind w:left="567" w:hanging="425"/>
        <w:jc w:val="both"/>
        <w:rPr>
          <w:rFonts w:cs="Calibri"/>
          <w:sz w:val="24"/>
          <w:szCs w:val="24"/>
        </w:rPr>
      </w:pPr>
      <w:r>
        <w:rPr>
          <w:rFonts w:cs="Calibri"/>
          <w:sz w:val="24"/>
          <w:szCs w:val="24"/>
        </w:rPr>
        <w:t>preparing regular financial reports</w:t>
      </w:r>
      <w:r w:rsidR="00FC6C79" w:rsidRPr="00611269">
        <w:rPr>
          <w:rFonts w:cs="Calibri"/>
          <w:sz w:val="24"/>
          <w:szCs w:val="24"/>
        </w:rPr>
        <w:t>.</w:t>
      </w:r>
    </w:p>
    <w:p w14:paraId="3BCB7291" w14:textId="6317FA66" w:rsidR="00AC6FF0" w:rsidRDefault="002959F2" w:rsidP="00EB797C">
      <w:pPr>
        <w:spacing w:before="0" w:after="240"/>
        <w:jc w:val="both"/>
        <w:rPr>
          <w:rFonts w:cs="Calibri"/>
          <w:sz w:val="24"/>
          <w:szCs w:val="24"/>
          <w:lang w:val="en-US"/>
        </w:rPr>
      </w:pPr>
      <w:r>
        <w:rPr>
          <w:rFonts w:cs="Calibri"/>
          <w:sz w:val="24"/>
          <w:szCs w:val="24"/>
          <w:lang w:val="en-US"/>
        </w:rPr>
        <w:t>Treasury provides transparency through the public disclosure of borrowing-related information on the</w:t>
      </w:r>
      <w:r w:rsidR="00B5769F">
        <w:rPr>
          <w:rFonts w:cs="Calibri"/>
          <w:sz w:val="24"/>
          <w:szCs w:val="24"/>
          <w:lang w:val="en-US"/>
        </w:rPr>
        <w:t xml:space="preserve"> Treasury website (Treasury Publications)</w:t>
      </w:r>
      <w:r>
        <w:rPr>
          <w:rFonts w:cs="Calibri"/>
          <w:sz w:val="24"/>
          <w:szCs w:val="24"/>
          <w:lang w:val="en-US"/>
        </w:rPr>
        <w:t>.</w:t>
      </w:r>
      <w:r w:rsidR="00FC6C79" w:rsidRPr="00611269">
        <w:rPr>
          <w:rFonts w:cs="Calibri"/>
          <w:sz w:val="24"/>
          <w:szCs w:val="24"/>
          <w:lang w:val="en-US"/>
        </w:rPr>
        <w:t xml:space="preserve"> </w:t>
      </w:r>
    </w:p>
    <w:p w14:paraId="45720CF4" w14:textId="498CD3B9" w:rsidR="00FC6C79" w:rsidRPr="00611269" w:rsidRDefault="002959F2" w:rsidP="00EB797C">
      <w:pPr>
        <w:spacing w:before="0" w:after="240"/>
        <w:jc w:val="both"/>
        <w:rPr>
          <w:rFonts w:cs="Calibri"/>
          <w:sz w:val="24"/>
          <w:szCs w:val="24"/>
          <w:lang w:val="en-US"/>
        </w:rPr>
      </w:pPr>
      <w:r>
        <w:rPr>
          <w:rFonts w:cs="Calibri"/>
          <w:sz w:val="24"/>
          <w:szCs w:val="24"/>
          <w:lang w:val="en-US"/>
        </w:rPr>
        <w:t>Published information includes:</w:t>
      </w:r>
    </w:p>
    <w:p w14:paraId="4367D05F" w14:textId="5EAE7256" w:rsidR="00FC6C79" w:rsidRPr="00611269" w:rsidRDefault="00EA1351" w:rsidP="00EB797C">
      <w:pPr>
        <w:numPr>
          <w:ilvl w:val="0"/>
          <w:numId w:val="22"/>
        </w:numPr>
        <w:tabs>
          <w:tab w:val="clear" w:pos="360"/>
          <w:tab w:val="num" w:pos="709"/>
        </w:tabs>
        <w:spacing w:before="0" w:after="240"/>
        <w:ind w:left="567" w:hanging="425"/>
        <w:jc w:val="both"/>
        <w:rPr>
          <w:rFonts w:cs="Calibri"/>
          <w:sz w:val="24"/>
          <w:szCs w:val="24"/>
        </w:rPr>
      </w:pPr>
      <w:r>
        <w:rPr>
          <w:rFonts w:cs="Calibri"/>
          <w:sz w:val="24"/>
          <w:szCs w:val="24"/>
        </w:rPr>
        <w:t xml:space="preserve">the </w:t>
      </w:r>
      <w:r w:rsidR="00611269" w:rsidRPr="00611269">
        <w:rPr>
          <w:rFonts w:cs="Calibri"/>
          <w:sz w:val="24"/>
          <w:szCs w:val="24"/>
        </w:rPr>
        <w:t>Programme Information Memorandum</w:t>
      </w:r>
      <w:r>
        <w:rPr>
          <w:rFonts w:cs="Calibri"/>
          <w:sz w:val="24"/>
          <w:szCs w:val="24"/>
        </w:rPr>
        <w:t>;</w:t>
      </w:r>
    </w:p>
    <w:p w14:paraId="00B19D4A" w14:textId="0C51B7FA" w:rsidR="00FC6C79" w:rsidRPr="00611269" w:rsidRDefault="00EA1351" w:rsidP="00EB797C">
      <w:pPr>
        <w:numPr>
          <w:ilvl w:val="0"/>
          <w:numId w:val="22"/>
        </w:numPr>
        <w:tabs>
          <w:tab w:val="clear" w:pos="360"/>
          <w:tab w:val="num" w:pos="709"/>
        </w:tabs>
        <w:spacing w:before="0" w:after="240"/>
        <w:ind w:left="567" w:hanging="425"/>
        <w:jc w:val="both"/>
        <w:rPr>
          <w:rFonts w:cs="Calibri"/>
          <w:sz w:val="24"/>
          <w:szCs w:val="24"/>
        </w:rPr>
      </w:pPr>
      <w:r>
        <w:rPr>
          <w:rFonts w:cs="Calibri"/>
          <w:sz w:val="24"/>
          <w:szCs w:val="24"/>
        </w:rPr>
        <w:t>details of outstanding issued Notes; and</w:t>
      </w:r>
    </w:p>
    <w:p w14:paraId="16999D49" w14:textId="074EE795" w:rsidR="001500C8" w:rsidRPr="00600D13" w:rsidRDefault="00EA1351" w:rsidP="00EB797C">
      <w:pPr>
        <w:numPr>
          <w:ilvl w:val="0"/>
          <w:numId w:val="22"/>
        </w:numPr>
        <w:tabs>
          <w:tab w:val="clear" w:pos="360"/>
          <w:tab w:val="num" w:pos="709"/>
        </w:tabs>
        <w:spacing w:before="0" w:after="240"/>
        <w:ind w:left="567" w:hanging="425"/>
        <w:jc w:val="both"/>
        <w:rPr>
          <w:rFonts w:cs="Calibri"/>
          <w:sz w:val="24"/>
          <w:szCs w:val="24"/>
        </w:rPr>
      </w:pPr>
      <w:bookmarkStart w:id="22" w:name="_Hlk163213086"/>
      <w:r>
        <w:rPr>
          <w:rFonts w:cs="Calibri"/>
          <w:sz w:val="24"/>
          <w:szCs w:val="24"/>
        </w:rPr>
        <w:t>p</w:t>
      </w:r>
      <w:r w:rsidR="00611269" w:rsidRPr="00611269">
        <w:rPr>
          <w:rFonts w:cs="Calibri"/>
          <w:sz w:val="24"/>
          <w:szCs w:val="24"/>
        </w:rPr>
        <w:t xml:space="preserve">eriodic </w:t>
      </w:r>
      <w:r>
        <w:rPr>
          <w:rFonts w:cs="Calibri"/>
          <w:sz w:val="24"/>
          <w:szCs w:val="24"/>
        </w:rPr>
        <w:t>f</w:t>
      </w:r>
      <w:r w:rsidR="00611269" w:rsidRPr="00611269">
        <w:rPr>
          <w:rFonts w:cs="Calibri"/>
          <w:sz w:val="24"/>
          <w:szCs w:val="24"/>
        </w:rPr>
        <w:t xml:space="preserve">unding </w:t>
      </w:r>
      <w:r>
        <w:rPr>
          <w:rFonts w:cs="Calibri"/>
          <w:sz w:val="24"/>
          <w:szCs w:val="24"/>
        </w:rPr>
        <w:t>u</w:t>
      </w:r>
      <w:r w:rsidR="00611269" w:rsidRPr="00611269">
        <w:rPr>
          <w:rFonts w:cs="Calibri"/>
          <w:sz w:val="24"/>
          <w:szCs w:val="24"/>
        </w:rPr>
        <w:t>pdate</w:t>
      </w:r>
      <w:bookmarkEnd w:id="22"/>
      <w:r w:rsidR="000B7D47">
        <w:rPr>
          <w:rFonts w:cs="Calibri"/>
          <w:sz w:val="24"/>
          <w:szCs w:val="24"/>
        </w:rPr>
        <w:t>s</w:t>
      </w:r>
      <w:bookmarkEnd w:id="15"/>
      <w:r>
        <w:rPr>
          <w:rFonts w:cs="Calibri"/>
          <w:sz w:val="24"/>
          <w:szCs w:val="24"/>
        </w:rPr>
        <w:t>.</w:t>
      </w:r>
    </w:p>
    <w:sectPr w:rsidR="001500C8" w:rsidRPr="00600D13" w:rsidSect="00076B01">
      <w:type w:val="continuous"/>
      <w:pgSz w:w="11907" w:h="16840" w:code="9"/>
      <w:pgMar w:top="1418" w:right="1418" w:bottom="1701" w:left="1418" w:header="567" w:footer="25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42F8D" w14:textId="77777777" w:rsidR="00776300" w:rsidRDefault="00776300">
      <w:pPr>
        <w:spacing w:before="0" w:after="0"/>
      </w:pPr>
      <w:r>
        <w:separator/>
      </w:r>
    </w:p>
    <w:p w14:paraId="7B51297B" w14:textId="77777777" w:rsidR="00776300" w:rsidRDefault="00776300"/>
  </w:endnote>
  <w:endnote w:type="continuationSeparator" w:id="0">
    <w:p w14:paraId="7675CB6B" w14:textId="77777777" w:rsidR="00776300" w:rsidRDefault="00776300">
      <w:pPr>
        <w:spacing w:before="0" w:after="0"/>
      </w:pPr>
      <w:r>
        <w:continuationSeparator/>
      </w:r>
    </w:p>
    <w:p w14:paraId="2009AC34" w14:textId="77777777" w:rsidR="00776300" w:rsidRDefault="007763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5635842"/>
      <w:docPartObj>
        <w:docPartGallery w:val="Page Numbers (Bottom of Page)"/>
        <w:docPartUnique/>
      </w:docPartObj>
    </w:sdtPr>
    <w:sdtContent>
      <w:p w14:paraId="6250DCA5" w14:textId="25F4B835" w:rsidR="000459F7" w:rsidRDefault="000459F7" w:rsidP="00B46B2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2014DC">
          <w:rPr>
            <w:rStyle w:val="PageNumber"/>
            <w:noProof/>
          </w:rPr>
          <w:t>2</w:t>
        </w:r>
        <w:r>
          <w:rPr>
            <w:rStyle w:val="PageNumber"/>
          </w:rPr>
          <w:fldChar w:fldCharType="end"/>
        </w:r>
      </w:p>
    </w:sdtContent>
  </w:sdt>
  <w:p w14:paraId="65AD0C32" w14:textId="77777777" w:rsidR="000459F7" w:rsidRDefault="000459F7" w:rsidP="00D6784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b/>
        <w:bCs/>
        <w:sz w:val="16"/>
        <w:szCs w:val="16"/>
      </w:rPr>
      <w:id w:val="-1138035189"/>
      <w:docPartObj>
        <w:docPartGallery w:val="Page Numbers (Bottom of Page)"/>
        <w:docPartUnique/>
      </w:docPartObj>
    </w:sdtPr>
    <w:sdtContent>
      <w:p w14:paraId="362FA08C" w14:textId="7D3A4454" w:rsidR="000459F7" w:rsidRPr="00E10D01" w:rsidRDefault="000459F7" w:rsidP="00076B01">
        <w:pPr>
          <w:pStyle w:val="Footer"/>
          <w:framePr w:h="586" w:hRule="exact" w:wrap="none" w:vAnchor="text" w:hAnchor="page" w:x="10266" w:y="-208"/>
          <w:rPr>
            <w:rStyle w:val="PageNumber"/>
            <w:b/>
            <w:bCs/>
            <w:sz w:val="16"/>
            <w:szCs w:val="16"/>
          </w:rPr>
        </w:pPr>
        <w:r w:rsidRPr="00E10D01">
          <w:rPr>
            <w:rStyle w:val="PageNumber"/>
            <w:b/>
            <w:bCs/>
            <w:sz w:val="16"/>
            <w:szCs w:val="16"/>
          </w:rPr>
          <w:fldChar w:fldCharType="begin"/>
        </w:r>
        <w:r w:rsidRPr="00E10D01">
          <w:rPr>
            <w:rStyle w:val="PageNumber"/>
            <w:b/>
            <w:bCs/>
            <w:sz w:val="16"/>
            <w:szCs w:val="16"/>
          </w:rPr>
          <w:instrText xml:space="preserve"> PAGE </w:instrText>
        </w:r>
        <w:r w:rsidRPr="00E10D01">
          <w:rPr>
            <w:rStyle w:val="PageNumber"/>
            <w:b/>
            <w:bCs/>
            <w:sz w:val="16"/>
            <w:szCs w:val="16"/>
          </w:rPr>
          <w:fldChar w:fldCharType="separate"/>
        </w:r>
        <w:r w:rsidRPr="00E10D01">
          <w:rPr>
            <w:rStyle w:val="PageNumber"/>
            <w:b/>
            <w:bCs/>
            <w:noProof/>
            <w:sz w:val="16"/>
            <w:szCs w:val="16"/>
          </w:rPr>
          <w:t>1</w:t>
        </w:r>
        <w:r w:rsidRPr="00E10D01">
          <w:rPr>
            <w:rStyle w:val="PageNumber"/>
            <w:b/>
            <w:bCs/>
            <w:sz w:val="16"/>
            <w:szCs w:val="16"/>
          </w:rPr>
          <w:fldChar w:fldCharType="end"/>
        </w:r>
      </w:p>
    </w:sdtContent>
  </w:sdt>
  <w:p w14:paraId="61C7144D" w14:textId="6F16CD42" w:rsidR="000459F7" w:rsidRPr="005561B3" w:rsidRDefault="000A1179" w:rsidP="004D749A">
    <w:pPr>
      <w:pStyle w:val="Footer"/>
      <w:rPr>
        <w:b/>
      </w:rPr>
    </w:pPr>
    <w:r w:rsidRPr="00E10D01">
      <w:rPr>
        <w:b/>
        <w:bCs/>
        <w:noProof/>
      </w:rPr>
      <w:drawing>
        <wp:anchor distT="0" distB="0" distL="114300" distR="114300" simplePos="0" relativeHeight="251657216" behindDoc="1" locked="0" layoutInCell="1" allowOverlap="1" wp14:anchorId="2F866DD3" wp14:editId="2311D128">
          <wp:simplePos x="0" y="0"/>
          <wp:positionH relativeFrom="column">
            <wp:posOffset>-453390</wp:posOffset>
          </wp:positionH>
          <wp:positionV relativeFrom="paragraph">
            <wp:posOffset>-60960</wp:posOffset>
          </wp:positionV>
          <wp:extent cx="6883200" cy="252000"/>
          <wp:effectExtent l="0" t="0" r="0" b="0"/>
          <wp:wrapNone/>
          <wp:docPr id="11" name="Picture 11" descr="Example Foote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 WHog_B thin.png" descr="Example Footer">
                    <a:extLst>
                      <a:ext uri="{C183D7F6-B498-43B3-948B-1728B52AA6E4}">
                        <adec:decorative xmlns:adec="http://schemas.microsoft.com/office/drawing/2017/decorative" val="0"/>
                      </a:ext>
                    </a:extLst>
                  </pic:cNvPr>
                  <pic:cNvPicPr/>
                </pic:nvPicPr>
                <pic:blipFill>
                  <a:blip r:embed="rId1" r:link="rId2">
                    <a:extLst>
                      <a:ext uri="{28A0092B-C50C-407E-A947-70E740481C1C}">
                        <a14:useLocalDpi xmlns:a14="http://schemas.microsoft.com/office/drawing/2010/main" val="0"/>
                      </a:ext>
                    </a:extLst>
                  </a:blip>
                  <a:stretch>
                    <a:fillRect/>
                  </a:stretch>
                </pic:blipFill>
                <pic:spPr>
                  <a:xfrm>
                    <a:off x="0" y="0"/>
                    <a:ext cx="6883200" cy="252000"/>
                  </a:xfrm>
                  <a:prstGeom prst="rect">
                    <a:avLst/>
                  </a:prstGeom>
                </pic:spPr>
              </pic:pic>
            </a:graphicData>
          </a:graphic>
          <wp14:sizeRelH relativeFrom="margin">
            <wp14:pctWidth>0</wp14:pctWidth>
          </wp14:sizeRelH>
          <wp14:sizeRelV relativeFrom="margin">
            <wp14:pctHeight>0</wp14:pctHeight>
          </wp14:sizeRelV>
        </wp:anchor>
      </w:drawing>
    </w:r>
    <w:r w:rsidR="00EB797C">
      <w:rPr>
        <w:b/>
        <w:bCs/>
        <w:noProof/>
      </w:rPr>
      <w:t>Treasury</w:t>
    </w:r>
    <w:r w:rsidR="002014DC">
      <w:rPr>
        <w:noProof/>
      </w:rPr>
      <w:tab/>
    </w:r>
    <w:r w:rsidR="004D749A">
      <w:rPr>
        <w:noProof/>
      </w:rPr>
      <w:tab/>
    </w:r>
    <w:r w:rsidR="00C40C5D">
      <w:rPr>
        <w:b/>
      </w:rPr>
      <w:t>Borrowing</w:t>
    </w:r>
    <w:r w:rsidR="00613260">
      <w:rPr>
        <w:b/>
      </w:rPr>
      <w:t xml:space="preserve"> </w:t>
    </w:r>
    <w:r w:rsidR="00B5769F">
      <w:rPr>
        <w:b/>
      </w:rPr>
      <w:t xml:space="preserve">&amp; Debt </w:t>
    </w:r>
    <w:r w:rsidR="00613260">
      <w:rPr>
        <w:b/>
      </w:rPr>
      <w:t>Management Policy Framework</w:t>
    </w:r>
    <w:r w:rsidR="00076B01">
      <w:rPr>
        <w:b/>
      </w:rPr>
      <w:t xml:space="preserve"> </w:t>
    </w:r>
    <w:r w:rsidR="00923C55">
      <w:rPr>
        <w:b/>
      </w:rPr>
      <w:t>(</w:t>
    </w:r>
    <w:r w:rsidR="00EB797C">
      <w:rPr>
        <w:b/>
      </w:rPr>
      <w:t>August</w:t>
    </w:r>
    <w:r w:rsidR="00923C55">
      <w:rPr>
        <w:b/>
      </w:rPr>
      <w:t xml:space="preserve"> </w:t>
    </w:r>
    <w:r w:rsidR="00076B01">
      <w:rPr>
        <w:b/>
      </w:rPr>
      <w:t>202</w:t>
    </w:r>
    <w:r w:rsidR="00B5769F">
      <w:rPr>
        <w:b/>
      </w:rPr>
      <w:t>6</w:t>
    </w:r>
    <w:r w:rsidR="00923C55">
      <w:rPr>
        <w: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B5D35" w14:textId="77777777" w:rsidR="00776300" w:rsidRDefault="00776300" w:rsidP="001723F7">
      <w:pPr>
        <w:spacing w:before="0" w:after="0"/>
      </w:pPr>
      <w:r>
        <w:separator/>
      </w:r>
    </w:p>
  </w:footnote>
  <w:footnote w:type="continuationSeparator" w:id="0">
    <w:p w14:paraId="40AF6EA6" w14:textId="77777777" w:rsidR="00776300" w:rsidRDefault="00776300">
      <w:pPr>
        <w:spacing w:before="0" w:after="0"/>
      </w:pPr>
      <w:r>
        <w:continuationSeparator/>
      </w:r>
    </w:p>
    <w:p w14:paraId="2534B7F0" w14:textId="77777777" w:rsidR="00776300" w:rsidRDefault="007763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46316" w14:textId="6CD8B0A9" w:rsidR="002014DC" w:rsidRDefault="002014DC" w:rsidP="00F55D6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6E9E"/>
    <w:multiLevelType w:val="multilevel"/>
    <w:tmpl w:val="402E7EF2"/>
    <w:numStyleLink w:val="AppendixNumbers"/>
  </w:abstractNum>
  <w:abstractNum w:abstractNumId="1" w15:restartNumberingAfterBreak="0">
    <w:nsid w:val="031022B6"/>
    <w:multiLevelType w:val="multilevel"/>
    <w:tmpl w:val="ACD2713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4415D92"/>
    <w:multiLevelType w:val="hybridMultilevel"/>
    <w:tmpl w:val="DBFC11F4"/>
    <w:lvl w:ilvl="0" w:tplc="37089286">
      <w:start w:val="13"/>
      <w:numFmt w:val="lowerRoman"/>
      <w:lvlText w:val="%1."/>
      <w:lvlJc w:val="left"/>
      <w:pPr>
        <w:ind w:left="1365" w:hanging="399"/>
      </w:pPr>
      <w:rPr>
        <w:rFonts w:ascii="Calibri" w:eastAsia="Calibri" w:hAnsi="Calibri" w:cs="Calibri" w:hint="default"/>
        <w:spacing w:val="-1"/>
        <w:w w:val="100"/>
        <w:sz w:val="22"/>
        <w:szCs w:val="22"/>
      </w:rPr>
    </w:lvl>
    <w:lvl w:ilvl="1" w:tplc="CD20C3F2">
      <w:numFmt w:val="bullet"/>
      <w:lvlText w:val="•"/>
      <w:lvlJc w:val="left"/>
      <w:pPr>
        <w:ind w:left="1917" w:hanging="399"/>
      </w:pPr>
      <w:rPr>
        <w:rFonts w:hint="default"/>
      </w:rPr>
    </w:lvl>
    <w:lvl w:ilvl="2" w:tplc="C2D879E6">
      <w:numFmt w:val="bullet"/>
      <w:lvlText w:val="•"/>
      <w:lvlJc w:val="left"/>
      <w:pPr>
        <w:ind w:left="2474" w:hanging="399"/>
      </w:pPr>
      <w:rPr>
        <w:rFonts w:hint="default"/>
      </w:rPr>
    </w:lvl>
    <w:lvl w:ilvl="3" w:tplc="EB467C70">
      <w:numFmt w:val="bullet"/>
      <w:lvlText w:val="•"/>
      <w:lvlJc w:val="left"/>
      <w:pPr>
        <w:ind w:left="3031" w:hanging="399"/>
      </w:pPr>
      <w:rPr>
        <w:rFonts w:hint="default"/>
      </w:rPr>
    </w:lvl>
    <w:lvl w:ilvl="4" w:tplc="72A8F7FE">
      <w:numFmt w:val="bullet"/>
      <w:lvlText w:val="•"/>
      <w:lvlJc w:val="left"/>
      <w:pPr>
        <w:ind w:left="3589" w:hanging="399"/>
      </w:pPr>
      <w:rPr>
        <w:rFonts w:hint="default"/>
      </w:rPr>
    </w:lvl>
    <w:lvl w:ilvl="5" w:tplc="77962688">
      <w:numFmt w:val="bullet"/>
      <w:lvlText w:val="•"/>
      <w:lvlJc w:val="left"/>
      <w:pPr>
        <w:ind w:left="4146" w:hanging="399"/>
      </w:pPr>
      <w:rPr>
        <w:rFonts w:hint="default"/>
      </w:rPr>
    </w:lvl>
    <w:lvl w:ilvl="6" w:tplc="B262EDA8">
      <w:numFmt w:val="bullet"/>
      <w:lvlText w:val="•"/>
      <w:lvlJc w:val="left"/>
      <w:pPr>
        <w:ind w:left="4703" w:hanging="399"/>
      </w:pPr>
      <w:rPr>
        <w:rFonts w:hint="default"/>
      </w:rPr>
    </w:lvl>
    <w:lvl w:ilvl="7" w:tplc="F55E9F04">
      <w:numFmt w:val="bullet"/>
      <w:lvlText w:val="•"/>
      <w:lvlJc w:val="left"/>
      <w:pPr>
        <w:ind w:left="5261" w:hanging="399"/>
      </w:pPr>
      <w:rPr>
        <w:rFonts w:hint="default"/>
      </w:rPr>
    </w:lvl>
    <w:lvl w:ilvl="8" w:tplc="FE3CE71E">
      <w:numFmt w:val="bullet"/>
      <w:lvlText w:val="•"/>
      <w:lvlJc w:val="left"/>
      <w:pPr>
        <w:ind w:left="5818" w:hanging="399"/>
      </w:pPr>
      <w:rPr>
        <w:rFonts w:hint="default"/>
      </w:rPr>
    </w:lvl>
  </w:abstractNum>
  <w:abstractNum w:abstractNumId="3" w15:restartNumberingAfterBreak="0">
    <w:nsid w:val="04927426"/>
    <w:multiLevelType w:val="hybridMultilevel"/>
    <w:tmpl w:val="299CBA02"/>
    <w:lvl w:ilvl="0" w:tplc="6B60CF36">
      <w:start w:val="1"/>
      <w:numFmt w:val="bullet"/>
      <w:lvlText w:val=""/>
      <w:lvlJc w:val="left"/>
      <w:pPr>
        <w:ind w:left="720" w:hanging="360"/>
      </w:pPr>
      <w:rPr>
        <w:rFonts w:ascii="Symbol" w:hAnsi="Symbol"/>
      </w:rPr>
    </w:lvl>
    <w:lvl w:ilvl="1" w:tplc="EFE6D8BA">
      <w:start w:val="1"/>
      <w:numFmt w:val="bullet"/>
      <w:lvlText w:val=""/>
      <w:lvlJc w:val="left"/>
      <w:pPr>
        <w:ind w:left="720" w:hanging="360"/>
      </w:pPr>
      <w:rPr>
        <w:rFonts w:ascii="Symbol" w:hAnsi="Symbol"/>
      </w:rPr>
    </w:lvl>
    <w:lvl w:ilvl="2" w:tplc="E360994A">
      <w:start w:val="1"/>
      <w:numFmt w:val="bullet"/>
      <w:lvlText w:val=""/>
      <w:lvlJc w:val="left"/>
      <w:pPr>
        <w:ind w:left="720" w:hanging="360"/>
      </w:pPr>
      <w:rPr>
        <w:rFonts w:ascii="Symbol" w:hAnsi="Symbol"/>
      </w:rPr>
    </w:lvl>
    <w:lvl w:ilvl="3" w:tplc="36CCA84C">
      <w:start w:val="1"/>
      <w:numFmt w:val="bullet"/>
      <w:lvlText w:val=""/>
      <w:lvlJc w:val="left"/>
      <w:pPr>
        <w:ind w:left="720" w:hanging="360"/>
      </w:pPr>
      <w:rPr>
        <w:rFonts w:ascii="Symbol" w:hAnsi="Symbol"/>
      </w:rPr>
    </w:lvl>
    <w:lvl w:ilvl="4" w:tplc="129067F6">
      <w:start w:val="1"/>
      <w:numFmt w:val="bullet"/>
      <w:lvlText w:val=""/>
      <w:lvlJc w:val="left"/>
      <w:pPr>
        <w:ind w:left="720" w:hanging="360"/>
      </w:pPr>
      <w:rPr>
        <w:rFonts w:ascii="Symbol" w:hAnsi="Symbol"/>
      </w:rPr>
    </w:lvl>
    <w:lvl w:ilvl="5" w:tplc="B1EC384C">
      <w:start w:val="1"/>
      <w:numFmt w:val="bullet"/>
      <w:lvlText w:val=""/>
      <w:lvlJc w:val="left"/>
      <w:pPr>
        <w:ind w:left="720" w:hanging="360"/>
      </w:pPr>
      <w:rPr>
        <w:rFonts w:ascii="Symbol" w:hAnsi="Symbol"/>
      </w:rPr>
    </w:lvl>
    <w:lvl w:ilvl="6" w:tplc="1752E46A">
      <w:start w:val="1"/>
      <w:numFmt w:val="bullet"/>
      <w:lvlText w:val=""/>
      <w:lvlJc w:val="left"/>
      <w:pPr>
        <w:ind w:left="720" w:hanging="360"/>
      </w:pPr>
      <w:rPr>
        <w:rFonts w:ascii="Symbol" w:hAnsi="Symbol"/>
      </w:rPr>
    </w:lvl>
    <w:lvl w:ilvl="7" w:tplc="5C64D6CE">
      <w:start w:val="1"/>
      <w:numFmt w:val="bullet"/>
      <w:lvlText w:val=""/>
      <w:lvlJc w:val="left"/>
      <w:pPr>
        <w:ind w:left="720" w:hanging="360"/>
      </w:pPr>
      <w:rPr>
        <w:rFonts w:ascii="Symbol" w:hAnsi="Symbol"/>
      </w:rPr>
    </w:lvl>
    <w:lvl w:ilvl="8" w:tplc="4A26E880">
      <w:start w:val="1"/>
      <w:numFmt w:val="bullet"/>
      <w:lvlText w:val=""/>
      <w:lvlJc w:val="left"/>
      <w:pPr>
        <w:ind w:left="720" w:hanging="360"/>
      </w:pPr>
      <w:rPr>
        <w:rFonts w:ascii="Symbol" w:hAnsi="Symbol"/>
      </w:rPr>
    </w:lvl>
  </w:abstractNum>
  <w:abstractNum w:abstractNumId="4" w15:restartNumberingAfterBreak="0">
    <w:nsid w:val="05EF55FF"/>
    <w:multiLevelType w:val="hybridMultilevel"/>
    <w:tmpl w:val="B91AC1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2C2AA1"/>
    <w:multiLevelType w:val="hybridMultilevel"/>
    <w:tmpl w:val="4AD2B8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0F6C678D"/>
    <w:multiLevelType w:val="multilevel"/>
    <w:tmpl w:val="57D26A18"/>
    <w:styleLink w:val="KCBullets"/>
    <w:lvl w:ilvl="0">
      <w:start w:val="1"/>
      <w:numFmt w:val="lowerLetter"/>
      <w:pStyle w:val="Bullet1"/>
      <w:lvlText w:val="(%1)"/>
      <w:lvlJc w:val="left"/>
      <w:pPr>
        <w:ind w:left="284" w:hanging="284"/>
      </w:pPr>
      <w:rPr>
        <w:rFonts w:asciiTheme="minorHAnsi" w:eastAsiaTheme="minorHAnsi" w:hAnsiTheme="minorHAnsi" w:cstheme="minorBidi"/>
        <w:color w:val="auto"/>
      </w:rPr>
    </w:lvl>
    <w:lvl w:ilvl="1">
      <w:start w:val="1"/>
      <w:numFmt w:val="bullet"/>
      <w:pStyle w:val="Bullet2"/>
      <w:lvlText w:val="–"/>
      <w:lvlJc w:val="left"/>
      <w:pPr>
        <w:ind w:left="568" w:hanging="284"/>
      </w:pPr>
      <w:rPr>
        <w:rFonts w:ascii="Arial" w:hAnsi="Arial" w:hint="default"/>
        <w:color w:val="44546A" w:themeColor="text2"/>
      </w:rPr>
    </w:lvl>
    <w:lvl w:ilvl="2">
      <w:start w:val="1"/>
      <w:numFmt w:val="bullet"/>
      <w:pStyle w:val="Bullet3"/>
      <w:lvlText w:val="»"/>
      <w:lvlJc w:val="left"/>
      <w:pPr>
        <w:ind w:left="852" w:hanging="284"/>
      </w:pPr>
      <w:rPr>
        <w:rFonts w:ascii="Arial" w:hAnsi="Arial" w:hint="default"/>
        <w:color w:val="44546A"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 w15:restartNumberingAfterBreak="0">
    <w:nsid w:val="0FC10F0B"/>
    <w:multiLevelType w:val="multilevel"/>
    <w:tmpl w:val="A4444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890319"/>
    <w:multiLevelType w:val="hybridMultilevel"/>
    <w:tmpl w:val="093463DE"/>
    <w:lvl w:ilvl="0" w:tplc="9E40894E">
      <w:start w:val="4"/>
      <w:numFmt w:val="lowerLetter"/>
      <w:lvlText w:val="(%1)"/>
      <w:lvlJc w:val="left"/>
      <w:pPr>
        <w:ind w:left="825" w:hanging="360"/>
      </w:pPr>
      <w:rPr>
        <w:rFonts w:ascii="Calibri" w:eastAsia="Calibri" w:hAnsi="Calibri" w:cs="Calibri" w:hint="default"/>
        <w:spacing w:val="-1"/>
        <w:w w:val="100"/>
        <w:sz w:val="22"/>
        <w:szCs w:val="22"/>
      </w:rPr>
    </w:lvl>
    <w:lvl w:ilvl="1" w:tplc="18CEDB78">
      <w:numFmt w:val="bullet"/>
      <w:lvlText w:val="•"/>
      <w:lvlJc w:val="left"/>
      <w:pPr>
        <w:ind w:left="1431" w:hanging="360"/>
      </w:pPr>
      <w:rPr>
        <w:rFonts w:hint="default"/>
      </w:rPr>
    </w:lvl>
    <w:lvl w:ilvl="2" w:tplc="09C409B2">
      <w:numFmt w:val="bullet"/>
      <w:lvlText w:val="•"/>
      <w:lvlJc w:val="left"/>
      <w:pPr>
        <w:ind w:left="2042" w:hanging="360"/>
      </w:pPr>
      <w:rPr>
        <w:rFonts w:hint="default"/>
      </w:rPr>
    </w:lvl>
    <w:lvl w:ilvl="3" w:tplc="6FBCE3E6">
      <w:numFmt w:val="bullet"/>
      <w:lvlText w:val="•"/>
      <w:lvlJc w:val="left"/>
      <w:pPr>
        <w:ind w:left="2653" w:hanging="360"/>
      </w:pPr>
      <w:rPr>
        <w:rFonts w:hint="default"/>
      </w:rPr>
    </w:lvl>
    <w:lvl w:ilvl="4" w:tplc="B07E8214">
      <w:numFmt w:val="bullet"/>
      <w:lvlText w:val="•"/>
      <w:lvlJc w:val="left"/>
      <w:pPr>
        <w:ind w:left="3265" w:hanging="360"/>
      </w:pPr>
      <w:rPr>
        <w:rFonts w:hint="default"/>
      </w:rPr>
    </w:lvl>
    <w:lvl w:ilvl="5" w:tplc="C77A4516">
      <w:numFmt w:val="bullet"/>
      <w:lvlText w:val="•"/>
      <w:lvlJc w:val="left"/>
      <w:pPr>
        <w:ind w:left="3876" w:hanging="360"/>
      </w:pPr>
      <w:rPr>
        <w:rFonts w:hint="default"/>
      </w:rPr>
    </w:lvl>
    <w:lvl w:ilvl="6" w:tplc="C750EA32">
      <w:numFmt w:val="bullet"/>
      <w:lvlText w:val="•"/>
      <w:lvlJc w:val="left"/>
      <w:pPr>
        <w:ind w:left="4487" w:hanging="360"/>
      </w:pPr>
      <w:rPr>
        <w:rFonts w:hint="default"/>
      </w:rPr>
    </w:lvl>
    <w:lvl w:ilvl="7" w:tplc="035C2EB6">
      <w:numFmt w:val="bullet"/>
      <w:lvlText w:val="•"/>
      <w:lvlJc w:val="left"/>
      <w:pPr>
        <w:ind w:left="5099" w:hanging="360"/>
      </w:pPr>
      <w:rPr>
        <w:rFonts w:hint="default"/>
      </w:rPr>
    </w:lvl>
    <w:lvl w:ilvl="8" w:tplc="847E5EC4">
      <w:numFmt w:val="bullet"/>
      <w:lvlText w:val="•"/>
      <w:lvlJc w:val="left"/>
      <w:pPr>
        <w:ind w:left="5710" w:hanging="360"/>
      </w:pPr>
      <w:rPr>
        <w:rFonts w:hint="default"/>
      </w:rPr>
    </w:lvl>
  </w:abstractNum>
  <w:abstractNum w:abstractNumId="9" w15:restartNumberingAfterBreak="0">
    <w:nsid w:val="139A3402"/>
    <w:multiLevelType w:val="hybridMultilevel"/>
    <w:tmpl w:val="CC5216EE"/>
    <w:lvl w:ilvl="0" w:tplc="E60C0316">
      <w:start w:val="1"/>
      <w:numFmt w:val="lowerLetter"/>
      <w:lvlText w:val="(%1)"/>
      <w:lvlJc w:val="left"/>
      <w:pPr>
        <w:ind w:left="825" w:hanging="360"/>
      </w:pPr>
      <w:rPr>
        <w:rFonts w:ascii="Calibri" w:eastAsia="Calibri" w:hAnsi="Calibri" w:cs="Calibri" w:hint="default"/>
        <w:spacing w:val="-1"/>
        <w:w w:val="100"/>
        <w:sz w:val="22"/>
        <w:szCs w:val="22"/>
      </w:rPr>
    </w:lvl>
    <w:lvl w:ilvl="1" w:tplc="DE924328">
      <w:start w:val="1"/>
      <w:numFmt w:val="lowerRoman"/>
      <w:lvlText w:val="%2."/>
      <w:lvlJc w:val="left"/>
      <w:pPr>
        <w:ind w:left="1365" w:hanging="399"/>
      </w:pPr>
      <w:rPr>
        <w:rFonts w:ascii="Calibri" w:eastAsia="Calibri" w:hAnsi="Calibri" w:cs="Calibri" w:hint="default"/>
        <w:spacing w:val="-1"/>
        <w:w w:val="100"/>
        <w:sz w:val="22"/>
        <w:szCs w:val="22"/>
      </w:rPr>
    </w:lvl>
    <w:lvl w:ilvl="2" w:tplc="A4501430">
      <w:numFmt w:val="bullet"/>
      <w:lvlText w:val="•"/>
      <w:lvlJc w:val="left"/>
      <w:pPr>
        <w:ind w:left="1979" w:hanging="399"/>
      </w:pPr>
      <w:rPr>
        <w:rFonts w:hint="default"/>
      </w:rPr>
    </w:lvl>
    <w:lvl w:ilvl="3" w:tplc="F54040CC">
      <w:numFmt w:val="bullet"/>
      <w:lvlText w:val="•"/>
      <w:lvlJc w:val="left"/>
      <w:pPr>
        <w:ind w:left="2598" w:hanging="399"/>
      </w:pPr>
      <w:rPr>
        <w:rFonts w:hint="default"/>
      </w:rPr>
    </w:lvl>
    <w:lvl w:ilvl="4" w:tplc="304C2E96">
      <w:numFmt w:val="bullet"/>
      <w:lvlText w:val="•"/>
      <w:lvlJc w:val="left"/>
      <w:pPr>
        <w:ind w:left="3217" w:hanging="399"/>
      </w:pPr>
      <w:rPr>
        <w:rFonts w:hint="default"/>
      </w:rPr>
    </w:lvl>
    <w:lvl w:ilvl="5" w:tplc="9C644470">
      <w:numFmt w:val="bullet"/>
      <w:lvlText w:val="•"/>
      <w:lvlJc w:val="left"/>
      <w:pPr>
        <w:ind w:left="3836" w:hanging="399"/>
      </w:pPr>
      <w:rPr>
        <w:rFonts w:hint="default"/>
      </w:rPr>
    </w:lvl>
    <w:lvl w:ilvl="6" w:tplc="F51829FE">
      <w:numFmt w:val="bullet"/>
      <w:lvlText w:val="•"/>
      <w:lvlJc w:val="left"/>
      <w:pPr>
        <w:ind w:left="4456" w:hanging="399"/>
      </w:pPr>
      <w:rPr>
        <w:rFonts w:hint="default"/>
      </w:rPr>
    </w:lvl>
    <w:lvl w:ilvl="7" w:tplc="567EBBF0">
      <w:numFmt w:val="bullet"/>
      <w:lvlText w:val="•"/>
      <w:lvlJc w:val="left"/>
      <w:pPr>
        <w:ind w:left="5075" w:hanging="399"/>
      </w:pPr>
      <w:rPr>
        <w:rFonts w:hint="default"/>
      </w:rPr>
    </w:lvl>
    <w:lvl w:ilvl="8" w:tplc="93188EFE">
      <w:numFmt w:val="bullet"/>
      <w:lvlText w:val="•"/>
      <w:lvlJc w:val="left"/>
      <w:pPr>
        <w:ind w:left="5694" w:hanging="399"/>
      </w:pPr>
      <w:rPr>
        <w:rFonts w:hint="default"/>
      </w:rPr>
    </w:lvl>
  </w:abstractNum>
  <w:abstractNum w:abstractNumId="10" w15:restartNumberingAfterBreak="0">
    <w:nsid w:val="15591B14"/>
    <w:multiLevelType w:val="hybridMultilevel"/>
    <w:tmpl w:val="0FB62C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58F434D"/>
    <w:multiLevelType w:val="hybridMultilevel"/>
    <w:tmpl w:val="280CC9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6061FEC"/>
    <w:multiLevelType w:val="hybridMultilevel"/>
    <w:tmpl w:val="243EA5FA"/>
    <w:lvl w:ilvl="0" w:tplc="45ECE16A">
      <w:start w:val="1"/>
      <w:numFmt w:val="lowerLetter"/>
      <w:lvlText w:val="(%1)"/>
      <w:lvlJc w:val="left"/>
      <w:pPr>
        <w:ind w:left="1273" w:hanging="870"/>
      </w:pPr>
      <w:rPr>
        <w:rFonts w:hint="default"/>
      </w:rPr>
    </w:lvl>
    <w:lvl w:ilvl="1" w:tplc="0C090019" w:tentative="1">
      <w:start w:val="1"/>
      <w:numFmt w:val="lowerLetter"/>
      <w:lvlText w:val="%2."/>
      <w:lvlJc w:val="left"/>
      <w:pPr>
        <w:ind w:left="1483" w:hanging="360"/>
      </w:pPr>
    </w:lvl>
    <w:lvl w:ilvl="2" w:tplc="0C09001B" w:tentative="1">
      <w:start w:val="1"/>
      <w:numFmt w:val="lowerRoman"/>
      <w:lvlText w:val="%3."/>
      <w:lvlJc w:val="right"/>
      <w:pPr>
        <w:ind w:left="2203" w:hanging="180"/>
      </w:pPr>
    </w:lvl>
    <w:lvl w:ilvl="3" w:tplc="0C09000F" w:tentative="1">
      <w:start w:val="1"/>
      <w:numFmt w:val="decimal"/>
      <w:lvlText w:val="%4."/>
      <w:lvlJc w:val="left"/>
      <w:pPr>
        <w:ind w:left="2923" w:hanging="360"/>
      </w:pPr>
    </w:lvl>
    <w:lvl w:ilvl="4" w:tplc="0C090019" w:tentative="1">
      <w:start w:val="1"/>
      <w:numFmt w:val="lowerLetter"/>
      <w:lvlText w:val="%5."/>
      <w:lvlJc w:val="left"/>
      <w:pPr>
        <w:ind w:left="3643" w:hanging="360"/>
      </w:pPr>
    </w:lvl>
    <w:lvl w:ilvl="5" w:tplc="0C09001B" w:tentative="1">
      <w:start w:val="1"/>
      <w:numFmt w:val="lowerRoman"/>
      <w:lvlText w:val="%6."/>
      <w:lvlJc w:val="right"/>
      <w:pPr>
        <w:ind w:left="4363" w:hanging="180"/>
      </w:pPr>
    </w:lvl>
    <w:lvl w:ilvl="6" w:tplc="0C09000F" w:tentative="1">
      <w:start w:val="1"/>
      <w:numFmt w:val="decimal"/>
      <w:lvlText w:val="%7."/>
      <w:lvlJc w:val="left"/>
      <w:pPr>
        <w:ind w:left="5083" w:hanging="360"/>
      </w:pPr>
    </w:lvl>
    <w:lvl w:ilvl="7" w:tplc="0C090019" w:tentative="1">
      <w:start w:val="1"/>
      <w:numFmt w:val="lowerLetter"/>
      <w:lvlText w:val="%8."/>
      <w:lvlJc w:val="left"/>
      <w:pPr>
        <w:ind w:left="5803" w:hanging="360"/>
      </w:pPr>
    </w:lvl>
    <w:lvl w:ilvl="8" w:tplc="0C09001B" w:tentative="1">
      <w:start w:val="1"/>
      <w:numFmt w:val="lowerRoman"/>
      <w:lvlText w:val="%9."/>
      <w:lvlJc w:val="right"/>
      <w:pPr>
        <w:ind w:left="6523" w:hanging="180"/>
      </w:pPr>
    </w:lvl>
  </w:abstractNum>
  <w:abstractNum w:abstractNumId="13" w15:restartNumberingAfterBreak="0">
    <w:nsid w:val="1B7E76C9"/>
    <w:multiLevelType w:val="hybridMultilevel"/>
    <w:tmpl w:val="B0401276"/>
    <w:lvl w:ilvl="0" w:tplc="0C090017">
      <w:start w:val="1"/>
      <w:numFmt w:val="lowerLetter"/>
      <w:lvlText w:val="%1)"/>
      <w:lvlJc w:val="left"/>
      <w:pPr>
        <w:ind w:left="1434" w:hanging="360"/>
      </w:p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14"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5B9BD5"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5B9BD5"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26F4174"/>
    <w:multiLevelType w:val="hybridMultilevel"/>
    <w:tmpl w:val="97DA18A2"/>
    <w:lvl w:ilvl="0" w:tplc="7278DF6C">
      <w:start w:val="1"/>
      <w:numFmt w:val="lowerLetter"/>
      <w:lvlText w:val="%1)"/>
      <w:lvlJc w:val="left"/>
      <w:pPr>
        <w:ind w:left="143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4992A72"/>
    <w:multiLevelType w:val="hybridMultilevel"/>
    <w:tmpl w:val="45EA79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76A38C9"/>
    <w:multiLevelType w:val="hybridMultilevel"/>
    <w:tmpl w:val="6D2455A2"/>
    <w:lvl w:ilvl="0" w:tplc="A90EFF1A">
      <w:start w:val="1"/>
      <w:numFmt w:val="decimal"/>
      <w:pStyle w:val="noteslis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77B5000"/>
    <w:multiLevelType w:val="hybridMultilevel"/>
    <w:tmpl w:val="B060E006"/>
    <w:lvl w:ilvl="0" w:tplc="E7F69046">
      <w:start w:val="1"/>
      <w:numFmt w:val="bullet"/>
      <w:lvlText w:val=""/>
      <w:lvlJc w:val="left"/>
      <w:pPr>
        <w:ind w:left="720" w:hanging="360"/>
      </w:pPr>
      <w:rPr>
        <w:rFonts w:ascii="Symbol" w:hAnsi="Symbol"/>
      </w:rPr>
    </w:lvl>
    <w:lvl w:ilvl="1" w:tplc="685E41D4">
      <w:start w:val="1"/>
      <w:numFmt w:val="bullet"/>
      <w:lvlText w:val=""/>
      <w:lvlJc w:val="left"/>
      <w:pPr>
        <w:ind w:left="720" w:hanging="360"/>
      </w:pPr>
      <w:rPr>
        <w:rFonts w:ascii="Symbol" w:hAnsi="Symbol"/>
      </w:rPr>
    </w:lvl>
    <w:lvl w:ilvl="2" w:tplc="F18E9268">
      <w:start w:val="1"/>
      <w:numFmt w:val="bullet"/>
      <w:lvlText w:val=""/>
      <w:lvlJc w:val="left"/>
      <w:pPr>
        <w:ind w:left="720" w:hanging="360"/>
      </w:pPr>
      <w:rPr>
        <w:rFonts w:ascii="Symbol" w:hAnsi="Symbol"/>
      </w:rPr>
    </w:lvl>
    <w:lvl w:ilvl="3" w:tplc="2B723CC8">
      <w:start w:val="1"/>
      <w:numFmt w:val="bullet"/>
      <w:lvlText w:val=""/>
      <w:lvlJc w:val="left"/>
      <w:pPr>
        <w:ind w:left="720" w:hanging="360"/>
      </w:pPr>
      <w:rPr>
        <w:rFonts w:ascii="Symbol" w:hAnsi="Symbol"/>
      </w:rPr>
    </w:lvl>
    <w:lvl w:ilvl="4" w:tplc="53DCA1F2">
      <w:start w:val="1"/>
      <w:numFmt w:val="bullet"/>
      <w:lvlText w:val=""/>
      <w:lvlJc w:val="left"/>
      <w:pPr>
        <w:ind w:left="720" w:hanging="360"/>
      </w:pPr>
      <w:rPr>
        <w:rFonts w:ascii="Symbol" w:hAnsi="Symbol"/>
      </w:rPr>
    </w:lvl>
    <w:lvl w:ilvl="5" w:tplc="4FB0635E">
      <w:start w:val="1"/>
      <w:numFmt w:val="bullet"/>
      <w:lvlText w:val=""/>
      <w:lvlJc w:val="left"/>
      <w:pPr>
        <w:ind w:left="720" w:hanging="360"/>
      </w:pPr>
      <w:rPr>
        <w:rFonts w:ascii="Symbol" w:hAnsi="Symbol"/>
      </w:rPr>
    </w:lvl>
    <w:lvl w:ilvl="6" w:tplc="8DF2FC24">
      <w:start w:val="1"/>
      <w:numFmt w:val="bullet"/>
      <w:lvlText w:val=""/>
      <w:lvlJc w:val="left"/>
      <w:pPr>
        <w:ind w:left="720" w:hanging="360"/>
      </w:pPr>
      <w:rPr>
        <w:rFonts w:ascii="Symbol" w:hAnsi="Symbol"/>
      </w:rPr>
    </w:lvl>
    <w:lvl w:ilvl="7" w:tplc="9874266E">
      <w:start w:val="1"/>
      <w:numFmt w:val="bullet"/>
      <w:lvlText w:val=""/>
      <w:lvlJc w:val="left"/>
      <w:pPr>
        <w:ind w:left="720" w:hanging="360"/>
      </w:pPr>
      <w:rPr>
        <w:rFonts w:ascii="Symbol" w:hAnsi="Symbol"/>
      </w:rPr>
    </w:lvl>
    <w:lvl w:ilvl="8" w:tplc="CA54B5C6">
      <w:start w:val="1"/>
      <w:numFmt w:val="bullet"/>
      <w:lvlText w:val=""/>
      <w:lvlJc w:val="left"/>
      <w:pPr>
        <w:ind w:left="720" w:hanging="360"/>
      </w:pPr>
      <w:rPr>
        <w:rFonts w:ascii="Symbol" w:hAnsi="Symbol"/>
      </w:rPr>
    </w:lvl>
  </w:abstractNum>
  <w:abstractNum w:abstractNumId="20" w15:restartNumberingAfterBreak="0">
    <w:nsid w:val="2D7B7BF2"/>
    <w:multiLevelType w:val="hybridMultilevel"/>
    <w:tmpl w:val="E78C8E5C"/>
    <w:lvl w:ilvl="0" w:tplc="0C090001">
      <w:start w:val="1"/>
      <w:numFmt w:val="bullet"/>
      <w:lvlText w:val=""/>
      <w:lvlJc w:val="left"/>
      <w:pPr>
        <w:ind w:left="360" w:hanging="360"/>
      </w:pPr>
      <w:rPr>
        <w:rFonts w:ascii="Symbol" w:hAnsi="Symbol" w:hint="default"/>
      </w:rPr>
    </w:lvl>
    <w:lvl w:ilvl="1" w:tplc="189C8104">
      <w:numFmt w:val="bullet"/>
      <w:lvlText w:val=""/>
      <w:lvlJc w:val="left"/>
      <w:pPr>
        <w:ind w:left="1080" w:hanging="360"/>
      </w:pPr>
      <w:rPr>
        <w:rFonts w:ascii="Wingdings" w:eastAsia="Times New Roman" w:hAnsi="Wingdings" w:cs="Calibri"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2F0811AD"/>
    <w:multiLevelType w:val="hybridMultilevel"/>
    <w:tmpl w:val="78248D70"/>
    <w:lvl w:ilvl="0" w:tplc="66B0FF44">
      <w:start w:val="1"/>
      <w:numFmt w:val="lowerRoman"/>
      <w:lvlText w:val="%1."/>
      <w:lvlJc w:val="left"/>
      <w:pPr>
        <w:ind w:left="1365" w:hanging="399"/>
      </w:pPr>
      <w:rPr>
        <w:rFonts w:ascii="Calibri" w:eastAsia="Calibri" w:hAnsi="Calibri" w:cs="Calibri" w:hint="default"/>
        <w:spacing w:val="-1"/>
        <w:w w:val="10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F9A6A91"/>
    <w:multiLevelType w:val="hybridMultilevel"/>
    <w:tmpl w:val="B450F340"/>
    <w:lvl w:ilvl="0" w:tplc="8046620C">
      <w:start w:val="1"/>
      <w:numFmt w:val="lowerLetter"/>
      <w:lvlText w:val="%1)"/>
      <w:lvlJc w:val="left"/>
      <w:pPr>
        <w:ind w:left="143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35872B8"/>
    <w:multiLevelType w:val="hybridMultilevel"/>
    <w:tmpl w:val="6160F418"/>
    <w:lvl w:ilvl="0" w:tplc="6DBAF65E">
      <w:start w:val="1"/>
      <w:numFmt w:val="decimal"/>
      <w:pStyle w:val="CS-Paragraphnumbering"/>
      <w:lvlText w:val="%1."/>
      <w:lvlJc w:val="left"/>
      <w:pPr>
        <w:ind w:left="720" w:hanging="360"/>
      </w:pPr>
      <w:rPr>
        <w:sz w:val="24"/>
        <w:szCs w:val="24"/>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3A2185C"/>
    <w:multiLevelType w:val="hybridMultilevel"/>
    <w:tmpl w:val="5A84D5AE"/>
    <w:lvl w:ilvl="0" w:tplc="206A0A20">
      <w:start w:val="1"/>
      <w:numFmt w:val="lowerLetter"/>
      <w:lvlText w:val="(%1)"/>
      <w:lvlJc w:val="left"/>
      <w:pPr>
        <w:ind w:left="823" w:hanging="360"/>
      </w:pPr>
      <w:rPr>
        <w:rFonts w:ascii="Calibri" w:eastAsia="Calibri" w:hAnsi="Calibri" w:cs="Calibri" w:hint="default"/>
        <w:spacing w:val="-1"/>
        <w:w w:val="100"/>
        <w:sz w:val="22"/>
        <w:szCs w:val="22"/>
      </w:rPr>
    </w:lvl>
    <w:lvl w:ilvl="1" w:tplc="F30006C2">
      <w:numFmt w:val="bullet"/>
      <w:lvlText w:val="•"/>
      <w:lvlJc w:val="left"/>
      <w:pPr>
        <w:ind w:left="1431" w:hanging="360"/>
      </w:pPr>
      <w:rPr>
        <w:rFonts w:hint="default"/>
      </w:rPr>
    </w:lvl>
    <w:lvl w:ilvl="2" w:tplc="9A60FF9A">
      <w:numFmt w:val="bullet"/>
      <w:lvlText w:val="•"/>
      <w:lvlJc w:val="left"/>
      <w:pPr>
        <w:ind w:left="2042" w:hanging="360"/>
      </w:pPr>
      <w:rPr>
        <w:rFonts w:hint="default"/>
      </w:rPr>
    </w:lvl>
    <w:lvl w:ilvl="3" w:tplc="71AAFDCA">
      <w:numFmt w:val="bullet"/>
      <w:lvlText w:val="•"/>
      <w:lvlJc w:val="left"/>
      <w:pPr>
        <w:ind w:left="2653" w:hanging="360"/>
      </w:pPr>
      <w:rPr>
        <w:rFonts w:hint="default"/>
      </w:rPr>
    </w:lvl>
    <w:lvl w:ilvl="4" w:tplc="CE8085D8">
      <w:numFmt w:val="bullet"/>
      <w:lvlText w:val="•"/>
      <w:lvlJc w:val="left"/>
      <w:pPr>
        <w:ind w:left="3265" w:hanging="360"/>
      </w:pPr>
      <w:rPr>
        <w:rFonts w:hint="default"/>
      </w:rPr>
    </w:lvl>
    <w:lvl w:ilvl="5" w:tplc="487C0C38">
      <w:numFmt w:val="bullet"/>
      <w:lvlText w:val="•"/>
      <w:lvlJc w:val="left"/>
      <w:pPr>
        <w:ind w:left="3876" w:hanging="360"/>
      </w:pPr>
      <w:rPr>
        <w:rFonts w:hint="default"/>
      </w:rPr>
    </w:lvl>
    <w:lvl w:ilvl="6" w:tplc="376E07BE">
      <w:numFmt w:val="bullet"/>
      <w:lvlText w:val="•"/>
      <w:lvlJc w:val="left"/>
      <w:pPr>
        <w:ind w:left="4487" w:hanging="360"/>
      </w:pPr>
      <w:rPr>
        <w:rFonts w:hint="default"/>
      </w:rPr>
    </w:lvl>
    <w:lvl w:ilvl="7" w:tplc="434039D4">
      <w:numFmt w:val="bullet"/>
      <w:lvlText w:val="•"/>
      <w:lvlJc w:val="left"/>
      <w:pPr>
        <w:ind w:left="5099" w:hanging="360"/>
      </w:pPr>
      <w:rPr>
        <w:rFonts w:hint="default"/>
      </w:rPr>
    </w:lvl>
    <w:lvl w:ilvl="8" w:tplc="C686B356">
      <w:numFmt w:val="bullet"/>
      <w:lvlText w:val="•"/>
      <w:lvlJc w:val="left"/>
      <w:pPr>
        <w:ind w:left="5710" w:hanging="360"/>
      </w:pPr>
      <w:rPr>
        <w:rFonts w:hint="default"/>
      </w:rPr>
    </w:lvl>
  </w:abstractNum>
  <w:abstractNum w:abstractNumId="25" w15:restartNumberingAfterBreak="0">
    <w:nsid w:val="3B71195D"/>
    <w:multiLevelType w:val="hybridMultilevel"/>
    <w:tmpl w:val="7BFA944A"/>
    <w:lvl w:ilvl="0" w:tplc="C7F6E276">
      <w:start w:val="1"/>
      <w:numFmt w:val="lowerLetter"/>
      <w:lvlText w:val="(%1)"/>
      <w:lvlJc w:val="left"/>
      <w:pPr>
        <w:ind w:left="823" w:hanging="360"/>
      </w:pPr>
      <w:rPr>
        <w:rFonts w:ascii="Calibri" w:eastAsia="Calibri" w:hAnsi="Calibri" w:cs="Calibri" w:hint="default"/>
        <w:spacing w:val="-1"/>
        <w:w w:val="10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C415180"/>
    <w:multiLevelType w:val="hybridMultilevel"/>
    <w:tmpl w:val="4E8EEBCA"/>
    <w:lvl w:ilvl="0" w:tplc="390A8100">
      <w:start w:val="1"/>
      <w:numFmt w:val="lowerRoman"/>
      <w:pStyle w:val="Bullet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396E59"/>
    <w:multiLevelType w:val="multilevel"/>
    <w:tmpl w:val="FE688822"/>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44546A" w:themeColor="text2"/>
      </w:rPr>
    </w:lvl>
    <w:lvl w:ilvl="3">
      <w:start w:val="1"/>
      <w:numFmt w:val="bullet"/>
      <w:lvlText w:val="»"/>
      <w:lvlJc w:val="left"/>
      <w:pPr>
        <w:ind w:left="794" w:hanging="510"/>
      </w:pPr>
      <w:rPr>
        <w:rFonts w:ascii="Arial" w:hAnsi="Arial" w:hint="default"/>
        <w:color w:val="44546A"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28" w15:restartNumberingAfterBreak="0">
    <w:nsid w:val="430A2AA5"/>
    <w:multiLevelType w:val="multilevel"/>
    <w:tmpl w:val="17C2F16A"/>
    <w:lvl w:ilvl="0">
      <w:start w:val="1"/>
      <w:numFmt w:val="decimal"/>
      <w:pStyle w:val="Schedule1PACT"/>
      <w:lvlText w:val="Schedule %1."/>
      <w:lvlJc w:val="left"/>
      <w:pPr>
        <w:ind w:left="6380" w:hanging="2835"/>
      </w:pPr>
      <w:rPr>
        <w:rFonts w:hint="default"/>
      </w:rPr>
    </w:lvl>
    <w:lvl w:ilvl="1">
      <w:start w:val="1"/>
      <w:numFmt w:val="decimal"/>
      <w:pStyle w:val="1-PACT"/>
      <w:lvlText w:val="%2."/>
      <w:lvlJc w:val="left"/>
      <w:pPr>
        <w:ind w:left="1134" w:hanging="1134"/>
      </w:pPr>
      <w:rPr>
        <w:rFonts w:hint="default"/>
      </w:rPr>
    </w:lvl>
    <w:lvl w:ilvl="2">
      <w:start w:val="1"/>
      <w:numFmt w:val="decimal"/>
      <w:pStyle w:val="11-PACT"/>
      <w:lvlText w:val="%2.%3."/>
      <w:lvlJc w:val="left"/>
      <w:pPr>
        <w:ind w:left="1134" w:hanging="1134"/>
      </w:pPr>
      <w:rPr>
        <w:rFonts w:hint="default"/>
        <w:b w:val="0"/>
        <w:bCs w:val="0"/>
        <w:i w:val="0"/>
        <w:iCs w:val="0"/>
        <w:caps w:val="0"/>
        <w:smallCaps w:val="0"/>
        <w:strike w:val="0"/>
        <w:dstrike w:val="0"/>
        <w:outline w:val="0"/>
        <w:shadow w:val="0"/>
        <w:emboss w:val="0"/>
        <w:imprint w:val="0"/>
        <w:vanish w:val="0"/>
        <w:color w:val="482D8C"/>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pStyle w:val="111-PACT"/>
      <w:lvlText w:val="%2.%3.%4."/>
      <w:lvlJc w:val="left"/>
      <w:pPr>
        <w:ind w:left="1134" w:hanging="1134"/>
      </w:pPr>
      <w:rPr>
        <w:rFonts w:hint="default"/>
        <w:b w:val="0"/>
        <w:bCs/>
        <w:color w:val="auto"/>
        <w:sz w:val="22"/>
        <w:szCs w:val="22"/>
      </w:rPr>
    </w:lvl>
    <w:lvl w:ilvl="4">
      <w:start w:val="1"/>
      <w:numFmt w:val="lowerLetter"/>
      <w:pStyle w:val="a-PACT"/>
      <w:lvlText w:val="(%5)"/>
      <w:lvlJc w:val="left"/>
      <w:pPr>
        <w:ind w:left="1701" w:hanging="567"/>
      </w:pPr>
      <w:rPr>
        <w:rFonts w:hint="default"/>
      </w:rPr>
    </w:lvl>
    <w:lvl w:ilvl="5">
      <w:start w:val="1"/>
      <w:numFmt w:val="lowerRoman"/>
      <w:pStyle w:val="i-PACT"/>
      <w:lvlText w:val="%6."/>
      <w:lvlJc w:val="left"/>
      <w:pPr>
        <w:ind w:left="2268" w:hanging="567"/>
      </w:pPr>
      <w:rPr>
        <w:rFonts w:hint="default"/>
      </w:rPr>
    </w:lvl>
    <w:lvl w:ilvl="6">
      <w:start w:val="1"/>
      <w:numFmt w:val="decimal"/>
      <w:lvlText w:val="%1.%2.%3.%4.%5.%6.%7."/>
      <w:lvlJc w:val="left"/>
      <w:pPr>
        <w:ind w:left="2835" w:hanging="567"/>
      </w:pPr>
      <w:rPr>
        <w:rFonts w:hint="default"/>
      </w:rPr>
    </w:lvl>
    <w:lvl w:ilvl="7">
      <w:start w:val="1"/>
      <w:numFmt w:val="decimal"/>
      <w:lvlText w:val="%1.%2.%3.%4.%5.%6.%7.%8."/>
      <w:lvlJc w:val="left"/>
      <w:pPr>
        <w:ind w:left="3402" w:hanging="567"/>
      </w:pPr>
      <w:rPr>
        <w:rFonts w:hint="default"/>
      </w:rPr>
    </w:lvl>
    <w:lvl w:ilvl="8">
      <w:start w:val="1"/>
      <w:numFmt w:val="decimal"/>
      <w:lvlText w:val="%1.%2.%3.%4.%5.%6.%7.%8.%9."/>
      <w:lvlJc w:val="left"/>
      <w:pPr>
        <w:ind w:left="3969" w:hanging="567"/>
      </w:pPr>
      <w:rPr>
        <w:rFonts w:hint="default"/>
      </w:rPr>
    </w:lvl>
  </w:abstractNum>
  <w:abstractNum w:abstractNumId="29" w15:restartNumberingAfterBreak="0">
    <w:nsid w:val="4610185B"/>
    <w:multiLevelType w:val="hybridMultilevel"/>
    <w:tmpl w:val="30929E62"/>
    <w:lvl w:ilvl="0" w:tplc="9122637E">
      <w:numFmt w:val="bullet"/>
      <w:lvlText w:val="-"/>
      <w:lvlJc w:val="left"/>
      <w:pPr>
        <w:ind w:left="1287" w:hanging="360"/>
      </w:pPr>
      <w:rPr>
        <w:rFonts w:ascii="Arial" w:hAnsi="Arial" w:hint="default"/>
        <w:color w:val="auto"/>
      </w:rPr>
    </w:lvl>
    <w:lvl w:ilvl="1" w:tplc="0C090003">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0" w15:restartNumberingAfterBreak="0">
    <w:nsid w:val="465A212B"/>
    <w:multiLevelType w:val="hybridMultilevel"/>
    <w:tmpl w:val="D924B6FE"/>
    <w:lvl w:ilvl="0" w:tplc="CEAE7970">
      <w:numFmt w:val="bullet"/>
      <w:pStyle w:val="bullet30"/>
      <w:lvlText w:val="-"/>
      <w:lvlJc w:val="left"/>
      <w:pPr>
        <w:ind w:left="1077" w:hanging="360"/>
      </w:pPr>
      <w:rPr>
        <w:rFonts w:ascii="Calibri" w:eastAsiaTheme="minorHAnsi" w:hAnsi="Calibri" w:cstheme="minorBidi"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1" w15:restartNumberingAfterBreak="0">
    <w:nsid w:val="4A2C4FC2"/>
    <w:multiLevelType w:val="hybridMultilevel"/>
    <w:tmpl w:val="F5AEA3CC"/>
    <w:lvl w:ilvl="0" w:tplc="44CE0BD4">
      <w:start w:val="1"/>
      <w:numFmt w:val="lowerLetter"/>
      <w:pStyle w:val="bulletalpha"/>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bullet"/>
      <w:lvlText w:val="o"/>
      <w:lvlJc w:val="left"/>
      <w:pPr>
        <w:tabs>
          <w:tab w:val="num" w:pos="1800"/>
        </w:tabs>
        <w:ind w:left="1800" w:hanging="360"/>
      </w:pPr>
      <w:rPr>
        <w:rFonts w:ascii="Courier New" w:hAnsi="Courier New" w:hint="default"/>
      </w:rPr>
    </w:lvl>
    <w:lvl w:ilvl="2" w:tplc="0C09001B">
      <w:start w:val="1"/>
      <w:numFmt w:val="bullet"/>
      <w:lvlText w:val=""/>
      <w:lvlJc w:val="left"/>
      <w:pPr>
        <w:tabs>
          <w:tab w:val="num" w:pos="2520"/>
        </w:tabs>
        <w:ind w:left="2520" w:hanging="360"/>
      </w:pPr>
      <w:rPr>
        <w:rFonts w:ascii="Wingdings" w:hAnsi="Wingdings" w:hint="default"/>
      </w:rPr>
    </w:lvl>
    <w:lvl w:ilvl="3" w:tplc="0C09000F">
      <w:start w:val="1"/>
      <w:numFmt w:val="bullet"/>
      <w:lvlText w:val=""/>
      <w:lvlJc w:val="left"/>
      <w:pPr>
        <w:tabs>
          <w:tab w:val="num" w:pos="3240"/>
        </w:tabs>
        <w:ind w:left="3240" w:hanging="360"/>
      </w:pPr>
      <w:rPr>
        <w:rFonts w:ascii="Symbol" w:hAnsi="Symbol" w:hint="default"/>
      </w:rPr>
    </w:lvl>
    <w:lvl w:ilvl="4" w:tplc="0C090019">
      <w:start w:val="1"/>
      <w:numFmt w:val="bullet"/>
      <w:lvlText w:val="o"/>
      <w:lvlJc w:val="left"/>
      <w:pPr>
        <w:tabs>
          <w:tab w:val="num" w:pos="3960"/>
        </w:tabs>
        <w:ind w:left="3960" w:hanging="360"/>
      </w:pPr>
      <w:rPr>
        <w:rFonts w:ascii="Courier New" w:hAnsi="Courier New" w:hint="default"/>
      </w:rPr>
    </w:lvl>
    <w:lvl w:ilvl="5" w:tplc="0C09001B">
      <w:start w:val="1"/>
      <w:numFmt w:val="bullet"/>
      <w:lvlText w:val=""/>
      <w:lvlJc w:val="left"/>
      <w:pPr>
        <w:tabs>
          <w:tab w:val="num" w:pos="4680"/>
        </w:tabs>
        <w:ind w:left="4680" w:hanging="360"/>
      </w:pPr>
      <w:rPr>
        <w:rFonts w:ascii="Wingdings" w:hAnsi="Wingdings" w:hint="default"/>
      </w:rPr>
    </w:lvl>
    <w:lvl w:ilvl="6" w:tplc="0C09000F">
      <w:start w:val="1"/>
      <w:numFmt w:val="bullet"/>
      <w:lvlText w:val=""/>
      <w:lvlJc w:val="left"/>
      <w:pPr>
        <w:tabs>
          <w:tab w:val="num" w:pos="5400"/>
        </w:tabs>
        <w:ind w:left="5400" w:hanging="360"/>
      </w:pPr>
      <w:rPr>
        <w:rFonts w:ascii="Symbol" w:hAnsi="Symbol" w:hint="default"/>
      </w:rPr>
    </w:lvl>
    <w:lvl w:ilvl="7" w:tplc="0C090019">
      <w:start w:val="1"/>
      <w:numFmt w:val="bullet"/>
      <w:lvlText w:val="o"/>
      <w:lvlJc w:val="left"/>
      <w:pPr>
        <w:tabs>
          <w:tab w:val="num" w:pos="6120"/>
        </w:tabs>
        <w:ind w:left="6120" w:hanging="360"/>
      </w:pPr>
      <w:rPr>
        <w:rFonts w:ascii="Courier New" w:hAnsi="Courier New" w:hint="default"/>
      </w:rPr>
    </w:lvl>
    <w:lvl w:ilvl="8" w:tplc="0C09001B">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4D15580D"/>
    <w:multiLevelType w:val="hybridMultilevel"/>
    <w:tmpl w:val="2272CFBE"/>
    <w:lvl w:ilvl="0" w:tplc="09324778">
      <w:numFmt w:val="bullet"/>
      <w:lvlText w:val="-"/>
      <w:lvlJc w:val="left"/>
      <w:pPr>
        <w:ind w:left="1080" w:hanging="360"/>
      </w:pPr>
      <w:rPr>
        <w:rFonts w:ascii="Calibri" w:eastAsia="Times New Roman" w:hAnsi="Calibri"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50517343"/>
    <w:multiLevelType w:val="multilevel"/>
    <w:tmpl w:val="131EEC6C"/>
    <w:numStyleLink w:val="TableNumbers"/>
  </w:abstractNum>
  <w:abstractNum w:abstractNumId="34" w15:restartNumberingAfterBreak="0">
    <w:nsid w:val="50E12008"/>
    <w:multiLevelType w:val="multilevel"/>
    <w:tmpl w:val="57D26A18"/>
    <w:numStyleLink w:val="KCBullets"/>
  </w:abstractNum>
  <w:abstractNum w:abstractNumId="35" w15:restartNumberingAfterBreak="0">
    <w:nsid w:val="5197639A"/>
    <w:multiLevelType w:val="hybridMultilevel"/>
    <w:tmpl w:val="EA9C2580"/>
    <w:lvl w:ilvl="0" w:tplc="461C3614">
      <w:numFmt w:val="bullet"/>
      <w:lvlText w:val="-"/>
      <w:lvlJc w:val="left"/>
      <w:pPr>
        <w:ind w:left="1080" w:hanging="360"/>
      </w:pPr>
      <w:rPr>
        <w:rFonts w:ascii="Calibri" w:eastAsia="Times New Roman" w:hAnsi="Calibri"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531A54FB"/>
    <w:multiLevelType w:val="hybridMultilevel"/>
    <w:tmpl w:val="5E6CDF62"/>
    <w:lvl w:ilvl="0" w:tplc="67664A72">
      <w:start w:val="1"/>
      <w:numFmt w:val="decimal"/>
      <w:pStyle w:val="bulletnumber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3202E6D"/>
    <w:multiLevelType w:val="hybridMultilevel"/>
    <w:tmpl w:val="D3A4D7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35249AF"/>
    <w:multiLevelType w:val="multilevel"/>
    <w:tmpl w:val="402E7EF2"/>
    <w:styleLink w:val="AppendixNumbers"/>
    <w:lvl w:ilvl="0">
      <w:start w:val="1"/>
      <w:numFmt w:val="upperLetter"/>
      <w:pStyle w:val="AppendixNumbered"/>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55032B12"/>
    <w:multiLevelType w:val="hybridMultilevel"/>
    <w:tmpl w:val="288AAE02"/>
    <w:lvl w:ilvl="0" w:tplc="B2CE14FE">
      <w:start w:val="1"/>
      <w:numFmt w:val="lowerLetter"/>
      <w:lvlText w:val="(%1)"/>
      <w:lvlJc w:val="left"/>
      <w:pPr>
        <w:ind w:left="823" w:hanging="360"/>
      </w:pPr>
      <w:rPr>
        <w:rFonts w:ascii="Calibri" w:eastAsia="Calibri" w:hAnsi="Calibri" w:cs="Calibri" w:hint="default"/>
        <w:spacing w:val="-1"/>
        <w:w w:val="10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5563048B"/>
    <w:multiLevelType w:val="multilevel"/>
    <w:tmpl w:val="C284D0B0"/>
    <w:numStyleLink w:val="FigureNumbers"/>
  </w:abstractNum>
  <w:abstractNum w:abstractNumId="41" w15:restartNumberingAfterBreak="0">
    <w:nsid w:val="5A4C59AD"/>
    <w:multiLevelType w:val="hybridMultilevel"/>
    <w:tmpl w:val="0C36CA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BCB47E2"/>
    <w:multiLevelType w:val="hybridMultilevel"/>
    <w:tmpl w:val="C658B45C"/>
    <w:lvl w:ilvl="0" w:tplc="0C090005">
      <w:start w:val="1"/>
      <w:numFmt w:val="bullet"/>
      <w:lvlText w:val=""/>
      <w:lvlJc w:val="left"/>
      <w:pPr>
        <w:ind w:left="2007" w:hanging="360"/>
      </w:pPr>
      <w:rPr>
        <w:rFonts w:ascii="Wingdings" w:hAnsi="Wingdings" w:hint="default"/>
      </w:rPr>
    </w:lvl>
    <w:lvl w:ilvl="1" w:tplc="0C090003" w:tentative="1">
      <w:start w:val="1"/>
      <w:numFmt w:val="bullet"/>
      <w:lvlText w:val="o"/>
      <w:lvlJc w:val="left"/>
      <w:pPr>
        <w:ind w:left="2727" w:hanging="360"/>
      </w:pPr>
      <w:rPr>
        <w:rFonts w:ascii="Courier New" w:hAnsi="Courier New" w:cs="Courier New" w:hint="default"/>
      </w:rPr>
    </w:lvl>
    <w:lvl w:ilvl="2" w:tplc="0C090005" w:tentative="1">
      <w:start w:val="1"/>
      <w:numFmt w:val="bullet"/>
      <w:lvlText w:val=""/>
      <w:lvlJc w:val="left"/>
      <w:pPr>
        <w:ind w:left="3447" w:hanging="360"/>
      </w:pPr>
      <w:rPr>
        <w:rFonts w:ascii="Wingdings" w:hAnsi="Wingdings" w:hint="default"/>
      </w:rPr>
    </w:lvl>
    <w:lvl w:ilvl="3" w:tplc="0C090001" w:tentative="1">
      <w:start w:val="1"/>
      <w:numFmt w:val="bullet"/>
      <w:lvlText w:val=""/>
      <w:lvlJc w:val="left"/>
      <w:pPr>
        <w:ind w:left="4167" w:hanging="360"/>
      </w:pPr>
      <w:rPr>
        <w:rFonts w:ascii="Symbol" w:hAnsi="Symbol" w:hint="default"/>
      </w:rPr>
    </w:lvl>
    <w:lvl w:ilvl="4" w:tplc="0C090003" w:tentative="1">
      <w:start w:val="1"/>
      <w:numFmt w:val="bullet"/>
      <w:lvlText w:val="o"/>
      <w:lvlJc w:val="left"/>
      <w:pPr>
        <w:ind w:left="4887" w:hanging="360"/>
      </w:pPr>
      <w:rPr>
        <w:rFonts w:ascii="Courier New" w:hAnsi="Courier New" w:cs="Courier New" w:hint="default"/>
      </w:rPr>
    </w:lvl>
    <w:lvl w:ilvl="5" w:tplc="0C090005" w:tentative="1">
      <w:start w:val="1"/>
      <w:numFmt w:val="bullet"/>
      <w:lvlText w:val=""/>
      <w:lvlJc w:val="left"/>
      <w:pPr>
        <w:ind w:left="5607" w:hanging="360"/>
      </w:pPr>
      <w:rPr>
        <w:rFonts w:ascii="Wingdings" w:hAnsi="Wingdings" w:hint="default"/>
      </w:rPr>
    </w:lvl>
    <w:lvl w:ilvl="6" w:tplc="0C090001" w:tentative="1">
      <w:start w:val="1"/>
      <w:numFmt w:val="bullet"/>
      <w:lvlText w:val=""/>
      <w:lvlJc w:val="left"/>
      <w:pPr>
        <w:ind w:left="6327" w:hanging="360"/>
      </w:pPr>
      <w:rPr>
        <w:rFonts w:ascii="Symbol" w:hAnsi="Symbol" w:hint="default"/>
      </w:rPr>
    </w:lvl>
    <w:lvl w:ilvl="7" w:tplc="0C090003" w:tentative="1">
      <w:start w:val="1"/>
      <w:numFmt w:val="bullet"/>
      <w:lvlText w:val="o"/>
      <w:lvlJc w:val="left"/>
      <w:pPr>
        <w:ind w:left="7047" w:hanging="360"/>
      </w:pPr>
      <w:rPr>
        <w:rFonts w:ascii="Courier New" w:hAnsi="Courier New" w:cs="Courier New" w:hint="default"/>
      </w:rPr>
    </w:lvl>
    <w:lvl w:ilvl="8" w:tplc="0C090005" w:tentative="1">
      <w:start w:val="1"/>
      <w:numFmt w:val="bullet"/>
      <w:lvlText w:val=""/>
      <w:lvlJc w:val="left"/>
      <w:pPr>
        <w:ind w:left="7767" w:hanging="360"/>
      </w:pPr>
      <w:rPr>
        <w:rFonts w:ascii="Wingdings" w:hAnsi="Wingdings" w:hint="default"/>
      </w:rPr>
    </w:lvl>
  </w:abstractNum>
  <w:abstractNum w:abstractNumId="43" w15:restartNumberingAfterBreak="0">
    <w:nsid w:val="5E024435"/>
    <w:multiLevelType w:val="multilevel"/>
    <w:tmpl w:val="D354F8D6"/>
    <w:styleLink w:val="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44" w15:restartNumberingAfterBreak="0">
    <w:nsid w:val="60334D52"/>
    <w:multiLevelType w:val="hybridMultilevel"/>
    <w:tmpl w:val="715C332C"/>
    <w:lvl w:ilvl="0" w:tplc="0C09001B">
      <w:start w:val="1"/>
      <w:numFmt w:val="lowerRoman"/>
      <w:lvlText w:val="%1."/>
      <w:lvlJc w:val="righ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63114917"/>
    <w:multiLevelType w:val="hybridMultilevel"/>
    <w:tmpl w:val="7D3852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6F607433"/>
    <w:multiLevelType w:val="hybridMultilevel"/>
    <w:tmpl w:val="DAEC419C"/>
    <w:lvl w:ilvl="0" w:tplc="4D784E72">
      <w:start w:val="1"/>
      <w:numFmt w:val="bullet"/>
      <w:pStyle w:val="bullet10"/>
      <w:lvlText w:val=""/>
      <w:lvlJc w:val="left"/>
      <w:pPr>
        <w:ind w:left="360" w:hanging="360"/>
      </w:pPr>
      <w:rPr>
        <w:rFonts w:ascii="Symbol" w:hAnsi="Symbol" w:hint="default"/>
        <w:sz w:val="24"/>
      </w:rPr>
    </w:lvl>
    <w:lvl w:ilvl="1" w:tplc="0C090019">
      <w:start w:val="1"/>
      <w:numFmt w:val="bullet"/>
      <w:lvlText w:val="o"/>
      <w:lvlJc w:val="left"/>
      <w:pPr>
        <w:tabs>
          <w:tab w:val="num" w:pos="1800"/>
        </w:tabs>
        <w:ind w:left="1800" w:hanging="360"/>
      </w:pPr>
      <w:rPr>
        <w:rFonts w:ascii="Courier New" w:hAnsi="Courier New" w:hint="default"/>
      </w:rPr>
    </w:lvl>
    <w:lvl w:ilvl="2" w:tplc="0C09001B">
      <w:start w:val="1"/>
      <w:numFmt w:val="bullet"/>
      <w:lvlText w:val=""/>
      <w:lvlJc w:val="left"/>
      <w:pPr>
        <w:tabs>
          <w:tab w:val="num" w:pos="2520"/>
        </w:tabs>
        <w:ind w:left="2520" w:hanging="360"/>
      </w:pPr>
      <w:rPr>
        <w:rFonts w:ascii="Wingdings" w:hAnsi="Wingdings" w:hint="default"/>
      </w:rPr>
    </w:lvl>
    <w:lvl w:ilvl="3" w:tplc="0C09000F">
      <w:start w:val="1"/>
      <w:numFmt w:val="bullet"/>
      <w:lvlText w:val=""/>
      <w:lvlJc w:val="left"/>
      <w:pPr>
        <w:tabs>
          <w:tab w:val="num" w:pos="3240"/>
        </w:tabs>
        <w:ind w:left="3240" w:hanging="360"/>
      </w:pPr>
      <w:rPr>
        <w:rFonts w:ascii="Symbol" w:hAnsi="Symbol" w:hint="default"/>
      </w:rPr>
    </w:lvl>
    <w:lvl w:ilvl="4" w:tplc="0C090019">
      <w:start w:val="1"/>
      <w:numFmt w:val="bullet"/>
      <w:lvlText w:val="o"/>
      <w:lvlJc w:val="left"/>
      <w:pPr>
        <w:tabs>
          <w:tab w:val="num" w:pos="3960"/>
        </w:tabs>
        <w:ind w:left="3960" w:hanging="360"/>
      </w:pPr>
      <w:rPr>
        <w:rFonts w:ascii="Courier New" w:hAnsi="Courier New" w:hint="default"/>
      </w:rPr>
    </w:lvl>
    <w:lvl w:ilvl="5" w:tplc="0C09001B">
      <w:start w:val="1"/>
      <w:numFmt w:val="bullet"/>
      <w:lvlText w:val=""/>
      <w:lvlJc w:val="left"/>
      <w:pPr>
        <w:tabs>
          <w:tab w:val="num" w:pos="4680"/>
        </w:tabs>
        <w:ind w:left="4680" w:hanging="360"/>
      </w:pPr>
      <w:rPr>
        <w:rFonts w:ascii="Wingdings" w:hAnsi="Wingdings" w:hint="default"/>
      </w:rPr>
    </w:lvl>
    <w:lvl w:ilvl="6" w:tplc="0C09000F">
      <w:start w:val="1"/>
      <w:numFmt w:val="bullet"/>
      <w:lvlText w:val=""/>
      <w:lvlJc w:val="left"/>
      <w:pPr>
        <w:tabs>
          <w:tab w:val="num" w:pos="5400"/>
        </w:tabs>
        <w:ind w:left="5400" w:hanging="360"/>
      </w:pPr>
      <w:rPr>
        <w:rFonts w:ascii="Symbol" w:hAnsi="Symbol" w:hint="default"/>
      </w:rPr>
    </w:lvl>
    <w:lvl w:ilvl="7" w:tplc="0C090019">
      <w:start w:val="1"/>
      <w:numFmt w:val="bullet"/>
      <w:lvlText w:val="o"/>
      <w:lvlJc w:val="left"/>
      <w:pPr>
        <w:tabs>
          <w:tab w:val="num" w:pos="6120"/>
        </w:tabs>
        <w:ind w:left="6120" w:hanging="360"/>
      </w:pPr>
      <w:rPr>
        <w:rFonts w:ascii="Courier New" w:hAnsi="Courier New" w:hint="default"/>
      </w:rPr>
    </w:lvl>
    <w:lvl w:ilvl="8" w:tplc="0C09001B">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7001234B"/>
    <w:multiLevelType w:val="hybridMultilevel"/>
    <w:tmpl w:val="747634E6"/>
    <w:lvl w:ilvl="0" w:tplc="A1C48D56">
      <w:start w:val="1"/>
      <w:numFmt w:val="bullet"/>
      <w:lvlText w:val=""/>
      <w:lvlJc w:val="left"/>
      <w:pPr>
        <w:ind w:left="720" w:hanging="360"/>
      </w:pPr>
      <w:rPr>
        <w:rFonts w:ascii="Symbol" w:hAnsi="Symbol"/>
      </w:rPr>
    </w:lvl>
    <w:lvl w:ilvl="1" w:tplc="7FD21D62">
      <w:start w:val="1"/>
      <w:numFmt w:val="bullet"/>
      <w:lvlText w:val=""/>
      <w:lvlJc w:val="left"/>
      <w:pPr>
        <w:ind w:left="720" w:hanging="360"/>
      </w:pPr>
      <w:rPr>
        <w:rFonts w:ascii="Symbol" w:hAnsi="Symbol"/>
      </w:rPr>
    </w:lvl>
    <w:lvl w:ilvl="2" w:tplc="8C344214">
      <w:start w:val="1"/>
      <w:numFmt w:val="bullet"/>
      <w:lvlText w:val=""/>
      <w:lvlJc w:val="left"/>
      <w:pPr>
        <w:ind w:left="720" w:hanging="360"/>
      </w:pPr>
      <w:rPr>
        <w:rFonts w:ascii="Symbol" w:hAnsi="Symbol"/>
      </w:rPr>
    </w:lvl>
    <w:lvl w:ilvl="3" w:tplc="8DC404D8">
      <w:start w:val="1"/>
      <w:numFmt w:val="bullet"/>
      <w:lvlText w:val=""/>
      <w:lvlJc w:val="left"/>
      <w:pPr>
        <w:ind w:left="720" w:hanging="360"/>
      </w:pPr>
      <w:rPr>
        <w:rFonts w:ascii="Symbol" w:hAnsi="Symbol"/>
      </w:rPr>
    </w:lvl>
    <w:lvl w:ilvl="4" w:tplc="16BA4CE8">
      <w:start w:val="1"/>
      <w:numFmt w:val="bullet"/>
      <w:lvlText w:val=""/>
      <w:lvlJc w:val="left"/>
      <w:pPr>
        <w:ind w:left="720" w:hanging="360"/>
      </w:pPr>
      <w:rPr>
        <w:rFonts w:ascii="Symbol" w:hAnsi="Symbol"/>
      </w:rPr>
    </w:lvl>
    <w:lvl w:ilvl="5" w:tplc="C23E69CE">
      <w:start w:val="1"/>
      <w:numFmt w:val="bullet"/>
      <w:lvlText w:val=""/>
      <w:lvlJc w:val="left"/>
      <w:pPr>
        <w:ind w:left="720" w:hanging="360"/>
      </w:pPr>
      <w:rPr>
        <w:rFonts w:ascii="Symbol" w:hAnsi="Symbol"/>
      </w:rPr>
    </w:lvl>
    <w:lvl w:ilvl="6" w:tplc="915E54DA">
      <w:start w:val="1"/>
      <w:numFmt w:val="bullet"/>
      <w:lvlText w:val=""/>
      <w:lvlJc w:val="left"/>
      <w:pPr>
        <w:ind w:left="720" w:hanging="360"/>
      </w:pPr>
      <w:rPr>
        <w:rFonts w:ascii="Symbol" w:hAnsi="Symbol"/>
      </w:rPr>
    </w:lvl>
    <w:lvl w:ilvl="7" w:tplc="90883B86">
      <w:start w:val="1"/>
      <w:numFmt w:val="bullet"/>
      <w:lvlText w:val=""/>
      <w:lvlJc w:val="left"/>
      <w:pPr>
        <w:ind w:left="720" w:hanging="360"/>
      </w:pPr>
      <w:rPr>
        <w:rFonts w:ascii="Symbol" w:hAnsi="Symbol"/>
      </w:rPr>
    </w:lvl>
    <w:lvl w:ilvl="8" w:tplc="DB84D9CA">
      <w:start w:val="1"/>
      <w:numFmt w:val="bullet"/>
      <w:lvlText w:val=""/>
      <w:lvlJc w:val="left"/>
      <w:pPr>
        <w:ind w:left="720" w:hanging="360"/>
      </w:pPr>
      <w:rPr>
        <w:rFonts w:ascii="Symbol" w:hAnsi="Symbol"/>
      </w:rPr>
    </w:lvl>
  </w:abstractNum>
  <w:abstractNum w:abstractNumId="48" w15:restartNumberingAfterBreak="0">
    <w:nsid w:val="71C2704D"/>
    <w:multiLevelType w:val="hybridMultilevel"/>
    <w:tmpl w:val="BCFA356A"/>
    <w:lvl w:ilvl="0" w:tplc="24A4E9EC">
      <w:start w:val="1"/>
      <w:numFmt w:val="lowerLetter"/>
      <w:lvlText w:val="%1)"/>
      <w:lvlJc w:val="left"/>
      <w:pPr>
        <w:ind w:left="143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51F0737"/>
    <w:multiLevelType w:val="hybridMultilevel"/>
    <w:tmpl w:val="09F65D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52B4A17"/>
    <w:multiLevelType w:val="multilevel"/>
    <w:tmpl w:val="D354F8D6"/>
    <w:numStyleLink w:val="Definitions"/>
  </w:abstractNum>
  <w:abstractNum w:abstractNumId="51" w15:restartNumberingAfterBreak="0">
    <w:nsid w:val="781354C8"/>
    <w:multiLevelType w:val="hybridMultilevel"/>
    <w:tmpl w:val="9AA8A1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D9C1199"/>
    <w:multiLevelType w:val="multilevel"/>
    <w:tmpl w:val="903E40C8"/>
    <w:lvl w:ilvl="0">
      <w:start w:val="1"/>
      <w:numFmt w:val="bullet"/>
      <w:pStyle w:val="bullet20"/>
      <w:lvlText w:val="o"/>
      <w:lvlJc w:val="left"/>
      <w:pPr>
        <w:ind w:left="717" w:hanging="360"/>
      </w:pPr>
      <w:rPr>
        <w:rFonts w:ascii="Courier New" w:hAnsi="Courier New" w:hint="default"/>
      </w:rPr>
    </w:lvl>
    <w:lvl w:ilvl="1">
      <w:start w:val="1"/>
      <w:numFmt w:val="bullet"/>
      <w:lvlText w:val="o"/>
      <w:lvlJc w:val="left"/>
      <w:pPr>
        <w:ind w:left="1224" w:hanging="357"/>
      </w:pPr>
      <w:rPr>
        <w:rFonts w:ascii="Courier New" w:hAnsi="Courier New" w:hint="default"/>
      </w:rPr>
    </w:lvl>
    <w:lvl w:ilvl="2">
      <w:start w:val="1"/>
      <w:numFmt w:val="bullet"/>
      <w:lvlText w:val=""/>
      <w:lvlJc w:val="left"/>
      <w:pPr>
        <w:ind w:left="1734" w:hanging="357"/>
      </w:pPr>
      <w:rPr>
        <w:rFonts w:ascii="Wingdings" w:hAnsi="Wingdings" w:hint="default"/>
      </w:rPr>
    </w:lvl>
    <w:lvl w:ilvl="3">
      <w:start w:val="1"/>
      <w:numFmt w:val="bullet"/>
      <w:lvlText w:val=""/>
      <w:lvlJc w:val="left"/>
      <w:pPr>
        <w:ind w:left="2244" w:hanging="357"/>
      </w:pPr>
      <w:rPr>
        <w:rFonts w:ascii="Symbol" w:hAnsi="Symbol" w:hint="default"/>
      </w:rPr>
    </w:lvl>
    <w:lvl w:ilvl="4">
      <w:start w:val="1"/>
      <w:numFmt w:val="bullet"/>
      <w:lvlText w:val="o"/>
      <w:lvlJc w:val="left"/>
      <w:pPr>
        <w:ind w:left="2754" w:hanging="357"/>
      </w:pPr>
      <w:rPr>
        <w:rFonts w:ascii="Courier New" w:hAnsi="Courier New" w:cs="Courier New" w:hint="default"/>
      </w:rPr>
    </w:lvl>
    <w:lvl w:ilvl="5">
      <w:start w:val="1"/>
      <w:numFmt w:val="bullet"/>
      <w:lvlText w:val=""/>
      <w:lvlJc w:val="left"/>
      <w:pPr>
        <w:ind w:left="3264" w:hanging="357"/>
      </w:pPr>
      <w:rPr>
        <w:rFonts w:ascii="Wingdings" w:hAnsi="Wingdings" w:hint="default"/>
      </w:rPr>
    </w:lvl>
    <w:lvl w:ilvl="6">
      <w:start w:val="1"/>
      <w:numFmt w:val="bullet"/>
      <w:lvlText w:val=""/>
      <w:lvlJc w:val="left"/>
      <w:pPr>
        <w:ind w:left="3774" w:hanging="357"/>
      </w:pPr>
      <w:rPr>
        <w:rFonts w:ascii="Symbol" w:hAnsi="Symbol" w:hint="default"/>
      </w:rPr>
    </w:lvl>
    <w:lvl w:ilvl="7">
      <w:start w:val="1"/>
      <w:numFmt w:val="bullet"/>
      <w:lvlText w:val="o"/>
      <w:lvlJc w:val="left"/>
      <w:pPr>
        <w:ind w:left="4284" w:hanging="357"/>
      </w:pPr>
      <w:rPr>
        <w:rFonts w:ascii="Courier New" w:hAnsi="Courier New" w:cs="Courier New" w:hint="default"/>
      </w:rPr>
    </w:lvl>
    <w:lvl w:ilvl="8">
      <w:start w:val="1"/>
      <w:numFmt w:val="bullet"/>
      <w:lvlText w:val=""/>
      <w:lvlJc w:val="left"/>
      <w:pPr>
        <w:ind w:left="4794" w:hanging="357"/>
      </w:pPr>
      <w:rPr>
        <w:rFonts w:ascii="Wingdings" w:hAnsi="Wingdings" w:hint="default"/>
      </w:rPr>
    </w:lvl>
  </w:abstractNum>
  <w:num w:numId="1" w16cid:durableId="978456920">
    <w:abstractNumId w:val="18"/>
  </w:num>
  <w:num w:numId="2" w16cid:durableId="1211652056">
    <w:abstractNumId w:val="30"/>
  </w:num>
  <w:num w:numId="3" w16cid:durableId="102311786">
    <w:abstractNumId w:val="46"/>
  </w:num>
  <w:num w:numId="4" w16cid:durableId="1832721879">
    <w:abstractNumId w:val="52"/>
  </w:num>
  <w:num w:numId="5" w16cid:durableId="1890143904">
    <w:abstractNumId w:val="6"/>
  </w:num>
  <w:num w:numId="6" w16cid:durableId="1878737586">
    <w:abstractNumId w:val="34"/>
  </w:num>
  <w:num w:numId="7" w16cid:durableId="1672029324">
    <w:abstractNumId w:val="31"/>
  </w:num>
  <w:num w:numId="8" w16cid:durableId="1352029858">
    <w:abstractNumId w:val="26"/>
  </w:num>
  <w:num w:numId="9" w16cid:durableId="2099597744">
    <w:abstractNumId w:val="27"/>
  </w:num>
  <w:num w:numId="10" w16cid:durableId="1960254270">
    <w:abstractNumId w:val="14"/>
  </w:num>
  <w:num w:numId="11" w16cid:durableId="377828196">
    <w:abstractNumId w:val="40"/>
  </w:num>
  <w:num w:numId="12" w16cid:durableId="1600135428">
    <w:abstractNumId w:val="38"/>
  </w:num>
  <w:num w:numId="13" w16cid:durableId="852493920">
    <w:abstractNumId w:val="15"/>
  </w:num>
  <w:num w:numId="14" w16cid:durableId="1387071351">
    <w:abstractNumId w:val="33"/>
    <w:lvlOverride w:ilvl="0">
      <w:lvl w:ilvl="0">
        <w:start w:val="1"/>
        <w:numFmt w:val="decimal"/>
        <w:pStyle w:val="TableTitle"/>
        <w:lvlText w:val="Table %1."/>
        <w:lvlJc w:val="left"/>
        <w:pPr>
          <w:ind w:left="1134" w:hanging="1134"/>
        </w:pPr>
        <w:rPr>
          <w:rFonts w:hint="default"/>
          <w:b/>
          <w:i w:val="0"/>
          <w:caps w:val="0"/>
          <w:color w:val="5B9BD5" w:themeColor="accent1"/>
        </w:rPr>
      </w:lvl>
    </w:lvlOverride>
  </w:num>
  <w:num w:numId="15" w16cid:durableId="609316227">
    <w:abstractNumId w:val="0"/>
  </w:num>
  <w:num w:numId="16" w16cid:durableId="932738524">
    <w:abstractNumId w:val="36"/>
  </w:num>
  <w:num w:numId="17" w16cid:durableId="482621265">
    <w:abstractNumId w:val="3"/>
  </w:num>
  <w:num w:numId="18" w16cid:durableId="266500432">
    <w:abstractNumId w:val="28"/>
  </w:num>
  <w:num w:numId="19" w16cid:durableId="1654019942">
    <w:abstractNumId w:val="37"/>
  </w:num>
  <w:num w:numId="20" w16cid:durableId="1720543849">
    <w:abstractNumId w:val="20"/>
  </w:num>
  <w:num w:numId="21" w16cid:durableId="1335499516">
    <w:abstractNumId w:val="45"/>
  </w:num>
  <w:num w:numId="22" w16cid:durableId="942690632">
    <w:abstractNumId w:val="1"/>
  </w:num>
  <w:num w:numId="23" w16cid:durableId="421804086">
    <w:abstractNumId w:val="44"/>
  </w:num>
  <w:num w:numId="24" w16cid:durableId="317466558">
    <w:abstractNumId w:val="43"/>
  </w:num>
  <w:num w:numId="25" w16cid:durableId="1706327636">
    <w:abstractNumId w:val="50"/>
  </w:num>
  <w:num w:numId="26" w16cid:durableId="1937708277">
    <w:abstractNumId w:val="19"/>
  </w:num>
  <w:num w:numId="27" w16cid:durableId="1424107634">
    <w:abstractNumId w:val="47"/>
  </w:num>
  <w:num w:numId="28" w16cid:durableId="326521968">
    <w:abstractNumId w:val="12"/>
  </w:num>
  <w:num w:numId="29" w16cid:durableId="2101749966">
    <w:abstractNumId w:val="41"/>
  </w:num>
  <w:num w:numId="30" w16cid:durableId="2028867028">
    <w:abstractNumId w:val="8"/>
  </w:num>
  <w:num w:numId="31" w16cid:durableId="797261098">
    <w:abstractNumId w:val="2"/>
  </w:num>
  <w:num w:numId="32" w16cid:durableId="1594973522">
    <w:abstractNumId w:val="9"/>
  </w:num>
  <w:num w:numId="33" w16cid:durableId="1486895077">
    <w:abstractNumId w:val="24"/>
  </w:num>
  <w:num w:numId="34" w16cid:durableId="1639989903">
    <w:abstractNumId w:val="25"/>
  </w:num>
  <w:num w:numId="35" w16cid:durableId="677271963">
    <w:abstractNumId w:val="39"/>
  </w:num>
  <w:num w:numId="36" w16cid:durableId="155342685">
    <w:abstractNumId w:val="21"/>
  </w:num>
  <w:num w:numId="37" w16cid:durableId="589047093">
    <w:abstractNumId w:val="10"/>
  </w:num>
  <w:num w:numId="38" w16cid:durableId="219827602">
    <w:abstractNumId w:val="13"/>
  </w:num>
  <w:num w:numId="39" w16cid:durableId="1490095528">
    <w:abstractNumId w:val="16"/>
  </w:num>
  <w:num w:numId="40" w16cid:durableId="419133947">
    <w:abstractNumId w:val="48"/>
  </w:num>
  <w:num w:numId="41" w16cid:durableId="334305296">
    <w:abstractNumId w:val="22"/>
  </w:num>
  <w:num w:numId="42" w16cid:durableId="302084433">
    <w:abstractNumId w:val="51"/>
  </w:num>
  <w:num w:numId="43" w16cid:durableId="810245665">
    <w:abstractNumId w:val="35"/>
  </w:num>
  <w:num w:numId="44" w16cid:durableId="2078168248">
    <w:abstractNumId w:val="4"/>
  </w:num>
  <w:num w:numId="45" w16cid:durableId="1106458139">
    <w:abstractNumId w:val="11"/>
  </w:num>
  <w:num w:numId="46" w16cid:durableId="1956130277">
    <w:abstractNumId w:val="32"/>
  </w:num>
  <w:num w:numId="47" w16cid:durableId="557206040">
    <w:abstractNumId w:val="29"/>
  </w:num>
  <w:num w:numId="48" w16cid:durableId="1496917509">
    <w:abstractNumId w:val="5"/>
  </w:num>
  <w:num w:numId="49" w16cid:durableId="460853944">
    <w:abstractNumId w:val="7"/>
  </w:num>
  <w:num w:numId="50" w16cid:durableId="1094352656">
    <w:abstractNumId w:val="42"/>
  </w:num>
  <w:num w:numId="51" w16cid:durableId="2030135256">
    <w:abstractNumId w:val="17"/>
  </w:num>
  <w:num w:numId="52" w16cid:durableId="854726950">
    <w:abstractNumId w:val="49"/>
  </w:num>
  <w:num w:numId="53" w16cid:durableId="680201534">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94"/>
    <w:rsid w:val="00002500"/>
    <w:rsid w:val="000029AD"/>
    <w:rsid w:val="00002A83"/>
    <w:rsid w:val="00002AF7"/>
    <w:rsid w:val="00002E80"/>
    <w:rsid w:val="00006CA0"/>
    <w:rsid w:val="0001033F"/>
    <w:rsid w:val="00011180"/>
    <w:rsid w:val="000148A1"/>
    <w:rsid w:val="0001630E"/>
    <w:rsid w:val="00016383"/>
    <w:rsid w:val="000166E2"/>
    <w:rsid w:val="000170DE"/>
    <w:rsid w:val="00021050"/>
    <w:rsid w:val="00024DB8"/>
    <w:rsid w:val="00030F0F"/>
    <w:rsid w:val="00033095"/>
    <w:rsid w:val="00033B8B"/>
    <w:rsid w:val="00034451"/>
    <w:rsid w:val="00036D53"/>
    <w:rsid w:val="000409CC"/>
    <w:rsid w:val="00041229"/>
    <w:rsid w:val="00042315"/>
    <w:rsid w:val="00044242"/>
    <w:rsid w:val="000459F7"/>
    <w:rsid w:val="000468A5"/>
    <w:rsid w:val="00046C7E"/>
    <w:rsid w:val="00047A2F"/>
    <w:rsid w:val="00050DFF"/>
    <w:rsid w:val="0005202D"/>
    <w:rsid w:val="00052CE2"/>
    <w:rsid w:val="0005427C"/>
    <w:rsid w:val="000569CB"/>
    <w:rsid w:val="00057C74"/>
    <w:rsid w:val="00060883"/>
    <w:rsid w:val="00061209"/>
    <w:rsid w:val="00061A32"/>
    <w:rsid w:val="00061CB7"/>
    <w:rsid w:val="00062FC3"/>
    <w:rsid w:val="00063F53"/>
    <w:rsid w:val="00065DD0"/>
    <w:rsid w:val="00066425"/>
    <w:rsid w:val="00067AB9"/>
    <w:rsid w:val="00067E09"/>
    <w:rsid w:val="00067E3F"/>
    <w:rsid w:val="00067F06"/>
    <w:rsid w:val="00070C45"/>
    <w:rsid w:val="00070CF6"/>
    <w:rsid w:val="00076B01"/>
    <w:rsid w:val="000772E8"/>
    <w:rsid w:val="00080404"/>
    <w:rsid w:val="00080696"/>
    <w:rsid w:val="00080A08"/>
    <w:rsid w:val="000815FE"/>
    <w:rsid w:val="00081FE1"/>
    <w:rsid w:val="00082DD5"/>
    <w:rsid w:val="0009031C"/>
    <w:rsid w:val="00092B81"/>
    <w:rsid w:val="00092C57"/>
    <w:rsid w:val="00093948"/>
    <w:rsid w:val="000945FC"/>
    <w:rsid w:val="000977F2"/>
    <w:rsid w:val="000A1179"/>
    <w:rsid w:val="000A2753"/>
    <w:rsid w:val="000A30CD"/>
    <w:rsid w:val="000A3121"/>
    <w:rsid w:val="000A31F3"/>
    <w:rsid w:val="000A5241"/>
    <w:rsid w:val="000A54BE"/>
    <w:rsid w:val="000A5858"/>
    <w:rsid w:val="000A6E31"/>
    <w:rsid w:val="000A6F7E"/>
    <w:rsid w:val="000A70D5"/>
    <w:rsid w:val="000B192F"/>
    <w:rsid w:val="000B19F3"/>
    <w:rsid w:val="000B1B83"/>
    <w:rsid w:val="000B357A"/>
    <w:rsid w:val="000B3CFA"/>
    <w:rsid w:val="000B3EFD"/>
    <w:rsid w:val="000B416C"/>
    <w:rsid w:val="000B5A89"/>
    <w:rsid w:val="000B7D47"/>
    <w:rsid w:val="000B7DDA"/>
    <w:rsid w:val="000C124F"/>
    <w:rsid w:val="000D0182"/>
    <w:rsid w:val="000D0C19"/>
    <w:rsid w:val="000D3642"/>
    <w:rsid w:val="000D3DE7"/>
    <w:rsid w:val="000D473E"/>
    <w:rsid w:val="000D5635"/>
    <w:rsid w:val="000D64AA"/>
    <w:rsid w:val="000D6A77"/>
    <w:rsid w:val="000D7B2A"/>
    <w:rsid w:val="000E01B8"/>
    <w:rsid w:val="000E11E7"/>
    <w:rsid w:val="000E1C1B"/>
    <w:rsid w:val="000E35A9"/>
    <w:rsid w:val="000F1369"/>
    <w:rsid w:val="000F1C6A"/>
    <w:rsid w:val="000F29B1"/>
    <w:rsid w:val="000F489D"/>
    <w:rsid w:val="000F7076"/>
    <w:rsid w:val="001009D1"/>
    <w:rsid w:val="001031BC"/>
    <w:rsid w:val="00103C68"/>
    <w:rsid w:val="0010568A"/>
    <w:rsid w:val="00105D07"/>
    <w:rsid w:val="00106229"/>
    <w:rsid w:val="0010655A"/>
    <w:rsid w:val="0010716F"/>
    <w:rsid w:val="0011082B"/>
    <w:rsid w:val="00111D1F"/>
    <w:rsid w:val="00113337"/>
    <w:rsid w:val="001135C6"/>
    <w:rsid w:val="00114209"/>
    <w:rsid w:val="00116A4B"/>
    <w:rsid w:val="00120192"/>
    <w:rsid w:val="001202BC"/>
    <w:rsid w:val="00120DB6"/>
    <w:rsid w:val="00122B4D"/>
    <w:rsid w:val="0012395C"/>
    <w:rsid w:val="00125E59"/>
    <w:rsid w:val="001269C6"/>
    <w:rsid w:val="00126A84"/>
    <w:rsid w:val="001274ED"/>
    <w:rsid w:val="00134AAD"/>
    <w:rsid w:val="0013679C"/>
    <w:rsid w:val="001368FB"/>
    <w:rsid w:val="00137F41"/>
    <w:rsid w:val="00140E63"/>
    <w:rsid w:val="001411B2"/>
    <w:rsid w:val="001456B1"/>
    <w:rsid w:val="00146D8C"/>
    <w:rsid w:val="00147183"/>
    <w:rsid w:val="00147648"/>
    <w:rsid w:val="00147A4B"/>
    <w:rsid w:val="001500C8"/>
    <w:rsid w:val="001509FD"/>
    <w:rsid w:val="00156035"/>
    <w:rsid w:val="001560CF"/>
    <w:rsid w:val="001574D6"/>
    <w:rsid w:val="00157822"/>
    <w:rsid w:val="00161807"/>
    <w:rsid w:val="001628EB"/>
    <w:rsid w:val="00163654"/>
    <w:rsid w:val="001659C3"/>
    <w:rsid w:val="00165D31"/>
    <w:rsid w:val="00171353"/>
    <w:rsid w:val="001723F7"/>
    <w:rsid w:val="00180BBB"/>
    <w:rsid w:val="00182264"/>
    <w:rsid w:val="00182F29"/>
    <w:rsid w:val="00183FC6"/>
    <w:rsid w:val="00185CCE"/>
    <w:rsid w:val="00186490"/>
    <w:rsid w:val="001868B5"/>
    <w:rsid w:val="001901D9"/>
    <w:rsid w:val="0019032A"/>
    <w:rsid w:val="00190528"/>
    <w:rsid w:val="0019344F"/>
    <w:rsid w:val="001940DF"/>
    <w:rsid w:val="0019449C"/>
    <w:rsid w:val="00196157"/>
    <w:rsid w:val="001975A7"/>
    <w:rsid w:val="001A2D22"/>
    <w:rsid w:val="001A41EA"/>
    <w:rsid w:val="001A6487"/>
    <w:rsid w:val="001A7172"/>
    <w:rsid w:val="001A7D21"/>
    <w:rsid w:val="001B5152"/>
    <w:rsid w:val="001B5B9D"/>
    <w:rsid w:val="001B6775"/>
    <w:rsid w:val="001B6B20"/>
    <w:rsid w:val="001C693A"/>
    <w:rsid w:val="001D0003"/>
    <w:rsid w:val="001D03E6"/>
    <w:rsid w:val="001D47FB"/>
    <w:rsid w:val="001D48BC"/>
    <w:rsid w:val="001D7180"/>
    <w:rsid w:val="001E00FC"/>
    <w:rsid w:val="001E08BD"/>
    <w:rsid w:val="001E0980"/>
    <w:rsid w:val="001E0C4D"/>
    <w:rsid w:val="001E0F16"/>
    <w:rsid w:val="001E174B"/>
    <w:rsid w:val="001E1A48"/>
    <w:rsid w:val="001E2685"/>
    <w:rsid w:val="001E2945"/>
    <w:rsid w:val="001E36DA"/>
    <w:rsid w:val="001E6D0F"/>
    <w:rsid w:val="001F14CD"/>
    <w:rsid w:val="001F16F1"/>
    <w:rsid w:val="001F1BA5"/>
    <w:rsid w:val="001F3793"/>
    <w:rsid w:val="001F38A5"/>
    <w:rsid w:val="001F39C8"/>
    <w:rsid w:val="001F5368"/>
    <w:rsid w:val="001F5A1E"/>
    <w:rsid w:val="00200493"/>
    <w:rsid w:val="002014DC"/>
    <w:rsid w:val="00204624"/>
    <w:rsid w:val="00204D74"/>
    <w:rsid w:val="00206AF0"/>
    <w:rsid w:val="00207295"/>
    <w:rsid w:val="00214621"/>
    <w:rsid w:val="00214896"/>
    <w:rsid w:val="002151D4"/>
    <w:rsid w:val="0021576E"/>
    <w:rsid w:val="00215CF1"/>
    <w:rsid w:val="00217EA4"/>
    <w:rsid w:val="002220C0"/>
    <w:rsid w:val="00222C35"/>
    <w:rsid w:val="002246A4"/>
    <w:rsid w:val="00225168"/>
    <w:rsid w:val="00225D81"/>
    <w:rsid w:val="0022696F"/>
    <w:rsid w:val="00226A3B"/>
    <w:rsid w:val="00226D92"/>
    <w:rsid w:val="00227DEA"/>
    <w:rsid w:val="002304B8"/>
    <w:rsid w:val="0023133E"/>
    <w:rsid w:val="00232D72"/>
    <w:rsid w:val="00233A57"/>
    <w:rsid w:val="00234AB2"/>
    <w:rsid w:val="00234D39"/>
    <w:rsid w:val="00235141"/>
    <w:rsid w:val="00245538"/>
    <w:rsid w:val="002456B4"/>
    <w:rsid w:val="002465BF"/>
    <w:rsid w:val="00246C38"/>
    <w:rsid w:val="00247718"/>
    <w:rsid w:val="002519BD"/>
    <w:rsid w:val="0025286F"/>
    <w:rsid w:val="00253058"/>
    <w:rsid w:val="00254EE3"/>
    <w:rsid w:val="0025564E"/>
    <w:rsid w:val="00257E4B"/>
    <w:rsid w:val="002609F1"/>
    <w:rsid w:val="002633FE"/>
    <w:rsid w:val="00264497"/>
    <w:rsid w:val="00265B86"/>
    <w:rsid w:val="00270210"/>
    <w:rsid w:val="00272E11"/>
    <w:rsid w:val="00273FD1"/>
    <w:rsid w:val="00275A99"/>
    <w:rsid w:val="00277873"/>
    <w:rsid w:val="00277AF5"/>
    <w:rsid w:val="0028052C"/>
    <w:rsid w:val="00284B1E"/>
    <w:rsid w:val="00286F43"/>
    <w:rsid w:val="0028772E"/>
    <w:rsid w:val="002901DC"/>
    <w:rsid w:val="002903A5"/>
    <w:rsid w:val="00290922"/>
    <w:rsid w:val="002913CA"/>
    <w:rsid w:val="00291845"/>
    <w:rsid w:val="0029266C"/>
    <w:rsid w:val="00292832"/>
    <w:rsid w:val="00293440"/>
    <w:rsid w:val="002959F2"/>
    <w:rsid w:val="002A02B9"/>
    <w:rsid w:val="002A03D4"/>
    <w:rsid w:val="002A0931"/>
    <w:rsid w:val="002A3C2D"/>
    <w:rsid w:val="002A4116"/>
    <w:rsid w:val="002A47C5"/>
    <w:rsid w:val="002A47F8"/>
    <w:rsid w:val="002B2F2A"/>
    <w:rsid w:val="002B3A89"/>
    <w:rsid w:val="002B4201"/>
    <w:rsid w:val="002B6770"/>
    <w:rsid w:val="002C0890"/>
    <w:rsid w:val="002C15DC"/>
    <w:rsid w:val="002C295E"/>
    <w:rsid w:val="002C494E"/>
    <w:rsid w:val="002C4BD6"/>
    <w:rsid w:val="002C693B"/>
    <w:rsid w:val="002C7213"/>
    <w:rsid w:val="002D0C44"/>
    <w:rsid w:val="002D3D10"/>
    <w:rsid w:val="002D4CCA"/>
    <w:rsid w:val="002D6E2E"/>
    <w:rsid w:val="002D741F"/>
    <w:rsid w:val="002D7702"/>
    <w:rsid w:val="002D7E91"/>
    <w:rsid w:val="002E09E0"/>
    <w:rsid w:val="002E15CE"/>
    <w:rsid w:val="002E3A55"/>
    <w:rsid w:val="002E54EC"/>
    <w:rsid w:val="002E676A"/>
    <w:rsid w:val="002E6B49"/>
    <w:rsid w:val="002F14F6"/>
    <w:rsid w:val="002F3215"/>
    <w:rsid w:val="002F4492"/>
    <w:rsid w:val="002F4845"/>
    <w:rsid w:val="00300CCC"/>
    <w:rsid w:val="003012E3"/>
    <w:rsid w:val="003035F1"/>
    <w:rsid w:val="003063DE"/>
    <w:rsid w:val="00307891"/>
    <w:rsid w:val="003104F4"/>
    <w:rsid w:val="0031221A"/>
    <w:rsid w:val="00312419"/>
    <w:rsid w:val="0031298B"/>
    <w:rsid w:val="003136B0"/>
    <w:rsid w:val="00313BCE"/>
    <w:rsid w:val="003144A1"/>
    <w:rsid w:val="00325376"/>
    <w:rsid w:val="00325808"/>
    <w:rsid w:val="0032718E"/>
    <w:rsid w:val="00327C98"/>
    <w:rsid w:val="003336CC"/>
    <w:rsid w:val="00333AA7"/>
    <w:rsid w:val="00334042"/>
    <w:rsid w:val="0033488F"/>
    <w:rsid w:val="00334EC5"/>
    <w:rsid w:val="003355AA"/>
    <w:rsid w:val="0034007F"/>
    <w:rsid w:val="003402D9"/>
    <w:rsid w:val="00340363"/>
    <w:rsid w:val="00340834"/>
    <w:rsid w:val="003418BE"/>
    <w:rsid w:val="0034238F"/>
    <w:rsid w:val="00342BD0"/>
    <w:rsid w:val="003435A9"/>
    <w:rsid w:val="003435D1"/>
    <w:rsid w:val="003437BA"/>
    <w:rsid w:val="0034384F"/>
    <w:rsid w:val="003462B2"/>
    <w:rsid w:val="0034662C"/>
    <w:rsid w:val="00346EC5"/>
    <w:rsid w:val="00350A19"/>
    <w:rsid w:val="00350BBA"/>
    <w:rsid w:val="003512DE"/>
    <w:rsid w:val="003541DC"/>
    <w:rsid w:val="0035658C"/>
    <w:rsid w:val="00356723"/>
    <w:rsid w:val="0035797D"/>
    <w:rsid w:val="00360481"/>
    <w:rsid w:val="003605CD"/>
    <w:rsid w:val="00362D1B"/>
    <w:rsid w:val="003633D4"/>
    <w:rsid w:val="00365604"/>
    <w:rsid w:val="003665A7"/>
    <w:rsid w:val="00367306"/>
    <w:rsid w:val="003677B1"/>
    <w:rsid w:val="00370197"/>
    <w:rsid w:val="00371114"/>
    <w:rsid w:val="00371DB7"/>
    <w:rsid w:val="003723DE"/>
    <w:rsid w:val="00373693"/>
    <w:rsid w:val="00376982"/>
    <w:rsid w:val="003802E5"/>
    <w:rsid w:val="00382CED"/>
    <w:rsid w:val="00383A18"/>
    <w:rsid w:val="00386324"/>
    <w:rsid w:val="00387E27"/>
    <w:rsid w:val="0039075C"/>
    <w:rsid w:val="003908E5"/>
    <w:rsid w:val="00391887"/>
    <w:rsid w:val="00395351"/>
    <w:rsid w:val="00396F98"/>
    <w:rsid w:val="003A12EE"/>
    <w:rsid w:val="003A148A"/>
    <w:rsid w:val="003A1497"/>
    <w:rsid w:val="003A16E4"/>
    <w:rsid w:val="003A2050"/>
    <w:rsid w:val="003A4765"/>
    <w:rsid w:val="003A5449"/>
    <w:rsid w:val="003A5E33"/>
    <w:rsid w:val="003A6FB9"/>
    <w:rsid w:val="003A74DD"/>
    <w:rsid w:val="003B0AE9"/>
    <w:rsid w:val="003B2B1D"/>
    <w:rsid w:val="003B4079"/>
    <w:rsid w:val="003B42E5"/>
    <w:rsid w:val="003B7CE2"/>
    <w:rsid w:val="003C0B38"/>
    <w:rsid w:val="003C189A"/>
    <w:rsid w:val="003C2BC2"/>
    <w:rsid w:val="003C3879"/>
    <w:rsid w:val="003C3BAF"/>
    <w:rsid w:val="003C3D01"/>
    <w:rsid w:val="003C4D86"/>
    <w:rsid w:val="003C5C0F"/>
    <w:rsid w:val="003C5CA1"/>
    <w:rsid w:val="003D22DE"/>
    <w:rsid w:val="003D4137"/>
    <w:rsid w:val="003D6B00"/>
    <w:rsid w:val="003E232D"/>
    <w:rsid w:val="003E42E0"/>
    <w:rsid w:val="003E447D"/>
    <w:rsid w:val="003E45DC"/>
    <w:rsid w:val="003E45FA"/>
    <w:rsid w:val="003E4738"/>
    <w:rsid w:val="003F1CC1"/>
    <w:rsid w:val="003F33C6"/>
    <w:rsid w:val="003F440B"/>
    <w:rsid w:val="003F4E60"/>
    <w:rsid w:val="003F5237"/>
    <w:rsid w:val="003F6C33"/>
    <w:rsid w:val="003F7835"/>
    <w:rsid w:val="00401DFD"/>
    <w:rsid w:val="004020B1"/>
    <w:rsid w:val="00402516"/>
    <w:rsid w:val="00402C25"/>
    <w:rsid w:val="0040344D"/>
    <w:rsid w:val="00403623"/>
    <w:rsid w:val="0040414C"/>
    <w:rsid w:val="00405778"/>
    <w:rsid w:val="00406022"/>
    <w:rsid w:val="00406F10"/>
    <w:rsid w:val="0041086B"/>
    <w:rsid w:val="00410DB1"/>
    <w:rsid w:val="00413366"/>
    <w:rsid w:val="00414681"/>
    <w:rsid w:val="00416498"/>
    <w:rsid w:val="00417870"/>
    <w:rsid w:val="00420A2A"/>
    <w:rsid w:val="00421117"/>
    <w:rsid w:val="004212A4"/>
    <w:rsid w:val="0042183C"/>
    <w:rsid w:val="00423CA3"/>
    <w:rsid w:val="00425FF0"/>
    <w:rsid w:val="00426428"/>
    <w:rsid w:val="00426CB7"/>
    <w:rsid w:val="00430784"/>
    <w:rsid w:val="00433116"/>
    <w:rsid w:val="00435884"/>
    <w:rsid w:val="00435E6A"/>
    <w:rsid w:val="00441048"/>
    <w:rsid w:val="00441160"/>
    <w:rsid w:val="004414C4"/>
    <w:rsid w:val="00441D11"/>
    <w:rsid w:val="00442B9C"/>
    <w:rsid w:val="00442C71"/>
    <w:rsid w:val="00443784"/>
    <w:rsid w:val="00444579"/>
    <w:rsid w:val="00444D03"/>
    <w:rsid w:val="004458D6"/>
    <w:rsid w:val="0044603A"/>
    <w:rsid w:val="00446638"/>
    <w:rsid w:val="00446659"/>
    <w:rsid w:val="00454420"/>
    <w:rsid w:val="00456553"/>
    <w:rsid w:val="00456FC5"/>
    <w:rsid w:val="00457A95"/>
    <w:rsid w:val="00460520"/>
    <w:rsid w:val="00462830"/>
    <w:rsid w:val="0046456D"/>
    <w:rsid w:val="00464BBD"/>
    <w:rsid w:val="00464F36"/>
    <w:rsid w:val="004670B2"/>
    <w:rsid w:val="0046797D"/>
    <w:rsid w:val="00470935"/>
    <w:rsid w:val="00470DB3"/>
    <w:rsid w:val="00471E27"/>
    <w:rsid w:val="00473ED1"/>
    <w:rsid w:val="004779EA"/>
    <w:rsid w:val="00480801"/>
    <w:rsid w:val="00481CB2"/>
    <w:rsid w:val="0048305D"/>
    <w:rsid w:val="00483345"/>
    <w:rsid w:val="00483F8D"/>
    <w:rsid w:val="00491063"/>
    <w:rsid w:val="00492974"/>
    <w:rsid w:val="00493D80"/>
    <w:rsid w:val="00495309"/>
    <w:rsid w:val="00495C6A"/>
    <w:rsid w:val="004960E6"/>
    <w:rsid w:val="004966C9"/>
    <w:rsid w:val="00497F63"/>
    <w:rsid w:val="004A003A"/>
    <w:rsid w:val="004A3997"/>
    <w:rsid w:val="004A4788"/>
    <w:rsid w:val="004A4DD8"/>
    <w:rsid w:val="004A5A93"/>
    <w:rsid w:val="004A60EA"/>
    <w:rsid w:val="004A6470"/>
    <w:rsid w:val="004A6B41"/>
    <w:rsid w:val="004B03AD"/>
    <w:rsid w:val="004B1AA0"/>
    <w:rsid w:val="004B3D43"/>
    <w:rsid w:val="004B44FE"/>
    <w:rsid w:val="004B63D8"/>
    <w:rsid w:val="004B7F23"/>
    <w:rsid w:val="004C09A3"/>
    <w:rsid w:val="004C228E"/>
    <w:rsid w:val="004C2D1E"/>
    <w:rsid w:val="004C59F7"/>
    <w:rsid w:val="004D5168"/>
    <w:rsid w:val="004D749A"/>
    <w:rsid w:val="004E1A9D"/>
    <w:rsid w:val="004E3BF4"/>
    <w:rsid w:val="004E4B03"/>
    <w:rsid w:val="004E4C25"/>
    <w:rsid w:val="004E4E46"/>
    <w:rsid w:val="004E501E"/>
    <w:rsid w:val="004E5B32"/>
    <w:rsid w:val="004F3F45"/>
    <w:rsid w:val="004F65EA"/>
    <w:rsid w:val="004F7352"/>
    <w:rsid w:val="004F745D"/>
    <w:rsid w:val="005008A3"/>
    <w:rsid w:val="00503DB0"/>
    <w:rsid w:val="00510DEA"/>
    <w:rsid w:val="00511720"/>
    <w:rsid w:val="00513CD6"/>
    <w:rsid w:val="00514C3A"/>
    <w:rsid w:val="005156BC"/>
    <w:rsid w:val="00515C14"/>
    <w:rsid w:val="00517864"/>
    <w:rsid w:val="005200DF"/>
    <w:rsid w:val="00521F36"/>
    <w:rsid w:val="00522582"/>
    <w:rsid w:val="00523DB4"/>
    <w:rsid w:val="00525465"/>
    <w:rsid w:val="0052554E"/>
    <w:rsid w:val="00531A04"/>
    <w:rsid w:val="00532629"/>
    <w:rsid w:val="00533061"/>
    <w:rsid w:val="005331E2"/>
    <w:rsid w:val="00534CCC"/>
    <w:rsid w:val="00536956"/>
    <w:rsid w:val="00537739"/>
    <w:rsid w:val="00537935"/>
    <w:rsid w:val="00541AB8"/>
    <w:rsid w:val="00544373"/>
    <w:rsid w:val="00544D0B"/>
    <w:rsid w:val="005456A2"/>
    <w:rsid w:val="00550867"/>
    <w:rsid w:val="00551EEB"/>
    <w:rsid w:val="0055278D"/>
    <w:rsid w:val="005539DB"/>
    <w:rsid w:val="00553D72"/>
    <w:rsid w:val="00555ED7"/>
    <w:rsid w:val="005561B3"/>
    <w:rsid w:val="00557502"/>
    <w:rsid w:val="00560296"/>
    <w:rsid w:val="00561662"/>
    <w:rsid w:val="00564033"/>
    <w:rsid w:val="00564C40"/>
    <w:rsid w:val="00565FB4"/>
    <w:rsid w:val="00566404"/>
    <w:rsid w:val="00567695"/>
    <w:rsid w:val="00572530"/>
    <w:rsid w:val="0057457F"/>
    <w:rsid w:val="00577972"/>
    <w:rsid w:val="00577DAA"/>
    <w:rsid w:val="005827BA"/>
    <w:rsid w:val="0058437E"/>
    <w:rsid w:val="0058476B"/>
    <w:rsid w:val="00585165"/>
    <w:rsid w:val="00586F3A"/>
    <w:rsid w:val="00587343"/>
    <w:rsid w:val="005875A0"/>
    <w:rsid w:val="00587AA0"/>
    <w:rsid w:val="00587E63"/>
    <w:rsid w:val="00590613"/>
    <w:rsid w:val="0059075C"/>
    <w:rsid w:val="005908CE"/>
    <w:rsid w:val="00590F62"/>
    <w:rsid w:val="00592657"/>
    <w:rsid w:val="005926DB"/>
    <w:rsid w:val="005929CA"/>
    <w:rsid w:val="0059346C"/>
    <w:rsid w:val="00593F35"/>
    <w:rsid w:val="00594D51"/>
    <w:rsid w:val="00594DEA"/>
    <w:rsid w:val="005951BD"/>
    <w:rsid w:val="0059569D"/>
    <w:rsid w:val="005970FF"/>
    <w:rsid w:val="005977D2"/>
    <w:rsid w:val="005A2190"/>
    <w:rsid w:val="005A4883"/>
    <w:rsid w:val="005A4F2B"/>
    <w:rsid w:val="005A5C9B"/>
    <w:rsid w:val="005A771A"/>
    <w:rsid w:val="005B1F3C"/>
    <w:rsid w:val="005B395E"/>
    <w:rsid w:val="005B43A7"/>
    <w:rsid w:val="005B4B03"/>
    <w:rsid w:val="005B6770"/>
    <w:rsid w:val="005B6FCE"/>
    <w:rsid w:val="005B7B1B"/>
    <w:rsid w:val="005C2EA5"/>
    <w:rsid w:val="005D23F2"/>
    <w:rsid w:val="005D29E1"/>
    <w:rsid w:val="005D314B"/>
    <w:rsid w:val="005D37BD"/>
    <w:rsid w:val="005D3F6F"/>
    <w:rsid w:val="005D5A3F"/>
    <w:rsid w:val="005D5ABB"/>
    <w:rsid w:val="005D71BC"/>
    <w:rsid w:val="005E1406"/>
    <w:rsid w:val="005E238A"/>
    <w:rsid w:val="005E35C3"/>
    <w:rsid w:val="005E50B8"/>
    <w:rsid w:val="005E5A3A"/>
    <w:rsid w:val="005E69BD"/>
    <w:rsid w:val="005E786E"/>
    <w:rsid w:val="005F0068"/>
    <w:rsid w:val="005F1EC8"/>
    <w:rsid w:val="005F3615"/>
    <w:rsid w:val="005F3B58"/>
    <w:rsid w:val="005F70C4"/>
    <w:rsid w:val="0060051C"/>
    <w:rsid w:val="00600D13"/>
    <w:rsid w:val="006011DE"/>
    <w:rsid w:val="006017C1"/>
    <w:rsid w:val="00602987"/>
    <w:rsid w:val="0060349C"/>
    <w:rsid w:val="0060443E"/>
    <w:rsid w:val="00604725"/>
    <w:rsid w:val="00604B4D"/>
    <w:rsid w:val="00606296"/>
    <w:rsid w:val="00606466"/>
    <w:rsid w:val="006073A7"/>
    <w:rsid w:val="006076D3"/>
    <w:rsid w:val="00611269"/>
    <w:rsid w:val="00613213"/>
    <w:rsid w:val="00613260"/>
    <w:rsid w:val="00613831"/>
    <w:rsid w:val="0061416F"/>
    <w:rsid w:val="0061514F"/>
    <w:rsid w:val="00615621"/>
    <w:rsid w:val="00615D4E"/>
    <w:rsid w:val="00621069"/>
    <w:rsid w:val="0062146F"/>
    <w:rsid w:val="0062157D"/>
    <w:rsid w:val="00622558"/>
    <w:rsid w:val="0062637E"/>
    <w:rsid w:val="006325DA"/>
    <w:rsid w:val="00632E0D"/>
    <w:rsid w:val="00634162"/>
    <w:rsid w:val="00634FEC"/>
    <w:rsid w:val="006358B9"/>
    <w:rsid w:val="006361AE"/>
    <w:rsid w:val="00636612"/>
    <w:rsid w:val="00636C2A"/>
    <w:rsid w:val="00641C9B"/>
    <w:rsid w:val="00642335"/>
    <w:rsid w:val="00643452"/>
    <w:rsid w:val="006438A7"/>
    <w:rsid w:val="00644CFB"/>
    <w:rsid w:val="00645EB2"/>
    <w:rsid w:val="00647A07"/>
    <w:rsid w:val="00650CE4"/>
    <w:rsid w:val="00650E29"/>
    <w:rsid w:val="00651A84"/>
    <w:rsid w:val="0065359F"/>
    <w:rsid w:val="00654372"/>
    <w:rsid w:val="00654D09"/>
    <w:rsid w:val="00657B12"/>
    <w:rsid w:val="00661C1E"/>
    <w:rsid w:val="0066390D"/>
    <w:rsid w:val="00663E64"/>
    <w:rsid w:val="00666B9A"/>
    <w:rsid w:val="00667B0C"/>
    <w:rsid w:val="0067060B"/>
    <w:rsid w:val="00670626"/>
    <w:rsid w:val="00670AB7"/>
    <w:rsid w:val="006727B9"/>
    <w:rsid w:val="00672D5A"/>
    <w:rsid w:val="006744F8"/>
    <w:rsid w:val="00675B96"/>
    <w:rsid w:val="006810BA"/>
    <w:rsid w:val="00681E6A"/>
    <w:rsid w:val="00684D38"/>
    <w:rsid w:val="00686A04"/>
    <w:rsid w:val="006878DC"/>
    <w:rsid w:val="0069071C"/>
    <w:rsid w:val="00691BCF"/>
    <w:rsid w:val="0069252D"/>
    <w:rsid w:val="00695160"/>
    <w:rsid w:val="0069659C"/>
    <w:rsid w:val="00696E88"/>
    <w:rsid w:val="00697374"/>
    <w:rsid w:val="006A00BD"/>
    <w:rsid w:val="006A0434"/>
    <w:rsid w:val="006A1CA9"/>
    <w:rsid w:val="006A640F"/>
    <w:rsid w:val="006A6532"/>
    <w:rsid w:val="006A686B"/>
    <w:rsid w:val="006B0E38"/>
    <w:rsid w:val="006B1124"/>
    <w:rsid w:val="006B2512"/>
    <w:rsid w:val="006B276D"/>
    <w:rsid w:val="006B4600"/>
    <w:rsid w:val="006B4D3E"/>
    <w:rsid w:val="006B54AF"/>
    <w:rsid w:val="006B56AA"/>
    <w:rsid w:val="006B731A"/>
    <w:rsid w:val="006C3AC5"/>
    <w:rsid w:val="006C6D9F"/>
    <w:rsid w:val="006D0A8A"/>
    <w:rsid w:val="006D2061"/>
    <w:rsid w:val="006D5BAF"/>
    <w:rsid w:val="006D5BFE"/>
    <w:rsid w:val="006D7334"/>
    <w:rsid w:val="006E167F"/>
    <w:rsid w:val="006E2466"/>
    <w:rsid w:val="006E2503"/>
    <w:rsid w:val="006E7291"/>
    <w:rsid w:val="006F0229"/>
    <w:rsid w:val="006F1080"/>
    <w:rsid w:val="006F2DA6"/>
    <w:rsid w:val="006F49E6"/>
    <w:rsid w:val="006F72F5"/>
    <w:rsid w:val="006F7B65"/>
    <w:rsid w:val="006F7F07"/>
    <w:rsid w:val="00700797"/>
    <w:rsid w:val="00700913"/>
    <w:rsid w:val="0070285A"/>
    <w:rsid w:val="00705236"/>
    <w:rsid w:val="007061BA"/>
    <w:rsid w:val="007127C2"/>
    <w:rsid w:val="007134E9"/>
    <w:rsid w:val="007136CE"/>
    <w:rsid w:val="007145ED"/>
    <w:rsid w:val="00716175"/>
    <w:rsid w:val="00716CFA"/>
    <w:rsid w:val="00717BB4"/>
    <w:rsid w:val="0072176C"/>
    <w:rsid w:val="00723F5C"/>
    <w:rsid w:val="007245BD"/>
    <w:rsid w:val="007250EA"/>
    <w:rsid w:val="00726A29"/>
    <w:rsid w:val="00726D8E"/>
    <w:rsid w:val="00727119"/>
    <w:rsid w:val="007276CB"/>
    <w:rsid w:val="00730294"/>
    <w:rsid w:val="00731BA1"/>
    <w:rsid w:val="00733974"/>
    <w:rsid w:val="007359DA"/>
    <w:rsid w:val="00736191"/>
    <w:rsid w:val="007413E4"/>
    <w:rsid w:val="007428F1"/>
    <w:rsid w:val="0074490C"/>
    <w:rsid w:val="00744D15"/>
    <w:rsid w:val="0074509F"/>
    <w:rsid w:val="00745372"/>
    <w:rsid w:val="007462AF"/>
    <w:rsid w:val="0075020F"/>
    <w:rsid w:val="00751C91"/>
    <w:rsid w:val="00756957"/>
    <w:rsid w:val="00757931"/>
    <w:rsid w:val="00760F11"/>
    <w:rsid w:val="0076133C"/>
    <w:rsid w:val="007621B2"/>
    <w:rsid w:val="00765117"/>
    <w:rsid w:val="00765E05"/>
    <w:rsid w:val="007668A8"/>
    <w:rsid w:val="00770344"/>
    <w:rsid w:val="007723F5"/>
    <w:rsid w:val="007728C4"/>
    <w:rsid w:val="00774390"/>
    <w:rsid w:val="007745F0"/>
    <w:rsid w:val="00776300"/>
    <w:rsid w:val="007763D8"/>
    <w:rsid w:val="007770D2"/>
    <w:rsid w:val="00777702"/>
    <w:rsid w:val="007805E2"/>
    <w:rsid w:val="007811EC"/>
    <w:rsid w:val="00781C6C"/>
    <w:rsid w:val="00783657"/>
    <w:rsid w:val="00783E48"/>
    <w:rsid w:val="00784BA2"/>
    <w:rsid w:val="007858CB"/>
    <w:rsid w:val="00785D24"/>
    <w:rsid w:val="00790A05"/>
    <w:rsid w:val="0079173B"/>
    <w:rsid w:val="00792C68"/>
    <w:rsid w:val="00793117"/>
    <w:rsid w:val="007931DD"/>
    <w:rsid w:val="0079360A"/>
    <w:rsid w:val="00796814"/>
    <w:rsid w:val="0079704B"/>
    <w:rsid w:val="007A1203"/>
    <w:rsid w:val="007A2F11"/>
    <w:rsid w:val="007A346C"/>
    <w:rsid w:val="007A4E21"/>
    <w:rsid w:val="007A554C"/>
    <w:rsid w:val="007A5645"/>
    <w:rsid w:val="007A5B83"/>
    <w:rsid w:val="007A6598"/>
    <w:rsid w:val="007A7788"/>
    <w:rsid w:val="007B0885"/>
    <w:rsid w:val="007B4F7E"/>
    <w:rsid w:val="007B6153"/>
    <w:rsid w:val="007B74C1"/>
    <w:rsid w:val="007B7F17"/>
    <w:rsid w:val="007C0003"/>
    <w:rsid w:val="007C2128"/>
    <w:rsid w:val="007C31FD"/>
    <w:rsid w:val="007C3CFD"/>
    <w:rsid w:val="007C3FE1"/>
    <w:rsid w:val="007C459C"/>
    <w:rsid w:val="007C65A3"/>
    <w:rsid w:val="007C762F"/>
    <w:rsid w:val="007D0A61"/>
    <w:rsid w:val="007D1067"/>
    <w:rsid w:val="007D1854"/>
    <w:rsid w:val="007D31D0"/>
    <w:rsid w:val="007D37ED"/>
    <w:rsid w:val="007D6B26"/>
    <w:rsid w:val="007D73E8"/>
    <w:rsid w:val="007D7624"/>
    <w:rsid w:val="007E09A7"/>
    <w:rsid w:val="007E0C22"/>
    <w:rsid w:val="007E150A"/>
    <w:rsid w:val="007E1ADF"/>
    <w:rsid w:val="007E1FE6"/>
    <w:rsid w:val="007E5050"/>
    <w:rsid w:val="007E5117"/>
    <w:rsid w:val="007E5150"/>
    <w:rsid w:val="007E7D1A"/>
    <w:rsid w:val="007F0AD5"/>
    <w:rsid w:val="007F4D0A"/>
    <w:rsid w:val="007F5792"/>
    <w:rsid w:val="007F61E2"/>
    <w:rsid w:val="007F78DF"/>
    <w:rsid w:val="008017DD"/>
    <w:rsid w:val="00804089"/>
    <w:rsid w:val="00805FD8"/>
    <w:rsid w:val="008069F5"/>
    <w:rsid w:val="00807B4A"/>
    <w:rsid w:val="00810AF1"/>
    <w:rsid w:val="00811B03"/>
    <w:rsid w:val="00813D10"/>
    <w:rsid w:val="00814AEE"/>
    <w:rsid w:val="00814D89"/>
    <w:rsid w:val="008150D6"/>
    <w:rsid w:val="00815A4F"/>
    <w:rsid w:val="00817E65"/>
    <w:rsid w:val="008216D6"/>
    <w:rsid w:val="00821870"/>
    <w:rsid w:val="008229F7"/>
    <w:rsid w:val="00823A16"/>
    <w:rsid w:val="00824F4C"/>
    <w:rsid w:val="00825C83"/>
    <w:rsid w:val="0083203F"/>
    <w:rsid w:val="0083243F"/>
    <w:rsid w:val="00832706"/>
    <w:rsid w:val="00832E86"/>
    <w:rsid w:val="00833DF3"/>
    <w:rsid w:val="0083737F"/>
    <w:rsid w:val="00842844"/>
    <w:rsid w:val="00843F49"/>
    <w:rsid w:val="00844A05"/>
    <w:rsid w:val="00846EFE"/>
    <w:rsid w:val="00847CBB"/>
    <w:rsid w:val="00850058"/>
    <w:rsid w:val="00850953"/>
    <w:rsid w:val="00851091"/>
    <w:rsid w:val="00852E60"/>
    <w:rsid w:val="00852F63"/>
    <w:rsid w:val="00853876"/>
    <w:rsid w:val="00854DDA"/>
    <w:rsid w:val="00855415"/>
    <w:rsid w:val="00860715"/>
    <w:rsid w:val="00860AFA"/>
    <w:rsid w:val="008618D2"/>
    <w:rsid w:val="00861978"/>
    <w:rsid w:val="008619E8"/>
    <w:rsid w:val="00861E0D"/>
    <w:rsid w:val="0086336A"/>
    <w:rsid w:val="00864104"/>
    <w:rsid w:val="00864883"/>
    <w:rsid w:val="00866711"/>
    <w:rsid w:val="00866AFD"/>
    <w:rsid w:val="00866C56"/>
    <w:rsid w:val="0086773C"/>
    <w:rsid w:val="00870043"/>
    <w:rsid w:val="00870B8C"/>
    <w:rsid w:val="00871A24"/>
    <w:rsid w:val="00874149"/>
    <w:rsid w:val="0087638C"/>
    <w:rsid w:val="0088195F"/>
    <w:rsid w:val="00881C18"/>
    <w:rsid w:val="00881F68"/>
    <w:rsid w:val="00882682"/>
    <w:rsid w:val="00883356"/>
    <w:rsid w:val="008857D7"/>
    <w:rsid w:val="00887730"/>
    <w:rsid w:val="008878D6"/>
    <w:rsid w:val="00890E2F"/>
    <w:rsid w:val="008958D2"/>
    <w:rsid w:val="00896247"/>
    <w:rsid w:val="008A0404"/>
    <w:rsid w:val="008A251E"/>
    <w:rsid w:val="008A2E10"/>
    <w:rsid w:val="008A46A8"/>
    <w:rsid w:val="008A555D"/>
    <w:rsid w:val="008A5850"/>
    <w:rsid w:val="008A6435"/>
    <w:rsid w:val="008A68CB"/>
    <w:rsid w:val="008B153A"/>
    <w:rsid w:val="008B58CC"/>
    <w:rsid w:val="008B65CC"/>
    <w:rsid w:val="008B6AD9"/>
    <w:rsid w:val="008C081A"/>
    <w:rsid w:val="008C1A20"/>
    <w:rsid w:val="008C2CE0"/>
    <w:rsid w:val="008C3BB7"/>
    <w:rsid w:val="008C5418"/>
    <w:rsid w:val="008C7FD2"/>
    <w:rsid w:val="008D0602"/>
    <w:rsid w:val="008D222B"/>
    <w:rsid w:val="008D2340"/>
    <w:rsid w:val="008D5EAC"/>
    <w:rsid w:val="008D5EF5"/>
    <w:rsid w:val="008D6616"/>
    <w:rsid w:val="008D6BB7"/>
    <w:rsid w:val="008E07C5"/>
    <w:rsid w:val="008E13EE"/>
    <w:rsid w:val="008E246E"/>
    <w:rsid w:val="008E37FA"/>
    <w:rsid w:val="008E3B95"/>
    <w:rsid w:val="008E62A6"/>
    <w:rsid w:val="008F044D"/>
    <w:rsid w:val="008F068E"/>
    <w:rsid w:val="008F1B9D"/>
    <w:rsid w:val="008F4C1C"/>
    <w:rsid w:val="008F70AD"/>
    <w:rsid w:val="008F7AE1"/>
    <w:rsid w:val="0090111C"/>
    <w:rsid w:val="009051C5"/>
    <w:rsid w:val="00905992"/>
    <w:rsid w:val="00911A17"/>
    <w:rsid w:val="0091352E"/>
    <w:rsid w:val="009169D8"/>
    <w:rsid w:val="009171D8"/>
    <w:rsid w:val="00917D52"/>
    <w:rsid w:val="009213DA"/>
    <w:rsid w:val="00923C55"/>
    <w:rsid w:val="009266DD"/>
    <w:rsid w:val="009273A3"/>
    <w:rsid w:val="00927821"/>
    <w:rsid w:val="0093265F"/>
    <w:rsid w:val="00934578"/>
    <w:rsid w:val="0093481A"/>
    <w:rsid w:val="00936B0E"/>
    <w:rsid w:val="0093751E"/>
    <w:rsid w:val="00940BF4"/>
    <w:rsid w:val="00940E2C"/>
    <w:rsid w:val="0094167D"/>
    <w:rsid w:val="00944865"/>
    <w:rsid w:val="009455B1"/>
    <w:rsid w:val="0094593A"/>
    <w:rsid w:val="00945946"/>
    <w:rsid w:val="00945A13"/>
    <w:rsid w:val="00945B17"/>
    <w:rsid w:val="00951614"/>
    <w:rsid w:val="00951E03"/>
    <w:rsid w:val="00952317"/>
    <w:rsid w:val="00953B18"/>
    <w:rsid w:val="00954228"/>
    <w:rsid w:val="00954DF6"/>
    <w:rsid w:val="00955093"/>
    <w:rsid w:val="00955DDA"/>
    <w:rsid w:val="00961E86"/>
    <w:rsid w:val="00962518"/>
    <w:rsid w:val="00962CDD"/>
    <w:rsid w:val="009640CD"/>
    <w:rsid w:val="00964BB7"/>
    <w:rsid w:val="0096521B"/>
    <w:rsid w:val="009712C4"/>
    <w:rsid w:val="00975187"/>
    <w:rsid w:val="00975C60"/>
    <w:rsid w:val="00975E18"/>
    <w:rsid w:val="00975EA9"/>
    <w:rsid w:val="00976016"/>
    <w:rsid w:val="00981E36"/>
    <w:rsid w:val="00981FD0"/>
    <w:rsid w:val="00982D0B"/>
    <w:rsid w:val="0098420B"/>
    <w:rsid w:val="009876C6"/>
    <w:rsid w:val="00987C56"/>
    <w:rsid w:val="0099597A"/>
    <w:rsid w:val="00995D3E"/>
    <w:rsid w:val="00996406"/>
    <w:rsid w:val="00997346"/>
    <w:rsid w:val="00997375"/>
    <w:rsid w:val="009A2305"/>
    <w:rsid w:val="009A2F21"/>
    <w:rsid w:val="009A5182"/>
    <w:rsid w:val="009A5B2A"/>
    <w:rsid w:val="009A780F"/>
    <w:rsid w:val="009A7D27"/>
    <w:rsid w:val="009B3566"/>
    <w:rsid w:val="009C0DAB"/>
    <w:rsid w:val="009C6444"/>
    <w:rsid w:val="009C6EF0"/>
    <w:rsid w:val="009D1D56"/>
    <w:rsid w:val="009D2268"/>
    <w:rsid w:val="009D2444"/>
    <w:rsid w:val="009D3931"/>
    <w:rsid w:val="009D3D0A"/>
    <w:rsid w:val="009D54D3"/>
    <w:rsid w:val="009D5769"/>
    <w:rsid w:val="009E0A13"/>
    <w:rsid w:val="009E1713"/>
    <w:rsid w:val="009E2831"/>
    <w:rsid w:val="009E3655"/>
    <w:rsid w:val="009E4D77"/>
    <w:rsid w:val="009E4E37"/>
    <w:rsid w:val="009E60B6"/>
    <w:rsid w:val="009E6741"/>
    <w:rsid w:val="009E69E2"/>
    <w:rsid w:val="009E7231"/>
    <w:rsid w:val="009F1345"/>
    <w:rsid w:val="009F150D"/>
    <w:rsid w:val="009F1712"/>
    <w:rsid w:val="009F1A2F"/>
    <w:rsid w:val="009F387B"/>
    <w:rsid w:val="009F4A42"/>
    <w:rsid w:val="009F4D46"/>
    <w:rsid w:val="009F4D70"/>
    <w:rsid w:val="009F4E85"/>
    <w:rsid w:val="009F78B8"/>
    <w:rsid w:val="00A0120A"/>
    <w:rsid w:val="00A015A8"/>
    <w:rsid w:val="00A0335D"/>
    <w:rsid w:val="00A037D2"/>
    <w:rsid w:val="00A06137"/>
    <w:rsid w:val="00A061B8"/>
    <w:rsid w:val="00A070FE"/>
    <w:rsid w:val="00A07E1A"/>
    <w:rsid w:val="00A108B6"/>
    <w:rsid w:val="00A10BAB"/>
    <w:rsid w:val="00A1203B"/>
    <w:rsid w:val="00A1237C"/>
    <w:rsid w:val="00A131D2"/>
    <w:rsid w:val="00A144AB"/>
    <w:rsid w:val="00A14766"/>
    <w:rsid w:val="00A17960"/>
    <w:rsid w:val="00A222B4"/>
    <w:rsid w:val="00A225E8"/>
    <w:rsid w:val="00A23149"/>
    <w:rsid w:val="00A233AA"/>
    <w:rsid w:val="00A2632E"/>
    <w:rsid w:val="00A272B6"/>
    <w:rsid w:val="00A31721"/>
    <w:rsid w:val="00A31BA5"/>
    <w:rsid w:val="00A342A0"/>
    <w:rsid w:val="00A3474A"/>
    <w:rsid w:val="00A40886"/>
    <w:rsid w:val="00A40CBD"/>
    <w:rsid w:val="00A42E9A"/>
    <w:rsid w:val="00A47788"/>
    <w:rsid w:val="00A47E3D"/>
    <w:rsid w:val="00A50ACF"/>
    <w:rsid w:val="00A51A6D"/>
    <w:rsid w:val="00A52625"/>
    <w:rsid w:val="00A52C0F"/>
    <w:rsid w:val="00A52F9F"/>
    <w:rsid w:val="00A53C78"/>
    <w:rsid w:val="00A53D59"/>
    <w:rsid w:val="00A561A2"/>
    <w:rsid w:val="00A5763E"/>
    <w:rsid w:val="00A5793E"/>
    <w:rsid w:val="00A60B28"/>
    <w:rsid w:val="00A614ED"/>
    <w:rsid w:val="00A63374"/>
    <w:rsid w:val="00A64EF8"/>
    <w:rsid w:val="00A663F3"/>
    <w:rsid w:val="00A66AC5"/>
    <w:rsid w:val="00A6761B"/>
    <w:rsid w:val="00A72F08"/>
    <w:rsid w:val="00A74F68"/>
    <w:rsid w:val="00A754BB"/>
    <w:rsid w:val="00A75733"/>
    <w:rsid w:val="00A75F42"/>
    <w:rsid w:val="00A767D7"/>
    <w:rsid w:val="00A772BB"/>
    <w:rsid w:val="00A77EA4"/>
    <w:rsid w:val="00A80AE9"/>
    <w:rsid w:val="00A8523A"/>
    <w:rsid w:val="00A905BF"/>
    <w:rsid w:val="00A90D56"/>
    <w:rsid w:val="00A90D95"/>
    <w:rsid w:val="00A92730"/>
    <w:rsid w:val="00A92D67"/>
    <w:rsid w:val="00A941BF"/>
    <w:rsid w:val="00A9652E"/>
    <w:rsid w:val="00AA0E21"/>
    <w:rsid w:val="00AA3FA3"/>
    <w:rsid w:val="00AA51A2"/>
    <w:rsid w:val="00AA658C"/>
    <w:rsid w:val="00AA7C1A"/>
    <w:rsid w:val="00AB4664"/>
    <w:rsid w:val="00AB55B3"/>
    <w:rsid w:val="00AB6329"/>
    <w:rsid w:val="00AB661A"/>
    <w:rsid w:val="00AB76E4"/>
    <w:rsid w:val="00AC083E"/>
    <w:rsid w:val="00AC12C3"/>
    <w:rsid w:val="00AC1F41"/>
    <w:rsid w:val="00AC267D"/>
    <w:rsid w:val="00AC2D87"/>
    <w:rsid w:val="00AC4601"/>
    <w:rsid w:val="00AC5AF0"/>
    <w:rsid w:val="00AC64F8"/>
    <w:rsid w:val="00AC6FF0"/>
    <w:rsid w:val="00AD43CE"/>
    <w:rsid w:val="00AD58A2"/>
    <w:rsid w:val="00AD7725"/>
    <w:rsid w:val="00AE2FA8"/>
    <w:rsid w:val="00AE3442"/>
    <w:rsid w:val="00AE3F32"/>
    <w:rsid w:val="00AE52FA"/>
    <w:rsid w:val="00AE7D36"/>
    <w:rsid w:val="00AF52C1"/>
    <w:rsid w:val="00AF74A3"/>
    <w:rsid w:val="00B003A4"/>
    <w:rsid w:val="00B00ACD"/>
    <w:rsid w:val="00B00C37"/>
    <w:rsid w:val="00B017FA"/>
    <w:rsid w:val="00B018FD"/>
    <w:rsid w:val="00B02572"/>
    <w:rsid w:val="00B028FA"/>
    <w:rsid w:val="00B02B1E"/>
    <w:rsid w:val="00B03B45"/>
    <w:rsid w:val="00B05B5C"/>
    <w:rsid w:val="00B06E5F"/>
    <w:rsid w:val="00B1096B"/>
    <w:rsid w:val="00B109E8"/>
    <w:rsid w:val="00B10F3B"/>
    <w:rsid w:val="00B11D67"/>
    <w:rsid w:val="00B12782"/>
    <w:rsid w:val="00B12EB8"/>
    <w:rsid w:val="00B1430D"/>
    <w:rsid w:val="00B15727"/>
    <w:rsid w:val="00B16C33"/>
    <w:rsid w:val="00B16CCF"/>
    <w:rsid w:val="00B1738D"/>
    <w:rsid w:val="00B178AD"/>
    <w:rsid w:val="00B21A69"/>
    <w:rsid w:val="00B243F3"/>
    <w:rsid w:val="00B24492"/>
    <w:rsid w:val="00B247B2"/>
    <w:rsid w:val="00B248D7"/>
    <w:rsid w:val="00B257F4"/>
    <w:rsid w:val="00B2580E"/>
    <w:rsid w:val="00B26664"/>
    <w:rsid w:val="00B2692D"/>
    <w:rsid w:val="00B26A72"/>
    <w:rsid w:val="00B26E98"/>
    <w:rsid w:val="00B303AF"/>
    <w:rsid w:val="00B309F9"/>
    <w:rsid w:val="00B3499E"/>
    <w:rsid w:val="00B358EC"/>
    <w:rsid w:val="00B37ECB"/>
    <w:rsid w:val="00B40632"/>
    <w:rsid w:val="00B40ECE"/>
    <w:rsid w:val="00B4239B"/>
    <w:rsid w:val="00B42B61"/>
    <w:rsid w:val="00B43F35"/>
    <w:rsid w:val="00B4507C"/>
    <w:rsid w:val="00B46596"/>
    <w:rsid w:val="00B46B29"/>
    <w:rsid w:val="00B50A0E"/>
    <w:rsid w:val="00B514E3"/>
    <w:rsid w:val="00B51D98"/>
    <w:rsid w:val="00B5293F"/>
    <w:rsid w:val="00B54563"/>
    <w:rsid w:val="00B54D08"/>
    <w:rsid w:val="00B5537D"/>
    <w:rsid w:val="00B5562D"/>
    <w:rsid w:val="00B55771"/>
    <w:rsid w:val="00B5769F"/>
    <w:rsid w:val="00B57DED"/>
    <w:rsid w:val="00B621B9"/>
    <w:rsid w:val="00B62B16"/>
    <w:rsid w:val="00B62B62"/>
    <w:rsid w:val="00B62D1F"/>
    <w:rsid w:val="00B6384B"/>
    <w:rsid w:val="00B6389F"/>
    <w:rsid w:val="00B641C5"/>
    <w:rsid w:val="00B64651"/>
    <w:rsid w:val="00B649E0"/>
    <w:rsid w:val="00B6647F"/>
    <w:rsid w:val="00B66D5C"/>
    <w:rsid w:val="00B66DBA"/>
    <w:rsid w:val="00B752FB"/>
    <w:rsid w:val="00B75969"/>
    <w:rsid w:val="00B76680"/>
    <w:rsid w:val="00B77263"/>
    <w:rsid w:val="00B83969"/>
    <w:rsid w:val="00B83F53"/>
    <w:rsid w:val="00B84CC3"/>
    <w:rsid w:val="00B85096"/>
    <w:rsid w:val="00B85291"/>
    <w:rsid w:val="00B86886"/>
    <w:rsid w:val="00B91D4F"/>
    <w:rsid w:val="00B94976"/>
    <w:rsid w:val="00B95450"/>
    <w:rsid w:val="00B955D2"/>
    <w:rsid w:val="00B95632"/>
    <w:rsid w:val="00B95D27"/>
    <w:rsid w:val="00B97938"/>
    <w:rsid w:val="00BA3941"/>
    <w:rsid w:val="00BA4D66"/>
    <w:rsid w:val="00BA64F8"/>
    <w:rsid w:val="00BA7CDA"/>
    <w:rsid w:val="00BB2F88"/>
    <w:rsid w:val="00BC0D5F"/>
    <w:rsid w:val="00BC4261"/>
    <w:rsid w:val="00BC48FA"/>
    <w:rsid w:val="00BC52D3"/>
    <w:rsid w:val="00BC531E"/>
    <w:rsid w:val="00BC61C1"/>
    <w:rsid w:val="00BC6298"/>
    <w:rsid w:val="00BC673B"/>
    <w:rsid w:val="00BC712F"/>
    <w:rsid w:val="00BD6431"/>
    <w:rsid w:val="00BD6C1F"/>
    <w:rsid w:val="00BD7025"/>
    <w:rsid w:val="00BD7ADC"/>
    <w:rsid w:val="00BE07A0"/>
    <w:rsid w:val="00BE2320"/>
    <w:rsid w:val="00BE2B81"/>
    <w:rsid w:val="00BE310F"/>
    <w:rsid w:val="00BE3A00"/>
    <w:rsid w:val="00BE3CFA"/>
    <w:rsid w:val="00BE3CFD"/>
    <w:rsid w:val="00BE5444"/>
    <w:rsid w:val="00BF0D38"/>
    <w:rsid w:val="00BF16B4"/>
    <w:rsid w:val="00BF207B"/>
    <w:rsid w:val="00BF2884"/>
    <w:rsid w:val="00BF3589"/>
    <w:rsid w:val="00BF5B50"/>
    <w:rsid w:val="00BF691A"/>
    <w:rsid w:val="00BF6B28"/>
    <w:rsid w:val="00BF7E02"/>
    <w:rsid w:val="00C00757"/>
    <w:rsid w:val="00C02A27"/>
    <w:rsid w:val="00C05D48"/>
    <w:rsid w:val="00C067A5"/>
    <w:rsid w:val="00C068D6"/>
    <w:rsid w:val="00C06FD9"/>
    <w:rsid w:val="00C10B18"/>
    <w:rsid w:val="00C1197A"/>
    <w:rsid w:val="00C120CB"/>
    <w:rsid w:val="00C12B90"/>
    <w:rsid w:val="00C1333A"/>
    <w:rsid w:val="00C15121"/>
    <w:rsid w:val="00C2041B"/>
    <w:rsid w:val="00C212C4"/>
    <w:rsid w:val="00C2256A"/>
    <w:rsid w:val="00C2365E"/>
    <w:rsid w:val="00C23AE3"/>
    <w:rsid w:val="00C32A8C"/>
    <w:rsid w:val="00C33B04"/>
    <w:rsid w:val="00C34C1C"/>
    <w:rsid w:val="00C35858"/>
    <w:rsid w:val="00C36102"/>
    <w:rsid w:val="00C3734D"/>
    <w:rsid w:val="00C3795E"/>
    <w:rsid w:val="00C37E55"/>
    <w:rsid w:val="00C40C5D"/>
    <w:rsid w:val="00C41891"/>
    <w:rsid w:val="00C455E9"/>
    <w:rsid w:val="00C45989"/>
    <w:rsid w:val="00C47C73"/>
    <w:rsid w:val="00C50044"/>
    <w:rsid w:val="00C5070F"/>
    <w:rsid w:val="00C51819"/>
    <w:rsid w:val="00C537D5"/>
    <w:rsid w:val="00C54568"/>
    <w:rsid w:val="00C55542"/>
    <w:rsid w:val="00C5559F"/>
    <w:rsid w:val="00C5576E"/>
    <w:rsid w:val="00C55D52"/>
    <w:rsid w:val="00C56123"/>
    <w:rsid w:val="00C57BB2"/>
    <w:rsid w:val="00C602D8"/>
    <w:rsid w:val="00C6157E"/>
    <w:rsid w:val="00C62187"/>
    <w:rsid w:val="00C62D1C"/>
    <w:rsid w:val="00C675D0"/>
    <w:rsid w:val="00C7124A"/>
    <w:rsid w:val="00C72382"/>
    <w:rsid w:val="00C73E0D"/>
    <w:rsid w:val="00C80B9D"/>
    <w:rsid w:val="00C833B5"/>
    <w:rsid w:val="00C837A4"/>
    <w:rsid w:val="00C85342"/>
    <w:rsid w:val="00C85742"/>
    <w:rsid w:val="00C91166"/>
    <w:rsid w:val="00C91661"/>
    <w:rsid w:val="00C92867"/>
    <w:rsid w:val="00C96C49"/>
    <w:rsid w:val="00CA2ABF"/>
    <w:rsid w:val="00CA31DD"/>
    <w:rsid w:val="00CA393D"/>
    <w:rsid w:val="00CA512E"/>
    <w:rsid w:val="00CA52A9"/>
    <w:rsid w:val="00CA6565"/>
    <w:rsid w:val="00CB3342"/>
    <w:rsid w:val="00CB4F7C"/>
    <w:rsid w:val="00CB6CD7"/>
    <w:rsid w:val="00CC0126"/>
    <w:rsid w:val="00CC2B24"/>
    <w:rsid w:val="00CC3E73"/>
    <w:rsid w:val="00CC412C"/>
    <w:rsid w:val="00CC6ABC"/>
    <w:rsid w:val="00CC730C"/>
    <w:rsid w:val="00CC7435"/>
    <w:rsid w:val="00CC761A"/>
    <w:rsid w:val="00CD4EC1"/>
    <w:rsid w:val="00CD5DDC"/>
    <w:rsid w:val="00CE176F"/>
    <w:rsid w:val="00CE416B"/>
    <w:rsid w:val="00CE5359"/>
    <w:rsid w:val="00CE5718"/>
    <w:rsid w:val="00CE682A"/>
    <w:rsid w:val="00CF24C8"/>
    <w:rsid w:val="00CF725B"/>
    <w:rsid w:val="00D024CA"/>
    <w:rsid w:val="00D03790"/>
    <w:rsid w:val="00D04E22"/>
    <w:rsid w:val="00D05766"/>
    <w:rsid w:val="00D059FB"/>
    <w:rsid w:val="00D060B7"/>
    <w:rsid w:val="00D06645"/>
    <w:rsid w:val="00D06CF5"/>
    <w:rsid w:val="00D07E37"/>
    <w:rsid w:val="00D147F8"/>
    <w:rsid w:val="00D1549A"/>
    <w:rsid w:val="00D154E2"/>
    <w:rsid w:val="00D157DC"/>
    <w:rsid w:val="00D16B09"/>
    <w:rsid w:val="00D16EE4"/>
    <w:rsid w:val="00D173A4"/>
    <w:rsid w:val="00D17F50"/>
    <w:rsid w:val="00D20335"/>
    <w:rsid w:val="00D205B7"/>
    <w:rsid w:val="00D24252"/>
    <w:rsid w:val="00D25A88"/>
    <w:rsid w:val="00D25AA1"/>
    <w:rsid w:val="00D27A0B"/>
    <w:rsid w:val="00D27F93"/>
    <w:rsid w:val="00D30036"/>
    <w:rsid w:val="00D32D2A"/>
    <w:rsid w:val="00D336C0"/>
    <w:rsid w:val="00D33CD9"/>
    <w:rsid w:val="00D34A89"/>
    <w:rsid w:val="00D35AF4"/>
    <w:rsid w:val="00D3648B"/>
    <w:rsid w:val="00D36AC3"/>
    <w:rsid w:val="00D37A81"/>
    <w:rsid w:val="00D40B93"/>
    <w:rsid w:val="00D42111"/>
    <w:rsid w:val="00D42527"/>
    <w:rsid w:val="00D43177"/>
    <w:rsid w:val="00D43950"/>
    <w:rsid w:val="00D440B0"/>
    <w:rsid w:val="00D44FCA"/>
    <w:rsid w:val="00D4564A"/>
    <w:rsid w:val="00D47905"/>
    <w:rsid w:val="00D50DE9"/>
    <w:rsid w:val="00D52252"/>
    <w:rsid w:val="00D5231F"/>
    <w:rsid w:val="00D5237E"/>
    <w:rsid w:val="00D53344"/>
    <w:rsid w:val="00D55EB0"/>
    <w:rsid w:val="00D565AB"/>
    <w:rsid w:val="00D56624"/>
    <w:rsid w:val="00D572A8"/>
    <w:rsid w:val="00D61497"/>
    <w:rsid w:val="00D6240D"/>
    <w:rsid w:val="00D6502F"/>
    <w:rsid w:val="00D65913"/>
    <w:rsid w:val="00D6784A"/>
    <w:rsid w:val="00D7113F"/>
    <w:rsid w:val="00D71F3D"/>
    <w:rsid w:val="00D720FE"/>
    <w:rsid w:val="00D722A0"/>
    <w:rsid w:val="00D73FC9"/>
    <w:rsid w:val="00D752CF"/>
    <w:rsid w:val="00D76208"/>
    <w:rsid w:val="00D80869"/>
    <w:rsid w:val="00D81AA3"/>
    <w:rsid w:val="00D83139"/>
    <w:rsid w:val="00D843E0"/>
    <w:rsid w:val="00D905AF"/>
    <w:rsid w:val="00D90E1A"/>
    <w:rsid w:val="00D918D8"/>
    <w:rsid w:val="00DA0027"/>
    <w:rsid w:val="00DA042E"/>
    <w:rsid w:val="00DA0CFC"/>
    <w:rsid w:val="00DA302E"/>
    <w:rsid w:val="00DA320A"/>
    <w:rsid w:val="00DA34BA"/>
    <w:rsid w:val="00DA420D"/>
    <w:rsid w:val="00DA5C67"/>
    <w:rsid w:val="00DB1A2C"/>
    <w:rsid w:val="00DB1BE6"/>
    <w:rsid w:val="00DB3E97"/>
    <w:rsid w:val="00DB42D6"/>
    <w:rsid w:val="00DB4D25"/>
    <w:rsid w:val="00DB5BFC"/>
    <w:rsid w:val="00DB7958"/>
    <w:rsid w:val="00DB7FC3"/>
    <w:rsid w:val="00DC136D"/>
    <w:rsid w:val="00DC4F38"/>
    <w:rsid w:val="00DC5CF5"/>
    <w:rsid w:val="00DC7EA0"/>
    <w:rsid w:val="00DD1C78"/>
    <w:rsid w:val="00DD253F"/>
    <w:rsid w:val="00DD6070"/>
    <w:rsid w:val="00DD712C"/>
    <w:rsid w:val="00DD71A1"/>
    <w:rsid w:val="00DD7D0E"/>
    <w:rsid w:val="00DE1C3E"/>
    <w:rsid w:val="00DE3318"/>
    <w:rsid w:val="00DE3396"/>
    <w:rsid w:val="00DE45DC"/>
    <w:rsid w:val="00DE4B31"/>
    <w:rsid w:val="00DE5092"/>
    <w:rsid w:val="00DE527F"/>
    <w:rsid w:val="00DE63CA"/>
    <w:rsid w:val="00DE792F"/>
    <w:rsid w:val="00DE7B0F"/>
    <w:rsid w:val="00DE7F54"/>
    <w:rsid w:val="00DF21AB"/>
    <w:rsid w:val="00DF418C"/>
    <w:rsid w:val="00DF5208"/>
    <w:rsid w:val="00DF71EE"/>
    <w:rsid w:val="00E071F5"/>
    <w:rsid w:val="00E0752F"/>
    <w:rsid w:val="00E10878"/>
    <w:rsid w:val="00E10C37"/>
    <w:rsid w:val="00E10D01"/>
    <w:rsid w:val="00E12C79"/>
    <w:rsid w:val="00E154C4"/>
    <w:rsid w:val="00E155D9"/>
    <w:rsid w:val="00E20FC5"/>
    <w:rsid w:val="00E238B3"/>
    <w:rsid w:val="00E31A8A"/>
    <w:rsid w:val="00E35D14"/>
    <w:rsid w:val="00E3756B"/>
    <w:rsid w:val="00E40127"/>
    <w:rsid w:val="00E446D2"/>
    <w:rsid w:val="00E46C96"/>
    <w:rsid w:val="00E513D9"/>
    <w:rsid w:val="00E53156"/>
    <w:rsid w:val="00E544A0"/>
    <w:rsid w:val="00E565AC"/>
    <w:rsid w:val="00E57AB0"/>
    <w:rsid w:val="00E61044"/>
    <w:rsid w:val="00E61A05"/>
    <w:rsid w:val="00E61BB1"/>
    <w:rsid w:val="00E63215"/>
    <w:rsid w:val="00E65238"/>
    <w:rsid w:val="00E67C9A"/>
    <w:rsid w:val="00E733FE"/>
    <w:rsid w:val="00E73F93"/>
    <w:rsid w:val="00E743F0"/>
    <w:rsid w:val="00E779F4"/>
    <w:rsid w:val="00E80388"/>
    <w:rsid w:val="00E80F78"/>
    <w:rsid w:val="00E81555"/>
    <w:rsid w:val="00E8260A"/>
    <w:rsid w:val="00E83AA0"/>
    <w:rsid w:val="00E83D6F"/>
    <w:rsid w:val="00E8455D"/>
    <w:rsid w:val="00E847C5"/>
    <w:rsid w:val="00E84E5F"/>
    <w:rsid w:val="00E85C16"/>
    <w:rsid w:val="00E90D49"/>
    <w:rsid w:val="00E92B5F"/>
    <w:rsid w:val="00E92BF8"/>
    <w:rsid w:val="00E9512E"/>
    <w:rsid w:val="00E95F0D"/>
    <w:rsid w:val="00E9634E"/>
    <w:rsid w:val="00EA1351"/>
    <w:rsid w:val="00EA16F0"/>
    <w:rsid w:val="00EA2A59"/>
    <w:rsid w:val="00EA2A91"/>
    <w:rsid w:val="00EA2D95"/>
    <w:rsid w:val="00EA5348"/>
    <w:rsid w:val="00EA6023"/>
    <w:rsid w:val="00EA6C12"/>
    <w:rsid w:val="00EA6F8A"/>
    <w:rsid w:val="00EB405C"/>
    <w:rsid w:val="00EB4651"/>
    <w:rsid w:val="00EB55F8"/>
    <w:rsid w:val="00EB797C"/>
    <w:rsid w:val="00EC09ED"/>
    <w:rsid w:val="00EC213E"/>
    <w:rsid w:val="00EC28F6"/>
    <w:rsid w:val="00EC366D"/>
    <w:rsid w:val="00EC3A0B"/>
    <w:rsid w:val="00EC509C"/>
    <w:rsid w:val="00EC5694"/>
    <w:rsid w:val="00EC5A0D"/>
    <w:rsid w:val="00EC6674"/>
    <w:rsid w:val="00EC71B2"/>
    <w:rsid w:val="00EC74C9"/>
    <w:rsid w:val="00ED087B"/>
    <w:rsid w:val="00ED1301"/>
    <w:rsid w:val="00ED1700"/>
    <w:rsid w:val="00ED72CA"/>
    <w:rsid w:val="00ED7A5E"/>
    <w:rsid w:val="00EE37D6"/>
    <w:rsid w:val="00EE5E37"/>
    <w:rsid w:val="00EE67FE"/>
    <w:rsid w:val="00EE6FF7"/>
    <w:rsid w:val="00EF2C48"/>
    <w:rsid w:val="00EF62F6"/>
    <w:rsid w:val="00EF6F02"/>
    <w:rsid w:val="00F01833"/>
    <w:rsid w:val="00F0461B"/>
    <w:rsid w:val="00F049EF"/>
    <w:rsid w:val="00F04ACA"/>
    <w:rsid w:val="00F11A3F"/>
    <w:rsid w:val="00F121FC"/>
    <w:rsid w:val="00F1233C"/>
    <w:rsid w:val="00F1269C"/>
    <w:rsid w:val="00F16B3B"/>
    <w:rsid w:val="00F177E3"/>
    <w:rsid w:val="00F2286D"/>
    <w:rsid w:val="00F235B9"/>
    <w:rsid w:val="00F23DA7"/>
    <w:rsid w:val="00F2424C"/>
    <w:rsid w:val="00F24DFF"/>
    <w:rsid w:val="00F27171"/>
    <w:rsid w:val="00F271F9"/>
    <w:rsid w:val="00F33495"/>
    <w:rsid w:val="00F33EBD"/>
    <w:rsid w:val="00F354C8"/>
    <w:rsid w:val="00F379D4"/>
    <w:rsid w:val="00F4468D"/>
    <w:rsid w:val="00F46791"/>
    <w:rsid w:val="00F47CC2"/>
    <w:rsid w:val="00F508F4"/>
    <w:rsid w:val="00F50F96"/>
    <w:rsid w:val="00F51125"/>
    <w:rsid w:val="00F5187B"/>
    <w:rsid w:val="00F52258"/>
    <w:rsid w:val="00F52F3B"/>
    <w:rsid w:val="00F55D68"/>
    <w:rsid w:val="00F57238"/>
    <w:rsid w:val="00F66D3F"/>
    <w:rsid w:val="00F70D34"/>
    <w:rsid w:val="00F74592"/>
    <w:rsid w:val="00F75CC8"/>
    <w:rsid w:val="00F76AAC"/>
    <w:rsid w:val="00F76D7B"/>
    <w:rsid w:val="00F80284"/>
    <w:rsid w:val="00F81000"/>
    <w:rsid w:val="00F8144F"/>
    <w:rsid w:val="00F82430"/>
    <w:rsid w:val="00F836FA"/>
    <w:rsid w:val="00F83811"/>
    <w:rsid w:val="00F84E2B"/>
    <w:rsid w:val="00F852DE"/>
    <w:rsid w:val="00F86882"/>
    <w:rsid w:val="00F8775D"/>
    <w:rsid w:val="00F87E30"/>
    <w:rsid w:val="00F91E3B"/>
    <w:rsid w:val="00F939BC"/>
    <w:rsid w:val="00F957C1"/>
    <w:rsid w:val="00F95BCA"/>
    <w:rsid w:val="00F97959"/>
    <w:rsid w:val="00FA0C41"/>
    <w:rsid w:val="00FA3CB5"/>
    <w:rsid w:val="00FA6FCF"/>
    <w:rsid w:val="00FB1A89"/>
    <w:rsid w:val="00FB23DB"/>
    <w:rsid w:val="00FB3D0B"/>
    <w:rsid w:val="00FB4631"/>
    <w:rsid w:val="00FB46BC"/>
    <w:rsid w:val="00FB592F"/>
    <w:rsid w:val="00FB6B08"/>
    <w:rsid w:val="00FB73DC"/>
    <w:rsid w:val="00FC01FF"/>
    <w:rsid w:val="00FC1594"/>
    <w:rsid w:val="00FC25F6"/>
    <w:rsid w:val="00FC433D"/>
    <w:rsid w:val="00FC4840"/>
    <w:rsid w:val="00FC4B32"/>
    <w:rsid w:val="00FC5A00"/>
    <w:rsid w:val="00FC62A5"/>
    <w:rsid w:val="00FC6C79"/>
    <w:rsid w:val="00FC724E"/>
    <w:rsid w:val="00FD0687"/>
    <w:rsid w:val="00FD0DA5"/>
    <w:rsid w:val="00FD21A0"/>
    <w:rsid w:val="00FD231A"/>
    <w:rsid w:val="00FD31D4"/>
    <w:rsid w:val="00FD5ACE"/>
    <w:rsid w:val="00FD740B"/>
    <w:rsid w:val="00FE0352"/>
    <w:rsid w:val="00FE1572"/>
    <w:rsid w:val="00FE2259"/>
    <w:rsid w:val="00FE2D30"/>
    <w:rsid w:val="00FE4197"/>
    <w:rsid w:val="00FE475B"/>
    <w:rsid w:val="00FE47DA"/>
    <w:rsid w:val="00FE4EF8"/>
    <w:rsid w:val="00FE4F77"/>
    <w:rsid w:val="00FE53D4"/>
    <w:rsid w:val="00FF2AB3"/>
    <w:rsid w:val="00FF3352"/>
    <w:rsid w:val="00FF3D10"/>
    <w:rsid w:val="00FF3FF3"/>
    <w:rsid w:val="00FF4175"/>
    <w:rsid w:val="00FF7C8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BAE21"/>
  <w15:docId w15:val="{1BBA45B0-6C9B-844A-8315-CE663E28F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33"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8F1"/>
    <w:pPr>
      <w:spacing w:before="200" w:after="200" w:line="276" w:lineRule="auto"/>
    </w:pPr>
    <w:rPr>
      <w:rFonts w:ascii="Calibri" w:eastAsia="Times New Roman" w:hAnsi="Calibri" w:cs="Times New Roman"/>
      <w:szCs w:val="20"/>
    </w:rPr>
  </w:style>
  <w:style w:type="paragraph" w:styleId="Heading1">
    <w:name w:val="heading 1"/>
    <w:basedOn w:val="Normal"/>
    <w:next w:val="Normal"/>
    <w:link w:val="Heading1Char"/>
    <w:autoRedefine/>
    <w:qFormat/>
    <w:rsid w:val="00383A18"/>
    <w:pPr>
      <w:keepNext/>
      <w:spacing w:before="240" w:after="240" w:line="240" w:lineRule="auto"/>
      <w:outlineLvl w:val="0"/>
    </w:pPr>
    <w:rPr>
      <w:rFonts w:cs="Calibri"/>
      <w:b/>
      <w:color w:val="7030A0"/>
      <w:kern w:val="28"/>
      <w:sz w:val="44"/>
    </w:rPr>
  </w:style>
  <w:style w:type="paragraph" w:styleId="Heading2">
    <w:name w:val="heading 2"/>
    <w:basedOn w:val="Normal"/>
    <w:next w:val="Normal"/>
    <w:link w:val="Heading2Char"/>
    <w:qFormat/>
    <w:rsid w:val="005F70C4"/>
    <w:pPr>
      <w:keepNext/>
      <w:spacing w:before="240" w:after="60"/>
      <w:outlineLvl w:val="1"/>
    </w:pPr>
    <w:rPr>
      <w:rFonts w:ascii="Arial" w:hAnsi="Arial"/>
      <w:b/>
      <w:snapToGrid w:val="0"/>
      <w:color w:val="7030A0"/>
      <w:sz w:val="30"/>
    </w:rPr>
  </w:style>
  <w:style w:type="paragraph" w:styleId="Heading3">
    <w:name w:val="heading 3"/>
    <w:basedOn w:val="Normal"/>
    <w:next w:val="Normal"/>
    <w:link w:val="Heading3Char"/>
    <w:autoRedefine/>
    <w:qFormat/>
    <w:rsid w:val="00825C83"/>
    <w:pPr>
      <w:keepNext/>
      <w:keepLines/>
      <w:spacing w:before="144" w:after="144"/>
      <w:outlineLvl w:val="2"/>
    </w:pPr>
    <w:rPr>
      <w:rFonts w:ascii="Arial Bold" w:hAnsi="Arial Bold"/>
      <w:bCs/>
      <w:color w:val="808080" w:themeColor="background1" w:themeShade="80"/>
      <w:sz w:val="24"/>
      <w:szCs w:val="26"/>
    </w:rPr>
  </w:style>
  <w:style w:type="paragraph" w:styleId="Heading4">
    <w:name w:val="heading 4"/>
    <w:basedOn w:val="Normal"/>
    <w:next w:val="Normal"/>
    <w:link w:val="Heading4Char"/>
    <w:autoRedefine/>
    <w:qFormat/>
    <w:rsid w:val="00A31BA5"/>
    <w:pPr>
      <w:keepNext/>
      <w:keepLines/>
      <w:spacing w:before="240" w:after="60"/>
      <w:outlineLvl w:val="3"/>
    </w:pPr>
    <w:rPr>
      <w:rFonts w:asciiTheme="minorHAnsi" w:hAnsiTheme="minorHAnsi" w:cstheme="majorBidi"/>
      <w:b/>
      <w:color w:val="000000" w:themeColor="text1"/>
      <w:sz w:val="24"/>
    </w:rPr>
  </w:style>
  <w:style w:type="paragraph" w:styleId="Heading5">
    <w:name w:val="heading 5"/>
    <w:basedOn w:val="Normal"/>
    <w:next w:val="Normal"/>
    <w:link w:val="Heading5Char"/>
    <w:autoRedefine/>
    <w:qFormat/>
    <w:rsid w:val="000459F7"/>
    <w:pPr>
      <w:keepNext/>
      <w:spacing w:before="240" w:after="60"/>
      <w:outlineLvl w:val="4"/>
    </w:pPr>
    <w:rPr>
      <w:b/>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83A18"/>
    <w:rPr>
      <w:rFonts w:ascii="Calibri" w:eastAsia="Times New Roman" w:hAnsi="Calibri" w:cs="Calibri"/>
      <w:b/>
      <w:color w:val="7030A0"/>
      <w:kern w:val="28"/>
      <w:sz w:val="44"/>
      <w:szCs w:val="20"/>
    </w:rPr>
  </w:style>
  <w:style w:type="character" w:customStyle="1" w:styleId="Heading2Char">
    <w:name w:val="Heading 2 Char"/>
    <w:basedOn w:val="DefaultParagraphFont"/>
    <w:link w:val="Heading2"/>
    <w:rsid w:val="005F70C4"/>
    <w:rPr>
      <w:rFonts w:ascii="Arial" w:eastAsia="Times New Roman" w:hAnsi="Arial" w:cs="Times New Roman"/>
      <w:b/>
      <w:snapToGrid w:val="0"/>
      <w:color w:val="7030A0"/>
      <w:sz w:val="30"/>
      <w:szCs w:val="20"/>
    </w:rPr>
  </w:style>
  <w:style w:type="character" w:customStyle="1" w:styleId="Heading3Char">
    <w:name w:val="Heading 3 Char"/>
    <w:basedOn w:val="DefaultParagraphFont"/>
    <w:link w:val="Heading3"/>
    <w:rsid w:val="00825C83"/>
    <w:rPr>
      <w:rFonts w:ascii="Arial Bold" w:eastAsia="Times New Roman" w:hAnsi="Arial Bold" w:cs="Times New Roman"/>
      <w:bCs/>
      <w:color w:val="808080" w:themeColor="background1" w:themeShade="80"/>
      <w:sz w:val="24"/>
      <w:szCs w:val="26"/>
    </w:rPr>
  </w:style>
  <w:style w:type="character" w:customStyle="1" w:styleId="Heading4Char">
    <w:name w:val="Heading 4 Char"/>
    <w:basedOn w:val="DefaultParagraphFont"/>
    <w:link w:val="Heading4"/>
    <w:rsid w:val="00A31BA5"/>
    <w:rPr>
      <w:rFonts w:eastAsia="Times New Roman" w:cstheme="majorBidi"/>
      <w:b/>
      <w:color w:val="000000" w:themeColor="text1"/>
      <w:sz w:val="24"/>
      <w:szCs w:val="20"/>
    </w:rPr>
  </w:style>
  <w:style w:type="character" w:customStyle="1" w:styleId="Heading5Char">
    <w:name w:val="Heading 5 Char"/>
    <w:basedOn w:val="DefaultParagraphFont"/>
    <w:link w:val="Heading5"/>
    <w:rsid w:val="000459F7"/>
    <w:rPr>
      <w:rFonts w:ascii="Calibri" w:eastAsia="Times New Roman" w:hAnsi="Calibri" w:cs="Times New Roman"/>
      <w:b/>
      <w:i/>
      <w:color w:val="000000" w:themeColor="text1"/>
      <w:szCs w:val="20"/>
    </w:rPr>
  </w:style>
  <w:style w:type="paragraph" w:styleId="Header">
    <w:name w:val="header"/>
    <w:basedOn w:val="Normal"/>
    <w:link w:val="HeaderChar"/>
    <w:rsid w:val="00EC5694"/>
    <w:pPr>
      <w:tabs>
        <w:tab w:val="center" w:pos="4153"/>
        <w:tab w:val="right" w:pos="8306"/>
      </w:tabs>
    </w:pPr>
    <w:rPr>
      <w:sz w:val="24"/>
    </w:rPr>
  </w:style>
  <w:style w:type="character" w:customStyle="1" w:styleId="HeaderChar">
    <w:name w:val="Header Char"/>
    <w:basedOn w:val="DefaultParagraphFont"/>
    <w:link w:val="Header"/>
    <w:rsid w:val="00EC5694"/>
    <w:rPr>
      <w:rFonts w:ascii="Calibri" w:eastAsia="Times New Roman" w:hAnsi="Calibri" w:cs="Times New Roman"/>
      <w:sz w:val="24"/>
      <w:szCs w:val="20"/>
    </w:rPr>
  </w:style>
  <w:style w:type="paragraph" w:styleId="Footer">
    <w:name w:val="footer"/>
    <w:basedOn w:val="Normal"/>
    <w:link w:val="FooterChar"/>
    <w:uiPriority w:val="99"/>
    <w:rsid w:val="004D749A"/>
    <w:pPr>
      <w:tabs>
        <w:tab w:val="right" w:pos="567"/>
        <w:tab w:val="right" w:pos="2835"/>
        <w:tab w:val="right" w:pos="3969"/>
      </w:tabs>
      <w:ind w:left="142" w:right="142"/>
    </w:pPr>
    <w:rPr>
      <w:color w:val="FFFFFF" w:themeColor="background1"/>
      <w:sz w:val="20"/>
    </w:rPr>
  </w:style>
  <w:style w:type="character" w:customStyle="1" w:styleId="FooterChar">
    <w:name w:val="Footer Char"/>
    <w:basedOn w:val="DefaultParagraphFont"/>
    <w:link w:val="Footer"/>
    <w:uiPriority w:val="99"/>
    <w:rsid w:val="004D749A"/>
    <w:rPr>
      <w:rFonts w:ascii="Calibri" w:eastAsia="Times New Roman" w:hAnsi="Calibri" w:cs="Times New Roman"/>
      <w:color w:val="FFFFFF" w:themeColor="background1"/>
      <w:sz w:val="20"/>
      <w:szCs w:val="20"/>
    </w:rPr>
  </w:style>
  <w:style w:type="paragraph" w:customStyle="1" w:styleId="BodyText1">
    <w:name w:val="Body Text1"/>
    <w:basedOn w:val="Normal"/>
    <w:link w:val="BodytextChar"/>
    <w:qFormat/>
    <w:rsid w:val="00911A17"/>
  </w:style>
  <w:style w:type="paragraph" w:customStyle="1" w:styleId="bullet10">
    <w:name w:val="bullet 1"/>
    <w:basedOn w:val="BodyText"/>
    <w:link w:val="bullet1Char"/>
    <w:qFormat/>
    <w:rsid w:val="00657B12"/>
    <w:pPr>
      <w:numPr>
        <w:numId w:val="3"/>
      </w:numPr>
      <w:spacing w:before="60" w:after="60"/>
      <w:ind w:left="357" w:hanging="357"/>
    </w:pPr>
  </w:style>
  <w:style w:type="character" w:customStyle="1" w:styleId="bullet1Char">
    <w:name w:val="bullet 1 Char"/>
    <w:basedOn w:val="DefaultParagraphFont"/>
    <w:link w:val="bullet10"/>
    <w:rsid w:val="00657B12"/>
    <w:rPr>
      <w:rFonts w:ascii="Calibri" w:eastAsia="Times New Roman" w:hAnsi="Calibri" w:cs="Times New Roman"/>
      <w:szCs w:val="20"/>
    </w:rPr>
  </w:style>
  <w:style w:type="paragraph" w:customStyle="1" w:styleId="note">
    <w:name w:val="note"/>
    <w:basedOn w:val="NoteHeading"/>
    <w:link w:val="noteChar"/>
    <w:qFormat/>
    <w:rsid w:val="00183FC6"/>
    <w:pPr>
      <w:keepNext/>
      <w:spacing w:before="120"/>
    </w:pPr>
    <w:rPr>
      <w:bCs/>
      <w:sz w:val="18"/>
      <w:szCs w:val="16"/>
    </w:rPr>
  </w:style>
  <w:style w:type="character" w:customStyle="1" w:styleId="noteChar">
    <w:name w:val="note Char"/>
    <w:link w:val="note"/>
    <w:rsid w:val="00183FC6"/>
    <w:rPr>
      <w:rFonts w:ascii="Calibri" w:eastAsia="Times New Roman" w:hAnsi="Calibri" w:cs="Times New Roman"/>
      <w:bCs/>
      <w:sz w:val="18"/>
      <w:szCs w:val="16"/>
    </w:rPr>
  </w:style>
  <w:style w:type="paragraph" w:customStyle="1" w:styleId="bullet20">
    <w:name w:val="bullet 2"/>
    <w:basedOn w:val="bullet10"/>
    <w:link w:val="bullet2Char"/>
    <w:qFormat/>
    <w:rsid w:val="009D2444"/>
    <w:pPr>
      <w:numPr>
        <w:numId w:val="4"/>
      </w:numPr>
    </w:pPr>
  </w:style>
  <w:style w:type="character" w:customStyle="1" w:styleId="bullet2Char">
    <w:name w:val="bullet 2 Char"/>
    <w:basedOn w:val="bullet1Char"/>
    <w:link w:val="bullet20"/>
    <w:rsid w:val="009D2444"/>
    <w:rPr>
      <w:rFonts w:ascii="Calibri" w:eastAsia="Times New Roman" w:hAnsi="Calibri" w:cs="Times New Roman"/>
      <w:szCs w:val="20"/>
    </w:rPr>
  </w:style>
  <w:style w:type="paragraph" w:customStyle="1" w:styleId="Tablefigures">
    <w:name w:val="Table figures"/>
    <w:basedOn w:val="Tabletext"/>
    <w:link w:val="TablefiguresChar"/>
    <w:autoRedefine/>
    <w:qFormat/>
    <w:rsid w:val="00EC5694"/>
    <w:pPr>
      <w:jc w:val="right"/>
    </w:pPr>
    <w:rPr>
      <w:bCs/>
    </w:rPr>
  </w:style>
  <w:style w:type="paragraph" w:customStyle="1" w:styleId="Tabletext">
    <w:name w:val="Table text"/>
    <w:basedOn w:val="Normal"/>
    <w:link w:val="TabletextChar"/>
    <w:autoRedefine/>
    <w:qFormat/>
    <w:rsid w:val="00B83F53"/>
    <w:pPr>
      <w:spacing w:before="60" w:after="60"/>
    </w:pPr>
    <w:rPr>
      <w:sz w:val="20"/>
      <w:lang w:eastAsia="en-AU"/>
    </w:rPr>
  </w:style>
  <w:style w:type="character" w:customStyle="1" w:styleId="TablefiguresChar">
    <w:name w:val="Table figures Char"/>
    <w:basedOn w:val="DefaultParagraphFont"/>
    <w:link w:val="Tablefigures"/>
    <w:rsid w:val="00EC5694"/>
    <w:rPr>
      <w:rFonts w:ascii="Calibri" w:eastAsia="Times New Roman" w:hAnsi="Calibri" w:cs="Times New Roman"/>
      <w:sz w:val="20"/>
      <w:szCs w:val="20"/>
      <w:lang w:eastAsia="en-AU"/>
    </w:rPr>
  </w:style>
  <w:style w:type="character" w:customStyle="1" w:styleId="TabletextChar">
    <w:name w:val="Table text Char"/>
    <w:basedOn w:val="DefaultParagraphFont"/>
    <w:link w:val="Tabletext"/>
    <w:rsid w:val="00B83F53"/>
    <w:rPr>
      <w:rFonts w:ascii="Calibri" w:eastAsia="Times New Roman" w:hAnsi="Calibri" w:cs="Times New Roman"/>
      <w:sz w:val="20"/>
      <w:szCs w:val="20"/>
      <w:lang w:eastAsia="en-AU"/>
    </w:rPr>
  </w:style>
  <w:style w:type="paragraph" w:customStyle="1" w:styleId="noteslist">
    <w:name w:val="notes list"/>
    <w:basedOn w:val="Normal"/>
    <w:link w:val="noteslistChar"/>
    <w:qFormat/>
    <w:rsid w:val="00EC5694"/>
    <w:pPr>
      <w:numPr>
        <w:numId w:val="1"/>
      </w:numPr>
      <w:spacing w:before="0" w:after="0"/>
    </w:pPr>
    <w:rPr>
      <w:sz w:val="18"/>
      <w:szCs w:val="24"/>
    </w:rPr>
  </w:style>
  <w:style w:type="character" w:customStyle="1" w:styleId="noteslistChar">
    <w:name w:val="notes list Char"/>
    <w:basedOn w:val="DefaultParagraphFont"/>
    <w:link w:val="noteslist"/>
    <w:rsid w:val="00EC5694"/>
    <w:rPr>
      <w:rFonts w:ascii="Calibri" w:eastAsia="Times New Roman" w:hAnsi="Calibri" w:cs="Times New Roman"/>
      <w:sz w:val="18"/>
      <w:szCs w:val="24"/>
    </w:rPr>
  </w:style>
  <w:style w:type="paragraph" w:customStyle="1" w:styleId="TableFiguresheading">
    <w:name w:val="Table Figures_heading"/>
    <w:basedOn w:val="Normal"/>
    <w:link w:val="TableFiguresheadingChar"/>
    <w:qFormat/>
    <w:rsid w:val="00EC5694"/>
    <w:pPr>
      <w:spacing w:before="0" w:after="0"/>
      <w:jc w:val="right"/>
    </w:pPr>
    <w:rPr>
      <w:b/>
      <w:sz w:val="20"/>
    </w:rPr>
  </w:style>
  <w:style w:type="character" w:customStyle="1" w:styleId="TableFiguresheadingChar">
    <w:name w:val="Table Figures_heading Char"/>
    <w:basedOn w:val="DefaultParagraphFont"/>
    <w:link w:val="TableFiguresheading"/>
    <w:rsid w:val="00EC5694"/>
    <w:rPr>
      <w:rFonts w:ascii="Calibri" w:eastAsia="Times New Roman" w:hAnsi="Calibri" w:cs="Times New Roman"/>
      <w:b/>
      <w:sz w:val="20"/>
      <w:szCs w:val="20"/>
    </w:rPr>
  </w:style>
  <w:style w:type="paragraph" w:customStyle="1" w:styleId="Tabletextbold">
    <w:name w:val="Table text bold"/>
    <w:basedOn w:val="Normal"/>
    <w:qFormat/>
    <w:rsid w:val="00B83F53"/>
    <w:pPr>
      <w:spacing w:before="60" w:after="60"/>
    </w:pPr>
    <w:rPr>
      <w:b/>
      <w:sz w:val="20"/>
      <w:lang w:eastAsia="en-AU"/>
    </w:rPr>
  </w:style>
  <w:style w:type="paragraph" w:customStyle="1" w:styleId="TableTextbolditalics">
    <w:name w:val="Table Text bold italics"/>
    <w:basedOn w:val="Tabletext"/>
    <w:qFormat/>
    <w:rsid w:val="00EC5694"/>
    <w:rPr>
      <w:b/>
      <w:i/>
    </w:rPr>
  </w:style>
  <w:style w:type="paragraph" w:customStyle="1" w:styleId="TableCaption">
    <w:name w:val="Table Caption"/>
    <w:basedOn w:val="Caption"/>
    <w:qFormat/>
    <w:rsid w:val="005F70C4"/>
    <w:pPr>
      <w:keepNext/>
      <w:spacing w:before="240" w:after="120"/>
    </w:pPr>
    <w:rPr>
      <w:b/>
      <w:bCs/>
      <w:i w:val="0"/>
      <w:iCs w:val="0"/>
      <w:color w:val="7030A0"/>
      <w:sz w:val="22"/>
    </w:rPr>
  </w:style>
  <w:style w:type="table" w:customStyle="1" w:styleId="ARTableText">
    <w:name w:val="AR_Table_Text"/>
    <w:basedOn w:val="TableNormal"/>
    <w:uiPriority w:val="99"/>
    <w:qFormat/>
    <w:rsid w:val="00EC5694"/>
    <w:pPr>
      <w:spacing w:after="0" w:line="240" w:lineRule="auto"/>
    </w:pPr>
    <w:rPr>
      <w:rFonts w:eastAsia="Times New Roman" w:cs="Times New Roman"/>
      <w:sz w:val="20"/>
      <w:szCs w:val="20"/>
      <w:lang w:eastAsia="en-AU"/>
    </w:rPr>
    <w:tblPr>
      <w:tblStyleRowBandSize w:val="1"/>
      <w:tblCellMar>
        <w:top w:w="57" w:type="dxa"/>
        <w:bottom w:w="57" w:type="dxa"/>
      </w:tblCellMar>
    </w:tblPr>
    <w:tcPr>
      <w:shd w:val="clear" w:color="auto" w:fill="E0E0E0"/>
      <w:vAlign w:val="bottom"/>
    </w:tcPr>
    <w:tblStylePr w:type="firstRow">
      <w:pPr>
        <w:jc w:val="center"/>
      </w:pPr>
      <w:rPr>
        <w:rFonts w:asciiTheme="minorHAnsi" w:hAnsiTheme="minorHAnsi"/>
        <w:b/>
        <w:sz w:val="20"/>
      </w:rPr>
      <w:tblPr/>
      <w:tcPr>
        <w:tcBorders>
          <w:top w:val="single" w:sz="4" w:space="0" w:color="000000"/>
          <w:left w:val="nil"/>
          <w:bottom w:val="single" w:sz="18" w:space="0" w:color="auto"/>
          <w:right w:val="nil"/>
        </w:tcBorders>
        <w:shd w:val="clear" w:color="auto" w:fill="auto"/>
      </w:tcPr>
    </w:tblStylePr>
    <w:tblStylePr w:type="lastRow">
      <w:rPr>
        <w:rFonts w:asciiTheme="minorHAnsi" w:hAnsiTheme="minorHAnsi"/>
        <w:sz w:val="20"/>
      </w:rPr>
      <w:tblPr/>
      <w:tcPr>
        <w:tcBorders>
          <w:bottom w:val="dotted" w:sz="6" w:space="0" w:color="auto"/>
        </w:tcBorders>
        <w:shd w:val="clear" w:color="auto" w:fill="ECECEC"/>
      </w:tcPr>
    </w:tblStylePr>
    <w:tblStylePr w:type="firstCol">
      <w:pPr>
        <w:jc w:val="left"/>
      </w:pPr>
      <w:rPr>
        <w:rFonts w:asciiTheme="minorHAnsi" w:hAnsiTheme="minorHAnsi"/>
        <w:sz w:val="20"/>
      </w:rPr>
      <w:tblPr/>
      <w:tcPr>
        <w:vAlign w:val="center"/>
      </w:tcPr>
    </w:tblStylePr>
    <w:tblStylePr w:type="band1Horz">
      <w:pPr>
        <w:jc w:val="left"/>
      </w:pPr>
      <w:rPr>
        <w:rFonts w:asciiTheme="minorHAnsi" w:hAnsiTheme="minorHAnsi"/>
        <w:sz w:val="18"/>
      </w:rPr>
      <w:tblPr/>
      <w:tcPr>
        <w:tcBorders>
          <w:bottom w:val="dotted" w:sz="6" w:space="0" w:color="auto"/>
        </w:tcBorders>
        <w:shd w:val="clear" w:color="auto" w:fill="auto"/>
      </w:tcPr>
    </w:tblStylePr>
    <w:tblStylePr w:type="band2Horz">
      <w:rPr>
        <w:rFonts w:asciiTheme="minorHAnsi" w:hAnsiTheme="minorHAnsi"/>
        <w:sz w:val="18"/>
      </w:rPr>
      <w:tblPr/>
      <w:tcPr>
        <w:tcBorders>
          <w:bottom w:val="dotted" w:sz="6" w:space="0" w:color="auto"/>
        </w:tcBorders>
        <w:shd w:val="clear" w:color="auto" w:fill="auto"/>
      </w:tcPr>
    </w:tblStylePr>
  </w:style>
  <w:style w:type="paragraph" w:customStyle="1" w:styleId="TableheadingNormal">
    <w:name w:val="Table_heading_Normal"/>
    <w:basedOn w:val="TableFiguresheading"/>
    <w:qFormat/>
    <w:rsid w:val="00BD7ADC"/>
    <w:pPr>
      <w:spacing w:before="60" w:after="60" w:line="240" w:lineRule="auto"/>
      <w:jc w:val="left"/>
    </w:pPr>
    <w:rPr>
      <w:b w:val="0"/>
      <w:bCs/>
      <w:sz w:val="22"/>
      <w:szCs w:val="22"/>
      <w:lang w:eastAsia="en-AU"/>
    </w:rPr>
  </w:style>
  <w:style w:type="table" w:customStyle="1" w:styleId="ARTableFigures">
    <w:name w:val="AR_Table_Figures"/>
    <w:basedOn w:val="ARTableText"/>
    <w:uiPriority w:val="99"/>
    <w:qFormat/>
    <w:rsid w:val="00EC5694"/>
    <w:pPr>
      <w:jc w:val="right"/>
    </w:pPr>
    <w:tblPr/>
    <w:tblStylePr w:type="firstRow">
      <w:pPr>
        <w:jc w:val="right"/>
      </w:pPr>
      <w:rPr>
        <w:rFonts w:asciiTheme="minorHAnsi" w:hAnsiTheme="minorHAnsi"/>
        <w:b/>
        <w:sz w:val="20"/>
      </w:rPr>
      <w:tblPr/>
      <w:tcPr>
        <w:tcBorders>
          <w:top w:val="single" w:sz="4" w:space="0" w:color="000000"/>
          <w:left w:val="nil"/>
          <w:bottom w:val="single" w:sz="18" w:space="0" w:color="auto"/>
          <w:right w:val="nil"/>
        </w:tcBorders>
        <w:shd w:val="clear" w:color="auto" w:fill="auto"/>
      </w:tcPr>
    </w:tblStylePr>
    <w:tblStylePr w:type="lastRow">
      <w:rPr>
        <w:rFonts w:asciiTheme="minorHAnsi" w:hAnsiTheme="minorHAnsi"/>
        <w:sz w:val="20"/>
      </w:rPr>
      <w:tblPr/>
      <w:tcPr>
        <w:tcBorders>
          <w:bottom w:val="dotted" w:sz="6" w:space="0" w:color="auto"/>
        </w:tcBorders>
        <w:shd w:val="clear" w:color="auto" w:fill="D9D9D9" w:themeFill="background1" w:themeFillShade="D9"/>
      </w:tcPr>
    </w:tblStylePr>
    <w:tblStylePr w:type="firstCol">
      <w:pPr>
        <w:jc w:val="left"/>
      </w:pPr>
      <w:rPr>
        <w:rFonts w:asciiTheme="minorHAnsi" w:hAnsiTheme="minorHAnsi"/>
        <w:sz w:val="20"/>
      </w:rPr>
      <w:tblPr/>
      <w:tcPr>
        <w:vAlign w:val="center"/>
      </w:tcPr>
    </w:tblStylePr>
    <w:tblStylePr w:type="band1Horz">
      <w:pPr>
        <w:jc w:val="right"/>
      </w:pPr>
      <w:rPr>
        <w:rFonts w:asciiTheme="minorHAnsi" w:hAnsiTheme="minorHAnsi"/>
        <w:sz w:val="18"/>
      </w:rPr>
      <w:tblPr/>
      <w:tcPr>
        <w:tcBorders>
          <w:bottom w:val="dotted" w:sz="6" w:space="0" w:color="auto"/>
        </w:tcBorders>
        <w:shd w:val="clear" w:color="auto" w:fill="auto"/>
        <w:vAlign w:val="center"/>
      </w:tcPr>
    </w:tblStylePr>
    <w:tblStylePr w:type="band2Horz">
      <w:pPr>
        <w:jc w:val="right"/>
      </w:pPr>
      <w:rPr>
        <w:rFonts w:asciiTheme="minorHAnsi" w:hAnsiTheme="minorHAnsi"/>
        <w:sz w:val="18"/>
      </w:rPr>
      <w:tblPr/>
      <w:tcPr>
        <w:tcBorders>
          <w:bottom w:val="dotted" w:sz="6" w:space="0" w:color="auto"/>
        </w:tcBorders>
        <w:shd w:val="clear" w:color="auto" w:fill="auto"/>
        <w:vAlign w:val="center"/>
      </w:tcPr>
    </w:tblStylePr>
  </w:style>
  <w:style w:type="paragraph" w:customStyle="1" w:styleId="bullet30">
    <w:name w:val="bullet 3"/>
    <w:basedOn w:val="bullet20"/>
    <w:qFormat/>
    <w:rsid w:val="009D2444"/>
    <w:pPr>
      <w:numPr>
        <w:numId w:val="2"/>
      </w:numPr>
    </w:pPr>
  </w:style>
  <w:style w:type="paragraph" w:customStyle="1" w:styleId="IntroParagraph">
    <w:name w:val="Intro Paragraph"/>
    <w:basedOn w:val="BodyText1"/>
    <w:link w:val="IntroParagraphChar"/>
    <w:qFormat/>
    <w:rsid w:val="005F70C4"/>
    <w:pPr>
      <w:spacing w:before="300" w:after="300"/>
    </w:pPr>
    <w:rPr>
      <w:color w:val="7030A0"/>
      <w:sz w:val="26"/>
    </w:rPr>
  </w:style>
  <w:style w:type="character" w:customStyle="1" w:styleId="BodytextChar">
    <w:name w:val="Body text Char"/>
    <w:basedOn w:val="DefaultParagraphFont"/>
    <w:link w:val="BodyText1"/>
    <w:rsid w:val="00911A17"/>
    <w:rPr>
      <w:rFonts w:ascii="Calibri" w:eastAsia="Times New Roman" w:hAnsi="Calibri" w:cs="Times New Roman"/>
      <w:szCs w:val="20"/>
    </w:rPr>
  </w:style>
  <w:style w:type="character" w:customStyle="1" w:styleId="IntroParagraphChar">
    <w:name w:val="Intro Paragraph Char"/>
    <w:basedOn w:val="BodytextChar"/>
    <w:link w:val="IntroParagraph"/>
    <w:rsid w:val="005F70C4"/>
    <w:rPr>
      <w:rFonts w:ascii="Calibri" w:eastAsia="Times New Roman" w:hAnsi="Calibri" w:cs="Times New Roman"/>
      <w:color w:val="7030A0"/>
      <w:sz w:val="26"/>
      <w:szCs w:val="20"/>
    </w:rPr>
  </w:style>
  <w:style w:type="paragraph" w:styleId="BodyText">
    <w:name w:val="Body Text"/>
    <w:basedOn w:val="Normal"/>
    <w:link w:val="BodyTextChar0"/>
    <w:uiPriority w:val="99"/>
    <w:semiHidden/>
    <w:unhideWhenUsed/>
    <w:rsid w:val="00EC5694"/>
    <w:pPr>
      <w:spacing w:after="120"/>
    </w:pPr>
  </w:style>
  <w:style w:type="character" w:customStyle="1" w:styleId="BodyTextChar0">
    <w:name w:val="Body Text Char"/>
    <w:basedOn w:val="DefaultParagraphFont"/>
    <w:link w:val="BodyText"/>
    <w:uiPriority w:val="99"/>
    <w:semiHidden/>
    <w:rsid w:val="00EC5694"/>
    <w:rPr>
      <w:rFonts w:ascii="Calibri" w:eastAsia="Times New Roman" w:hAnsi="Calibri" w:cs="Times New Roman"/>
      <w:szCs w:val="20"/>
    </w:rPr>
  </w:style>
  <w:style w:type="paragraph" w:styleId="NoteHeading">
    <w:name w:val="Note Heading"/>
    <w:basedOn w:val="Normal"/>
    <w:next w:val="Normal"/>
    <w:link w:val="NoteHeadingChar"/>
    <w:uiPriority w:val="99"/>
    <w:semiHidden/>
    <w:unhideWhenUsed/>
    <w:rsid w:val="00EC5694"/>
    <w:pPr>
      <w:spacing w:before="0" w:after="0"/>
    </w:pPr>
  </w:style>
  <w:style w:type="character" w:customStyle="1" w:styleId="NoteHeadingChar">
    <w:name w:val="Note Heading Char"/>
    <w:basedOn w:val="DefaultParagraphFont"/>
    <w:link w:val="NoteHeading"/>
    <w:uiPriority w:val="99"/>
    <w:semiHidden/>
    <w:rsid w:val="00EC5694"/>
    <w:rPr>
      <w:rFonts w:ascii="Calibri" w:eastAsia="Times New Roman" w:hAnsi="Calibri" w:cs="Times New Roman"/>
      <w:szCs w:val="20"/>
    </w:rPr>
  </w:style>
  <w:style w:type="paragraph" w:styleId="Caption">
    <w:name w:val="caption"/>
    <w:basedOn w:val="Normal"/>
    <w:next w:val="Normal"/>
    <w:uiPriority w:val="35"/>
    <w:semiHidden/>
    <w:unhideWhenUsed/>
    <w:qFormat/>
    <w:rsid w:val="00EC5694"/>
    <w:pPr>
      <w:spacing w:before="0"/>
    </w:pPr>
    <w:rPr>
      <w:i/>
      <w:iCs/>
      <w:color w:val="44546A" w:themeColor="text2"/>
      <w:sz w:val="18"/>
      <w:szCs w:val="18"/>
    </w:rPr>
  </w:style>
  <w:style w:type="character" w:styleId="Hyperlink">
    <w:name w:val="Hyperlink"/>
    <w:basedOn w:val="DefaultParagraphFont"/>
    <w:uiPriority w:val="99"/>
    <w:unhideWhenUsed/>
    <w:rsid w:val="00EC5694"/>
    <w:rPr>
      <w:color w:val="0563C1" w:themeColor="hyperlink"/>
      <w:u w:val="single"/>
    </w:rPr>
  </w:style>
  <w:style w:type="paragraph" w:styleId="ListParagraph">
    <w:name w:val="List Paragraph"/>
    <w:aliases w:val="List Paragraph1,Recommendation,List Paragraph11,Bullet point,L,List Paragraph111,F5 List Paragraph,Dot pt,CV text,Medium Grid 1 - Accent 21,Numbered Paragraph,List Paragraph2,NFP GP Bulleted List,FooterText,numbered,列出段,lp1,列出段落,列出段落1"/>
    <w:basedOn w:val="Normal"/>
    <w:link w:val="ListParagraphChar"/>
    <w:uiPriority w:val="34"/>
    <w:qFormat/>
    <w:rsid w:val="000C124F"/>
    <w:pPr>
      <w:ind w:left="720"/>
      <w:contextualSpacing/>
    </w:pPr>
  </w:style>
  <w:style w:type="paragraph" w:styleId="BalloonText">
    <w:name w:val="Balloon Text"/>
    <w:basedOn w:val="Normal"/>
    <w:link w:val="BalloonTextChar"/>
    <w:uiPriority w:val="99"/>
    <w:semiHidden/>
    <w:unhideWhenUsed/>
    <w:rsid w:val="00C833B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3B5"/>
    <w:rPr>
      <w:rFonts w:ascii="Tahoma" w:eastAsia="Times New Roman" w:hAnsi="Tahoma" w:cs="Tahoma"/>
      <w:sz w:val="16"/>
      <w:szCs w:val="16"/>
    </w:rPr>
  </w:style>
  <w:style w:type="table" w:styleId="TableGridLight">
    <w:name w:val="Grid Table Light"/>
    <w:basedOn w:val="TableNormal"/>
    <w:uiPriority w:val="40"/>
    <w:rsid w:val="009D244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9D244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ageNumber">
    <w:name w:val="page number"/>
    <w:basedOn w:val="DefaultParagraphFont"/>
    <w:uiPriority w:val="99"/>
    <w:semiHidden/>
    <w:unhideWhenUsed/>
    <w:rsid w:val="00770344"/>
  </w:style>
  <w:style w:type="paragraph" w:customStyle="1" w:styleId="Coverheading">
    <w:name w:val="Cover heading"/>
    <w:qFormat/>
    <w:rsid w:val="00557502"/>
    <w:pPr>
      <w:spacing w:after="1000"/>
      <w:jc w:val="center"/>
    </w:pPr>
    <w:rPr>
      <w:rFonts w:ascii="Arial" w:eastAsia="Times New Roman" w:hAnsi="Arial" w:cs="Times New Roman"/>
      <w:b/>
      <w:color w:val="FFFFFF" w:themeColor="background1"/>
      <w:kern w:val="28"/>
      <w:sz w:val="100"/>
      <w:szCs w:val="100"/>
    </w:rPr>
  </w:style>
  <w:style w:type="paragraph" w:customStyle="1" w:styleId="CoverSub-heading">
    <w:name w:val="Cover Sub-heading"/>
    <w:basedOn w:val="Coverheading"/>
    <w:qFormat/>
    <w:rsid w:val="00557502"/>
    <w:rPr>
      <w:sz w:val="60"/>
      <w:szCs w:val="60"/>
    </w:rPr>
  </w:style>
  <w:style w:type="table" w:styleId="TableGrid">
    <w:name w:val="Table Grid"/>
    <w:basedOn w:val="TableNormal"/>
    <w:uiPriority w:val="99"/>
    <w:rsid w:val="00DB7F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22"/>
    <w:qFormat/>
    <w:rsid w:val="007C31FD"/>
    <w:pPr>
      <w:keepLines/>
      <w:spacing w:before="120" w:after="120"/>
      <w:contextualSpacing/>
      <w:outlineLvl w:val="0"/>
    </w:pPr>
    <w:rPr>
      <w:rFonts w:ascii="Arial" w:eastAsiaTheme="majorEastAsia" w:hAnsi="Arial" w:cs="Arial"/>
      <w:b/>
      <w:color w:val="FFFFFF" w:themeColor="background1"/>
      <w:kern w:val="28"/>
      <w:sz w:val="70"/>
      <w:szCs w:val="70"/>
    </w:rPr>
  </w:style>
  <w:style w:type="character" w:customStyle="1" w:styleId="TitleChar">
    <w:name w:val="Title Char"/>
    <w:basedOn w:val="DefaultParagraphFont"/>
    <w:link w:val="Title"/>
    <w:uiPriority w:val="22"/>
    <w:rsid w:val="007C31FD"/>
    <w:rPr>
      <w:rFonts w:ascii="Arial" w:eastAsiaTheme="majorEastAsia" w:hAnsi="Arial" w:cs="Arial"/>
      <w:b/>
      <w:color w:val="FFFFFF" w:themeColor="background1"/>
      <w:kern w:val="28"/>
      <w:sz w:val="70"/>
      <w:szCs w:val="70"/>
    </w:rPr>
  </w:style>
  <w:style w:type="paragraph" w:styleId="Subtitle">
    <w:name w:val="Subtitle"/>
    <w:basedOn w:val="Normal"/>
    <w:next w:val="Normal"/>
    <w:link w:val="SubtitleChar"/>
    <w:uiPriority w:val="23"/>
    <w:qFormat/>
    <w:rsid w:val="00F939BC"/>
    <w:pPr>
      <w:keepLines/>
      <w:numPr>
        <w:ilvl w:val="1"/>
      </w:numPr>
      <w:spacing w:before="120" w:after="480" w:line="360" w:lineRule="exact"/>
      <w:contextualSpacing/>
      <w:jc w:val="right"/>
    </w:pPr>
    <w:rPr>
      <w:rFonts w:asciiTheme="minorHAnsi" w:eastAsiaTheme="minorEastAsia" w:hAnsiTheme="minorHAnsi" w:cstheme="minorBidi"/>
      <w:bCs/>
      <w:color w:val="FFFFFF" w:themeColor="background1"/>
      <w:sz w:val="50"/>
      <w:szCs w:val="50"/>
    </w:rPr>
  </w:style>
  <w:style w:type="character" w:customStyle="1" w:styleId="SubtitleChar">
    <w:name w:val="Subtitle Char"/>
    <w:basedOn w:val="DefaultParagraphFont"/>
    <w:link w:val="Subtitle"/>
    <w:uiPriority w:val="23"/>
    <w:rsid w:val="00F939BC"/>
    <w:rPr>
      <w:rFonts w:eastAsiaTheme="minorEastAsia"/>
      <w:bCs/>
      <w:color w:val="FFFFFF" w:themeColor="background1"/>
      <w:sz w:val="50"/>
      <w:szCs w:val="50"/>
    </w:rPr>
  </w:style>
  <w:style w:type="paragraph" w:customStyle="1" w:styleId="Boxed1Text">
    <w:name w:val="Boxed 1 Text"/>
    <w:basedOn w:val="Normal"/>
    <w:uiPriority w:val="29"/>
    <w:qFormat/>
    <w:rsid w:val="008F4C1C"/>
    <w:pPr>
      <w:pBdr>
        <w:top w:val="single" w:sz="4" w:space="14" w:color="DEEAF6" w:themeColor="accent1" w:themeTint="33"/>
        <w:left w:val="single" w:sz="4" w:space="14" w:color="DEEAF6" w:themeColor="accent1" w:themeTint="33"/>
        <w:bottom w:val="single" w:sz="4" w:space="14" w:color="DEEAF6" w:themeColor="accent1" w:themeTint="33"/>
        <w:right w:val="single" w:sz="4" w:space="14" w:color="DEEAF6" w:themeColor="accent1" w:themeTint="33"/>
      </w:pBdr>
      <w:shd w:val="clear" w:color="auto" w:fill="DEEAF6" w:themeFill="accent1" w:themeFillTint="33"/>
      <w:spacing w:before="120" w:after="60"/>
      <w:ind w:left="284" w:right="284"/>
    </w:pPr>
    <w:rPr>
      <w:rFonts w:asciiTheme="minorHAnsi" w:eastAsiaTheme="minorHAnsi" w:hAnsiTheme="minorHAnsi" w:cstheme="minorBidi"/>
      <w:color w:val="000000" w:themeColor="text1"/>
      <w:szCs w:val="22"/>
    </w:rPr>
  </w:style>
  <w:style w:type="numbering" w:customStyle="1" w:styleId="KCBullets">
    <w:name w:val="KC Bullets"/>
    <w:uiPriority w:val="99"/>
    <w:rsid w:val="00430784"/>
    <w:pPr>
      <w:numPr>
        <w:numId w:val="5"/>
      </w:numPr>
    </w:pPr>
  </w:style>
  <w:style w:type="paragraph" w:customStyle="1" w:styleId="Bullet1">
    <w:name w:val="Bullet 1"/>
    <w:basedOn w:val="Normal"/>
    <w:uiPriority w:val="2"/>
    <w:qFormat/>
    <w:rsid w:val="00430784"/>
    <w:pPr>
      <w:numPr>
        <w:numId w:val="6"/>
      </w:numPr>
      <w:spacing w:before="120" w:after="120"/>
    </w:pPr>
    <w:rPr>
      <w:rFonts w:asciiTheme="minorHAnsi" w:eastAsiaTheme="minorHAnsi" w:hAnsiTheme="minorHAnsi" w:cstheme="minorBidi"/>
      <w:color w:val="000000" w:themeColor="text1"/>
      <w:sz w:val="20"/>
    </w:rPr>
  </w:style>
  <w:style w:type="paragraph" w:customStyle="1" w:styleId="Bullet2">
    <w:name w:val="Bullet 2"/>
    <w:basedOn w:val="Normal"/>
    <w:uiPriority w:val="2"/>
    <w:qFormat/>
    <w:rsid w:val="00430784"/>
    <w:pPr>
      <w:numPr>
        <w:ilvl w:val="1"/>
        <w:numId w:val="6"/>
      </w:numPr>
      <w:spacing w:before="120" w:after="120"/>
    </w:pPr>
    <w:rPr>
      <w:rFonts w:asciiTheme="minorHAnsi" w:eastAsiaTheme="minorHAnsi" w:hAnsiTheme="minorHAnsi" w:cstheme="minorBidi"/>
      <w:color w:val="000000" w:themeColor="text1"/>
      <w:sz w:val="20"/>
    </w:rPr>
  </w:style>
  <w:style w:type="paragraph" w:customStyle="1" w:styleId="Bullet3">
    <w:name w:val="Bullet 3"/>
    <w:basedOn w:val="Normal"/>
    <w:qFormat/>
    <w:rsid w:val="00430784"/>
    <w:pPr>
      <w:numPr>
        <w:ilvl w:val="2"/>
        <w:numId w:val="6"/>
      </w:numPr>
      <w:spacing w:before="120" w:after="120"/>
    </w:pPr>
    <w:rPr>
      <w:rFonts w:asciiTheme="minorHAnsi" w:eastAsiaTheme="minorHAnsi" w:hAnsiTheme="minorHAnsi" w:cstheme="minorBidi"/>
      <w:color w:val="000000" w:themeColor="text1"/>
      <w:sz w:val="20"/>
    </w:rPr>
  </w:style>
  <w:style w:type="paragraph" w:customStyle="1" w:styleId="bulletalpha">
    <w:name w:val="bullet alpha"/>
    <w:basedOn w:val="bullet10"/>
    <w:qFormat/>
    <w:rsid w:val="00E63215"/>
    <w:pPr>
      <w:numPr>
        <w:numId w:val="7"/>
      </w:numPr>
    </w:pPr>
    <w:rPr>
      <w:szCs w:val="22"/>
      <w:lang w:val="en"/>
    </w:rPr>
  </w:style>
  <w:style w:type="paragraph" w:customStyle="1" w:styleId="Bulletroman">
    <w:name w:val="Bullet roman"/>
    <w:basedOn w:val="bulletalpha"/>
    <w:qFormat/>
    <w:rsid w:val="00430784"/>
    <w:pPr>
      <w:numPr>
        <w:numId w:val="8"/>
      </w:numPr>
    </w:pPr>
  </w:style>
  <w:style w:type="paragraph" w:customStyle="1" w:styleId="Boxed1Bullet">
    <w:name w:val="Boxed 1 Bullet"/>
    <w:basedOn w:val="Boxed1Text"/>
    <w:uiPriority w:val="30"/>
    <w:qFormat/>
    <w:rsid w:val="00430784"/>
    <w:pPr>
      <w:numPr>
        <w:numId w:val="9"/>
      </w:numPr>
    </w:pPr>
  </w:style>
  <w:style w:type="paragraph" w:customStyle="1" w:styleId="Boxed2Bullet">
    <w:name w:val="Boxed 2 Bullet"/>
    <w:basedOn w:val="Normal"/>
    <w:uiPriority w:val="32"/>
    <w:qFormat/>
    <w:rsid w:val="00430784"/>
    <w:pPr>
      <w:numPr>
        <w:ilvl w:val="1"/>
        <w:numId w:val="9"/>
      </w:numPr>
      <w:pBdr>
        <w:top w:val="single" w:sz="4" w:space="14" w:color="5B9BD5" w:themeColor="accent1"/>
        <w:left w:val="single" w:sz="4" w:space="14" w:color="5B9BD5" w:themeColor="accent1"/>
        <w:bottom w:val="single" w:sz="4" w:space="14" w:color="5B9BD5" w:themeColor="accent1"/>
        <w:right w:val="single" w:sz="4" w:space="14" w:color="5B9BD5" w:themeColor="accent1"/>
      </w:pBdr>
      <w:spacing w:before="120" w:after="60" w:line="240" w:lineRule="atLeast"/>
      <w:ind w:right="284"/>
    </w:pPr>
    <w:rPr>
      <w:rFonts w:asciiTheme="minorHAnsi" w:eastAsiaTheme="minorHAnsi" w:hAnsiTheme="minorHAnsi" w:cstheme="minorBidi"/>
      <w:color w:val="000000" w:themeColor="text1"/>
      <w:sz w:val="20"/>
    </w:rPr>
  </w:style>
  <w:style w:type="numbering" w:customStyle="1" w:styleId="BoxedBullets">
    <w:name w:val="Boxed Bullets"/>
    <w:uiPriority w:val="99"/>
    <w:rsid w:val="00430784"/>
    <w:pPr>
      <w:numPr>
        <w:numId w:val="9"/>
      </w:numPr>
    </w:pPr>
  </w:style>
  <w:style w:type="character" w:styleId="IntenseEmphasis">
    <w:name w:val="Intense Emphasis"/>
    <w:basedOn w:val="DefaultParagraphFont"/>
    <w:uiPriority w:val="33"/>
    <w:qFormat/>
    <w:rsid w:val="00430784"/>
    <w:rPr>
      <w:b/>
      <w:i/>
      <w:iCs/>
      <w:color w:val="000000" w:themeColor="text1"/>
    </w:rPr>
  </w:style>
  <w:style w:type="paragraph" w:customStyle="1" w:styleId="NormalIndent5mm">
    <w:name w:val="Normal Indent 5mm"/>
    <w:basedOn w:val="Normal"/>
    <w:qFormat/>
    <w:rsid w:val="00B514E3"/>
    <w:pPr>
      <w:spacing w:before="120" w:after="120" w:line="240" w:lineRule="auto"/>
      <w:ind w:left="284"/>
    </w:pPr>
    <w:rPr>
      <w:rFonts w:asciiTheme="minorHAnsi" w:eastAsiaTheme="minorHAnsi" w:hAnsiTheme="minorHAnsi" w:cstheme="minorBidi"/>
      <w:color w:val="000000" w:themeColor="text1"/>
      <w:sz w:val="20"/>
    </w:rPr>
  </w:style>
  <w:style w:type="character" w:styleId="Strong">
    <w:name w:val="Strong"/>
    <w:basedOn w:val="DefaultParagraphFont"/>
    <w:uiPriority w:val="22"/>
    <w:qFormat/>
    <w:rsid w:val="001F5A1E"/>
    <w:rPr>
      <w:b/>
      <w:bCs/>
    </w:rPr>
  </w:style>
  <w:style w:type="paragraph" w:customStyle="1" w:styleId="Boxed1Heading">
    <w:name w:val="Boxed 1 Heading"/>
    <w:basedOn w:val="Boxed1Text"/>
    <w:uiPriority w:val="29"/>
    <w:qFormat/>
    <w:rsid w:val="00495C6A"/>
    <w:pPr>
      <w:keepNext/>
      <w:spacing w:line="240" w:lineRule="atLeast"/>
    </w:pPr>
    <w:rPr>
      <w:b/>
      <w:szCs w:val="20"/>
    </w:rPr>
  </w:style>
  <w:style w:type="numbering" w:customStyle="1" w:styleId="FigureNumbers">
    <w:name w:val="Figure Numbers"/>
    <w:uiPriority w:val="99"/>
    <w:rsid w:val="00495C6A"/>
    <w:pPr>
      <w:numPr>
        <w:numId w:val="10"/>
      </w:numPr>
    </w:pPr>
  </w:style>
  <w:style w:type="paragraph" w:customStyle="1" w:styleId="FigureTitle">
    <w:name w:val="Figure Title"/>
    <w:basedOn w:val="Normal"/>
    <w:uiPriority w:val="12"/>
    <w:qFormat/>
    <w:rsid w:val="00495C6A"/>
    <w:pPr>
      <w:keepNext/>
      <w:numPr>
        <w:numId w:val="11"/>
      </w:numPr>
      <w:spacing w:before="240" w:after="120" w:line="240" w:lineRule="auto"/>
    </w:pPr>
    <w:rPr>
      <w:rFonts w:asciiTheme="majorHAnsi" w:eastAsiaTheme="minorHAnsi" w:hAnsiTheme="majorHAnsi" w:cstheme="minorBidi"/>
      <w:color w:val="000000" w:themeColor="text1"/>
      <w:sz w:val="20"/>
    </w:rPr>
  </w:style>
  <w:style w:type="character" w:customStyle="1" w:styleId="heading10">
    <w:name w:val="heading1"/>
    <w:basedOn w:val="DefaultParagraphFont"/>
    <w:rsid w:val="007811EC"/>
    <w:rPr>
      <w:rFonts w:ascii="Calibri" w:hAnsi="Calibri" w:cs="Calibri" w:hint="default"/>
      <w:b/>
      <w:bCs/>
      <w:i w:val="0"/>
      <w:iCs w:val="0"/>
      <w:color w:val="000000"/>
    </w:rPr>
  </w:style>
  <w:style w:type="paragraph" w:customStyle="1" w:styleId="AppendixNumbered">
    <w:name w:val="Appendix Numbered"/>
    <w:basedOn w:val="Heading2"/>
    <w:uiPriority w:val="11"/>
    <w:qFormat/>
    <w:rsid w:val="00C45989"/>
    <w:pPr>
      <w:keepLines/>
      <w:pageBreakBefore/>
      <w:numPr>
        <w:numId w:val="15"/>
      </w:numPr>
      <w:spacing w:before="360" w:after="120" w:line="240" w:lineRule="auto"/>
    </w:pPr>
    <w:rPr>
      <w:rFonts w:asciiTheme="majorHAnsi" w:eastAsiaTheme="majorEastAsia" w:hAnsiTheme="majorHAnsi" w:cstheme="majorBidi"/>
      <w:snapToGrid/>
      <w:color w:val="5B9BD5" w:themeColor="accent1"/>
      <w:szCs w:val="26"/>
    </w:rPr>
  </w:style>
  <w:style w:type="numbering" w:customStyle="1" w:styleId="AppendixNumbers">
    <w:name w:val="Appendix Numbers"/>
    <w:uiPriority w:val="99"/>
    <w:rsid w:val="00C45989"/>
    <w:pPr>
      <w:numPr>
        <w:numId w:val="12"/>
      </w:numPr>
    </w:pPr>
  </w:style>
  <w:style w:type="table" w:customStyle="1" w:styleId="DefaultTable1">
    <w:name w:val="Default Table 1"/>
    <w:basedOn w:val="GridTable5Dark-Accent1"/>
    <w:uiPriority w:val="99"/>
    <w:rsid w:val="00C45989"/>
    <w:pPr>
      <w:spacing w:before="60" w:after="60"/>
    </w:pPr>
    <w:rPr>
      <w:color w:val="000000" w:themeColor="text1"/>
      <w:sz w:val="18"/>
      <w:szCs w:val="20"/>
      <w:lang w:eastAsia="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rPr>
        <w:cantSplit w:val="0"/>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1"/>
      </w:tcPr>
    </w:tblStylePr>
    <w:tblStylePr w:type="lastRow">
      <w:rPr>
        <w:b/>
        <w:bCs/>
        <w:color w:val="000000" w:themeColor="text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BFBFBF" w:themeFill="background1" w:themeFillShade="BF"/>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pPr>
        <w:jc w:val="right"/>
      </w:pPr>
      <w:rPr>
        <w:b/>
        <w:bCs/>
        <w:color w:val="000000" w:themeColor="text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BFBF" w:themeFill="background1" w:themeFillShade="BF"/>
      </w:tcPr>
    </w:tblStylePr>
    <w:tblStylePr w:type="band1Vert">
      <w:tblPr/>
      <w:tcPr>
        <w:shd w:val="clear" w:color="auto" w:fill="DEEAF6" w:themeFill="accent1" w:themeFillTint="33"/>
      </w:tcPr>
    </w:tblStylePr>
    <w:tblStylePr w:type="band2Vert">
      <w:tblPr/>
      <w:tcPr>
        <w:shd w:val="clear" w:color="auto" w:fill="BDD6EE" w:themeFill="accent1" w:themeFillTint="66"/>
      </w:tcPr>
    </w:tblStylePr>
    <w:tblStylePr w:type="band1Horz">
      <w:tblPr/>
      <w:tcPr>
        <w:shd w:val="clear" w:color="auto" w:fill="DEEAF6" w:themeFill="accent1" w:themeFillTint="33"/>
      </w:tcPr>
    </w:tblStylePr>
    <w:tblStylePr w:type="band2Horz">
      <w:tblPr/>
      <w:tcPr>
        <w:shd w:val="clear" w:color="auto" w:fill="BDD6EE" w:themeFill="accent1" w:themeFillTint="66"/>
      </w:tcPr>
    </w:tblStylePr>
  </w:style>
  <w:style w:type="numbering" w:customStyle="1" w:styleId="TableNumbers">
    <w:name w:val="Table Numbers"/>
    <w:uiPriority w:val="99"/>
    <w:rsid w:val="00C45989"/>
    <w:pPr>
      <w:numPr>
        <w:numId w:val="13"/>
      </w:numPr>
    </w:pPr>
  </w:style>
  <w:style w:type="paragraph" w:customStyle="1" w:styleId="TableTitle">
    <w:name w:val="Table Title"/>
    <w:basedOn w:val="FigureTitle"/>
    <w:uiPriority w:val="12"/>
    <w:qFormat/>
    <w:rsid w:val="00C45989"/>
    <w:pPr>
      <w:numPr>
        <w:numId w:val="14"/>
      </w:numPr>
    </w:pPr>
  </w:style>
  <w:style w:type="table" w:styleId="GridTable5Dark-Accent1">
    <w:name w:val="Grid Table 5 Dark Accent 1"/>
    <w:basedOn w:val="TableNormal"/>
    <w:uiPriority w:val="50"/>
    <w:rsid w:val="00C459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styleId="FollowedHyperlink">
    <w:name w:val="FollowedHyperlink"/>
    <w:basedOn w:val="DefaultParagraphFont"/>
    <w:uiPriority w:val="99"/>
    <w:semiHidden/>
    <w:unhideWhenUsed/>
    <w:rsid w:val="005331E2"/>
    <w:rPr>
      <w:color w:val="954F72" w:themeColor="followedHyperlink"/>
      <w:u w:val="single"/>
    </w:rPr>
  </w:style>
  <w:style w:type="character" w:styleId="UnresolvedMention">
    <w:name w:val="Unresolved Mention"/>
    <w:basedOn w:val="DefaultParagraphFont"/>
    <w:uiPriority w:val="99"/>
    <w:semiHidden/>
    <w:unhideWhenUsed/>
    <w:rsid w:val="005331E2"/>
    <w:rPr>
      <w:color w:val="605E5C"/>
      <w:shd w:val="clear" w:color="auto" w:fill="E1DFDD"/>
    </w:rPr>
  </w:style>
  <w:style w:type="paragraph" w:customStyle="1" w:styleId="bulletnumbers">
    <w:name w:val="bullet numbers"/>
    <w:basedOn w:val="Normal"/>
    <w:qFormat/>
    <w:rsid w:val="00C23AE3"/>
    <w:pPr>
      <w:numPr>
        <w:numId w:val="16"/>
      </w:numPr>
      <w:spacing w:before="30" w:after="30"/>
      <w:ind w:left="357" w:hanging="357"/>
    </w:pPr>
    <w:rPr>
      <w:rFonts w:asciiTheme="minorHAnsi" w:eastAsiaTheme="minorHAnsi" w:hAnsiTheme="minorHAnsi"/>
      <w:szCs w:val="22"/>
    </w:rPr>
  </w:style>
  <w:style w:type="paragraph" w:customStyle="1" w:styleId="Directoratename">
    <w:name w:val="Directorate name"/>
    <w:basedOn w:val="Normal"/>
    <w:qFormat/>
    <w:rsid w:val="008F4C1C"/>
    <w:rPr>
      <w:b/>
      <w:bCs/>
      <w:color w:val="7030A0"/>
      <w:sz w:val="28"/>
      <w:szCs w:val="28"/>
    </w:rPr>
  </w:style>
  <w:style w:type="paragraph" w:styleId="FootnoteText">
    <w:name w:val="footnote text"/>
    <w:basedOn w:val="Normal"/>
    <w:link w:val="FootnoteTextChar"/>
    <w:uiPriority w:val="99"/>
    <w:semiHidden/>
    <w:unhideWhenUsed/>
    <w:rsid w:val="001723F7"/>
    <w:pPr>
      <w:spacing w:before="0" w:after="0" w:line="240" w:lineRule="auto"/>
    </w:pPr>
    <w:rPr>
      <w:sz w:val="20"/>
    </w:rPr>
  </w:style>
  <w:style w:type="character" w:customStyle="1" w:styleId="FootnoteTextChar">
    <w:name w:val="Footnote Text Char"/>
    <w:basedOn w:val="DefaultParagraphFont"/>
    <w:link w:val="FootnoteText"/>
    <w:uiPriority w:val="99"/>
    <w:semiHidden/>
    <w:rsid w:val="001723F7"/>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1723F7"/>
    <w:rPr>
      <w:vertAlign w:val="superscript"/>
    </w:rPr>
  </w:style>
  <w:style w:type="table" w:customStyle="1" w:styleId="LightShading1">
    <w:name w:val="Light Shading1"/>
    <w:basedOn w:val="TableNormal"/>
    <w:uiPriority w:val="60"/>
    <w:rsid w:val="002014DC"/>
    <w:pPr>
      <w:spacing w:after="0" w:line="240" w:lineRule="auto"/>
    </w:pPr>
    <w:rPr>
      <w:rFonts w:ascii="Times New Roman" w:eastAsia="Times New Roman" w:hAnsi="Times New Roman" w:cs="Times New Roman"/>
      <w:color w:val="000000" w:themeColor="text1" w:themeShade="BF"/>
      <w:lang w:eastAsia="en-A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2014DC"/>
    <w:rPr>
      <w:sz w:val="16"/>
      <w:szCs w:val="16"/>
    </w:rPr>
  </w:style>
  <w:style w:type="paragraph" w:styleId="CommentText">
    <w:name w:val="annotation text"/>
    <w:basedOn w:val="Normal"/>
    <w:link w:val="CommentTextChar"/>
    <w:uiPriority w:val="99"/>
    <w:unhideWhenUsed/>
    <w:rsid w:val="002014DC"/>
    <w:pPr>
      <w:spacing w:before="0" w:after="160" w:line="240" w:lineRule="auto"/>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2014DC"/>
    <w:rPr>
      <w:sz w:val="20"/>
      <w:szCs w:val="20"/>
    </w:rPr>
  </w:style>
  <w:style w:type="character" w:customStyle="1" w:styleId="charbolditals">
    <w:name w:val="charbolditals"/>
    <w:basedOn w:val="DefaultParagraphFont"/>
    <w:rsid w:val="002014DC"/>
  </w:style>
  <w:style w:type="paragraph" w:styleId="TOC1">
    <w:name w:val="toc 1"/>
    <w:basedOn w:val="Normal"/>
    <w:next w:val="Normal"/>
    <w:autoRedefine/>
    <w:uiPriority w:val="39"/>
    <w:unhideWhenUsed/>
    <w:rsid w:val="00B6384B"/>
    <w:pPr>
      <w:tabs>
        <w:tab w:val="right" w:leader="dot" w:pos="9629"/>
      </w:tabs>
      <w:spacing w:after="100"/>
    </w:pPr>
  </w:style>
  <w:style w:type="paragraph" w:styleId="TOC2">
    <w:name w:val="toc 2"/>
    <w:basedOn w:val="Normal"/>
    <w:next w:val="Normal"/>
    <w:autoRedefine/>
    <w:uiPriority w:val="39"/>
    <w:unhideWhenUsed/>
    <w:rsid w:val="004C09A3"/>
    <w:pPr>
      <w:tabs>
        <w:tab w:val="right" w:leader="dot" w:pos="9629"/>
      </w:tabs>
      <w:spacing w:after="100"/>
      <w:ind w:left="220"/>
    </w:pPr>
  </w:style>
  <w:style w:type="paragraph" w:styleId="TOCHeading">
    <w:name w:val="TOC Heading"/>
    <w:basedOn w:val="Heading1"/>
    <w:next w:val="Normal"/>
    <w:uiPriority w:val="39"/>
    <w:unhideWhenUsed/>
    <w:qFormat/>
    <w:rsid w:val="005456A2"/>
    <w:pPr>
      <w:keepLines/>
      <w:spacing w:after="0" w:line="259" w:lineRule="auto"/>
      <w:outlineLvl w:val="9"/>
    </w:pPr>
    <w:rPr>
      <w:rFonts w:asciiTheme="majorHAnsi" w:eastAsiaTheme="majorEastAsia" w:hAnsiTheme="majorHAnsi" w:cstheme="majorBidi"/>
      <w:b w:val="0"/>
      <w:color w:val="2E74B5" w:themeColor="accent1" w:themeShade="BF"/>
      <w:kern w:val="0"/>
      <w:sz w:val="32"/>
      <w:szCs w:val="32"/>
      <w:lang w:val="en-US"/>
    </w:rPr>
  </w:style>
  <w:style w:type="paragraph" w:styleId="CommentSubject">
    <w:name w:val="annotation subject"/>
    <w:basedOn w:val="CommentText"/>
    <w:next w:val="CommentText"/>
    <w:link w:val="CommentSubjectChar"/>
    <w:uiPriority w:val="99"/>
    <w:semiHidden/>
    <w:unhideWhenUsed/>
    <w:rsid w:val="00F1269C"/>
    <w:pPr>
      <w:spacing w:before="200" w:after="200"/>
    </w:pPr>
    <w:rPr>
      <w:rFonts w:ascii="Calibri" w:eastAsia="Times New Roman" w:hAnsi="Calibri" w:cs="Times New Roman"/>
      <w:b/>
      <w:bCs/>
    </w:rPr>
  </w:style>
  <w:style w:type="character" w:customStyle="1" w:styleId="CommentSubjectChar">
    <w:name w:val="Comment Subject Char"/>
    <w:basedOn w:val="CommentTextChar"/>
    <w:link w:val="CommentSubject"/>
    <w:uiPriority w:val="99"/>
    <w:semiHidden/>
    <w:rsid w:val="00F1269C"/>
    <w:rPr>
      <w:rFonts w:ascii="Calibri" w:eastAsia="Times New Roman" w:hAnsi="Calibri" w:cs="Times New Roman"/>
      <w:b/>
      <w:bCs/>
      <w:sz w:val="20"/>
      <w:szCs w:val="20"/>
    </w:rPr>
  </w:style>
  <w:style w:type="paragraph" w:styleId="NoSpacing">
    <w:name w:val="No Spacing"/>
    <w:uiPriority w:val="1"/>
    <w:qFormat/>
    <w:rsid w:val="00067E09"/>
    <w:pPr>
      <w:spacing w:after="0" w:line="240" w:lineRule="auto"/>
    </w:pPr>
    <w:rPr>
      <w:rFonts w:ascii="Calibri" w:eastAsia="Times New Roman" w:hAnsi="Calibri" w:cs="Times New Roman"/>
      <w:szCs w:val="20"/>
    </w:rPr>
  </w:style>
  <w:style w:type="paragraph" w:customStyle="1" w:styleId="1-PACT">
    <w:name w:val="1. - PACT"/>
    <w:basedOn w:val="Normal"/>
    <w:qFormat/>
    <w:rsid w:val="0034662C"/>
    <w:pPr>
      <w:numPr>
        <w:ilvl w:val="1"/>
        <w:numId w:val="18"/>
      </w:numPr>
      <w:spacing w:before="240" w:after="120" w:line="240" w:lineRule="auto"/>
      <w:jc w:val="both"/>
      <w:outlineLvl w:val="3"/>
    </w:pPr>
    <w:rPr>
      <w:rFonts w:ascii="Arial" w:eastAsiaTheme="minorHAnsi" w:hAnsi="Arial" w:cs="Arial"/>
      <w:b/>
      <w:color w:val="482D8C"/>
      <w:sz w:val="44"/>
      <w:szCs w:val="44"/>
    </w:rPr>
  </w:style>
  <w:style w:type="paragraph" w:customStyle="1" w:styleId="11-PACT">
    <w:name w:val="1.1 - PACT"/>
    <w:basedOn w:val="Normal"/>
    <w:qFormat/>
    <w:rsid w:val="0034662C"/>
    <w:pPr>
      <w:numPr>
        <w:ilvl w:val="2"/>
        <w:numId w:val="18"/>
      </w:numPr>
      <w:spacing w:before="240" w:after="120" w:line="240" w:lineRule="auto"/>
      <w:jc w:val="both"/>
      <w:outlineLvl w:val="4"/>
    </w:pPr>
    <w:rPr>
      <w:rFonts w:ascii="Arial" w:eastAsiaTheme="minorHAnsi" w:hAnsi="Arial" w:cs="Arial"/>
      <w:color w:val="482D8C"/>
      <w:sz w:val="32"/>
      <w:szCs w:val="32"/>
    </w:rPr>
  </w:style>
  <w:style w:type="paragraph" w:customStyle="1" w:styleId="111-PACT">
    <w:name w:val="1.1.1. - PACT"/>
    <w:basedOn w:val="Normal"/>
    <w:link w:val="111-PACTChar"/>
    <w:qFormat/>
    <w:rsid w:val="0034662C"/>
    <w:pPr>
      <w:numPr>
        <w:ilvl w:val="3"/>
        <w:numId w:val="18"/>
      </w:numPr>
      <w:spacing w:before="120" w:after="120" w:line="240" w:lineRule="auto"/>
      <w:jc w:val="both"/>
      <w:outlineLvl w:val="5"/>
    </w:pPr>
    <w:rPr>
      <w:rFonts w:eastAsiaTheme="minorHAnsi"/>
      <w:szCs w:val="22"/>
    </w:rPr>
  </w:style>
  <w:style w:type="paragraph" w:customStyle="1" w:styleId="a-PACT">
    <w:name w:val="(a) - PACT"/>
    <w:basedOn w:val="i-PACT"/>
    <w:link w:val="a-PACTChar"/>
    <w:qFormat/>
    <w:rsid w:val="0034662C"/>
    <w:pPr>
      <w:numPr>
        <w:ilvl w:val="4"/>
      </w:numPr>
      <w:outlineLvl w:val="6"/>
    </w:pPr>
  </w:style>
  <w:style w:type="paragraph" w:customStyle="1" w:styleId="i-PACT">
    <w:name w:val="i. - PACT"/>
    <w:basedOn w:val="Normal"/>
    <w:qFormat/>
    <w:rsid w:val="0034662C"/>
    <w:pPr>
      <w:numPr>
        <w:ilvl w:val="5"/>
        <w:numId w:val="18"/>
      </w:numPr>
      <w:spacing w:before="0" w:after="120" w:line="240" w:lineRule="auto"/>
      <w:jc w:val="both"/>
      <w:outlineLvl w:val="5"/>
    </w:pPr>
    <w:rPr>
      <w:rFonts w:eastAsia="Calibri"/>
      <w:szCs w:val="22"/>
    </w:rPr>
  </w:style>
  <w:style w:type="character" w:customStyle="1" w:styleId="a-PACTChar">
    <w:name w:val="(a) - PACT Char"/>
    <w:basedOn w:val="DefaultParagraphFont"/>
    <w:link w:val="a-PACT"/>
    <w:rsid w:val="0034662C"/>
    <w:rPr>
      <w:rFonts w:ascii="Calibri" w:eastAsia="Calibri" w:hAnsi="Calibri" w:cs="Times New Roman"/>
    </w:rPr>
  </w:style>
  <w:style w:type="paragraph" w:customStyle="1" w:styleId="Schedule1PACT">
    <w:name w:val="Schedule 1. PACT"/>
    <w:basedOn w:val="Normal"/>
    <w:qFormat/>
    <w:rsid w:val="0034662C"/>
    <w:pPr>
      <w:pageBreakBefore/>
      <w:numPr>
        <w:numId w:val="18"/>
      </w:numPr>
      <w:spacing w:before="240" w:after="120" w:line="240" w:lineRule="auto"/>
      <w:outlineLvl w:val="3"/>
    </w:pPr>
    <w:rPr>
      <w:rFonts w:asciiTheme="majorHAnsi" w:eastAsiaTheme="minorHAnsi" w:hAnsiTheme="majorHAnsi" w:cstheme="majorHAnsi"/>
      <w:b/>
      <w:color w:val="482D8C"/>
      <w:sz w:val="44"/>
      <w:szCs w:val="44"/>
    </w:rPr>
  </w:style>
  <w:style w:type="character" w:customStyle="1" w:styleId="111-PACTChar">
    <w:name w:val="1.1.1. - PACT Char"/>
    <w:basedOn w:val="DefaultParagraphFont"/>
    <w:link w:val="111-PACT"/>
    <w:rsid w:val="001D48BC"/>
    <w:rPr>
      <w:rFonts w:ascii="Calibri" w:hAnsi="Calibri" w:cs="Times New Roman"/>
    </w:rPr>
  </w:style>
  <w:style w:type="paragraph" w:styleId="Revision">
    <w:name w:val="Revision"/>
    <w:hidden/>
    <w:uiPriority w:val="99"/>
    <w:semiHidden/>
    <w:rsid w:val="00C3734D"/>
    <w:pPr>
      <w:spacing w:after="0" w:line="240" w:lineRule="auto"/>
    </w:pPr>
    <w:rPr>
      <w:rFonts w:ascii="Calibri" w:eastAsia="Times New Roman" w:hAnsi="Calibri" w:cs="Times New Roman"/>
      <w:szCs w:val="20"/>
    </w:rPr>
  </w:style>
  <w:style w:type="character" w:customStyle="1" w:styleId="ListParagraphChar">
    <w:name w:val="List Paragraph Char"/>
    <w:aliases w:val="List Paragraph1 Char,Recommendation Char,List Paragraph11 Char,Bullet point Char,L Char,List Paragraph111 Char,F5 List Paragraph Char,Dot pt Char,CV text Char,Medium Grid 1 - Accent 21 Char,Numbered Paragraph Char,FooterText Char"/>
    <w:link w:val="ListParagraph"/>
    <w:uiPriority w:val="34"/>
    <w:rsid w:val="00EA6F8A"/>
    <w:rPr>
      <w:rFonts w:ascii="Calibri" w:eastAsia="Times New Roman" w:hAnsi="Calibri" w:cs="Times New Roman"/>
      <w:szCs w:val="20"/>
    </w:rPr>
  </w:style>
  <w:style w:type="paragraph" w:styleId="TOC3">
    <w:name w:val="toc 3"/>
    <w:basedOn w:val="Normal"/>
    <w:next w:val="Normal"/>
    <w:autoRedefine/>
    <w:uiPriority w:val="39"/>
    <w:unhideWhenUsed/>
    <w:rsid w:val="00036D53"/>
    <w:pPr>
      <w:spacing w:after="100"/>
      <w:ind w:left="440"/>
    </w:pPr>
  </w:style>
  <w:style w:type="paragraph" w:customStyle="1" w:styleId="Definition">
    <w:name w:val="Definition"/>
    <w:basedOn w:val="Normal"/>
    <w:link w:val="DefinitionChar"/>
    <w:rsid w:val="001560CF"/>
    <w:pPr>
      <w:numPr>
        <w:numId w:val="25"/>
      </w:numPr>
      <w:spacing w:before="0" w:after="240" w:line="240" w:lineRule="auto"/>
    </w:pPr>
    <w:rPr>
      <w:rFonts w:ascii="Arial" w:hAnsi="Arial"/>
      <w:sz w:val="20"/>
      <w:szCs w:val="22"/>
    </w:rPr>
  </w:style>
  <w:style w:type="paragraph" w:customStyle="1" w:styleId="DefinitionNum2">
    <w:name w:val="DefinitionNum2"/>
    <w:basedOn w:val="Normal"/>
    <w:rsid w:val="001560CF"/>
    <w:pPr>
      <w:numPr>
        <w:ilvl w:val="1"/>
        <w:numId w:val="25"/>
      </w:numPr>
      <w:spacing w:before="0" w:after="240" w:line="240" w:lineRule="auto"/>
    </w:pPr>
    <w:rPr>
      <w:rFonts w:ascii="Arial" w:hAnsi="Arial"/>
      <w:sz w:val="20"/>
      <w:szCs w:val="24"/>
    </w:rPr>
  </w:style>
  <w:style w:type="paragraph" w:customStyle="1" w:styleId="DefinitionNum3">
    <w:name w:val="DefinitionNum3"/>
    <w:basedOn w:val="Normal"/>
    <w:rsid w:val="001560CF"/>
    <w:pPr>
      <w:numPr>
        <w:ilvl w:val="2"/>
        <w:numId w:val="25"/>
      </w:numPr>
      <w:spacing w:before="0" w:after="240" w:line="240" w:lineRule="auto"/>
      <w:outlineLvl w:val="2"/>
    </w:pPr>
    <w:rPr>
      <w:rFonts w:ascii="Arial" w:hAnsi="Arial"/>
      <w:sz w:val="20"/>
      <w:szCs w:val="22"/>
    </w:rPr>
  </w:style>
  <w:style w:type="paragraph" w:customStyle="1" w:styleId="DefinitionNum4">
    <w:name w:val="DefinitionNum4"/>
    <w:basedOn w:val="Normal"/>
    <w:rsid w:val="001560CF"/>
    <w:pPr>
      <w:numPr>
        <w:ilvl w:val="3"/>
        <w:numId w:val="25"/>
      </w:numPr>
      <w:spacing w:before="0" w:after="240" w:line="240" w:lineRule="auto"/>
    </w:pPr>
    <w:rPr>
      <w:rFonts w:ascii="Arial" w:hAnsi="Arial"/>
      <w:sz w:val="20"/>
      <w:szCs w:val="24"/>
    </w:rPr>
  </w:style>
  <w:style w:type="numbering" w:customStyle="1" w:styleId="Definitions">
    <w:name w:val="Definitions"/>
    <w:rsid w:val="001560CF"/>
    <w:pPr>
      <w:numPr>
        <w:numId w:val="24"/>
      </w:numPr>
    </w:pPr>
  </w:style>
  <w:style w:type="character" w:customStyle="1" w:styleId="DefinitionChar">
    <w:name w:val="Definition Char"/>
    <w:basedOn w:val="DefaultParagraphFont"/>
    <w:link w:val="Definition"/>
    <w:rsid w:val="001560CF"/>
    <w:rPr>
      <w:rFonts w:ascii="Arial" w:eastAsia="Times New Roman" w:hAnsi="Arial" w:cs="Times New Roman"/>
      <w:sz w:val="20"/>
    </w:rPr>
  </w:style>
  <w:style w:type="character" w:customStyle="1" w:styleId="cf01">
    <w:name w:val="cf01"/>
    <w:basedOn w:val="DefaultParagraphFont"/>
    <w:rsid w:val="00C91166"/>
    <w:rPr>
      <w:rFonts w:ascii="Segoe UI" w:hAnsi="Segoe UI" w:cs="Segoe UI" w:hint="default"/>
      <w:i/>
      <w:iCs/>
      <w:sz w:val="18"/>
      <w:szCs w:val="18"/>
    </w:rPr>
  </w:style>
  <w:style w:type="paragraph" w:customStyle="1" w:styleId="pf0">
    <w:name w:val="pf0"/>
    <w:basedOn w:val="Normal"/>
    <w:rsid w:val="00C91166"/>
    <w:pPr>
      <w:spacing w:before="100" w:beforeAutospacing="1" w:after="100" w:afterAutospacing="1" w:line="240" w:lineRule="auto"/>
    </w:pPr>
    <w:rPr>
      <w:rFonts w:ascii="Times New Roman" w:hAnsi="Times New Roman"/>
      <w:sz w:val="24"/>
      <w:szCs w:val="24"/>
      <w:lang w:eastAsia="en-AU"/>
    </w:rPr>
  </w:style>
  <w:style w:type="character" w:customStyle="1" w:styleId="ui-provider">
    <w:name w:val="ui-provider"/>
    <w:basedOn w:val="DefaultParagraphFont"/>
    <w:rsid w:val="0074490C"/>
  </w:style>
  <w:style w:type="paragraph" w:customStyle="1" w:styleId="Bbodytext">
    <w:name w:val="B_body_text"/>
    <w:basedOn w:val="Normal"/>
    <w:link w:val="BbodytextChar"/>
    <w:qFormat/>
    <w:rsid w:val="00923C55"/>
    <w:pPr>
      <w:spacing w:before="120" w:after="120" w:line="240" w:lineRule="auto"/>
    </w:pPr>
    <w:rPr>
      <w:rFonts w:asciiTheme="minorHAnsi" w:eastAsiaTheme="minorHAnsi" w:hAnsiTheme="minorHAnsi" w:cstheme="minorBidi"/>
      <w:sz w:val="24"/>
      <w:szCs w:val="22"/>
    </w:rPr>
  </w:style>
  <w:style w:type="character" w:customStyle="1" w:styleId="BbodytextChar">
    <w:name w:val="B_body_text Char"/>
    <w:basedOn w:val="DefaultParagraphFont"/>
    <w:link w:val="Bbodytext"/>
    <w:rsid w:val="00923C55"/>
    <w:rPr>
      <w:sz w:val="24"/>
    </w:rPr>
  </w:style>
  <w:style w:type="paragraph" w:customStyle="1" w:styleId="TableHeading">
    <w:name w:val="Table Heading"/>
    <w:basedOn w:val="Normal"/>
    <w:qFormat/>
    <w:rsid w:val="00923C55"/>
    <w:pPr>
      <w:spacing w:before="240" w:after="120"/>
      <w:outlineLvl w:val="0"/>
    </w:pPr>
    <w:rPr>
      <w:b/>
      <w:sz w:val="20"/>
      <w:szCs w:val="22"/>
      <w:lang w:val="en-US" w:bidi="en-US"/>
    </w:rPr>
  </w:style>
  <w:style w:type="paragraph" w:customStyle="1" w:styleId="TableParagraph">
    <w:name w:val="Table Paragraph"/>
    <w:basedOn w:val="Normal"/>
    <w:uiPriority w:val="1"/>
    <w:qFormat/>
    <w:rsid w:val="00632E0D"/>
    <w:pPr>
      <w:widowControl w:val="0"/>
      <w:autoSpaceDE w:val="0"/>
      <w:autoSpaceDN w:val="0"/>
      <w:spacing w:before="56" w:after="0" w:line="240" w:lineRule="auto"/>
      <w:ind w:left="107"/>
    </w:pPr>
    <w:rPr>
      <w:rFonts w:eastAsia="Calibri" w:cs="Calibri"/>
      <w:szCs w:val="22"/>
      <w:lang w:val="en-US"/>
    </w:rPr>
  </w:style>
  <w:style w:type="paragraph" w:customStyle="1" w:styleId="CS-Paragraphnumbering">
    <w:name w:val="CS - Paragraph numbering"/>
    <w:basedOn w:val="Normal"/>
    <w:rsid w:val="00D42527"/>
    <w:pPr>
      <w:numPr>
        <w:numId w:val="53"/>
      </w:numPr>
      <w:spacing w:before="0" w:after="120"/>
      <w:ind w:right="-45"/>
    </w:pPr>
    <w:rPr>
      <w:rFonts w:asciiTheme="minorHAnsi" w:eastAsiaTheme="minorHAnsi"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374297">
      <w:bodyDiv w:val="1"/>
      <w:marLeft w:val="0"/>
      <w:marRight w:val="0"/>
      <w:marTop w:val="0"/>
      <w:marBottom w:val="0"/>
      <w:divBdr>
        <w:top w:val="none" w:sz="0" w:space="0" w:color="auto"/>
        <w:left w:val="none" w:sz="0" w:space="0" w:color="auto"/>
        <w:bottom w:val="none" w:sz="0" w:space="0" w:color="auto"/>
        <w:right w:val="none" w:sz="0" w:space="0" w:color="auto"/>
      </w:divBdr>
      <w:divsChild>
        <w:div w:id="472599120">
          <w:marLeft w:val="0"/>
          <w:marRight w:val="0"/>
          <w:marTop w:val="0"/>
          <w:marBottom w:val="0"/>
          <w:divBdr>
            <w:top w:val="none" w:sz="0" w:space="0" w:color="auto"/>
            <w:left w:val="none" w:sz="0" w:space="0" w:color="auto"/>
            <w:bottom w:val="none" w:sz="0" w:space="0" w:color="auto"/>
            <w:right w:val="none" w:sz="0" w:space="0" w:color="auto"/>
          </w:divBdr>
          <w:divsChild>
            <w:div w:id="479544145">
              <w:marLeft w:val="0"/>
              <w:marRight w:val="0"/>
              <w:marTop w:val="0"/>
              <w:marBottom w:val="0"/>
              <w:divBdr>
                <w:top w:val="none" w:sz="0" w:space="0" w:color="auto"/>
                <w:left w:val="none" w:sz="0" w:space="0" w:color="auto"/>
                <w:bottom w:val="none" w:sz="0" w:space="0" w:color="auto"/>
                <w:right w:val="none" w:sz="0" w:space="0" w:color="auto"/>
              </w:divBdr>
            </w:div>
          </w:divsChild>
        </w:div>
        <w:div w:id="1414930912">
          <w:marLeft w:val="0"/>
          <w:marRight w:val="0"/>
          <w:marTop w:val="0"/>
          <w:marBottom w:val="0"/>
          <w:divBdr>
            <w:top w:val="none" w:sz="0" w:space="0" w:color="auto"/>
            <w:left w:val="none" w:sz="0" w:space="0" w:color="auto"/>
            <w:bottom w:val="none" w:sz="0" w:space="0" w:color="auto"/>
            <w:right w:val="none" w:sz="0" w:space="0" w:color="auto"/>
          </w:divBdr>
        </w:div>
      </w:divsChild>
    </w:div>
    <w:div w:id="880558768">
      <w:bodyDiv w:val="1"/>
      <w:marLeft w:val="0"/>
      <w:marRight w:val="0"/>
      <w:marTop w:val="0"/>
      <w:marBottom w:val="0"/>
      <w:divBdr>
        <w:top w:val="none" w:sz="0" w:space="0" w:color="auto"/>
        <w:left w:val="none" w:sz="0" w:space="0" w:color="auto"/>
        <w:bottom w:val="none" w:sz="0" w:space="0" w:color="auto"/>
        <w:right w:val="none" w:sz="0" w:space="0" w:color="auto"/>
      </w:divBdr>
    </w:div>
    <w:div w:id="901989685">
      <w:bodyDiv w:val="1"/>
      <w:marLeft w:val="0"/>
      <w:marRight w:val="0"/>
      <w:marTop w:val="0"/>
      <w:marBottom w:val="0"/>
      <w:divBdr>
        <w:top w:val="none" w:sz="0" w:space="0" w:color="auto"/>
        <w:left w:val="none" w:sz="0" w:space="0" w:color="auto"/>
        <w:bottom w:val="none" w:sz="0" w:space="0" w:color="auto"/>
        <w:right w:val="none" w:sz="0" w:space="0" w:color="auto"/>
      </w:divBdr>
    </w:div>
    <w:div w:id="1027675864">
      <w:bodyDiv w:val="1"/>
      <w:marLeft w:val="0"/>
      <w:marRight w:val="0"/>
      <w:marTop w:val="0"/>
      <w:marBottom w:val="0"/>
      <w:divBdr>
        <w:top w:val="none" w:sz="0" w:space="0" w:color="auto"/>
        <w:left w:val="none" w:sz="0" w:space="0" w:color="auto"/>
        <w:bottom w:val="none" w:sz="0" w:space="0" w:color="auto"/>
        <w:right w:val="none" w:sz="0" w:space="0" w:color="auto"/>
      </w:divBdr>
    </w:div>
    <w:div w:id="1185553377">
      <w:bodyDiv w:val="1"/>
      <w:marLeft w:val="0"/>
      <w:marRight w:val="0"/>
      <w:marTop w:val="0"/>
      <w:marBottom w:val="0"/>
      <w:divBdr>
        <w:top w:val="none" w:sz="0" w:space="0" w:color="auto"/>
        <w:left w:val="none" w:sz="0" w:space="0" w:color="auto"/>
        <w:bottom w:val="none" w:sz="0" w:space="0" w:color="auto"/>
        <w:right w:val="none" w:sz="0" w:space="0" w:color="auto"/>
      </w:divBdr>
    </w:div>
    <w:div w:id="1310675294">
      <w:bodyDiv w:val="1"/>
      <w:marLeft w:val="0"/>
      <w:marRight w:val="0"/>
      <w:marTop w:val="0"/>
      <w:marBottom w:val="0"/>
      <w:divBdr>
        <w:top w:val="none" w:sz="0" w:space="0" w:color="auto"/>
        <w:left w:val="none" w:sz="0" w:space="0" w:color="auto"/>
        <w:bottom w:val="none" w:sz="0" w:space="0" w:color="auto"/>
        <w:right w:val="none" w:sz="0" w:space="0" w:color="auto"/>
      </w:divBdr>
    </w:div>
    <w:div w:id="1327053700">
      <w:bodyDiv w:val="1"/>
      <w:marLeft w:val="0"/>
      <w:marRight w:val="0"/>
      <w:marTop w:val="0"/>
      <w:marBottom w:val="0"/>
      <w:divBdr>
        <w:top w:val="none" w:sz="0" w:space="0" w:color="auto"/>
        <w:left w:val="none" w:sz="0" w:space="0" w:color="auto"/>
        <w:bottom w:val="none" w:sz="0" w:space="0" w:color="auto"/>
        <w:right w:val="none" w:sz="0" w:space="0" w:color="auto"/>
      </w:divBdr>
    </w:div>
    <w:div w:id="2129425427">
      <w:bodyDiv w:val="1"/>
      <w:marLeft w:val="0"/>
      <w:marRight w:val="0"/>
      <w:marTop w:val="0"/>
      <w:marBottom w:val="0"/>
      <w:divBdr>
        <w:top w:val="none" w:sz="0" w:space="0" w:color="auto"/>
        <w:left w:val="none" w:sz="0" w:space="0" w:color="auto"/>
        <w:bottom w:val="none" w:sz="0" w:space="0" w:color="auto"/>
        <w:right w:val="none" w:sz="0" w:space="0" w:color="auto"/>
      </w:divBdr>
    </w:div>
    <w:div w:id="2140417210">
      <w:bodyDiv w:val="1"/>
      <w:marLeft w:val="0"/>
      <w:marRight w:val="0"/>
      <w:marTop w:val="0"/>
      <w:marBottom w:val="0"/>
      <w:divBdr>
        <w:top w:val="none" w:sz="0" w:space="0" w:color="auto"/>
        <w:left w:val="none" w:sz="0" w:space="0" w:color="auto"/>
        <w:bottom w:val="none" w:sz="0" w:space="0" w:color="auto"/>
        <w:right w:val="none" w:sz="0" w:space="0" w:color="auto"/>
      </w:divBdr>
      <w:divsChild>
        <w:div w:id="2067409076">
          <w:marLeft w:val="0"/>
          <w:marRight w:val="0"/>
          <w:marTop w:val="0"/>
          <w:marBottom w:val="0"/>
          <w:divBdr>
            <w:top w:val="none" w:sz="0" w:space="0" w:color="auto"/>
            <w:left w:val="none" w:sz="0" w:space="0" w:color="auto"/>
            <w:bottom w:val="none" w:sz="0" w:space="0" w:color="auto"/>
            <w:right w:val="none" w:sz="0" w:space="0" w:color="auto"/>
          </w:divBdr>
          <w:divsChild>
            <w:div w:id="1056902365">
              <w:marLeft w:val="0"/>
              <w:marRight w:val="0"/>
              <w:marTop w:val="0"/>
              <w:marBottom w:val="0"/>
              <w:divBdr>
                <w:top w:val="none" w:sz="0" w:space="0" w:color="auto"/>
                <w:left w:val="none" w:sz="0" w:space="0" w:color="auto"/>
                <w:bottom w:val="none" w:sz="0" w:space="0" w:color="auto"/>
                <w:right w:val="none" w:sz="0" w:space="0" w:color="auto"/>
              </w:divBdr>
            </w:div>
          </w:divsChild>
        </w:div>
        <w:div w:id="7790321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file:///\\nas327s1\PICC\CAMPAIGN%20and%20CREATIVE\Design_Hub\Branding\Post%20election%20options\Brand%20book%20update\Look%20&amp;%20feel%20development\Brand%20products%20various\AAA_Templates\Word%20templates\A4%20Reports\Content\Images\WHoG%20cover%20top\Cover%20WHoG%20long_.pn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file:///\\nas327s1\PICC\CAMPAIGN%20and%20CREATIVE\Design_Hub\Branding\Post%20election%20options\Brand%20book%20update\Look%20&amp;%20feel%20development\Brand%20products%20various\AAA_Templates\Word%20templates\A4%20Reports\Content\Images\Header%20WHoG\Header%20WHog_B%20thin.png"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90D9B5854DD0943985B1931B7971495" ma:contentTypeVersion="19" ma:contentTypeDescription="Create a new document." ma:contentTypeScope="" ma:versionID="aec6f21c815671188cde2abac0075900">
  <xsd:schema xmlns:xsd="http://www.w3.org/2001/XMLSchema" xmlns:xs="http://www.w3.org/2001/XMLSchema" xmlns:p="http://schemas.microsoft.com/office/2006/metadata/properties" xmlns:ns2="f6c841be-bb08-4901-87b0-0033aa80d2c6" xmlns:ns3="4d47241e-7224-40da-83d9-1113ff4a4334" targetNamespace="http://schemas.microsoft.com/office/2006/metadata/properties" ma:root="true" ma:fieldsID="321f9ca8876a6050411e27632b4ddb20" ns2:_="" ns3:_="">
    <xsd:import namespace="f6c841be-bb08-4901-87b0-0033aa80d2c6"/>
    <xsd:import namespace="4d47241e-7224-40da-83d9-1113ff4a4334"/>
    <xsd:element name="properties">
      <xsd:complexType>
        <xsd:sequence>
          <xsd:element name="documentManagement">
            <xsd:complexType>
              <xsd:all>
                <xsd:element ref="ns2:MediaServiceMetadata" minOccurs="0"/>
                <xsd:element ref="ns2:MediaServiceFastMetadata" minOccurs="0"/>
                <xsd:element ref="ns2:_Flow_SignoffStatus" minOccurs="0"/>
                <xsd:element ref="ns2:DocumentTyp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841be-bb08-4901-87b0-0033aa80d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DocumentType" ma:index="11" nillable="true" ma:displayName="Document Type" ma:format="Dropdown" ma:internalName="DocumentType">
      <xsd:simpleType>
        <xsd:restriction base="dms:Choice">
          <xsd:enumeration value="Guideline"/>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d47241e-7224-40da-83d9-1113ff4a433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5dcb94e-5755-4384-ae7a-b1d759b3967d}" ma:internalName="TaxCatchAll" ma:showField="CatchAllData" ma:web="4d47241e-7224-40da-83d9-1113ff4a43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f6c841be-bb08-4901-87b0-0033aa80d2c6" xsi:nil="true"/>
    <DocumentType xmlns="f6c841be-bb08-4901-87b0-0033aa80d2c6" xsi:nil="true"/>
    <lcf76f155ced4ddcb4097134ff3c332f xmlns="f6c841be-bb08-4901-87b0-0033aa80d2c6">
      <Terms xmlns="http://schemas.microsoft.com/office/infopath/2007/PartnerControls"/>
    </lcf76f155ced4ddcb4097134ff3c332f>
    <TaxCatchAll xmlns="4d47241e-7224-40da-83d9-1113ff4a433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889FB0-8892-4E43-B0A9-12DC07353A8B}">
  <ds:schemaRefs>
    <ds:schemaRef ds:uri="http://schemas.openxmlformats.org/officeDocument/2006/bibliography"/>
  </ds:schemaRefs>
</ds:datastoreItem>
</file>

<file path=customXml/itemProps2.xml><?xml version="1.0" encoding="utf-8"?>
<ds:datastoreItem xmlns:ds="http://schemas.openxmlformats.org/officeDocument/2006/customXml" ds:itemID="{B08D71D4-E4DA-409D-98DE-F2C5F857E3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841be-bb08-4901-87b0-0033aa80d2c6"/>
    <ds:schemaRef ds:uri="4d47241e-7224-40da-83d9-1113ff4a43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84DB80-A521-429B-8B43-37D8A844619C}">
  <ds:schemaRefs>
    <ds:schemaRef ds:uri="http://schemas.microsoft.com/office/2006/metadata/properties"/>
    <ds:schemaRef ds:uri="http://schemas.microsoft.com/office/infopath/2007/PartnerControls"/>
    <ds:schemaRef ds:uri="f6c841be-bb08-4901-87b0-0033aa80d2c6"/>
    <ds:schemaRef ds:uri="4d47241e-7224-40da-83d9-1113ff4a4334"/>
  </ds:schemaRefs>
</ds:datastoreItem>
</file>

<file path=customXml/itemProps4.xml><?xml version="1.0" encoding="utf-8"?>
<ds:datastoreItem xmlns:ds="http://schemas.openxmlformats.org/officeDocument/2006/customXml" ds:itemID="{8FB681A3-58C3-4541-82AC-C3AB1893F7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2985</Words>
  <Characters>17017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19963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Borrowing Management Policy Framework</dc:title>
  <dc:creator>ACT Government</dc:creator>
  <cp:lastModifiedBy>Fitzgibbon, Kathleen</cp:lastModifiedBy>
  <cp:revision>3</cp:revision>
  <cp:lastPrinted>2026-07-29T07:48:00Z</cp:lastPrinted>
  <dcterms:created xsi:type="dcterms:W3CDTF">2026-08-21T00:20:00Z</dcterms:created>
  <dcterms:modified xsi:type="dcterms:W3CDTF">2026-08-24T04:29:00Z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0x010100190D9B5854DD0943985B1931B7971495</vt:lpwstr>
  </property>
  <property fmtid="{D5CDD505-2E9C-101B-9397-08002B2CF9AE}" pid="3" name="MSIP_Label_69af8531-eb46-4968-8cb3-105d2f5ea87e_Enabled">
    <vt:lpwstr>true</vt:lpwstr>
  </property>
  <property fmtid="{D5CDD505-2E9C-101B-9397-08002B2CF9AE}" pid="4" name="MSIP_Label_69af8531-eb46-4968-8cb3-105d2f5ea87e_SetDate">
    <vt:lpwstr>2021-06-17T05:19:54Z</vt:lpwstr>
  </property>
  <property fmtid="{D5CDD505-2E9C-101B-9397-08002B2CF9AE}" pid="5" name="MSIP_Label_69af8531-eb46-4968-8cb3-105d2f5ea87e_Method">
    <vt:lpwstr>Privileged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fc30cf60-cc8e-4fde-87ed-fd93859bb71d</vt:lpwstr>
  </property>
  <property fmtid="{D5CDD505-2E9C-101B-9397-08002B2CF9AE}" pid="9" name="MSIP_Label_69af8531-eb46-4968-8cb3-105d2f5ea87e_ContentBits">
    <vt:lpwstr>0</vt:lpwstr>
  </property>
</Properties>
</file>