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420" w:firstRow="1" w:lastRow="0" w:firstColumn="0" w:lastColumn="0" w:noHBand="0" w:noVBand="1"/>
      </w:tblPr>
      <w:tblGrid>
        <w:gridCol w:w="6912"/>
        <w:gridCol w:w="3168"/>
      </w:tblGrid>
      <w:tr w:rsidR="00D10F32" w14:paraId="011CDF94" w14:textId="77777777" w:rsidTr="005F4A2E">
        <w:trPr>
          <w:cantSplit/>
          <w:trHeight w:hRule="exact" w:val="418"/>
          <w:jc w:val="center"/>
        </w:trPr>
        <w:tc>
          <w:tcPr>
            <w:tcW w:w="691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B5D460" w14:textId="128CB9BB" w:rsidR="00D10F32" w:rsidRDefault="0019343E" w:rsidP="005C27BB">
            <w:pPr>
              <w:keepNext/>
              <w:pBdr>
                <w:top w:val="none" w:sz="0" w:space="0" w:color="000000"/>
                <w:left w:val="none" w:sz="0" w:space="0" w:color="000000"/>
                <w:bottom w:val="none" w:sz="0" w:space="0" w:color="000000"/>
                <w:right w:val="none" w:sz="0" w:space="0" w:color="000000"/>
              </w:pBdr>
              <w:spacing w:after="100"/>
              <w:ind w:right="102"/>
            </w:pPr>
            <w:r>
              <w:rPr>
                <w:rFonts w:ascii="Calibri"/>
                <w:b/>
                <w:color w:val="000000"/>
                <w:sz w:val="32"/>
                <w:szCs w:val="32"/>
              </w:rPr>
              <w:t xml:space="preserve">Household Spending </w:t>
            </w:r>
            <w:r w:rsidR="00737BDA">
              <w:rPr>
                <w:rFonts w:ascii="Calibri"/>
                <w:b/>
                <w:color w:val="000000"/>
                <w:sz w:val="32"/>
                <w:szCs w:val="32"/>
              </w:rPr>
              <w:t>–</w:t>
            </w:r>
            <w:r>
              <w:rPr>
                <w:rFonts w:ascii="Calibri"/>
                <w:b/>
                <w:color w:val="000000"/>
                <w:sz w:val="32"/>
                <w:szCs w:val="32"/>
              </w:rPr>
              <w:t xml:space="preserve"> </w:t>
            </w:r>
            <w:r w:rsidR="00737BDA">
              <w:rPr>
                <w:rFonts w:ascii="Calibri"/>
                <w:b/>
                <w:color w:val="000000"/>
                <w:sz w:val="32"/>
                <w:szCs w:val="32"/>
              </w:rPr>
              <w:t xml:space="preserve">February </w:t>
            </w:r>
            <w:r>
              <w:rPr>
                <w:rFonts w:ascii="Calibri"/>
                <w:b/>
                <w:color w:val="000000"/>
                <w:sz w:val="32"/>
                <w:szCs w:val="32"/>
              </w:rPr>
              <w:t>202</w:t>
            </w:r>
            <w:r w:rsidR="004E6654">
              <w:rPr>
                <w:rFonts w:ascii="Calibri"/>
                <w:b/>
                <w:color w:val="000000"/>
                <w:sz w:val="32"/>
                <w:szCs w:val="32"/>
              </w:rPr>
              <w:t>4</w:t>
            </w:r>
          </w:p>
        </w:tc>
        <w:tc>
          <w:tcPr>
            <w:tcW w:w="316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CA13FE3" w14:textId="77777777" w:rsidR="00D10F32" w:rsidRDefault="0019343E" w:rsidP="005C27BB">
            <w:pPr>
              <w:keepNext/>
              <w:pBdr>
                <w:top w:val="none" w:sz="0" w:space="0" w:color="000000"/>
                <w:left w:val="none" w:sz="0" w:space="0" w:color="000000"/>
                <w:bottom w:val="none" w:sz="0" w:space="0" w:color="000000"/>
                <w:right w:val="none" w:sz="0" w:space="0" w:color="000000"/>
              </w:pBdr>
              <w:spacing w:after="100"/>
              <w:ind w:right="102"/>
            </w:pPr>
            <w:r>
              <w:rPr>
                <w:noProof/>
              </w:rPr>
              <w:drawing>
                <wp:inline distT="0" distB="0" distL="0" distR="0" wp14:anchorId="25CE5C13" wp14:editId="1833CEB2">
                  <wp:extent cx="1644650" cy="6210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8"/>
                          <a:srcRect/>
                          <a:stretch>
                            <a:fillRect/>
                          </a:stretch>
                        </pic:blipFill>
                        <pic:spPr bwMode="auto">
                          <a:xfrm>
                            <a:off x="0" y="0"/>
                            <a:ext cx="1644650" cy="621030"/>
                          </a:xfrm>
                          <a:prstGeom prst="rect">
                            <a:avLst/>
                          </a:prstGeom>
                          <a:noFill/>
                        </pic:spPr>
                      </pic:pic>
                    </a:graphicData>
                  </a:graphic>
                </wp:inline>
              </w:drawing>
            </w:r>
          </w:p>
        </w:tc>
      </w:tr>
      <w:tr w:rsidR="00D10F32" w14:paraId="70C0F965" w14:textId="77777777" w:rsidTr="005F4A2E">
        <w:trPr>
          <w:cantSplit/>
          <w:trHeight w:hRule="exact" w:val="374"/>
          <w:jc w:val="center"/>
        </w:trPr>
        <w:tc>
          <w:tcPr>
            <w:tcW w:w="691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B9EAD6" w14:textId="40EF2D86" w:rsidR="00D10F32" w:rsidRDefault="0019343E" w:rsidP="005C27BB">
            <w:pPr>
              <w:keepNext/>
              <w:pBdr>
                <w:top w:val="none" w:sz="0" w:space="0" w:color="000000"/>
                <w:left w:val="none" w:sz="0" w:space="0" w:color="000000"/>
                <w:bottom w:val="none" w:sz="0" w:space="0" w:color="000000"/>
                <w:right w:val="none" w:sz="0" w:space="0" w:color="000000"/>
              </w:pBdr>
              <w:spacing w:after="100"/>
              <w:ind w:right="102"/>
            </w:pPr>
            <w:r>
              <w:rPr>
                <w:rFonts w:ascii="Calibri"/>
                <w:b/>
                <w:color w:val="000000"/>
                <w:sz w:val="28"/>
                <w:szCs w:val="28"/>
              </w:rPr>
              <w:t>Source: ABS Monthly Household Spending Indicator</w:t>
            </w:r>
          </w:p>
        </w:tc>
        <w:tc>
          <w:tcPr>
            <w:tcW w:w="316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72E4D1" w14:textId="77777777" w:rsidR="00D10F32" w:rsidRDefault="00D10F32" w:rsidP="005C27BB">
            <w:pPr>
              <w:keepNext/>
              <w:pBdr>
                <w:top w:val="none" w:sz="0" w:space="0" w:color="000000"/>
                <w:left w:val="none" w:sz="0" w:space="0" w:color="000000"/>
                <w:bottom w:val="none" w:sz="0" w:space="0" w:color="000000"/>
                <w:right w:val="none" w:sz="0" w:space="0" w:color="000000"/>
              </w:pBdr>
              <w:spacing w:after="100"/>
              <w:ind w:right="102"/>
            </w:pPr>
          </w:p>
        </w:tc>
      </w:tr>
      <w:tr w:rsidR="00D10F32" w14:paraId="37FB9911" w14:textId="77777777" w:rsidTr="0019343E">
        <w:trPr>
          <w:cantSplit/>
          <w:trHeight w:hRule="exact" w:val="334"/>
          <w:jc w:val="center"/>
        </w:trPr>
        <w:tc>
          <w:tcPr>
            <w:tcW w:w="6912"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tcPr>
          <w:p w14:paraId="362C7EDE" w14:textId="5A3725DA" w:rsidR="00D10F32" w:rsidRDefault="0019343E" w:rsidP="005C27BB">
            <w:pPr>
              <w:keepNext/>
              <w:pBdr>
                <w:top w:val="none" w:sz="0" w:space="0" w:color="000000"/>
                <w:left w:val="none" w:sz="0" w:space="0" w:color="000000"/>
                <w:bottom w:val="none" w:sz="0" w:space="0" w:color="000000"/>
                <w:right w:val="none" w:sz="0" w:space="0" w:color="000000"/>
              </w:pBdr>
              <w:spacing w:after="100"/>
              <w:ind w:right="102"/>
            </w:pPr>
            <w:r>
              <w:rPr>
                <w:rFonts w:ascii="Calibri"/>
                <w:b/>
                <w:color w:val="000000"/>
                <w:sz w:val="18"/>
                <w:szCs w:val="18"/>
              </w:rPr>
              <w:t xml:space="preserve">Publication Release Date: </w:t>
            </w:r>
            <w:r w:rsidR="00737BDA">
              <w:rPr>
                <w:rFonts w:ascii="Calibri"/>
                <w:b/>
                <w:color w:val="000000"/>
                <w:sz w:val="18"/>
                <w:szCs w:val="18"/>
              </w:rPr>
              <w:t>04 April</w:t>
            </w:r>
            <w:r w:rsidR="003D7F90">
              <w:rPr>
                <w:rFonts w:ascii="Calibri"/>
                <w:b/>
                <w:color w:val="000000"/>
                <w:sz w:val="18"/>
                <w:szCs w:val="18"/>
              </w:rPr>
              <w:t xml:space="preserve"> 202</w:t>
            </w:r>
            <w:r w:rsidR="002A3140">
              <w:rPr>
                <w:rFonts w:ascii="Calibri"/>
                <w:b/>
                <w:color w:val="000000"/>
                <w:sz w:val="18"/>
                <w:szCs w:val="18"/>
              </w:rPr>
              <w:t>4</w:t>
            </w:r>
            <w:r w:rsidR="003D7F90">
              <w:rPr>
                <w:rFonts w:ascii="Calibri"/>
                <w:b/>
                <w:color w:val="000000"/>
                <w:sz w:val="18"/>
                <w:szCs w:val="18"/>
              </w:rPr>
              <w:t xml:space="preserve"> </w:t>
            </w:r>
            <w:r>
              <w:rPr>
                <w:rFonts w:ascii="Calibri"/>
                <w:b/>
                <w:color w:val="000000"/>
                <w:sz w:val="18"/>
                <w:szCs w:val="18"/>
              </w:rPr>
              <w:t>| Next Release Date:</w:t>
            </w:r>
            <w:r w:rsidR="005F4A2E">
              <w:rPr>
                <w:rFonts w:ascii="Calibri"/>
                <w:b/>
                <w:color w:val="000000"/>
                <w:sz w:val="18"/>
                <w:szCs w:val="18"/>
              </w:rPr>
              <w:t xml:space="preserve"> </w:t>
            </w:r>
            <w:r w:rsidR="004E6654">
              <w:rPr>
                <w:rFonts w:ascii="Calibri"/>
                <w:b/>
                <w:color w:val="000000"/>
                <w:sz w:val="18"/>
                <w:szCs w:val="18"/>
              </w:rPr>
              <w:t>0</w:t>
            </w:r>
            <w:r w:rsidR="00737BDA">
              <w:rPr>
                <w:rFonts w:ascii="Calibri"/>
                <w:b/>
                <w:color w:val="000000"/>
                <w:sz w:val="18"/>
                <w:szCs w:val="18"/>
              </w:rPr>
              <w:t>3 May</w:t>
            </w:r>
            <w:r w:rsidR="002648CF">
              <w:rPr>
                <w:rFonts w:ascii="Calibri"/>
                <w:b/>
                <w:color w:val="000000"/>
                <w:sz w:val="18"/>
                <w:szCs w:val="18"/>
              </w:rPr>
              <w:t xml:space="preserve"> 202</w:t>
            </w:r>
            <w:r w:rsidR="008A2A73">
              <w:rPr>
                <w:rFonts w:ascii="Calibri"/>
                <w:b/>
                <w:color w:val="000000"/>
                <w:sz w:val="18"/>
                <w:szCs w:val="18"/>
              </w:rPr>
              <w:t>4</w:t>
            </w:r>
          </w:p>
        </w:tc>
        <w:tc>
          <w:tcPr>
            <w:tcW w:w="3168" w:type="dxa"/>
            <w:vMerge/>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tcPr>
          <w:p w14:paraId="640BE922" w14:textId="77777777" w:rsidR="00D10F32" w:rsidRDefault="00D10F32" w:rsidP="005C27BB">
            <w:pPr>
              <w:keepNext/>
              <w:pBdr>
                <w:top w:val="none" w:sz="0" w:space="0" w:color="000000"/>
                <w:left w:val="none" w:sz="0" w:space="0" w:color="000000"/>
                <w:bottom w:val="none" w:sz="0" w:space="0" w:color="000000"/>
                <w:right w:val="none" w:sz="0" w:space="0" w:color="000000"/>
              </w:pBdr>
              <w:spacing w:after="100"/>
              <w:ind w:right="102"/>
            </w:pPr>
          </w:p>
        </w:tc>
      </w:tr>
    </w:tbl>
    <w:p w14:paraId="4A2BE13D" w14:textId="42CDF7C3" w:rsidR="00D10F32" w:rsidRDefault="0019343E" w:rsidP="00AD5B10">
      <w:pPr>
        <w:pBdr>
          <w:top w:val="none" w:sz="0" w:space="0" w:color="000000"/>
          <w:left w:val="none" w:sz="0" w:space="0" w:color="000000"/>
          <w:bottom w:val="none" w:sz="0" w:space="0" w:color="000000"/>
          <w:right w:val="none" w:sz="0" w:space="0" w:color="000000"/>
        </w:pBdr>
        <w:spacing w:after="60"/>
      </w:pPr>
      <w:r>
        <w:rPr>
          <w:rFonts w:ascii="Calibri" w:eastAsia="Calibri" w:hAnsi="Calibri" w:cs="Calibri"/>
          <w:b/>
          <w:color w:val="000000"/>
          <w:sz w:val="28"/>
          <w:szCs w:val="28"/>
        </w:rPr>
        <w:t xml:space="preserve">Household spending in the ACT </w:t>
      </w:r>
      <w:r w:rsidR="00A43A5E" w:rsidRPr="00A06956">
        <w:rPr>
          <w:rFonts w:ascii="Calibri" w:eastAsia="Calibri" w:hAnsi="Calibri" w:cs="Calibri"/>
          <w:b/>
          <w:color w:val="000000"/>
          <w:sz w:val="28"/>
          <w:szCs w:val="28"/>
        </w:rPr>
        <w:t>increased</w:t>
      </w:r>
      <w:r>
        <w:rPr>
          <w:rFonts w:ascii="Calibri" w:eastAsia="Calibri" w:hAnsi="Calibri" w:cs="Calibri"/>
          <w:b/>
          <w:color w:val="000000"/>
          <w:sz w:val="28"/>
          <w:szCs w:val="28"/>
        </w:rPr>
        <w:t xml:space="preserve"> through the year to </w:t>
      </w:r>
      <w:r w:rsidR="00737BDA">
        <w:rPr>
          <w:rFonts w:ascii="Calibri" w:eastAsia="Calibri" w:hAnsi="Calibri" w:cs="Calibri"/>
          <w:b/>
          <w:color w:val="000000"/>
          <w:sz w:val="28"/>
          <w:szCs w:val="28"/>
        </w:rPr>
        <w:t>February</w:t>
      </w:r>
      <w:r>
        <w:rPr>
          <w:rFonts w:ascii="Calibri" w:eastAsia="Calibri" w:hAnsi="Calibri" w:cs="Calibri"/>
          <w:b/>
          <w:color w:val="000000"/>
          <w:sz w:val="28"/>
          <w:szCs w:val="28"/>
        </w:rPr>
        <w:t xml:space="preserve"> 202</w:t>
      </w:r>
      <w:r w:rsidR="004E6654">
        <w:rPr>
          <w:rFonts w:ascii="Calibri" w:eastAsia="Calibri" w:hAnsi="Calibri" w:cs="Calibri"/>
          <w:b/>
          <w:color w:val="000000"/>
          <w:sz w:val="28"/>
          <w:szCs w:val="28"/>
        </w:rPr>
        <w:t>4</w:t>
      </w:r>
      <w:r w:rsidR="00803D7F">
        <w:rPr>
          <w:rFonts w:ascii="Calibri" w:eastAsia="Calibri" w:hAnsi="Calibri" w:cs="Calibri"/>
          <w:b/>
          <w:color w:val="000000"/>
          <w:sz w:val="28"/>
          <w:szCs w:val="28"/>
        </w:rPr>
        <w:t>.</w:t>
      </w:r>
    </w:p>
    <w:p w14:paraId="41D66D51" w14:textId="7DCE7264" w:rsidR="00A43A5E" w:rsidRPr="0053164F" w:rsidRDefault="0019343E" w:rsidP="00513CDE">
      <w:pPr>
        <w:pBdr>
          <w:top w:val="single" w:sz="8" w:space="0" w:color="000000"/>
          <w:left w:val="single" w:sz="8" w:space="0" w:color="000000"/>
          <w:bottom w:val="single" w:sz="8" w:space="0" w:color="000000"/>
          <w:right w:val="single" w:sz="8" w:space="0" w:color="000000"/>
        </w:pBdr>
        <w:shd w:val="clear" w:color="auto" w:fill="E5E5E5"/>
        <w:spacing w:after="120"/>
        <w:jc w:val="both"/>
        <w:rPr>
          <w:rFonts w:ascii="Calibri" w:eastAsia="Calibri" w:hAnsi="Calibri" w:cs="Calibri"/>
          <w:color w:val="000000"/>
        </w:rPr>
      </w:pPr>
      <w:r>
        <w:rPr>
          <w:rFonts w:ascii="Calibri" w:eastAsia="Calibri" w:hAnsi="Calibri" w:cs="Calibri"/>
          <w:color w:val="000000"/>
        </w:rPr>
        <w:t xml:space="preserve">Household spending in the </w:t>
      </w:r>
      <w:r w:rsidRPr="0053164F">
        <w:rPr>
          <w:rFonts w:ascii="Calibri" w:eastAsia="Calibri" w:hAnsi="Calibri" w:cs="Calibri"/>
          <w:b/>
          <w:bCs/>
          <w:color w:val="000000"/>
        </w:rPr>
        <w:t>ACT</w:t>
      </w:r>
      <w:r>
        <w:rPr>
          <w:rFonts w:ascii="Calibri" w:eastAsia="Calibri" w:hAnsi="Calibri" w:cs="Calibri"/>
          <w:color w:val="000000"/>
        </w:rPr>
        <w:t xml:space="preserve"> </w:t>
      </w:r>
      <w:r w:rsidR="0053164F">
        <w:rPr>
          <w:rFonts w:ascii="Calibri" w:eastAsia="Calibri" w:hAnsi="Calibri" w:cs="Calibri"/>
          <w:color w:val="000000"/>
        </w:rPr>
        <w:t>increased</w:t>
      </w:r>
      <w:r>
        <w:rPr>
          <w:rFonts w:ascii="Calibri" w:eastAsia="Calibri" w:hAnsi="Calibri" w:cs="Calibri"/>
          <w:color w:val="000000"/>
        </w:rPr>
        <w:t xml:space="preserve"> by </w:t>
      </w:r>
      <w:r w:rsidR="00172763">
        <w:rPr>
          <w:rFonts w:ascii="Calibri" w:eastAsia="Calibri" w:hAnsi="Calibri" w:cs="Calibri"/>
          <w:color w:val="000000"/>
        </w:rPr>
        <w:t>7.6</w:t>
      </w:r>
      <w:r w:rsidR="0053164F">
        <w:rPr>
          <w:rFonts w:ascii="Calibri" w:eastAsia="Calibri" w:hAnsi="Calibri" w:cs="Calibri"/>
          <w:color w:val="000000"/>
        </w:rPr>
        <w:t xml:space="preserve"> </w:t>
      </w:r>
      <w:r>
        <w:rPr>
          <w:rFonts w:ascii="Calibri" w:eastAsia="Calibri" w:hAnsi="Calibri" w:cs="Calibri"/>
          <w:color w:val="000000"/>
        </w:rPr>
        <w:t xml:space="preserve">per cent </w:t>
      </w:r>
      <w:r w:rsidR="0053164F">
        <w:rPr>
          <w:rFonts w:ascii="Calibri" w:eastAsia="Calibri" w:hAnsi="Calibri" w:cs="Calibri"/>
          <w:color w:val="000000"/>
        </w:rPr>
        <w:t xml:space="preserve">through the year to </w:t>
      </w:r>
      <w:r w:rsidR="00172763">
        <w:rPr>
          <w:rFonts w:ascii="Calibri" w:eastAsia="Calibri" w:hAnsi="Calibri" w:cs="Calibri"/>
          <w:color w:val="000000"/>
        </w:rPr>
        <w:t>February</w:t>
      </w:r>
      <w:r w:rsidR="00CA2536">
        <w:rPr>
          <w:rFonts w:ascii="Calibri" w:eastAsia="Calibri" w:hAnsi="Calibri" w:cs="Calibri"/>
          <w:color w:val="000000"/>
        </w:rPr>
        <w:t xml:space="preserve"> </w:t>
      </w:r>
      <w:r w:rsidR="0053164F">
        <w:rPr>
          <w:rFonts w:ascii="Calibri" w:eastAsia="Calibri" w:hAnsi="Calibri" w:cs="Calibri"/>
          <w:color w:val="000000"/>
        </w:rPr>
        <w:t>202</w:t>
      </w:r>
      <w:r w:rsidR="004E6654">
        <w:rPr>
          <w:rFonts w:ascii="Calibri" w:eastAsia="Calibri" w:hAnsi="Calibri" w:cs="Calibri"/>
          <w:color w:val="000000"/>
        </w:rPr>
        <w:t>4</w:t>
      </w:r>
      <w:r w:rsidR="009F61A6">
        <w:rPr>
          <w:rFonts w:ascii="Calibri" w:eastAsia="Calibri" w:hAnsi="Calibri" w:cs="Calibri"/>
          <w:color w:val="000000"/>
        </w:rPr>
        <w:t xml:space="preserve"> </w:t>
      </w:r>
      <w:r w:rsidR="0053164F">
        <w:rPr>
          <w:rFonts w:ascii="Calibri" w:eastAsia="Calibri" w:hAnsi="Calibri" w:cs="Calibri"/>
          <w:color w:val="000000"/>
        </w:rPr>
        <w:t xml:space="preserve">in </w:t>
      </w:r>
      <w:r w:rsidR="005F4A2E" w:rsidRPr="005F4A2E">
        <w:rPr>
          <w:rFonts w:ascii="Calibri" w:hAnsi="Calibri" w:cs="Calibri"/>
        </w:rPr>
        <w:t>current price calendar-adjusted terms</w:t>
      </w:r>
      <w:r w:rsidR="008A2A73">
        <w:rPr>
          <w:rFonts w:ascii="Calibri" w:hAnsi="Calibri" w:cs="Calibri"/>
        </w:rPr>
        <w:t>.</w:t>
      </w:r>
      <w:r w:rsidR="003D7F90">
        <w:rPr>
          <w:rFonts w:ascii="Calibri" w:hAnsi="Calibri" w:cs="Calibri"/>
        </w:rPr>
        <w:t xml:space="preserve"> </w:t>
      </w:r>
      <w:r w:rsidR="00172763">
        <w:rPr>
          <w:rFonts w:ascii="Calibri" w:hAnsi="Calibri" w:cs="Calibri"/>
        </w:rPr>
        <w:t>The strongest household spending categories were</w:t>
      </w:r>
      <w:r w:rsidR="00A53DBD">
        <w:rPr>
          <w:rFonts w:ascii="Calibri" w:hAnsi="Calibri" w:cs="Calibri"/>
        </w:rPr>
        <w:t xml:space="preserve"> </w:t>
      </w:r>
      <w:r w:rsidR="00172763">
        <w:rPr>
          <w:rFonts w:ascii="Calibri" w:hAnsi="Calibri" w:cs="Calibri"/>
          <w:i/>
          <w:iCs/>
        </w:rPr>
        <w:t>transport</w:t>
      </w:r>
      <w:r w:rsidR="005F4A2E" w:rsidRPr="005F4A2E">
        <w:rPr>
          <w:rFonts w:ascii="Calibri" w:hAnsi="Calibri" w:cs="Calibri"/>
        </w:rPr>
        <w:t xml:space="preserve"> (</w:t>
      </w:r>
      <w:r w:rsidR="00172763">
        <w:rPr>
          <w:rFonts w:ascii="Calibri" w:hAnsi="Calibri" w:cs="Calibri"/>
        </w:rPr>
        <w:t>14.1</w:t>
      </w:r>
      <w:r w:rsidR="005F4A2E" w:rsidRPr="005F4A2E">
        <w:rPr>
          <w:rFonts w:ascii="Calibri" w:hAnsi="Calibri" w:cs="Calibri"/>
        </w:rPr>
        <w:t xml:space="preserve"> per cent)</w:t>
      </w:r>
      <w:r w:rsidR="008A2A73">
        <w:rPr>
          <w:rFonts w:ascii="Calibri" w:hAnsi="Calibri" w:cs="Calibri"/>
        </w:rPr>
        <w:t xml:space="preserve"> followed by</w:t>
      </w:r>
      <w:r w:rsidR="00A53DBD">
        <w:rPr>
          <w:rFonts w:ascii="Calibri" w:hAnsi="Calibri" w:cs="Calibri"/>
        </w:rPr>
        <w:t xml:space="preserve"> </w:t>
      </w:r>
      <w:r w:rsidR="00172763">
        <w:rPr>
          <w:rFonts w:ascii="Calibri" w:hAnsi="Calibri" w:cs="Calibri"/>
          <w:i/>
          <w:iCs/>
        </w:rPr>
        <w:t>clothing and footwear</w:t>
      </w:r>
      <w:r w:rsidR="00E52F18">
        <w:rPr>
          <w:rFonts w:ascii="Calibri" w:hAnsi="Calibri" w:cs="Calibri"/>
          <w:i/>
          <w:iCs/>
        </w:rPr>
        <w:t xml:space="preserve"> </w:t>
      </w:r>
      <w:r w:rsidR="005F4A2E" w:rsidRPr="005F4A2E">
        <w:rPr>
          <w:rFonts w:ascii="Calibri" w:hAnsi="Calibri" w:cs="Calibri"/>
        </w:rPr>
        <w:t>(</w:t>
      </w:r>
      <w:r w:rsidR="00172763">
        <w:rPr>
          <w:rFonts w:ascii="Calibri" w:hAnsi="Calibri" w:cs="Calibri"/>
        </w:rPr>
        <w:t>12.2</w:t>
      </w:r>
      <w:r w:rsidR="005F4A2E" w:rsidRPr="005F4A2E">
        <w:rPr>
          <w:rFonts w:ascii="Calibri" w:hAnsi="Calibri" w:cs="Calibri"/>
        </w:rPr>
        <w:t xml:space="preserve"> per cent)</w:t>
      </w:r>
      <w:r w:rsidR="00A53DBD">
        <w:rPr>
          <w:rFonts w:ascii="Calibri" w:hAnsi="Calibri" w:cs="Calibri"/>
        </w:rPr>
        <w:t xml:space="preserve"> and </w:t>
      </w:r>
      <w:r w:rsidR="00172763">
        <w:rPr>
          <w:rFonts w:ascii="Calibri" w:hAnsi="Calibri" w:cs="Calibri"/>
          <w:i/>
          <w:iCs/>
        </w:rPr>
        <w:t>recreation and culture</w:t>
      </w:r>
      <w:r w:rsidR="00E52F18">
        <w:rPr>
          <w:rFonts w:ascii="Calibri" w:hAnsi="Calibri" w:cs="Calibri"/>
          <w:i/>
          <w:iCs/>
        </w:rPr>
        <w:t xml:space="preserve"> </w:t>
      </w:r>
      <w:r w:rsidR="00A53DBD">
        <w:rPr>
          <w:rFonts w:ascii="Calibri" w:hAnsi="Calibri" w:cs="Calibri"/>
        </w:rPr>
        <w:t>(</w:t>
      </w:r>
      <w:r w:rsidR="00172763">
        <w:rPr>
          <w:rFonts w:ascii="Calibri" w:hAnsi="Calibri" w:cs="Calibri"/>
        </w:rPr>
        <w:t>9.9</w:t>
      </w:r>
      <w:r w:rsidR="00A53DBD">
        <w:rPr>
          <w:rFonts w:ascii="Calibri" w:hAnsi="Calibri" w:cs="Calibri"/>
        </w:rPr>
        <w:t xml:space="preserve"> per cent)</w:t>
      </w:r>
      <w:r w:rsidR="005F4A2E" w:rsidRPr="005F4A2E">
        <w:rPr>
          <w:rFonts w:ascii="Calibri" w:hAnsi="Calibri" w:cs="Calibri"/>
        </w:rPr>
        <w:t>. Through the year</w:t>
      </w:r>
      <w:r w:rsidR="00E52F18">
        <w:rPr>
          <w:rFonts w:ascii="Calibri" w:hAnsi="Calibri" w:cs="Calibri"/>
        </w:rPr>
        <w:t>,</w:t>
      </w:r>
      <w:r w:rsidR="00AD5B10">
        <w:rPr>
          <w:rFonts w:ascii="Calibri" w:hAnsi="Calibri" w:cs="Calibri"/>
        </w:rPr>
        <w:t xml:space="preserve"> </w:t>
      </w:r>
      <w:r w:rsidR="00C031EC">
        <w:rPr>
          <w:rFonts w:ascii="Calibri" w:hAnsi="Calibri" w:cs="Calibri"/>
        </w:rPr>
        <w:t xml:space="preserve">household </w:t>
      </w:r>
      <w:r w:rsidR="005F4A2E" w:rsidRPr="005F4A2E">
        <w:rPr>
          <w:rFonts w:ascii="Calibri" w:hAnsi="Calibri" w:cs="Calibri"/>
        </w:rPr>
        <w:t>spending</w:t>
      </w:r>
      <w:r w:rsidR="003D7F90">
        <w:rPr>
          <w:rFonts w:ascii="Calibri" w:hAnsi="Calibri" w:cs="Calibri"/>
        </w:rPr>
        <w:t xml:space="preserve"> </w:t>
      </w:r>
      <w:r w:rsidR="00E52F18">
        <w:rPr>
          <w:rFonts w:ascii="Calibri" w:hAnsi="Calibri" w:cs="Calibri"/>
        </w:rPr>
        <w:t xml:space="preserve">on goods </w:t>
      </w:r>
      <w:r w:rsidR="00304AE9">
        <w:rPr>
          <w:rFonts w:ascii="Calibri" w:hAnsi="Calibri" w:cs="Calibri"/>
        </w:rPr>
        <w:t>and services in</w:t>
      </w:r>
      <w:r w:rsidR="00E52F18">
        <w:rPr>
          <w:rFonts w:ascii="Calibri" w:hAnsi="Calibri" w:cs="Calibri"/>
        </w:rPr>
        <w:t xml:space="preserve">creased by </w:t>
      </w:r>
      <w:r w:rsidR="003E0128">
        <w:rPr>
          <w:rFonts w:ascii="Calibri" w:hAnsi="Calibri" w:cs="Calibri"/>
        </w:rPr>
        <w:t>6.4</w:t>
      </w:r>
      <w:r w:rsidR="00304AE9">
        <w:rPr>
          <w:rFonts w:ascii="Calibri" w:hAnsi="Calibri" w:cs="Calibri"/>
        </w:rPr>
        <w:t xml:space="preserve"> per cent and </w:t>
      </w:r>
      <w:r w:rsidR="003E0128">
        <w:rPr>
          <w:rFonts w:ascii="Calibri" w:hAnsi="Calibri" w:cs="Calibri"/>
        </w:rPr>
        <w:t>8.5</w:t>
      </w:r>
      <w:r w:rsidR="00304AE9">
        <w:rPr>
          <w:rFonts w:ascii="Calibri" w:hAnsi="Calibri" w:cs="Calibri"/>
        </w:rPr>
        <w:t xml:space="preserve"> per cent</w:t>
      </w:r>
      <w:r w:rsidR="008E5D6D">
        <w:rPr>
          <w:rFonts w:ascii="Calibri" w:hAnsi="Calibri" w:cs="Calibri"/>
        </w:rPr>
        <w:t>.</w:t>
      </w:r>
      <w:r w:rsidR="005F4A2E" w:rsidRPr="005F4A2E">
        <w:rPr>
          <w:rFonts w:ascii="Calibri" w:hAnsi="Calibri" w:cs="Calibri"/>
        </w:rPr>
        <w:t xml:space="preserve"> </w:t>
      </w:r>
      <w:r w:rsidR="00AD5B10">
        <w:rPr>
          <w:rFonts w:ascii="Calibri" w:hAnsi="Calibri" w:cs="Calibri"/>
        </w:rPr>
        <w:t>Rises were recorded in non-discretionary s</w:t>
      </w:r>
      <w:r w:rsidR="00E52F18">
        <w:rPr>
          <w:rFonts w:ascii="Calibri" w:hAnsi="Calibri" w:cs="Calibri"/>
        </w:rPr>
        <w:t>p</w:t>
      </w:r>
      <w:r w:rsidR="00AD5B10">
        <w:rPr>
          <w:rFonts w:ascii="Calibri" w:hAnsi="Calibri" w:cs="Calibri"/>
        </w:rPr>
        <w:t>ending (</w:t>
      </w:r>
      <w:r w:rsidR="00051A79">
        <w:rPr>
          <w:rFonts w:ascii="Calibri" w:hAnsi="Calibri" w:cs="Calibri"/>
        </w:rPr>
        <w:t>8.3</w:t>
      </w:r>
      <w:r w:rsidR="009B3FD5">
        <w:rPr>
          <w:rFonts w:ascii="Calibri" w:hAnsi="Calibri" w:cs="Calibri"/>
        </w:rPr>
        <w:t> </w:t>
      </w:r>
      <w:r w:rsidR="00AD5B10">
        <w:rPr>
          <w:rFonts w:ascii="Calibri" w:hAnsi="Calibri" w:cs="Calibri"/>
        </w:rPr>
        <w:t>per</w:t>
      </w:r>
      <w:r w:rsidR="009B3FD5">
        <w:rPr>
          <w:rFonts w:ascii="Calibri" w:hAnsi="Calibri" w:cs="Calibri"/>
        </w:rPr>
        <w:t> </w:t>
      </w:r>
      <w:r w:rsidR="00AD5B10">
        <w:rPr>
          <w:rFonts w:ascii="Calibri" w:hAnsi="Calibri" w:cs="Calibri"/>
        </w:rPr>
        <w:t xml:space="preserve">cent) </w:t>
      </w:r>
      <w:r w:rsidR="00304AE9">
        <w:rPr>
          <w:rFonts w:ascii="Calibri" w:hAnsi="Calibri" w:cs="Calibri"/>
        </w:rPr>
        <w:t xml:space="preserve">and </w:t>
      </w:r>
      <w:r w:rsidR="00AD5B10">
        <w:rPr>
          <w:rFonts w:ascii="Calibri" w:hAnsi="Calibri" w:cs="Calibri"/>
        </w:rPr>
        <w:t>discretionary spending</w:t>
      </w:r>
      <w:r w:rsidR="00E52F18">
        <w:rPr>
          <w:rFonts w:ascii="Calibri" w:hAnsi="Calibri" w:cs="Calibri"/>
        </w:rPr>
        <w:t xml:space="preserve"> </w:t>
      </w:r>
      <w:r w:rsidR="00AD5B10">
        <w:rPr>
          <w:rFonts w:ascii="Calibri" w:hAnsi="Calibri" w:cs="Calibri"/>
        </w:rPr>
        <w:t>(</w:t>
      </w:r>
      <w:r w:rsidR="00051A79">
        <w:rPr>
          <w:rFonts w:ascii="Calibri" w:hAnsi="Calibri" w:cs="Calibri"/>
        </w:rPr>
        <w:t>6.7</w:t>
      </w:r>
      <w:r w:rsidR="008A2A73">
        <w:rPr>
          <w:rFonts w:ascii="Calibri" w:hAnsi="Calibri" w:cs="Calibri"/>
        </w:rPr>
        <w:t xml:space="preserve"> </w:t>
      </w:r>
      <w:r w:rsidR="00AD5B10">
        <w:rPr>
          <w:rFonts w:ascii="Calibri" w:hAnsi="Calibri" w:cs="Calibri"/>
        </w:rPr>
        <w:t xml:space="preserve">per cent) </w:t>
      </w:r>
      <w:r w:rsidR="00B3246B">
        <w:rPr>
          <w:rFonts w:ascii="Calibri" w:hAnsi="Calibri" w:cs="Calibri"/>
        </w:rPr>
        <w:t xml:space="preserve">through the year to </w:t>
      </w:r>
      <w:r w:rsidR="00172763">
        <w:rPr>
          <w:rFonts w:ascii="Calibri" w:eastAsia="Calibri" w:hAnsi="Calibri" w:cs="Calibri"/>
          <w:color w:val="000000"/>
        </w:rPr>
        <w:t>February</w:t>
      </w:r>
      <w:r w:rsidR="00172763">
        <w:rPr>
          <w:rFonts w:ascii="Calibri" w:hAnsi="Calibri" w:cs="Calibri"/>
        </w:rPr>
        <w:t xml:space="preserve"> </w:t>
      </w:r>
      <w:r w:rsidR="00304AE9">
        <w:rPr>
          <w:rFonts w:ascii="Calibri" w:hAnsi="Calibri" w:cs="Calibri"/>
        </w:rPr>
        <w:t>2024</w:t>
      </w:r>
      <w:r w:rsidR="00AD5B10">
        <w:rPr>
          <w:rFonts w:ascii="Calibri" w:hAnsi="Calibri" w:cs="Calibri"/>
        </w:rPr>
        <w:t xml:space="preserve">. </w:t>
      </w:r>
    </w:p>
    <w:p w14:paraId="380C4CA1" w14:textId="53805875" w:rsidR="00D10F32" w:rsidRPr="005C27BB" w:rsidRDefault="005F4A2E" w:rsidP="00513CDE">
      <w:pPr>
        <w:pBdr>
          <w:top w:val="single" w:sz="8" w:space="0" w:color="000000"/>
          <w:left w:val="single" w:sz="8" w:space="0" w:color="000000"/>
          <w:bottom w:val="single" w:sz="8" w:space="0" w:color="000000"/>
          <w:right w:val="single" w:sz="8" w:space="0" w:color="000000"/>
        </w:pBdr>
        <w:shd w:val="clear" w:color="auto" w:fill="E5E5E5"/>
        <w:spacing w:after="60"/>
        <w:jc w:val="both"/>
        <w:rPr>
          <w:rFonts w:ascii="Calibri" w:hAnsi="Calibri" w:cs="Calibri"/>
        </w:rPr>
      </w:pPr>
      <w:r w:rsidRPr="00A43A5E">
        <w:rPr>
          <w:rFonts w:ascii="Calibri" w:hAnsi="Calibri" w:cs="Calibri"/>
          <w:b/>
          <w:bCs/>
        </w:rPr>
        <w:t>Nationally</w:t>
      </w:r>
      <w:r w:rsidRPr="005F4A2E">
        <w:rPr>
          <w:rFonts w:ascii="Calibri" w:hAnsi="Calibri" w:cs="Calibri"/>
        </w:rPr>
        <w:t xml:space="preserve">, household spending </w:t>
      </w:r>
      <w:r w:rsidR="003D7F90">
        <w:rPr>
          <w:rFonts w:ascii="Calibri" w:hAnsi="Calibri" w:cs="Calibri"/>
        </w:rPr>
        <w:t>in</w:t>
      </w:r>
      <w:r w:rsidR="00A53DBD">
        <w:rPr>
          <w:rFonts w:ascii="Calibri" w:hAnsi="Calibri" w:cs="Calibri"/>
        </w:rPr>
        <w:t>creased</w:t>
      </w:r>
      <w:r w:rsidR="00A06956">
        <w:rPr>
          <w:rFonts w:ascii="Calibri" w:hAnsi="Calibri" w:cs="Calibri"/>
        </w:rPr>
        <w:t xml:space="preserve"> </w:t>
      </w:r>
      <w:r w:rsidR="00172763">
        <w:rPr>
          <w:rFonts w:ascii="Calibri" w:hAnsi="Calibri" w:cs="Calibri"/>
        </w:rPr>
        <w:t>3.6</w:t>
      </w:r>
      <w:r w:rsidRPr="005F4A2E">
        <w:rPr>
          <w:rFonts w:ascii="Calibri" w:hAnsi="Calibri" w:cs="Calibri"/>
        </w:rPr>
        <w:t xml:space="preserve"> per cent through the year to </w:t>
      </w:r>
      <w:r w:rsidR="00172763">
        <w:rPr>
          <w:rFonts w:ascii="Calibri" w:eastAsia="Calibri" w:hAnsi="Calibri" w:cs="Calibri"/>
          <w:color w:val="000000"/>
        </w:rPr>
        <w:t>February</w:t>
      </w:r>
      <w:r w:rsidR="00304AE9">
        <w:rPr>
          <w:rFonts w:ascii="Calibri" w:hAnsi="Calibri" w:cs="Calibri"/>
        </w:rPr>
        <w:t xml:space="preserve"> 2024</w:t>
      </w:r>
      <w:r w:rsidRPr="005F4A2E">
        <w:rPr>
          <w:rFonts w:ascii="Calibri" w:hAnsi="Calibri" w:cs="Calibri"/>
        </w:rPr>
        <w:t xml:space="preserve"> in current price calendar-adjusted terms</w:t>
      </w:r>
      <w:r w:rsidR="00390791">
        <w:rPr>
          <w:rFonts w:ascii="Calibri" w:hAnsi="Calibri" w:cs="Calibri"/>
        </w:rPr>
        <w:t>,</w:t>
      </w:r>
      <w:r w:rsidR="00A06956">
        <w:rPr>
          <w:rFonts w:ascii="Calibri" w:hAnsi="Calibri" w:cs="Calibri"/>
        </w:rPr>
        <w:t xml:space="preserve"> </w:t>
      </w:r>
      <w:r w:rsidR="00B3246B">
        <w:rPr>
          <w:rFonts w:ascii="Calibri" w:hAnsi="Calibri" w:cs="Calibri"/>
        </w:rPr>
        <w:t xml:space="preserve">which was </w:t>
      </w:r>
      <w:r w:rsidR="003D7F90">
        <w:rPr>
          <w:rFonts w:ascii="Calibri" w:hAnsi="Calibri" w:cs="Calibri"/>
        </w:rPr>
        <w:t xml:space="preserve">driven by rises in </w:t>
      </w:r>
      <w:r w:rsidR="00304AE9">
        <w:rPr>
          <w:rFonts w:ascii="Calibri" w:hAnsi="Calibri" w:cs="Calibri"/>
        </w:rPr>
        <w:t>six</w:t>
      </w:r>
      <w:r w:rsidR="003D7F90">
        <w:rPr>
          <w:rFonts w:ascii="Calibri" w:hAnsi="Calibri" w:cs="Calibri"/>
        </w:rPr>
        <w:t xml:space="preserve"> categories. T</w:t>
      </w:r>
      <w:r w:rsidRPr="005F4A2E">
        <w:rPr>
          <w:rFonts w:ascii="Calibri" w:hAnsi="Calibri" w:cs="Calibri"/>
        </w:rPr>
        <w:t xml:space="preserve">he largest increases </w:t>
      </w:r>
      <w:r w:rsidR="00D55E2C">
        <w:rPr>
          <w:rFonts w:ascii="Calibri" w:hAnsi="Calibri" w:cs="Calibri"/>
        </w:rPr>
        <w:t xml:space="preserve">were </w:t>
      </w:r>
      <w:r w:rsidRPr="005F4A2E">
        <w:rPr>
          <w:rFonts w:ascii="Calibri" w:hAnsi="Calibri" w:cs="Calibri"/>
        </w:rPr>
        <w:t xml:space="preserve">recorded in </w:t>
      </w:r>
      <w:r w:rsidR="003D7F90">
        <w:rPr>
          <w:rFonts w:ascii="Calibri" w:hAnsi="Calibri" w:cs="Calibri"/>
          <w:i/>
          <w:iCs/>
        </w:rPr>
        <w:t>transport</w:t>
      </w:r>
      <w:r w:rsidRPr="005F4A2E">
        <w:rPr>
          <w:rFonts w:ascii="Calibri" w:hAnsi="Calibri" w:cs="Calibri"/>
        </w:rPr>
        <w:t xml:space="preserve"> (</w:t>
      </w:r>
      <w:r w:rsidR="0099223A">
        <w:rPr>
          <w:rFonts w:ascii="Calibri" w:hAnsi="Calibri" w:cs="Calibri"/>
        </w:rPr>
        <w:t>12.3</w:t>
      </w:r>
      <w:r w:rsidR="00304AE9">
        <w:rPr>
          <w:rFonts w:ascii="Calibri" w:hAnsi="Calibri" w:cs="Calibri"/>
        </w:rPr>
        <w:t xml:space="preserve"> </w:t>
      </w:r>
      <w:r w:rsidRPr="005F4A2E">
        <w:rPr>
          <w:rFonts w:ascii="Calibri" w:hAnsi="Calibri" w:cs="Calibri"/>
        </w:rPr>
        <w:t>per cent</w:t>
      </w:r>
      <w:r w:rsidR="00B15422" w:rsidRPr="005F4A2E">
        <w:rPr>
          <w:rFonts w:ascii="Calibri" w:hAnsi="Calibri" w:cs="Calibri"/>
        </w:rPr>
        <w:t>)</w:t>
      </w:r>
      <w:r w:rsidR="00B15422">
        <w:rPr>
          <w:rFonts w:ascii="Calibri" w:hAnsi="Calibri" w:cs="Calibri"/>
        </w:rPr>
        <w:t xml:space="preserve">, </w:t>
      </w:r>
      <w:r w:rsidR="00852E3F">
        <w:rPr>
          <w:rFonts w:ascii="Calibri" w:hAnsi="Calibri" w:cs="Calibri"/>
          <w:i/>
          <w:iCs/>
        </w:rPr>
        <w:t xml:space="preserve">recreation and culture </w:t>
      </w:r>
      <w:r w:rsidR="0068589B" w:rsidRPr="005F4A2E">
        <w:rPr>
          <w:rFonts w:ascii="Calibri" w:hAnsi="Calibri" w:cs="Calibri"/>
        </w:rPr>
        <w:t>(</w:t>
      </w:r>
      <w:r w:rsidR="0099223A">
        <w:rPr>
          <w:rFonts w:ascii="Calibri" w:hAnsi="Calibri" w:cs="Calibri"/>
        </w:rPr>
        <w:t>5.9</w:t>
      </w:r>
      <w:r w:rsidR="0068589B" w:rsidRPr="005F4A2E">
        <w:rPr>
          <w:rFonts w:ascii="Calibri" w:hAnsi="Calibri" w:cs="Calibri"/>
        </w:rPr>
        <w:t xml:space="preserve"> per cent)</w:t>
      </w:r>
      <w:r w:rsidR="00B15422">
        <w:rPr>
          <w:rFonts w:ascii="Calibri" w:hAnsi="Calibri" w:cs="Calibri"/>
        </w:rPr>
        <w:t xml:space="preserve"> and</w:t>
      </w:r>
      <w:r w:rsidR="00B15422" w:rsidRPr="003D7F90">
        <w:rPr>
          <w:rFonts w:ascii="Calibri" w:hAnsi="Calibri" w:cs="Calibri"/>
          <w:i/>
          <w:iCs/>
        </w:rPr>
        <w:t xml:space="preserve"> </w:t>
      </w:r>
      <w:r w:rsidR="0099223A">
        <w:rPr>
          <w:rFonts w:ascii="Calibri" w:hAnsi="Calibri" w:cs="Calibri"/>
          <w:i/>
          <w:iCs/>
        </w:rPr>
        <w:t>hotels, cafes and restaurants</w:t>
      </w:r>
      <w:r w:rsidR="00A06956">
        <w:rPr>
          <w:rFonts w:ascii="Calibri" w:hAnsi="Calibri" w:cs="Calibri"/>
          <w:i/>
          <w:iCs/>
        </w:rPr>
        <w:t xml:space="preserve"> </w:t>
      </w:r>
      <w:r w:rsidR="00B15422">
        <w:rPr>
          <w:rFonts w:ascii="Calibri" w:hAnsi="Calibri" w:cs="Calibri"/>
        </w:rPr>
        <w:t>(</w:t>
      </w:r>
      <w:r w:rsidR="00852E3F">
        <w:rPr>
          <w:rFonts w:ascii="Calibri" w:hAnsi="Calibri" w:cs="Calibri"/>
        </w:rPr>
        <w:t>5.</w:t>
      </w:r>
      <w:r w:rsidR="0099223A">
        <w:rPr>
          <w:rFonts w:ascii="Calibri" w:hAnsi="Calibri" w:cs="Calibri"/>
        </w:rPr>
        <w:t>8</w:t>
      </w:r>
      <w:r w:rsidR="00153896">
        <w:rPr>
          <w:rFonts w:ascii="Calibri" w:hAnsi="Calibri" w:cs="Calibri"/>
        </w:rPr>
        <w:t> </w:t>
      </w:r>
      <w:r w:rsidR="00B15422">
        <w:rPr>
          <w:rFonts w:ascii="Calibri" w:hAnsi="Calibri" w:cs="Calibri"/>
        </w:rPr>
        <w:t>per</w:t>
      </w:r>
      <w:r w:rsidR="00153896">
        <w:rPr>
          <w:rFonts w:ascii="Calibri" w:hAnsi="Calibri" w:cs="Calibri"/>
        </w:rPr>
        <w:t> </w:t>
      </w:r>
      <w:r w:rsidR="00B15422">
        <w:rPr>
          <w:rFonts w:ascii="Calibri" w:hAnsi="Calibri" w:cs="Calibri"/>
        </w:rPr>
        <w:t xml:space="preserve">cent). </w:t>
      </w:r>
      <w:r w:rsidRPr="005F4A2E">
        <w:rPr>
          <w:rFonts w:ascii="Calibri" w:hAnsi="Calibri" w:cs="Calibri"/>
        </w:rPr>
        <w:t xml:space="preserve">Household spending increased for </w:t>
      </w:r>
      <w:r w:rsidR="00852E3F">
        <w:rPr>
          <w:rFonts w:ascii="Calibri" w:hAnsi="Calibri" w:cs="Calibri"/>
        </w:rPr>
        <w:t xml:space="preserve">both </w:t>
      </w:r>
      <w:r w:rsidRPr="005F4A2E">
        <w:rPr>
          <w:rFonts w:ascii="Calibri" w:hAnsi="Calibri" w:cs="Calibri"/>
        </w:rPr>
        <w:t>services (</w:t>
      </w:r>
      <w:r w:rsidR="0029072C">
        <w:rPr>
          <w:rFonts w:ascii="Calibri" w:hAnsi="Calibri" w:cs="Calibri"/>
        </w:rPr>
        <w:t>5.1</w:t>
      </w:r>
      <w:r w:rsidRPr="005F4A2E">
        <w:rPr>
          <w:rFonts w:ascii="Calibri" w:hAnsi="Calibri" w:cs="Calibri"/>
        </w:rPr>
        <w:t xml:space="preserve"> per cent) </w:t>
      </w:r>
      <w:r w:rsidR="00852E3F">
        <w:rPr>
          <w:rFonts w:ascii="Calibri" w:hAnsi="Calibri" w:cs="Calibri"/>
        </w:rPr>
        <w:t>and</w:t>
      </w:r>
      <w:r w:rsidR="00A06956">
        <w:rPr>
          <w:rFonts w:ascii="Calibri" w:hAnsi="Calibri" w:cs="Calibri"/>
        </w:rPr>
        <w:t xml:space="preserve"> </w:t>
      </w:r>
      <w:r w:rsidR="00A06956" w:rsidRPr="00A06956">
        <w:rPr>
          <w:rFonts w:ascii="Calibri" w:hAnsi="Calibri" w:cs="Calibri"/>
        </w:rPr>
        <w:t xml:space="preserve">goods </w:t>
      </w:r>
      <w:r w:rsidR="00852E3F">
        <w:rPr>
          <w:rFonts w:ascii="Calibri" w:hAnsi="Calibri" w:cs="Calibri"/>
        </w:rPr>
        <w:t>(</w:t>
      </w:r>
      <w:r w:rsidR="0029072C">
        <w:rPr>
          <w:rFonts w:ascii="Calibri" w:hAnsi="Calibri" w:cs="Calibri"/>
        </w:rPr>
        <w:t>1.9</w:t>
      </w:r>
      <w:r w:rsidR="00852E3F">
        <w:rPr>
          <w:rFonts w:ascii="Calibri" w:hAnsi="Calibri" w:cs="Calibri"/>
        </w:rPr>
        <w:t xml:space="preserve"> per cent)</w:t>
      </w:r>
      <w:r w:rsidR="00E52F18">
        <w:rPr>
          <w:rFonts w:ascii="Calibri" w:hAnsi="Calibri" w:cs="Calibri"/>
        </w:rPr>
        <w:t>.</w:t>
      </w:r>
      <w:r w:rsidRPr="005F4A2E">
        <w:rPr>
          <w:rFonts w:ascii="Calibri" w:hAnsi="Calibri" w:cs="Calibri"/>
        </w:rPr>
        <w:t xml:space="preserve"> </w:t>
      </w:r>
      <w:r w:rsidR="00AD5B10">
        <w:rPr>
          <w:rFonts w:ascii="Calibri" w:hAnsi="Calibri" w:cs="Calibri"/>
        </w:rPr>
        <w:t xml:space="preserve">Through the year non-discretionary spending increased </w:t>
      </w:r>
      <w:r w:rsidR="0029072C">
        <w:rPr>
          <w:rFonts w:ascii="Calibri" w:hAnsi="Calibri" w:cs="Calibri"/>
        </w:rPr>
        <w:t>6.9</w:t>
      </w:r>
      <w:r w:rsidR="00AD5B10" w:rsidRPr="005F4A2E">
        <w:rPr>
          <w:rFonts w:ascii="Calibri" w:hAnsi="Calibri" w:cs="Calibri"/>
        </w:rPr>
        <w:t xml:space="preserve"> per cent</w:t>
      </w:r>
      <w:r w:rsidR="00DC5C3B">
        <w:rPr>
          <w:rFonts w:ascii="Calibri" w:hAnsi="Calibri" w:cs="Calibri"/>
        </w:rPr>
        <w:t>,</w:t>
      </w:r>
      <w:r w:rsidR="00AD5B10" w:rsidRPr="005F4A2E">
        <w:rPr>
          <w:rFonts w:ascii="Calibri" w:hAnsi="Calibri" w:cs="Calibri"/>
        </w:rPr>
        <w:t xml:space="preserve"> </w:t>
      </w:r>
      <w:r w:rsidR="00852E3F">
        <w:rPr>
          <w:rFonts w:ascii="Calibri" w:hAnsi="Calibri" w:cs="Calibri"/>
        </w:rPr>
        <w:t>and</w:t>
      </w:r>
      <w:r w:rsidR="00DC5C3B">
        <w:rPr>
          <w:rFonts w:ascii="Calibri" w:hAnsi="Calibri" w:cs="Calibri"/>
        </w:rPr>
        <w:t xml:space="preserve"> </w:t>
      </w:r>
      <w:r w:rsidR="00AD5B10">
        <w:rPr>
          <w:rFonts w:ascii="Calibri" w:hAnsi="Calibri" w:cs="Calibri"/>
        </w:rPr>
        <w:t xml:space="preserve">discretionary spending </w:t>
      </w:r>
      <w:r w:rsidR="0029072C">
        <w:rPr>
          <w:rFonts w:ascii="Calibri" w:hAnsi="Calibri" w:cs="Calibri"/>
        </w:rPr>
        <w:t>fell</w:t>
      </w:r>
      <w:r w:rsidR="003328C1">
        <w:rPr>
          <w:rFonts w:ascii="Calibri" w:hAnsi="Calibri" w:cs="Calibri"/>
        </w:rPr>
        <w:t xml:space="preserve"> </w:t>
      </w:r>
      <w:r w:rsidR="00E52F18">
        <w:rPr>
          <w:rFonts w:ascii="Calibri" w:hAnsi="Calibri" w:cs="Calibri"/>
        </w:rPr>
        <w:t>0.</w:t>
      </w:r>
      <w:r w:rsidR="00852E3F">
        <w:rPr>
          <w:rFonts w:ascii="Calibri" w:hAnsi="Calibri" w:cs="Calibri"/>
        </w:rPr>
        <w:t>2</w:t>
      </w:r>
      <w:r w:rsidR="00153896">
        <w:rPr>
          <w:rFonts w:ascii="Calibri" w:hAnsi="Calibri" w:cs="Calibri"/>
        </w:rPr>
        <w:t> </w:t>
      </w:r>
      <w:r w:rsidR="003328C1">
        <w:rPr>
          <w:rFonts w:ascii="Calibri" w:hAnsi="Calibri" w:cs="Calibri"/>
        </w:rPr>
        <w:t>per cent</w:t>
      </w:r>
      <w:r w:rsidR="00AD5B10">
        <w:rPr>
          <w:rFonts w:ascii="Calibri" w:hAnsi="Calibri" w:cs="Calibri"/>
        </w:rPr>
        <w:t xml:space="preserve">. </w:t>
      </w:r>
      <w:r w:rsidR="00E52F18">
        <w:rPr>
          <w:rFonts w:ascii="Calibri" w:hAnsi="Calibri" w:cs="Calibri"/>
        </w:rPr>
        <w:t>Among states</w:t>
      </w:r>
      <w:r w:rsidR="00DC5C3B">
        <w:rPr>
          <w:rFonts w:ascii="Calibri" w:hAnsi="Calibri" w:cs="Calibri"/>
        </w:rPr>
        <w:t xml:space="preserve"> and territories</w:t>
      </w:r>
      <w:r w:rsidR="00A06956">
        <w:rPr>
          <w:rFonts w:ascii="Calibri" w:hAnsi="Calibri" w:cs="Calibri"/>
        </w:rPr>
        <w:t>, t</w:t>
      </w:r>
      <w:r w:rsidR="00A06956" w:rsidRPr="00A06956">
        <w:rPr>
          <w:rFonts w:ascii="Calibri" w:hAnsi="Calibri" w:cs="Calibri"/>
        </w:rPr>
        <w:t xml:space="preserve">he </w:t>
      </w:r>
      <w:r w:rsidR="00852E3F">
        <w:rPr>
          <w:rFonts w:ascii="Calibri" w:hAnsi="Calibri" w:cs="Calibri"/>
        </w:rPr>
        <w:t>ACT</w:t>
      </w:r>
      <w:r w:rsidR="00A06956" w:rsidRPr="00A06956">
        <w:rPr>
          <w:rFonts w:ascii="Calibri" w:hAnsi="Calibri" w:cs="Calibri"/>
        </w:rPr>
        <w:t xml:space="preserve"> had the </w:t>
      </w:r>
      <w:r w:rsidR="003E0128">
        <w:rPr>
          <w:rFonts w:ascii="Calibri" w:hAnsi="Calibri" w:cs="Calibri"/>
        </w:rPr>
        <w:t xml:space="preserve">second </w:t>
      </w:r>
      <w:r w:rsidR="00A06956" w:rsidRPr="00A06956">
        <w:rPr>
          <w:rFonts w:ascii="Calibri" w:hAnsi="Calibri" w:cs="Calibri"/>
        </w:rPr>
        <w:t xml:space="preserve">largest rise in </w:t>
      </w:r>
      <w:r w:rsidR="002D513E">
        <w:rPr>
          <w:rFonts w:ascii="Calibri" w:hAnsi="Calibri" w:cs="Calibri"/>
        </w:rPr>
        <w:t xml:space="preserve">household </w:t>
      </w:r>
      <w:r w:rsidR="00A06956" w:rsidRPr="00A06956">
        <w:rPr>
          <w:rFonts w:ascii="Calibri" w:hAnsi="Calibri" w:cs="Calibri"/>
        </w:rPr>
        <w:t>spending (</w:t>
      </w:r>
      <w:r w:rsidR="003E0128">
        <w:rPr>
          <w:rFonts w:ascii="Calibri" w:hAnsi="Calibri" w:cs="Calibri"/>
        </w:rPr>
        <w:t>7.6</w:t>
      </w:r>
      <w:r w:rsidR="00A06956" w:rsidRPr="00A06956">
        <w:rPr>
          <w:rFonts w:ascii="Calibri" w:hAnsi="Calibri" w:cs="Calibri"/>
        </w:rPr>
        <w:t xml:space="preserve"> per cent), follow</w:t>
      </w:r>
      <w:r w:rsidR="003E0128">
        <w:rPr>
          <w:rFonts w:ascii="Calibri" w:hAnsi="Calibri" w:cs="Calibri"/>
        </w:rPr>
        <w:t>ing</w:t>
      </w:r>
      <w:r w:rsidR="00A06956" w:rsidRPr="00A06956">
        <w:rPr>
          <w:rFonts w:ascii="Calibri" w:hAnsi="Calibri" w:cs="Calibri"/>
        </w:rPr>
        <w:t xml:space="preserve"> </w:t>
      </w:r>
      <w:r w:rsidR="003E0128">
        <w:rPr>
          <w:rFonts w:ascii="Calibri" w:hAnsi="Calibri" w:cs="Calibri"/>
        </w:rPr>
        <w:t>South</w:t>
      </w:r>
      <w:r w:rsidR="00A06956" w:rsidRPr="00A06956">
        <w:rPr>
          <w:rFonts w:ascii="Calibri" w:hAnsi="Calibri" w:cs="Calibri"/>
        </w:rPr>
        <w:t xml:space="preserve"> Australia (</w:t>
      </w:r>
      <w:r w:rsidR="003E0128">
        <w:rPr>
          <w:rFonts w:ascii="Calibri" w:hAnsi="Calibri" w:cs="Calibri"/>
        </w:rPr>
        <w:t>7.9</w:t>
      </w:r>
      <w:r w:rsidR="00A06956" w:rsidRPr="00A06956">
        <w:rPr>
          <w:rFonts w:ascii="Calibri" w:hAnsi="Calibri" w:cs="Calibri"/>
        </w:rPr>
        <w:t xml:space="preserve"> per cent)</w:t>
      </w:r>
      <w:r w:rsidR="003E0128">
        <w:rPr>
          <w:rFonts w:ascii="Calibri" w:hAnsi="Calibri" w:cs="Calibri"/>
        </w:rPr>
        <w:t>.</w:t>
      </w:r>
    </w:p>
    <w:p w14:paraId="5CC27568" w14:textId="77777777" w:rsidR="00AD5B10" w:rsidRPr="00AD5B10" w:rsidRDefault="00AD5B10">
      <w:pPr>
        <w:pBdr>
          <w:top w:val="none" w:sz="0" w:space="0" w:color="000000"/>
          <w:left w:val="none" w:sz="0" w:space="0" w:color="000000"/>
          <w:bottom w:val="none" w:sz="0" w:space="0" w:color="000000"/>
          <w:right w:val="none" w:sz="0" w:space="0" w:color="000000"/>
        </w:pBdr>
        <w:jc w:val="center"/>
        <w:rPr>
          <w:rFonts w:ascii="Calibri" w:eastAsia="Calibri" w:hAnsi="Calibri" w:cs="Calibri"/>
          <w:b/>
          <w:color w:val="000000"/>
          <w:sz w:val="22"/>
          <w:szCs w:val="22"/>
        </w:rPr>
      </w:pPr>
    </w:p>
    <w:p w14:paraId="4AE47CED" w14:textId="000B4C87" w:rsidR="00D10F32" w:rsidRPr="0019343E" w:rsidRDefault="0019343E">
      <w:pPr>
        <w:pBdr>
          <w:top w:val="none" w:sz="0" w:space="0" w:color="000000"/>
          <w:left w:val="none" w:sz="0" w:space="0" w:color="000000"/>
          <w:bottom w:val="none" w:sz="0" w:space="0" w:color="000000"/>
          <w:right w:val="none" w:sz="0" w:space="0" w:color="000000"/>
        </w:pBdr>
        <w:jc w:val="center"/>
        <w:rPr>
          <w:sz w:val="26"/>
          <w:szCs w:val="26"/>
        </w:rPr>
      </w:pPr>
      <w:r w:rsidRPr="0019343E">
        <w:rPr>
          <w:rFonts w:ascii="Calibri" w:eastAsia="Calibri" w:hAnsi="Calibri" w:cs="Calibri"/>
          <w:b/>
          <w:color w:val="000000"/>
          <w:sz w:val="26"/>
          <w:szCs w:val="26"/>
        </w:rPr>
        <w:t xml:space="preserve">Household Spending, ACT and Australia, </w:t>
      </w:r>
      <w:r w:rsidR="00737BDA">
        <w:rPr>
          <w:rFonts w:ascii="Calibri" w:eastAsia="Calibri" w:hAnsi="Calibri" w:cs="Calibri"/>
          <w:b/>
          <w:color w:val="000000"/>
          <w:sz w:val="26"/>
          <w:szCs w:val="26"/>
        </w:rPr>
        <w:t>February</w:t>
      </w:r>
      <w:r w:rsidRPr="0019343E">
        <w:rPr>
          <w:rFonts w:ascii="Calibri" w:eastAsia="Calibri" w:hAnsi="Calibri" w:cs="Calibri"/>
          <w:b/>
          <w:color w:val="000000"/>
          <w:sz w:val="26"/>
          <w:szCs w:val="26"/>
        </w:rPr>
        <w:t xml:space="preserve"> 202</w:t>
      </w:r>
      <w:r w:rsidR="004E6654">
        <w:rPr>
          <w:rFonts w:ascii="Calibri" w:eastAsia="Calibri" w:hAnsi="Calibri" w:cs="Calibri"/>
          <w:b/>
          <w:color w:val="000000"/>
          <w:sz w:val="26"/>
          <w:szCs w:val="26"/>
        </w:rPr>
        <w:t>4</w:t>
      </w:r>
    </w:p>
    <w:tbl>
      <w:tblPr>
        <w:tblW w:w="10652" w:type="dxa"/>
        <w:jc w:val="center"/>
        <w:tblLayout w:type="fixed"/>
        <w:tblLook w:val="0420" w:firstRow="1" w:lastRow="0" w:firstColumn="0" w:lastColumn="0" w:noHBand="0" w:noVBand="1"/>
      </w:tblPr>
      <w:tblGrid>
        <w:gridCol w:w="6888"/>
        <w:gridCol w:w="2168"/>
        <w:gridCol w:w="1596"/>
      </w:tblGrid>
      <w:tr w:rsidR="00D10F32" w14:paraId="5B439680" w14:textId="77777777" w:rsidTr="00172763">
        <w:trPr>
          <w:cantSplit/>
          <w:trHeight w:hRule="exact" w:val="311"/>
          <w:tblHeader/>
          <w:jc w:val="center"/>
        </w:trPr>
        <w:tc>
          <w:tcPr>
            <w:tcW w:w="6888" w:type="dxa"/>
            <w:vMerge w:val="restar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3A997208" w14:textId="77777777" w:rsidR="00D10F32" w:rsidRDefault="00D10F32" w:rsidP="005C27BB">
            <w:pPr>
              <w:keepNext/>
              <w:pBdr>
                <w:top w:val="none" w:sz="0" w:space="0" w:color="000000"/>
                <w:left w:val="none" w:sz="0" w:space="0" w:color="000000"/>
                <w:bottom w:val="none" w:sz="0" w:space="0" w:color="000000"/>
                <w:right w:val="none" w:sz="0" w:space="0" w:color="000000"/>
              </w:pBdr>
              <w:ind w:left="100" w:right="100"/>
              <w:jc w:val="center"/>
            </w:pPr>
          </w:p>
        </w:tc>
        <w:tc>
          <w:tcPr>
            <w:tcW w:w="3764" w:type="dxa"/>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BB85FE5" w14:textId="77777777" w:rsidR="00D10F32" w:rsidRDefault="0019343E" w:rsidP="005C27BB">
            <w:pPr>
              <w:keepNext/>
              <w:pBdr>
                <w:top w:val="none" w:sz="0" w:space="0" w:color="000000"/>
                <w:left w:val="none" w:sz="0" w:space="0" w:color="000000"/>
                <w:bottom w:val="none" w:sz="0" w:space="0" w:color="000000"/>
                <w:right w:val="none" w:sz="0" w:space="0" w:color="000000"/>
              </w:pBdr>
              <w:ind w:left="100" w:right="100"/>
              <w:jc w:val="center"/>
            </w:pPr>
            <w:r>
              <w:rPr>
                <w:rFonts w:ascii="Calibri"/>
                <w:b/>
                <w:color w:val="000000"/>
                <w:sz w:val="20"/>
                <w:szCs w:val="20"/>
              </w:rPr>
              <w:t>Change (%)</w:t>
            </w:r>
          </w:p>
        </w:tc>
      </w:tr>
      <w:tr w:rsidR="00D10F32" w14:paraId="4152715D" w14:textId="77777777" w:rsidTr="00172763">
        <w:trPr>
          <w:cantSplit/>
          <w:trHeight w:hRule="exact" w:val="311"/>
          <w:tblHeader/>
          <w:jc w:val="center"/>
        </w:trPr>
        <w:tc>
          <w:tcPr>
            <w:tcW w:w="6888" w:type="dxa"/>
            <w:vMerge/>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AF1A330" w14:textId="77777777" w:rsidR="00D10F32" w:rsidRDefault="00D10F32" w:rsidP="005C27BB">
            <w:pPr>
              <w:keepNext/>
              <w:pBdr>
                <w:top w:val="none" w:sz="0" w:space="0" w:color="000000"/>
                <w:left w:val="none" w:sz="0" w:space="0" w:color="000000"/>
                <w:bottom w:val="none" w:sz="0" w:space="0" w:color="000000"/>
                <w:right w:val="none" w:sz="0" w:space="0" w:color="000000"/>
              </w:pBdr>
              <w:ind w:left="100" w:right="100"/>
            </w:pPr>
          </w:p>
        </w:tc>
        <w:tc>
          <w:tcPr>
            <w:tcW w:w="2168"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330E377D" w14:textId="77777777" w:rsidR="00D10F32" w:rsidRDefault="0019343E" w:rsidP="005C27BB">
            <w:pPr>
              <w:keepNext/>
              <w:pBdr>
                <w:top w:val="none" w:sz="0" w:space="0" w:color="000000"/>
                <w:left w:val="none" w:sz="0" w:space="0" w:color="000000"/>
                <w:bottom w:val="none" w:sz="0" w:space="0" w:color="000000"/>
                <w:right w:val="none" w:sz="0" w:space="0" w:color="000000"/>
              </w:pBdr>
              <w:ind w:left="100" w:right="100"/>
              <w:jc w:val="right"/>
            </w:pPr>
            <w:r>
              <w:rPr>
                <w:rFonts w:ascii="Calibri"/>
                <w:b/>
                <w:color w:val="000000"/>
                <w:sz w:val="20"/>
                <w:szCs w:val="20"/>
              </w:rPr>
              <w:t>Monthly</w:t>
            </w:r>
          </w:p>
        </w:tc>
        <w:tc>
          <w:tcPr>
            <w:tcW w:w="1596"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3738216" w14:textId="77777777" w:rsidR="00D10F32" w:rsidRDefault="0019343E" w:rsidP="005C27BB">
            <w:pPr>
              <w:keepNext/>
              <w:pBdr>
                <w:top w:val="none" w:sz="0" w:space="0" w:color="000000"/>
                <w:left w:val="none" w:sz="0" w:space="0" w:color="000000"/>
                <w:bottom w:val="none" w:sz="0" w:space="0" w:color="000000"/>
                <w:right w:val="none" w:sz="0" w:space="0" w:color="000000"/>
              </w:pBdr>
              <w:ind w:left="100" w:right="100"/>
              <w:jc w:val="right"/>
            </w:pPr>
            <w:r>
              <w:rPr>
                <w:rFonts w:ascii="Calibri"/>
                <w:b/>
                <w:color w:val="000000"/>
                <w:sz w:val="20"/>
                <w:szCs w:val="20"/>
              </w:rPr>
              <w:t>TTY</w:t>
            </w:r>
            <w:r>
              <w:rPr>
                <w:rFonts w:ascii="Calibri"/>
                <w:b/>
                <w:color w:val="000000"/>
                <w:sz w:val="20"/>
                <w:szCs w:val="20"/>
                <w:vertAlign w:val="superscript"/>
              </w:rPr>
              <w:t>1</w:t>
            </w:r>
          </w:p>
        </w:tc>
      </w:tr>
      <w:tr w:rsidR="00D10F32" w14:paraId="05481AF1" w14:textId="77777777" w:rsidTr="00172763">
        <w:trPr>
          <w:cantSplit/>
          <w:trHeight w:hRule="exact" w:val="279"/>
          <w:jc w:val="center"/>
        </w:trPr>
        <w:tc>
          <w:tcPr>
            <w:tcW w:w="6888" w:type="dxa"/>
            <w:tcBorders>
              <w:top w:val="single" w:sz="8"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12D3E1CB" w14:textId="77777777" w:rsidR="00D10F32" w:rsidRDefault="0019343E" w:rsidP="005C27BB">
            <w:pPr>
              <w:keepNext/>
              <w:pBdr>
                <w:top w:val="none" w:sz="0" w:space="0" w:color="000000"/>
                <w:left w:val="none" w:sz="0" w:space="0" w:color="000000"/>
                <w:bottom w:val="none" w:sz="0" w:space="0" w:color="000000"/>
                <w:right w:val="none" w:sz="0" w:space="0" w:color="000000"/>
              </w:pBdr>
              <w:ind w:left="100" w:right="100"/>
            </w:pPr>
            <w:r>
              <w:rPr>
                <w:rFonts w:ascii="Calibri"/>
                <w:b/>
                <w:i/>
                <w:color w:val="000000"/>
                <w:sz w:val="20"/>
                <w:szCs w:val="20"/>
              </w:rPr>
              <w:t>ACT</w:t>
            </w:r>
          </w:p>
        </w:tc>
        <w:tc>
          <w:tcPr>
            <w:tcW w:w="2168" w:type="dxa"/>
            <w:tcBorders>
              <w:top w:val="single" w:sz="8"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6589D686" w14:textId="77777777" w:rsidR="00D10F32" w:rsidRDefault="00D10F32" w:rsidP="005C27BB">
            <w:pPr>
              <w:keepNext/>
              <w:pBdr>
                <w:top w:val="none" w:sz="0" w:space="0" w:color="000000"/>
                <w:left w:val="none" w:sz="0" w:space="0" w:color="000000"/>
                <w:bottom w:val="none" w:sz="0" w:space="0" w:color="000000"/>
                <w:right w:val="none" w:sz="0" w:space="0" w:color="000000"/>
              </w:pBdr>
              <w:ind w:left="100" w:right="100"/>
              <w:jc w:val="right"/>
            </w:pPr>
          </w:p>
        </w:tc>
        <w:tc>
          <w:tcPr>
            <w:tcW w:w="1596" w:type="dxa"/>
            <w:tcBorders>
              <w:top w:val="single" w:sz="8"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73F7D234" w14:textId="77777777" w:rsidR="00D10F32" w:rsidRDefault="00D10F32" w:rsidP="005C27BB">
            <w:pPr>
              <w:keepNext/>
              <w:pBdr>
                <w:top w:val="none" w:sz="0" w:space="0" w:color="000000"/>
                <w:left w:val="none" w:sz="0" w:space="0" w:color="000000"/>
                <w:bottom w:val="none" w:sz="0" w:space="0" w:color="000000"/>
                <w:right w:val="none" w:sz="0" w:space="0" w:color="000000"/>
              </w:pBdr>
              <w:ind w:left="100" w:right="100"/>
              <w:jc w:val="right"/>
            </w:pPr>
          </w:p>
        </w:tc>
      </w:tr>
      <w:tr w:rsidR="00172763" w14:paraId="67F81E46"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3E4161"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Food</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15EF810" w14:textId="228B284E"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0.5</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35F3EC7" w14:textId="619DC70F"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8.0</w:t>
            </w:r>
          </w:p>
        </w:tc>
      </w:tr>
      <w:tr w:rsidR="00172763" w14:paraId="784745BD"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34AE61CC" w14:textId="67C95D0F"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Alcoholic beverage and tobacco</w:t>
            </w:r>
            <w:r>
              <w:rPr>
                <w:rFonts w:ascii="Calibri"/>
                <w:b/>
                <w:color w:val="000000"/>
                <w:sz w:val="20"/>
                <w:szCs w:val="20"/>
                <w:vertAlign w:val="superscript"/>
              </w:rPr>
              <w:t>2</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20EAA2BB" w14:textId="569184D1" w:rsidR="00172763" w:rsidRPr="00172763" w:rsidRDefault="00153896"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Pr>
                <w:rFonts w:ascii="Calibri" w:hAnsi="Calibri" w:cs="Calibri"/>
                <w:sz w:val="20"/>
                <w:szCs w:val="20"/>
              </w:rPr>
              <w:t>NA</w:t>
            </w:r>
            <w:r w:rsidRPr="00513CDE">
              <w:rPr>
                <w:rFonts w:ascii="Calibri" w:hAnsi="Calibri" w:cs="Calibri"/>
                <w:sz w:val="20"/>
                <w:szCs w:val="20"/>
                <w:vertAlign w:val="superscript"/>
              </w:rPr>
              <w:t>3</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6471AEAE" w14:textId="27A12AA2" w:rsidR="00172763" w:rsidRPr="00172763" w:rsidRDefault="00153896"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Pr>
                <w:rFonts w:ascii="Calibri" w:hAnsi="Calibri" w:cs="Calibri"/>
                <w:sz w:val="20"/>
                <w:szCs w:val="20"/>
              </w:rPr>
              <w:t>NA</w:t>
            </w:r>
          </w:p>
        </w:tc>
      </w:tr>
      <w:tr w:rsidR="00172763" w14:paraId="7CCE150B"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4B5F84"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Clothing and footwear</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39C2E89" w14:textId="653C7A59"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-9.8</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9B2009B" w14:textId="0968311F"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12.2</w:t>
            </w:r>
          </w:p>
        </w:tc>
      </w:tr>
      <w:tr w:rsidR="00172763" w14:paraId="4284F7EE"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090A45EE"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Furnishings and household equipment</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6A29638C" w14:textId="0202041B"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-8.5</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50DCD284" w14:textId="63FFB89F"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6.2</w:t>
            </w:r>
          </w:p>
        </w:tc>
      </w:tr>
      <w:tr w:rsidR="00172763" w14:paraId="025FDD36"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284779"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Health</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E4A908C" w14:textId="77C897EF"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18.8</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D982F6A" w14:textId="00932D4F"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5.6</w:t>
            </w:r>
          </w:p>
        </w:tc>
      </w:tr>
      <w:tr w:rsidR="00172763" w14:paraId="5A4780EB"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32B62314"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Transport</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106C9488" w14:textId="06D5055C"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14.6</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308ADCDB" w14:textId="47B6B635"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14.1</w:t>
            </w:r>
          </w:p>
        </w:tc>
      </w:tr>
      <w:tr w:rsidR="00172763" w14:paraId="0DF49047"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299C87"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Recreation and culture</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66A2C3" w14:textId="41EE4249"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-1.7</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7EE3C3" w14:textId="066ECA07"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9.9</w:t>
            </w:r>
          </w:p>
        </w:tc>
      </w:tr>
      <w:tr w:rsidR="00172763" w14:paraId="0C6AA019"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7A4F9E80" w14:textId="65883E2A"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Hotels, cafes and restaurants</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5B8082DE" w14:textId="6064D32D"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-0.5</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6C296DEA" w14:textId="09659793"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7.9</w:t>
            </w:r>
          </w:p>
        </w:tc>
      </w:tr>
      <w:tr w:rsidR="00172763" w14:paraId="20D92BB7"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C9CBF"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Miscellaneous goods and services</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663809" w14:textId="657968B2"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15.9</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E80736D" w14:textId="2B360CED"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1.3</w:t>
            </w:r>
          </w:p>
        </w:tc>
      </w:tr>
      <w:tr w:rsidR="00172763" w14:paraId="31EB57E6"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466EBC8F"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b/>
                <w:color w:val="000000"/>
                <w:sz w:val="20"/>
                <w:szCs w:val="20"/>
              </w:rPr>
              <w:t>Total</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214492D1" w14:textId="3D43B37C"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b/>
                <w:bCs/>
                <w:color w:val="000000"/>
                <w:sz w:val="20"/>
                <w:szCs w:val="20"/>
              </w:rPr>
            </w:pPr>
            <w:r w:rsidRPr="00172763">
              <w:rPr>
                <w:rFonts w:ascii="Calibri" w:hAnsi="Calibri" w:cs="Calibri"/>
                <w:b/>
                <w:bCs/>
                <w:sz w:val="20"/>
                <w:szCs w:val="20"/>
              </w:rPr>
              <w:t>4.6</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5EC11FBC" w14:textId="6EF65F39"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b/>
                <w:bCs/>
                <w:color w:val="000000"/>
                <w:sz w:val="20"/>
                <w:szCs w:val="20"/>
              </w:rPr>
            </w:pPr>
            <w:r w:rsidRPr="00172763">
              <w:rPr>
                <w:rFonts w:ascii="Calibri" w:hAnsi="Calibri" w:cs="Calibri"/>
                <w:b/>
                <w:bCs/>
                <w:sz w:val="20"/>
                <w:szCs w:val="20"/>
              </w:rPr>
              <w:t>7.6</w:t>
            </w:r>
          </w:p>
        </w:tc>
      </w:tr>
      <w:tr w:rsidR="008A2A73" w14:paraId="237DD4F7"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7DBE9" w14:textId="77777777" w:rsidR="008A2A73" w:rsidRDefault="008A2A73" w:rsidP="008A2A73">
            <w:pPr>
              <w:keepNext/>
              <w:pBdr>
                <w:top w:val="none" w:sz="0" w:space="0" w:color="000000"/>
                <w:left w:val="none" w:sz="0" w:space="0" w:color="000000"/>
                <w:bottom w:val="none" w:sz="0" w:space="0" w:color="000000"/>
                <w:right w:val="none" w:sz="0" w:space="0" w:color="000000"/>
              </w:pBdr>
              <w:ind w:left="100" w:right="100"/>
            </w:pPr>
            <w:r>
              <w:rPr>
                <w:rFonts w:ascii="Calibri"/>
                <w:b/>
                <w:i/>
                <w:color w:val="000000"/>
                <w:sz w:val="20"/>
                <w:szCs w:val="20"/>
              </w:rPr>
              <w:t>Australia</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58DC4CD0" w14:textId="31E6937C" w:rsidR="008A2A73" w:rsidRPr="00172763" w:rsidRDefault="008A2A73" w:rsidP="008A2A7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sz w:val="20"/>
                <w:szCs w:val="20"/>
              </w:rPr>
            </w:pPr>
            <w:r w:rsidRPr="00172763">
              <w:rPr>
                <w:rFonts w:ascii="Calibri" w:hAnsi="Calibri" w:cs="Calibri"/>
                <w:color w:val="000000"/>
                <w:sz w:val="20"/>
                <w:szCs w:val="20"/>
              </w:rPr>
              <w:t> </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bottom"/>
          </w:tcPr>
          <w:p w14:paraId="167BB93B" w14:textId="348CC200" w:rsidR="008A2A73" w:rsidRPr="00172763" w:rsidRDefault="008A2A73" w:rsidP="008A2A7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sz w:val="20"/>
                <w:szCs w:val="20"/>
              </w:rPr>
            </w:pPr>
            <w:r w:rsidRPr="00172763">
              <w:rPr>
                <w:rFonts w:ascii="Calibri" w:hAnsi="Calibri" w:cs="Calibri"/>
                <w:color w:val="000000"/>
                <w:sz w:val="20"/>
                <w:szCs w:val="20"/>
              </w:rPr>
              <w:t> </w:t>
            </w:r>
          </w:p>
        </w:tc>
      </w:tr>
      <w:tr w:rsidR="00172763" w14:paraId="4261219C"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2D5FDAFA"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Food</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51607B17" w14:textId="025D5110"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2.2</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7D5F0C20" w14:textId="16942B85"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5.7</w:t>
            </w:r>
          </w:p>
        </w:tc>
      </w:tr>
      <w:tr w:rsidR="00172763" w14:paraId="07064B27"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532C6C" w14:textId="31A23C9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Alcoholic beverage and tobacco</w:t>
            </w:r>
            <w:r w:rsidR="00153896" w:rsidRPr="00513CDE">
              <w:rPr>
                <w:rFonts w:ascii="Calibri"/>
                <w:color w:val="000000"/>
                <w:sz w:val="20"/>
                <w:szCs w:val="20"/>
                <w:vertAlign w:val="superscript"/>
              </w:rPr>
              <w:t>2</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8DC0167" w14:textId="6CED411F" w:rsidR="00172763" w:rsidRPr="00172763" w:rsidRDefault="00153896"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Pr>
                <w:rFonts w:ascii="Calibri" w:hAnsi="Calibri" w:cs="Calibri"/>
                <w:sz w:val="20"/>
                <w:szCs w:val="20"/>
              </w:rPr>
              <w:t>NA</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2EA1E9" w14:textId="64E82BE9" w:rsidR="00172763" w:rsidRPr="00172763" w:rsidRDefault="00153896"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Pr>
                <w:rFonts w:ascii="Calibri" w:hAnsi="Calibri" w:cs="Calibri"/>
                <w:sz w:val="20"/>
                <w:szCs w:val="20"/>
              </w:rPr>
              <w:t>NA</w:t>
            </w:r>
          </w:p>
        </w:tc>
      </w:tr>
      <w:tr w:rsidR="00172763" w14:paraId="45552F88"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177DD30A"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Clothing and footwear</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5115DF21" w14:textId="656D6F8B"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-7.0</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4F1DCD2E" w14:textId="52EC9A05"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2.0</w:t>
            </w:r>
          </w:p>
        </w:tc>
      </w:tr>
      <w:tr w:rsidR="00172763" w14:paraId="2F2C1F12"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0D5BBB"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Furnishings and household equipment</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850148" w14:textId="38BAC75E"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-3.6</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88EF3CF" w14:textId="229145B9"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-0.8</w:t>
            </w:r>
          </w:p>
        </w:tc>
      </w:tr>
      <w:tr w:rsidR="00172763" w14:paraId="347F259F"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4AB0CB55"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Health</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7B7554E4" w14:textId="59FE84FD"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17.9</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5F46A6F0" w14:textId="5B98C94F"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2.7</w:t>
            </w:r>
          </w:p>
        </w:tc>
      </w:tr>
      <w:tr w:rsidR="00172763" w14:paraId="75427CE2"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315D6"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Transport</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F97AC0" w14:textId="145435B7"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11.6</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E6E095" w14:textId="4D716B56"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12.3</w:t>
            </w:r>
          </w:p>
        </w:tc>
      </w:tr>
      <w:tr w:rsidR="00172763" w14:paraId="131601D2"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12BDD241"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Recreation and culture</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1737CDAD" w14:textId="1A6C5F5E"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-1.8</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52DA12F4" w14:textId="256998F5"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5.9</w:t>
            </w:r>
          </w:p>
        </w:tc>
      </w:tr>
      <w:tr w:rsidR="00172763" w14:paraId="7B5423CC"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508D56" w14:textId="389948B6"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Hotels, cafes and restaurants</w:t>
            </w:r>
          </w:p>
        </w:tc>
        <w:tc>
          <w:tcPr>
            <w:tcW w:w="2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34AF0FD" w14:textId="116AD6BB"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-3.7</w:t>
            </w:r>
          </w:p>
        </w:tc>
        <w:tc>
          <w:tcPr>
            <w:tcW w:w="159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D0BDE18" w14:textId="1133C03C"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5.8</w:t>
            </w:r>
          </w:p>
        </w:tc>
      </w:tr>
      <w:tr w:rsidR="00172763" w14:paraId="2C46AE16" w14:textId="77777777" w:rsidTr="00172763">
        <w:trPr>
          <w:cantSplit/>
          <w:trHeight w:hRule="exact" w:val="279"/>
          <w:jc w:val="center"/>
        </w:trPr>
        <w:tc>
          <w:tcPr>
            <w:tcW w:w="688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vAlign w:val="center"/>
          </w:tcPr>
          <w:p w14:paraId="65EE3B39"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color w:val="000000"/>
                <w:sz w:val="20"/>
                <w:szCs w:val="20"/>
              </w:rPr>
              <w:t>Miscellaneous goods and services</w:t>
            </w:r>
          </w:p>
        </w:tc>
        <w:tc>
          <w:tcPr>
            <w:tcW w:w="2168"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7F62EC1E" w14:textId="3A24157E"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12.1</w:t>
            </w:r>
          </w:p>
        </w:tc>
        <w:tc>
          <w:tcPr>
            <w:tcW w:w="1596" w:type="dxa"/>
            <w:tcBorders>
              <w:top w:val="none" w:sz="0" w:space="0" w:color="000000"/>
              <w:left w:val="none" w:sz="0" w:space="0" w:color="000000"/>
              <w:bottom w:val="none" w:sz="0" w:space="0" w:color="000000"/>
              <w:right w:val="none" w:sz="0" w:space="0" w:color="000000"/>
            </w:tcBorders>
            <w:shd w:val="clear" w:color="auto" w:fill="E5E5E5"/>
            <w:tcMar>
              <w:top w:w="0" w:type="dxa"/>
              <w:left w:w="0" w:type="dxa"/>
              <w:bottom w:w="0" w:type="dxa"/>
              <w:right w:w="0" w:type="dxa"/>
            </w:tcMar>
          </w:tcPr>
          <w:p w14:paraId="1109491E" w14:textId="2249C8F7"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color w:val="000000"/>
                <w:sz w:val="20"/>
                <w:szCs w:val="20"/>
              </w:rPr>
            </w:pPr>
            <w:r w:rsidRPr="00172763">
              <w:rPr>
                <w:rFonts w:ascii="Calibri" w:hAnsi="Calibri" w:cs="Calibri"/>
                <w:sz w:val="20"/>
                <w:szCs w:val="20"/>
              </w:rPr>
              <w:t>-5.5</w:t>
            </w:r>
          </w:p>
        </w:tc>
      </w:tr>
      <w:tr w:rsidR="00172763" w14:paraId="1FEF5252" w14:textId="77777777" w:rsidTr="00172763">
        <w:trPr>
          <w:cantSplit/>
          <w:trHeight w:hRule="exact" w:val="279"/>
          <w:jc w:val="center"/>
        </w:trPr>
        <w:tc>
          <w:tcPr>
            <w:tcW w:w="6888" w:type="dxa"/>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E913F96" w14:textId="77777777" w:rsidR="00172763" w:rsidRDefault="00172763" w:rsidP="00172763">
            <w:pPr>
              <w:keepNext/>
              <w:pBdr>
                <w:top w:val="none" w:sz="0" w:space="0" w:color="000000"/>
                <w:left w:val="none" w:sz="0" w:space="0" w:color="000000"/>
                <w:bottom w:val="none" w:sz="0" w:space="0" w:color="000000"/>
                <w:right w:val="none" w:sz="0" w:space="0" w:color="000000"/>
              </w:pBdr>
              <w:ind w:left="100" w:right="100"/>
            </w:pPr>
            <w:r>
              <w:rPr>
                <w:rFonts w:ascii="Calibri"/>
                <w:b/>
                <w:color w:val="000000"/>
                <w:sz w:val="20"/>
                <w:szCs w:val="20"/>
              </w:rPr>
              <w:t>Total</w:t>
            </w:r>
          </w:p>
        </w:tc>
        <w:tc>
          <w:tcPr>
            <w:tcW w:w="2168" w:type="dxa"/>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15411CCF" w14:textId="1D79E4C8"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b/>
                <w:bCs/>
                <w:color w:val="000000"/>
                <w:sz w:val="20"/>
                <w:szCs w:val="20"/>
              </w:rPr>
            </w:pPr>
            <w:r w:rsidRPr="00172763">
              <w:rPr>
                <w:rFonts w:ascii="Calibri" w:hAnsi="Calibri" w:cs="Calibri"/>
                <w:b/>
                <w:bCs/>
                <w:sz w:val="20"/>
                <w:szCs w:val="20"/>
              </w:rPr>
              <w:t>3.8</w:t>
            </w:r>
          </w:p>
        </w:tc>
        <w:tc>
          <w:tcPr>
            <w:tcW w:w="1596" w:type="dxa"/>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7DFAF754" w14:textId="7A687FF9" w:rsidR="00172763" w:rsidRPr="00172763" w:rsidRDefault="00172763" w:rsidP="00172763">
            <w:pPr>
              <w:keepNext/>
              <w:pBdr>
                <w:top w:val="none" w:sz="0" w:space="0" w:color="000000"/>
                <w:left w:val="none" w:sz="0" w:space="0" w:color="000000"/>
                <w:bottom w:val="none" w:sz="0" w:space="0" w:color="000000"/>
                <w:right w:val="none" w:sz="0" w:space="0" w:color="000000"/>
              </w:pBdr>
              <w:ind w:left="100" w:right="100"/>
              <w:jc w:val="right"/>
              <w:rPr>
                <w:rFonts w:ascii="Calibri" w:hAnsi="Calibri" w:cs="Calibri"/>
                <w:b/>
                <w:bCs/>
                <w:color w:val="000000"/>
                <w:sz w:val="20"/>
                <w:szCs w:val="20"/>
              </w:rPr>
            </w:pPr>
            <w:r w:rsidRPr="00172763">
              <w:rPr>
                <w:rFonts w:ascii="Calibri" w:hAnsi="Calibri" w:cs="Calibri"/>
                <w:b/>
                <w:bCs/>
                <w:sz w:val="20"/>
                <w:szCs w:val="20"/>
              </w:rPr>
              <w:t>3.6</w:t>
            </w:r>
          </w:p>
        </w:tc>
      </w:tr>
      <w:tr w:rsidR="00D10F32" w14:paraId="1A8EBD57" w14:textId="77777777" w:rsidTr="00C031EC">
        <w:trPr>
          <w:cantSplit/>
          <w:trHeight w:val="142"/>
          <w:jc w:val="center"/>
        </w:trPr>
        <w:tc>
          <w:tcPr>
            <w:tcW w:w="10652" w:type="dxa"/>
            <w:gridSpan w:val="3"/>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80F0EF" w14:textId="77777777" w:rsidR="00D10F32" w:rsidRDefault="0019343E" w:rsidP="005C27BB">
            <w:pPr>
              <w:keepNext/>
              <w:pBdr>
                <w:top w:val="none" w:sz="0" w:space="0" w:color="000000"/>
                <w:left w:val="none" w:sz="0" w:space="0" w:color="000000"/>
                <w:bottom w:val="none" w:sz="0" w:space="0" w:color="000000"/>
                <w:right w:val="none" w:sz="0" w:space="0" w:color="000000"/>
              </w:pBdr>
              <w:rPr>
                <w:rFonts w:ascii="Calibri"/>
                <w:color w:val="000000"/>
                <w:sz w:val="14"/>
                <w:szCs w:val="14"/>
              </w:rPr>
            </w:pPr>
            <w:r>
              <w:rPr>
                <w:rFonts w:ascii="Calibri"/>
                <w:color w:val="000000"/>
                <w:sz w:val="14"/>
                <w:szCs w:val="14"/>
                <w:vertAlign w:val="superscript"/>
              </w:rPr>
              <w:t>1</w:t>
            </w:r>
            <w:r>
              <w:rPr>
                <w:rFonts w:ascii="Calibri"/>
                <w:color w:val="000000"/>
                <w:sz w:val="14"/>
                <w:szCs w:val="14"/>
              </w:rPr>
              <w:t xml:space="preserve"> Through the year growth is the percentage change from the same period in the previous year.</w:t>
            </w:r>
          </w:p>
          <w:p w14:paraId="765C76BF" w14:textId="77777777" w:rsidR="00684874" w:rsidRDefault="00C031EC" w:rsidP="00684874">
            <w:pPr>
              <w:keepNext/>
              <w:pBdr>
                <w:top w:val="none" w:sz="0" w:space="0" w:color="000000"/>
                <w:left w:val="none" w:sz="0" w:space="0" w:color="000000"/>
                <w:bottom w:val="none" w:sz="0" w:space="0" w:color="000000"/>
                <w:right w:val="none" w:sz="0" w:space="0" w:color="000000"/>
              </w:pBdr>
              <w:rPr>
                <w:rFonts w:ascii="Calibri"/>
                <w:bCs/>
                <w:color w:val="000000"/>
                <w:sz w:val="14"/>
                <w:szCs w:val="14"/>
              </w:rPr>
            </w:pPr>
            <w:r w:rsidRPr="00C031EC">
              <w:rPr>
                <w:rFonts w:ascii="Calibri"/>
                <w:bCs/>
                <w:color w:val="000000"/>
                <w:sz w:val="14"/>
                <w:szCs w:val="14"/>
                <w:vertAlign w:val="superscript"/>
              </w:rPr>
              <w:t>2</w:t>
            </w:r>
            <w:r>
              <w:rPr>
                <w:rFonts w:ascii="Calibri"/>
                <w:bCs/>
                <w:color w:val="000000"/>
                <w:sz w:val="14"/>
                <w:szCs w:val="14"/>
              </w:rPr>
              <w:t xml:space="preserve"> </w:t>
            </w:r>
            <w:r w:rsidR="00684874" w:rsidRPr="00C031EC">
              <w:rPr>
                <w:rFonts w:ascii="Calibri"/>
                <w:bCs/>
                <w:color w:val="000000"/>
                <w:sz w:val="14"/>
                <w:szCs w:val="14"/>
              </w:rPr>
              <w:t>The ABS suspended data for the Alcoholic beverages and tobacco category in this release.</w:t>
            </w:r>
          </w:p>
          <w:p w14:paraId="3B35D08E" w14:textId="348AF9DB" w:rsidR="00153896" w:rsidRPr="00C031EC" w:rsidRDefault="00153896" w:rsidP="00684874">
            <w:pPr>
              <w:keepNext/>
              <w:pBdr>
                <w:top w:val="none" w:sz="0" w:space="0" w:color="000000"/>
                <w:left w:val="none" w:sz="0" w:space="0" w:color="000000"/>
                <w:bottom w:val="none" w:sz="0" w:space="0" w:color="000000"/>
                <w:right w:val="none" w:sz="0" w:space="0" w:color="000000"/>
              </w:pBdr>
              <w:rPr>
                <w:rFonts w:ascii="Calibri"/>
                <w:b/>
                <w:color w:val="000000"/>
                <w:sz w:val="20"/>
                <w:szCs w:val="20"/>
                <w:vertAlign w:val="superscript"/>
              </w:rPr>
            </w:pPr>
            <w:r w:rsidRPr="00513CDE">
              <w:rPr>
                <w:rFonts w:ascii="Calibri"/>
                <w:bCs/>
                <w:color w:val="000000"/>
                <w:sz w:val="14"/>
                <w:szCs w:val="14"/>
                <w:vertAlign w:val="superscript"/>
              </w:rPr>
              <w:t>3</w:t>
            </w:r>
            <w:r>
              <w:rPr>
                <w:rFonts w:ascii="Calibri"/>
                <w:bCs/>
                <w:color w:val="000000"/>
                <w:sz w:val="14"/>
                <w:szCs w:val="14"/>
              </w:rPr>
              <w:t xml:space="preserve"> NA - Not available</w:t>
            </w:r>
          </w:p>
        </w:tc>
      </w:tr>
      <w:tr w:rsidR="00D10F32" w14:paraId="07EA1913" w14:textId="77777777" w:rsidTr="00C031EC">
        <w:trPr>
          <w:cantSplit/>
          <w:trHeight w:val="429"/>
          <w:jc w:val="center"/>
        </w:trPr>
        <w:tc>
          <w:tcPr>
            <w:tcW w:w="10652" w:type="dxa"/>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18E707" w14:textId="77777777" w:rsidR="00D10F32" w:rsidRDefault="0019343E" w:rsidP="005C27BB">
            <w:pPr>
              <w:keepNext/>
              <w:pBdr>
                <w:top w:val="none" w:sz="0" w:space="0" w:color="000000"/>
                <w:left w:val="none" w:sz="0" w:space="0" w:color="000000"/>
                <w:bottom w:val="none" w:sz="0" w:space="0" w:color="000000"/>
                <w:right w:val="none" w:sz="0" w:space="0" w:color="000000"/>
              </w:pBdr>
              <w:rPr>
                <w:rFonts w:ascii="Calibri"/>
                <w:color w:val="000000"/>
                <w:sz w:val="14"/>
                <w:szCs w:val="14"/>
              </w:rPr>
            </w:pPr>
            <w:r>
              <w:rPr>
                <w:rFonts w:ascii="Calibri"/>
                <w:color w:val="000000"/>
                <w:sz w:val="14"/>
                <w:szCs w:val="14"/>
              </w:rPr>
              <w:t>Note: Reference period - Jan 2019 = 100.</w:t>
            </w:r>
          </w:p>
          <w:p w14:paraId="71027FB4" w14:textId="6F47C336" w:rsidR="005F4A2E" w:rsidRDefault="005F4A2E" w:rsidP="005C27BB">
            <w:pPr>
              <w:keepNext/>
              <w:pBdr>
                <w:top w:val="none" w:sz="0" w:space="0" w:color="000000"/>
                <w:left w:val="none" w:sz="0" w:space="0" w:color="000000"/>
                <w:bottom w:val="none" w:sz="0" w:space="0" w:color="000000"/>
                <w:right w:val="none" w:sz="0" w:space="0" w:color="000000"/>
              </w:pBdr>
            </w:pPr>
          </w:p>
        </w:tc>
      </w:tr>
    </w:tbl>
    <w:p w14:paraId="11BC9CF0" w14:textId="77777777" w:rsidR="005C27BB" w:rsidRDefault="005C27BB">
      <w:pPr>
        <w:pBdr>
          <w:top w:val="none" w:sz="0" w:space="0" w:color="000000"/>
          <w:left w:val="none" w:sz="0" w:space="0" w:color="000000"/>
          <w:bottom w:val="none" w:sz="0" w:space="0" w:color="000000"/>
          <w:right w:val="none" w:sz="0" w:space="0" w:color="000000"/>
        </w:pBdr>
        <w:jc w:val="center"/>
        <w:rPr>
          <w:rFonts w:ascii="Calibri" w:eastAsia="Calibri" w:hAnsi="Calibri" w:cs="Calibri"/>
          <w:b/>
          <w:color w:val="000000"/>
        </w:rPr>
      </w:pPr>
    </w:p>
    <w:p w14:paraId="4B2D7603" w14:textId="6C53DB9C" w:rsidR="00AD5B10" w:rsidRDefault="00AD5B10">
      <w:pPr>
        <w:pBdr>
          <w:top w:val="none" w:sz="0" w:space="0" w:color="000000"/>
          <w:left w:val="none" w:sz="0" w:space="0" w:color="000000"/>
          <w:bottom w:val="none" w:sz="0" w:space="0" w:color="000000"/>
          <w:right w:val="none" w:sz="0" w:space="0" w:color="000000"/>
        </w:pBdr>
        <w:jc w:val="center"/>
        <w:rPr>
          <w:rFonts w:ascii="Calibri" w:eastAsia="Calibri" w:hAnsi="Calibri" w:cs="Calibri"/>
          <w:b/>
          <w:color w:val="000000"/>
        </w:rPr>
      </w:pPr>
      <w:r>
        <w:rPr>
          <w:rFonts w:ascii="Calibri" w:eastAsia="Calibri" w:hAnsi="Calibri" w:cs="Calibri"/>
          <w:b/>
          <w:color w:val="000000"/>
        </w:rPr>
        <w:lastRenderedPageBreak/>
        <w:br/>
      </w:r>
    </w:p>
    <w:p w14:paraId="3AD0AAF8" w14:textId="2C85DF66" w:rsidR="00D10F32" w:rsidRDefault="0019343E">
      <w:pPr>
        <w:pBdr>
          <w:top w:val="none" w:sz="0" w:space="0" w:color="000000"/>
          <w:left w:val="none" w:sz="0" w:space="0" w:color="000000"/>
          <w:bottom w:val="none" w:sz="0" w:space="0" w:color="000000"/>
          <w:right w:val="none" w:sz="0" w:space="0" w:color="000000"/>
        </w:pBdr>
        <w:jc w:val="center"/>
      </w:pPr>
      <w:r>
        <w:rPr>
          <w:rFonts w:ascii="Calibri" w:eastAsia="Calibri" w:hAnsi="Calibri" w:cs="Calibri"/>
          <w:b/>
          <w:color w:val="000000"/>
        </w:rPr>
        <w:t xml:space="preserve">Monthly Household Spending, </w:t>
      </w:r>
      <w:r w:rsidR="00737BDA">
        <w:rPr>
          <w:rFonts w:ascii="Calibri" w:eastAsia="Calibri" w:hAnsi="Calibri" w:cs="Calibri"/>
          <w:b/>
          <w:color w:val="000000"/>
        </w:rPr>
        <w:t>February</w:t>
      </w:r>
      <w:r>
        <w:rPr>
          <w:rFonts w:ascii="Calibri" w:eastAsia="Calibri" w:hAnsi="Calibri" w:cs="Calibri"/>
          <w:b/>
          <w:color w:val="000000"/>
        </w:rPr>
        <w:t xml:space="preserve"> </w:t>
      </w:r>
      <w:r w:rsidR="00A53DBD">
        <w:rPr>
          <w:rFonts w:ascii="Calibri" w:eastAsia="Calibri" w:hAnsi="Calibri" w:cs="Calibri"/>
          <w:b/>
          <w:color w:val="000000"/>
        </w:rPr>
        <w:t>202</w:t>
      </w:r>
      <w:r w:rsidR="004E6654">
        <w:rPr>
          <w:rFonts w:ascii="Calibri" w:eastAsia="Calibri" w:hAnsi="Calibri" w:cs="Calibri"/>
          <w:b/>
          <w:color w:val="000000"/>
        </w:rPr>
        <w:t>4</w:t>
      </w:r>
      <w:r w:rsidR="00A53DBD">
        <w:rPr>
          <w:rFonts w:ascii="Calibri" w:eastAsia="Calibri" w:hAnsi="Calibri" w:cs="Calibri"/>
          <w:b/>
          <w:color w:val="000000"/>
        </w:rPr>
        <w:t xml:space="preserve"> -</w:t>
      </w:r>
      <w:r>
        <w:rPr>
          <w:rFonts w:ascii="Calibri" w:eastAsia="Calibri" w:hAnsi="Calibri" w:cs="Calibri"/>
          <w:b/>
          <w:color w:val="000000"/>
        </w:rPr>
        <w:t xml:space="preserve"> ACT and Australia, Current Price, Calendar Adjusted</w:t>
      </w:r>
    </w:p>
    <w:p w14:paraId="723BC75B" w14:textId="45759E8E" w:rsidR="00D10F32" w:rsidRDefault="00D10F32">
      <w:pPr>
        <w:pStyle w:val="centered"/>
      </w:pPr>
    </w:p>
    <w:p w14:paraId="5B4C16CE" w14:textId="0E26A4AC" w:rsidR="006F5A86" w:rsidRDefault="00EF699C">
      <w:pPr>
        <w:pStyle w:val="centered"/>
      </w:pPr>
      <w:r>
        <w:rPr>
          <w:noProof/>
        </w:rPr>
        <w:drawing>
          <wp:inline distT="0" distB="0" distL="0" distR="0" wp14:anchorId="46096681" wp14:editId="608D1776">
            <wp:extent cx="6392545" cy="275115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091" cy="2754399"/>
                    </a:xfrm>
                    <a:prstGeom prst="rect">
                      <a:avLst/>
                    </a:prstGeom>
                    <a:noFill/>
                  </pic:spPr>
                </pic:pic>
              </a:graphicData>
            </a:graphic>
          </wp:inline>
        </w:drawing>
      </w:r>
    </w:p>
    <w:p w14:paraId="7F689684" w14:textId="77777777" w:rsidR="006F5A86" w:rsidRDefault="006F5A86" w:rsidP="00EF699C">
      <w:pPr>
        <w:pStyle w:val="centered"/>
        <w:jc w:val="left"/>
      </w:pPr>
    </w:p>
    <w:p w14:paraId="7A5BD109" w14:textId="24DFF82E" w:rsidR="00D10F32" w:rsidRDefault="00D10F32"/>
    <w:p w14:paraId="2F6F4486" w14:textId="628BD930" w:rsidR="00D10F32" w:rsidRDefault="0019343E">
      <w:pPr>
        <w:pBdr>
          <w:top w:val="none" w:sz="0" w:space="0" w:color="000000"/>
          <w:left w:val="none" w:sz="0" w:space="0" w:color="000000"/>
          <w:bottom w:val="none" w:sz="0" w:space="0" w:color="000000"/>
          <w:right w:val="none" w:sz="0" w:space="0" w:color="000000"/>
        </w:pBdr>
        <w:jc w:val="center"/>
        <w:rPr>
          <w:rFonts w:ascii="Calibri" w:eastAsia="Calibri" w:hAnsi="Calibri" w:cs="Calibri"/>
          <w:b/>
          <w:color w:val="000000"/>
        </w:rPr>
      </w:pPr>
      <w:r>
        <w:rPr>
          <w:rFonts w:ascii="Calibri" w:eastAsia="Calibri" w:hAnsi="Calibri" w:cs="Calibri"/>
          <w:b/>
          <w:color w:val="000000"/>
        </w:rPr>
        <w:t>Growth in Household Spending</w:t>
      </w:r>
      <w:r w:rsidR="00153896">
        <w:rPr>
          <w:rFonts w:ascii="Calibri" w:eastAsia="Calibri" w:hAnsi="Calibri" w:cs="Calibri"/>
          <w:b/>
          <w:color w:val="000000"/>
        </w:rPr>
        <w:t>,</w:t>
      </w:r>
      <w:r w:rsidR="006F214E">
        <w:rPr>
          <w:rFonts w:ascii="Calibri" w:eastAsia="Calibri" w:hAnsi="Calibri" w:cs="Calibri"/>
          <w:b/>
          <w:color w:val="000000"/>
        </w:rPr>
        <w:t xml:space="preserve"> </w:t>
      </w:r>
      <w:r w:rsidR="00737BDA">
        <w:rPr>
          <w:rFonts w:ascii="Calibri" w:eastAsia="Calibri" w:hAnsi="Calibri" w:cs="Calibri"/>
          <w:b/>
          <w:color w:val="000000"/>
        </w:rPr>
        <w:t>February</w:t>
      </w:r>
      <w:r>
        <w:rPr>
          <w:rFonts w:ascii="Calibri" w:eastAsia="Calibri" w:hAnsi="Calibri" w:cs="Calibri"/>
          <w:b/>
          <w:color w:val="000000"/>
        </w:rPr>
        <w:t xml:space="preserve"> 202</w:t>
      </w:r>
      <w:r w:rsidR="004E6654">
        <w:rPr>
          <w:rFonts w:ascii="Calibri" w:eastAsia="Calibri" w:hAnsi="Calibri" w:cs="Calibri"/>
          <w:b/>
          <w:color w:val="000000"/>
        </w:rPr>
        <w:t>4</w:t>
      </w:r>
      <w:r w:rsidR="003328C1">
        <w:rPr>
          <w:rFonts w:ascii="Calibri" w:eastAsia="Calibri" w:hAnsi="Calibri" w:cs="Calibri"/>
          <w:b/>
          <w:color w:val="000000"/>
        </w:rPr>
        <w:t>,</w:t>
      </w:r>
      <w:r>
        <w:rPr>
          <w:rFonts w:ascii="Calibri" w:eastAsia="Calibri" w:hAnsi="Calibri" w:cs="Calibri"/>
          <w:b/>
          <w:color w:val="000000"/>
        </w:rPr>
        <w:t xml:space="preserve"> by Jurisdiction</w:t>
      </w:r>
    </w:p>
    <w:p w14:paraId="5FEA6A9B" w14:textId="77777777" w:rsidR="00737BDA" w:rsidRDefault="00737BDA">
      <w:pPr>
        <w:pBdr>
          <w:top w:val="none" w:sz="0" w:space="0" w:color="000000"/>
          <w:left w:val="none" w:sz="0" w:space="0" w:color="000000"/>
          <w:bottom w:val="none" w:sz="0" w:space="0" w:color="000000"/>
          <w:right w:val="none" w:sz="0" w:space="0" w:color="000000"/>
        </w:pBdr>
        <w:jc w:val="center"/>
      </w:pPr>
    </w:p>
    <w:p w14:paraId="5AA4A511" w14:textId="5FA8DF59" w:rsidR="00D10F32" w:rsidRDefault="00737BDA">
      <w:pPr>
        <w:pStyle w:val="centered"/>
      </w:pPr>
      <w:r>
        <w:rPr>
          <w:noProof/>
        </w:rPr>
        <w:drawing>
          <wp:inline distT="0" distB="0" distL="0" distR="0" wp14:anchorId="7AC2D658" wp14:editId="1EC1FE40">
            <wp:extent cx="5285576"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0214" cy="2373806"/>
                    </a:xfrm>
                    <a:prstGeom prst="rect">
                      <a:avLst/>
                    </a:prstGeom>
                    <a:noFill/>
                  </pic:spPr>
                </pic:pic>
              </a:graphicData>
            </a:graphic>
          </wp:inline>
        </w:drawing>
      </w:r>
    </w:p>
    <w:p w14:paraId="795D5597" w14:textId="77777777" w:rsidR="00D10F32" w:rsidRDefault="0019343E">
      <w:pPr>
        <w:pBdr>
          <w:top w:val="none" w:sz="0" w:space="0" w:color="000000"/>
          <w:left w:val="none" w:sz="0" w:space="0" w:color="000000"/>
          <w:bottom w:val="none" w:sz="0" w:space="0" w:color="000000"/>
          <w:right w:val="none" w:sz="0" w:space="0" w:color="000000"/>
        </w:pBdr>
        <w:spacing w:line="288" w:lineRule="auto"/>
      </w:pPr>
      <w:r>
        <w:t>__________________________________________________________________________________________________________________</w:t>
      </w:r>
    </w:p>
    <w:p w14:paraId="0CA96896" w14:textId="77777777" w:rsidR="00D10F32" w:rsidRDefault="0019343E">
      <w:pPr>
        <w:pBdr>
          <w:top w:val="none" w:sz="0" w:space="0" w:color="000000"/>
          <w:left w:val="none" w:sz="0" w:space="0" w:color="000000"/>
          <w:bottom w:val="none" w:sz="0" w:space="0" w:color="000000"/>
          <w:right w:val="none" w:sz="0" w:space="0" w:color="000000"/>
        </w:pBdr>
      </w:pPr>
      <w:r>
        <w:rPr>
          <w:rFonts w:ascii="Arial" w:eastAsia="Arial" w:hAnsi="Arial" w:cs="Arial"/>
          <w:b/>
          <w:color w:val="000000"/>
          <w:sz w:val="16"/>
          <w:szCs w:val="16"/>
        </w:rPr>
        <w:t>Definition</w:t>
      </w:r>
    </w:p>
    <w:p w14:paraId="5A1DF72A" w14:textId="780FBECE" w:rsidR="00D10F32" w:rsidRDefault="0019343E">
      <w:pPr>
        <w:pBdr>
          <w:top w:val="none" w:sz="0" w:space="0" w:color="000000"/>
          <w:left w:val="none" w:sz="0" w:space="0" w:color="000000"/>
          <w:bottom w:val="none" w:sz="0" w:space="0" w:color="000000"/>
          <w:right w:val="none" w:sz="0" w:space="0" w:color="000000"/>
        </w:pBdr>
        <w:jc w:val="both"/>
      </w:pPr>
      <w:r>
        <w:rPr>
          <w:rFonts w:ascii="Calibri" w:eastAsia="Calibri" w:hAnsi="Calibri" w:cs="Calibri"/>
          <w:i/>
          <w:color w:val="333333"/>
          <w:sz w:val="14"/>
          <w:szCs w:val="14"/>
        </w:rPr>
        <w:t xml:space="preserve">This is an experimental monthly household spending indicator using aggregated, de-identified banks transactions data published by the ABS. The indicator </w:t>
      </w:r>
      <w:r w:rsidR="00AD5B10">
        <w:rPr>
          <w:rFonts w:ascii="Calibri" w:eastAsia="Calibri" w:hAnsi="Calibri" w:cs="Calibri"/>
          <w:i/>
          <w:color w:val="333333"/>
          <w:sz w:val="14"/>
          <w:szCs w:val="14"/>
        </w:rPr>
        <w:t>provides early</w:t>
      </w:r>
      <w:r>
        <w:rPr>
          <w:rFonts w:ascii="Calibri" w:eastAsia="Calibri" w:hAnsi="Calibri" w:cs="Calibri"/>
          <w:i/>
          <w:color w:val="333333"/>
          <w:sz w:val="14"/>
          <w:szCs w:val="14"/>
        </w:rPr>
        <w:t xml:space="preserve"> insights into household consumption with approximately 68% coverage. The indicator captures the point of expenditure; it is where payment is made for </w:t>
      </w:r>
      <w:r w:rsidR="00AD5B10">
        <w:rPr>
          <w:rFonts w:ascii="Calibri" w:eastAsia="Calibri" w:hAnsi="Calibri" w:cs="Calibri"/>
          <w:i/>
          <w:color w:val="333333"/>
          <w:sz w:val="14"/>
          <w:szCs w:val="14"/>
        </w:rPr>
        <w:t>a good</w:t>
      </w:r>
      <w:r>
        <w:rPr>
          <w:rFonts w:ascii="Calibri" w:eastAsia="Calibri" w:hAnsi="Calibri" w:cs="Calibri"/>
          <w:i/>
          <w:color w:val="333333"/>
          <w:sz w:val="14"/>
          <w:szCs w:val="14"/>
        </w:rPr>
        <w:t xml:space="preserve"> or service, not necessarily at the point where ownership changes, or when a service has been delivered, or where the goods and services are consumed. </w:t>
      </w:r>
      <w:r w:rsidR="00AD5B10">
        <w:rPr>
          <w:rFonts w:ascii="Calibri" w:eastAsia="Calibri" w:hAnsi="Calibri" w:cs="Calibri"/>
          <w:i/>
          <w:color w:val="333333"/>
          <w:sz w:val="14"/>
          <w:szCs w:val="14"/>
        </w:rPr>
        <w:t>The expenditure</w:t>
      </w:r>
      <w:r>
        <w:rPr>
          <w:rFonts w:ascii="Calibri" w:eastAsia="Calibri" w:hAnsi="Calibri" w:cs="Calibri"/>
          <w:i/>
          <w:color w:val="333333"/>
          <w:sz w:val="14"/>
          <w:szCs w:val="14"/>
        </w:rPr>
        <w:t xml:space="preserve"> of Australian resident households for business purposes is not included within the scope of household spending.</w:t>
      </w:r>
    </w:p>
    <w:p w14:paraId="4A9FFAB2" w14:textId="77777777" w:rsidR="00D10F32" w:rsidRDefault="00D10F32"/>
    <w:p w14:paraId="766162D7" w14:textId="77777777" w:rsidR="00D10F32" w:rsidRDefault="0019343E">
      <w:pPr>
        <w:pBdr>
          <w:top w:val="none" w:sz="0" w:space="0" w:color="000000"/>
          <w:left w:val="none" w:sz="0" w:space="0" w:color="000000"/>
          <w:bottom w:val="none" w:sz="0" w:space="0" w:color="000000"/>
          <w:right w:val="none" w:sz="0" w:space="0" w:color="000000"/>
        </w:pBdr>
      </w:pPr>
      <w:r>
        <w:rPr>
          <w:rFonts w:ascii="Arial" w:eastAsia="Arial" w:hAnsi="Arial" w:cs="Arial"/>
          <w:b/>
          <w:color w:val="000000"/>
          <w:sz w:val="16"/>
          <w:szCs w:val="16"/>
        </w:rPr>
        <w:t>Adjustments</w:t>
      </w:r>
    </w:p>
    <w:p w14:paraId="1119CCB1" w14:textId="04C94FDF" w:rsidR="00D10F32" w:rsidRDefault="0019343E">
      <w:pPr>
        <w:pBdr>
          <w:top w:val="none" w:sz="0" w:space="0" w:color="000000"/>
          <w:left w:val="none" w:sz="0" w:space="0" w:color="000000"/>
          <w:bottom w:val="none" w:sz="0" w:space="0" w:color="000000"/>
          <w:right w:val="none" w:sz="0" w:space="0" w:color="000000"/>
        </w:pBdr>
        <w:jc w:val="both"/>
      </w:pPr>
      <w:r>
        <w:rPr>
          <w:rFonts w:ascii="Calibri" w:eastAsia="Calibri" w:hAnsi="Calibri" w:cs="Calibri"/>
          <w:i/>
          <w:color w:val="333333"/>
          <w:sz w:val="14"/>
          <w:szCs w:val="14"/>
        </w:rPr>
        <w:t xml:space="preserve">Indicator estimates are produced in current price original and current price calendar adjusted terms by the ABS. Adjustments have been applied by the ABS </w:t>
      </w:r>
      <w:r w:rsidR="00AD5B10">
        <w:rPr>
          <w:rFonts w:ascii="Calibri" w:eastAsia="Calibri" w:hAnsi="Calibri" w:cs="Calibri"/>
          <w:i/>
          <w:color w:val="333333"/>
          <w:sz w:val="14"/>
          <w:szCs w:val="14"/>
        </w:rPr>
        <w:t>to allow</w:t>
      </w:r>
      <w:r>
        <w:rPr>
          <w:rFonts w:ascii="Calibri" w:eastAsia="Calibri" w:hAnsi="Calibri" w:cs="Calibri"/>
          <w:i/>
          <w:color w:val="333333"/>
          <w:sz w:val="14"/>
          <w:szCs w:val="14"/>
        </w:rPr>
        <w:t xml:space="preserve"> for length of month and trading day effects present in the month-to-month movements for the series. These are referred to as calendar adjusted estimates. The calendar adjusted series uses trading day adjusted bank transactions data, which differs from the input data used in the original series and includes a </w:t>
      </w:r>
      <w:r w:rsidR="00AD5B10">
        <w:rPr>
          <w:rFonts w:ascii="Calibri" w:eastAsia="Calibri" w:hAnsi="Calibri" w:cs="Calibri"/>
          <w:i/>
          <w:color w:val="333333"/>
          <w:sz w:val="14"/>
          <w:szCs w:val="14"/>
        </w:rPr>
        <w:t>length of</w:t>
      </w:r>
      <w:r>
        <w:rPr>
          <w:rFonts w:ascii="Calibri" w:eastAsia="Calibri" w:hAnsi="Calibri" w:cs="Calibri"/>
          <w:i/>
          <w:color w:val="333333"/>
          <w:sz w:val="14"/>
          <w:szCs w:val="14"/>
        </w:rPr>
        <w:t xml:space="preserve"> month adjustment prior to benchmarking. As the indicator time series lengthens, seasonally adjusted estimates will become available.</w:t>
      </w:r>
    </w:p>
    <w:sectPr w:rsidR="00D10F32" w:rsidSect="00AD5B10">
      <w:footerReference w:type="default" r:id="rId11"/>
      <w:pgSz w:w="11906" w:h="16838"/>
      <w:pgMar w:top="1080" w:right="864" w:bottom="1080" w:left="864"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1A1F" w14:textId="77777777" w:rsidR="001C34F7" w:rsidRDefault="001C34F7" w:rsidP="004B63EA">
      <w:r>
        <w:separator/>
      </w:r>
    </w:p>
  </w:endnote>
  <w:endnote w:type="continuationSeparator" w:id="0">
    <w:p w14:paraId="255FAAD9" w14:textId="77777777" w:rsidR="001C34F7" w:rsidRDefault="001C34F7" w:rsidP="004B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E367" w14:textId="77777777" w:rsidR="00A86C6F" w:rsidRPr="004B63EA" w:rsidRDefault="00A86C6F" w:rsidP="004B63EA">
    <w:pPr>
      <w:pStyle w:val="Footer"/>
      <w:rPr>
        <w:sz w:val="20"/>
        <w:szCs w:val="20"/>
      </w:rPr>
    </w:pPr>
    <w:r w:rsidRPr="004B63EA">
      <w:rPr>
        <w:smallCaps/>
        <w:noProof/>
        <w:sz w:val="20"/>
        <w:szCs w:val="20"/>
        <w:lang w:eastAsia="en-AU"/>
      </w:rPr>
      <w:drawing>
        <wp:inline distT="0" distB="0" distL="0" distR="0" wp14:anchorId="6332DE1C" wp14:editId="317FCE2F">
          <wp:extent cx="6616700" cy="45719"/>
          <wp:effectExtent l="0" t="0" r="0" b="0"/>
          <wp:docPr id="2" name="Picture 2" descr="seperat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 descr="seperate line"/>
                  <pic:cNvPicPr>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823659" cy="54059"/>
                  </a:xfrm>
                  <a:prstGeom prst="rect">
                    <a:avLst/>
                  </a:prstGeom>
                  <a:noFill/>
                  <a:ln>
                    <a:noFill/>
                  </a:ln>
                </pic:spPr>
              </pic:pic>
            </a:graphicData>
          </a:graphic>
        </wp:inline>
      </w:drawing>
    </w:r>
  </w:p>
  <w:p w14:paraId="63AFC1FA" w14:textId="77777777" w:rsidR="00A86C6F" w:rsidRPr="00E83BA6" w:rsidRDefault="00A86C6F" w:rsidP="004B63EA">
    <w:pPr>
      <w:pStyle w:val="EIB-Footer"/>
      <w:spacing w:after="0"/>
      <w:rPr>
        <w:color w:val="auto"/>
        <w:szCs w:val="18"/>
      </w:rPr>
    </w:pPr>
    <w:r w:rsidRPr="00E83BA6">
      <w:rPr>
        <w:b/>
        <w:bCs/>
        <w:color w:val="auto"/>
        <w:szCs w:val="18"/>
      </w:rPr>
      <w:t xml:space="preserve">Economic indicators for the Australian Capital Territory can be found at </w:t>
    </w:r>
    <w:hyperlink r:id="rId2" w:history="1">
      <w:r w:rsidRPr="00E83BA6">
        <w:rPr>
          <w:rStyle w:val="Hyperlink"/>
          <w:b/>
          <w:bCs/>
          <w:color w:val="auto"/>
          <w:szCs w:val="18"/>
        </w:rPr>
        <w:t>https://www.treasury.act.gov.au/snapshot</w:t>
      </w:r>
    </w:hyperlink>
    <w:r w:rsidRPr="00E83BA6">
      <w:rPr>
        <w:b/>
        <w:bCs/>
        <w:color w:val="auto"/>
        <w:szCs w:val="18"/>
      </w:rPr>
      <w:t>.</w:t>
    </w:r>
  </w:p>
  <w:p w14:paraId="68B192AC" w14:textId="77777777" w:rsidR="00A86C6F" w:rsidRPr="00E83BA6" w:rsidRDefault="00A86C6F" w:rsidP="004B63EA">
    <w:pPr>
      <w:pStyle w:val="EIB-Footer"/>
      <w:spacing w:before="0"/>
      <w:rPr>
        <w:color w:val="auto"/>
        <w:szCs w:val="18"/>
      </w:rPr>
    </w:pPr>
    <w:r w:rsidRPr="00E83BA6">
      <w:rPr>
        <w:color w:val="auto"/>
        <w:szCs w:val="18"/>
      </w:rPr>
      <w:t>Contact Officer: Paul Roberts (</w:t>
    </w:r>
    <w:hyperlink r:id="rId3" w:history="1">
      <w:r w:rsidRPr="00E83BA6">
        <w:rPr>
          <w:rStyle w:val="Hyperlink"/>
          <w:color w:val="auto"/>
          <w:szCs w:val="18"/>
        </w:rPr>
        <w:t>Paul.Roberts@act.gov.au</w:t>
      </w:r>
    </w:hyperlink>
    <w:r w:rsidRPr="00E83BA6">
      <w:rPr>
        <w:color w:val="auto"/>
        <w:szCs w:val="18"/>
      </w:rPr>
      <w:t>) | Macroeconomics</w:t>
    </w:r>
    <w:r w:rsidR="00E83BA6" w:rsidRPr="00E83BA6">
      <w:rPr>
        <w:color w:val="auto"/>
        <w:szCs w:val="18"/>
      </w:rPr>
      <w:t>, Modelling</w:t>
    </w:r>
    <w:r w:rsidRPr="00E83BA6">
      <w:rPr>
        <w:color w:val="auto"/>
        <w:szCs w:val="18"/>
      </w:rPr>
      <w:t xml:space="preserve"> and Federal Financial Relations Branch</w:t>
    </w:r>
  </w:p>
  <w:p w14:paraId="7F54BE2D" w14:textId="77777777" w:rsidR="00A86C6F" w:rsidRPr="004B63EA" w:rsidRDefault="00A86C6F" w:rsidP="004B63EA">
    <w:pPr>
      <w:pStyle w:val="Footer"/>
      <w:jc w:val="right"/>
      <w:rPr>
        <w:rFonts w:asciiTheme="majorHAnsi" w:hAnsiTheme="majorHAnsi" w:cstheme="majorHAnsi"/>
        <w:sz w:val="18"/>
        <w:szCs w:val="18"/>
      </w:rPr>
    </w:pPr>
    <w:r w:rsidRPr="004B63EA">
      <w:rPr>
        <w:rFonts w:asciiTheme="majorHAnsi" w:hAnsiTheme="majorHAnsi" w:cstheme="majorHAnsi"/>
        <w:sz w:val="18"/>
        <w:szCs w:val="18"/>
      </w:rPr>
      <w:t xml:space="preserve">Page | </w:t>
    </w:r>
    <w:r w:rsidRPr="004B63EA">
      <w:rPr>
        <w:rFonts w:asciiTheme="majorHAnsi" w:hAnsiTheme="majorHAnsi" w:cstheme="majorHAnsi"/>
        <w:sz w:val="18"/>
        <w:szCs w:val="18"/>
      </w:rPr>
      <w:fldChar w:fldCharType="begin"/>
    </w:r>
    <w:r w:rsidRPr="004B63EA">
      <w:rPr>
        <w:rFonts w:asciiTheme="majorHAnsi" w:hAnsiTheme="majorHAnsi" w:cstheme="majorHAnsi"/>
        <w:sz w:val="18"/>
        <w:szCs w:val="18"/>
      </w:rPr>
      <w:instrText xml:space="preserve"> PAGE   \* MERGEFORMAT </w:instrText>
    </w:r>
    <w:r w:rsidRPr="004B63EA">
      <w:rPr>
        <w:rFonts w:asciiTheme="majorHAnsi" w:hAnsiTheme="majorHAnsi" w:cstheme="majorHAnsi"/>
        <w:sz w:val="18"/>
        <w:szCs w:val="18"/>
      </w:rPr>
      <w:fldChar w:fldCharType="separate"/>
    </w:r>
    <w:r w:rsidRPr="004B63EA">
      <w:rPr>
        <w:rFonts w:asciiTheme="majorHAnsi" w:hAnsiTheme="majorHAnsi" w:cstheme="majorHAnsi"/>
        <w:sz w:val="18"/>
        <w:szCs w:val="18"/>
      </w:rPr>
      <w:t>1</w:t>
    </w:r>
    <w:r w:rsidRPr="004B63EA">
      <w:rPr>
        <w:rFonts w:asciiTheme="majorHAnsi" w:hAnsiTheme="majorHAnsi" w:cstheme="majorHAnsi"/>
        <w:noProof/>
        <w:sz w:val="18"/>
        <w:szCs w:val="18"/>
      </w:rPr>
      <w:fldChar w:fldCharType="end"/>
    </w:r>
    <w:r w:rsidRPr="004B63EA">
      <w:rPr>
        <w:rFonts w:asciiTheme="majorHAnsi" w:hAnsiTheme="majorHAnsi" w:cstheme="maj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1397" w14:textId="77777777" w:rsidR="001C34F7" w:rsidRDefault="001C34F7" w:rsidP="004B63EA">
      <w:r>
        <w:separator/>
      </w:r>
    </w:p>
  </w:footnote>
  <w:footnote w:type="continuationSeparator" w:id="0">
    <w:p w14:paraId="3550CBE4" w14:textId="77777777" w:rsidR="001C34F7" w:rsidRDefault="001C34F7" w:rsidP="004B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5FD"/>
    <w:multiLevelType w:val="multilevel"/>
    <w:tmpl w:val="88F45F0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882B35"/>
    <w:multiLevelType w:val="multilevel"/>
    <w:tmpl w:val="6F30E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FC3234"/>
    <w:multiLevelType w:val="multilevel"/>
    <w:tmpl w:val="0A863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1529189">
    <w:abstractNumId w:val="1"/>
  </w:num>
  <w:num w:numId="2" w16cid:durableId="453405550">
    <w:abstractNumId w:val="2"/>
  </w:num>
  <w:num w:numId="3" w16cid:durableId="198222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9D"/>
    <w:rsid w:val="00036527"/>
    <w:rsid w:val="00051A79"/>
    <w:rsid w:val="00073835"/>
    <w:rsid w:val="000821C4"/>
    <w:rsid w:val="00100852"/>
    <w:rsid w:val="001303BD"/>
    <w:rsid w:val="001379FE"/>
    <w:rsid w:val="00153896"/>
    <w:rsid w:val="00172763"/>
    <w:rsid w:val="00190CDE"/>
    <w:rsid w:val="0019343E"/>
    <w:rsid w:val="00195F29"/>
    <w:rsid w:val="001C0A13"/>
    <w:rsid w:val="001C34F7"/>
    <w:rsid w:val="001D75AB"/>
    <w:rsid w:val="001E102F"/>
    <w:rsid w:val="00205E1B"/>
    <w:rsid w:val="002648CF"/>
    <w:rsid w:val="0029072C"/>
    <w:rsid w:val="002A3140"/>
    <w:rsid w:val="002C54E4"/>
    <w:rsid w:val="002D513E"/>
    <w:rsid w:val="002F11E1"/>
    <w:rsid w:val="00304AE9"/>
    <w:rsid w:val="003328C1"/>
    <w:rsid w:val="0035500D"/>
    <w:rsid w:val="00362E65"/>
    <w:rsid w:val="00390791"/>
    <w:rsid w:val="003D7F90"/>
    <w:rsid w:val="003E0128"/>
    <w:rsid w:val="004158F9"/>
    <w:rsid w:val="00457CF1"/>
    <w:rsid w:val="004A177E"/>
    <w:rsid w:val="004B37F4"/>
    <w:rsid w:val="004B4E71"/>
    <w:rsid w:val="004B63EA"/>
    <w:rsid w:val="004E6654"/>
    <w:rsid w:val="00513CDE"/>
    <w:rsid w:val="0053164F"/>
    <w:rsid w:val="00594419"/>
    <w:rsid w:val="005C27BB"/>
    <w:rsid w:val="005C4185"/>
    <w:rsid w:val="005E575B"/>
    <w:rsid w:val="005F2410"/>
    <w:rsid w:val="005F4A2E"/>
    <w:rsid w:val="00623D97"/>
    <w:rsid w:val="00684874"/>
    <w:rsid w:val="0068589B"/>
    <w:rsid w:val="006921D4"/>
    <w:rsid w:val="006F214E"/>
    <w:rsid w:val="006F5A86"/>
    <w:rsid w:val="0072337D"/>
    <w:rsid w:val="00737BDA"/>
    <w:rsid w:val="00747CCE"/>
    <w:rsid w:val="00794FBF"/>
    <w:rsid w:val="007B3E96"/>
    <w:rsid w:val="00803D7F"/>
    <w:rsid w:val="00852E3F"/>
    <w:rsid w:val="00873929"/>
    <w:rsid w:val="008A2A73"/>
    <w:rsid w:val="008E5D6D"/>
    <w:rsid w:val="008F0316"/>
    <w:rsid w:val="008F1F48"/>
    <w:rsid w:val="00901463"/>
    <w:rsid w:val="009154A0"/>
    <w:rsid w:val="00946CB3"/>
    <w:rsid w:val="00951A24"/>
    <w:rsid w:val="0099223A"/>
    <w:rsid w:val="00995DFF"/>
    <w:rsid w:val="009B3FD5"/>
    <w:rsid w:val="009D31B7"/>
    <w:rsid w:val="009F61A6"/>
    <w:rsid w:val="00A06956"/>
    <w:rsid w:val="00A2167A"/>
    <w:rsid w:val="00A43A5E"/>
    <w:rsid w:val="00A53DBD"/>
    <w:rsid w:val="00A80262"/>
    <w:rsid w:val="00A86C6F"/>
    <w:rsid w:val="00AD5B10"/>
    <w:rsid w:val="00AE18EF"/>
    <w:rsid w:val="00AE1BDD"/>
    <w:rsid w:val="00B0295E"/>
    <w:rsid w:val="00B15422"/>
    <w:rsid w:val="00B2232E"/>
    <w:rsid w:val="00B3246B"/>
    <w:rsid w:val="00B3547C"/>
    <w:rsid w:val="00B413B5"/>
    <w:rsid w:val="00B4379D"/>
    <w:rsid w:val="00B51847"/>
    <w:rsid w:val="00B668C9"/>
    <w:rsid w:val="00BA01CE"/>
    <w:rsid w:val="00C031EC"/>
    <w:rsid w:val="00C27329"/>
    <w:rsid w:val="00C31EEB"/>
    <w:rsid w:val="00C6107A"/>
    <w:rsid w:val="00CA2536"/>
    <w:rsid w:val="00CB02A4"/>
    <w:rsid w:val="00CB4302"/>
    <w:rsid w:val="00D10F32"/>
    <w:rsid w:val="00D55E2C"/>
    <w:rsid w:val="00DC5C3B"/>
    <w:rsid w:val="00DE5608"/>
    <w:rsid w:val="00E10D10"/>
    <w:rsid w:val="00E50C72"/>
    <w:rsid w:val="00E52F18"/>
    <w:rsid w:val="00E83BA6"/>
    <w:rsid w:val="00EB74D5"/>
    <w:rsid w:val="00EF699C"/>
    <w:rsid w:val="00F12158"/>
    <w:rsid w:val="00FB63E7"/>
    <w:rsid w:val="00FC557F"/>
    <w:rsid w:val="00FE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2C0F1E"/>
  <w14:defaultImageDpi w14:val="300"/>
  <w15:docId w15:val="{82A812A4-2F41-F746-AAB1-47BA7D9E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E65"/>
    <w:pPr>
      <w:keepNext/>
      <w:keepLines/>
      <w:numPr>
        <w:numId w:val="3"/>
      </w:numPr>
      <w:pBdr>
        <w:bottom w:val="single" w:sz="4" w:space="1" w:color="auto"/>
      </w:pBdr>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qFormat/>
    <w:rsid w:val="00362E65"/>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62E65"/>
    <w:pPr>
      <w:keepNext/>
      <w:keepLines/>
      <w:numPr>
        <w:ilvl w:val="2"/>
        <w:numId w:val="3"/>
      </w:numPr>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1">
    <w:name w:val="Strong1"/>
    <w:basedOn w:val="DefaultParagraphFont"/>
    <w:uiPriority w:val="1"/>
    <w:qFormat/>
    <w:rsid w:val="007B3E96"/>
    <w:rPr>
      <w:b/>
    </w:rPr>
  </w:style>
  <w:style w:type="paragraph" w:customStyle="1" w:styleId="centered">
    <w:name w:val="centered"/>
    <w:basedOn w:val="Normal"/>
    <w:qFormat/>
    <w:rsid w:val="001D75AB"/>
    <w:pPr>
      <w:jc w:val="center"/>
    </w:pPr>
  </w:style>
  <w:style w:type="table" w:customStyle="1" w:styleId="tabletemplate">
    <w:name w:val="table_template"/>
    <w:basedOn w:val="TableNormal"/>
    <w:uiPriority w:val="59"/>
    <w:rsid w:val="00F12158"/>
    <w:pPr>
      <w:jc w:val="right"/>
    </w:p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table" w:styleId="LightList-Accent2">
    <w:name w:val="Light List Accent 2"/>
    <w:basedOn w:val="TableNormal"/>
    <w:uiPriority w:val="61"/>
    <w:rsid w:val="00FC55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362E65"/>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rsid w:val="00362E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62E65"/>
    <w:rPr>
      <w:rFonts w:asciiTheme="majorHAnsi" w:eastAsiaTheme="majorEastAsia" w:hAnsiTheme="majorHAnsi" w:cstheme="majorBidi"/>
      <w:b/>
      <w:bCs/>
    </w:rPr>
  </w:style>
  <w:style w:type="paragraph" w:customStyle="1" w:styleId="ImageCaption">
    <w:name w:val="Image Caption"/>
    <w:basedOn w:val="Normal"/>
    <w:qFormat/>
    <w:rsid w:val="00AE18EF"/>
    <w:pPr>
      <w:jc w:val="center"/>
    </w:pPr>
    <w:rPr>
      <w:b/>
      <w:i/>
    </w:rPr>
  </w:style>
  <w:style w:type="paragraph" w:customStyle="1" w:styleId="TableCaption">
    <w:name w:val="Table Caption"/>
    <w:basedOn w:val="ImageCaption"/>
    <w:qFormat/>
    <w:rsid w:val="00AE18EF"/>
  </w:style>
  <w:style w:type="table" w:styleId="TableProfessional">
    <w:name w:val="Table Professional"/>
    <w:basedOn w:val="TableNormal"/>
    <w:uiPriority w:val="99"/>
    <w:semiHidden/>
    <w:unhideWhenUsed/>
    <w:rsid w:val="00C31E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TOC1">
    <w:name w:val="toc 1"/>
    <w:basedOn w:val="Normal"/>
    <w:next w:val="Normal"/>
    <w:autoRedefine/>
    <w:uiPriority w:val="39"/>
    <w:unhideWhenUsed/>
    <w:rsid w:val="00FB63E7"/>
    <w:pPr>
      <w:spacing w:after="100"/>
    </w:pPr>
  </w:style>
  <w:style w:type="paragraph" w:styleId="TOC2">
    <w:name w:val="toc 2"/>
    <w:basedOn w:val="Normal"/>
    <w:next w:val="Normal"/>
    <w:autoRedefine/>
    <w:uiPriority w:val="39"/>
    <w:unhideWhenUsed/>
    <w:rsid w:val="00FB63E7"/>
    <w:pPr>
      <w:spacing w:after="100"/>
      <w:ind w:left="240"/>
    </w:pPr>
  </w:style>
  <w:style w:type="paragraph" w:styleId="BalloonText">
    <w:name w:val="Balloon Text"/>
    <w:basedOn w:val="Normal"/>
    <w:link w:val="BalloonTextChar"/>
    <w:uiPriority w:val="99"/>
    <w:semiHidden/>
    <w:unhideWhenUsed/>
    <w:rsid w:val="00FB63E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3E7"/>
    <w:rPr>
      <w:rFonts w:ascii="Lucida Grande" w:hAnsi="Lucida Grande"/>
      <w:sz w:val="18"/>
      <w:szCs w:val="18"/>
    </w:rPr>
  </w:style>
  <w:style w:type="character" w:customStyle="1" w:styleId="referenceid">
    <w:name w:val="reference_id"/>
    <w:basedOn w:val="DefaultParagraphFont"/>
    <w:uiPriority w:val="1"/>
    <w:rsid w:val="00457CF1"/>
    <w:rPr>
      <w:vertAlign w:val="superscript"/>
    </w:rPr>
  </w:style>
  <w:style w:type="paragraph" w:customStyle="1" w:styleId="graphictitle">
    <w:name w:val="graphic title"/>
    <w:basedOn w:val="ImageCaption"/>
    <w:next w:val="Normal"/>
    <w:rsid w:val="0035500D"/>
  </w:style>
  <w:style w:type="paragraph" w:customStyle="1" w:styleId="tabletitle">
    <w:name w:val="table title"/>
    <w:basedOn w:val="TableCaption"/>
    <w:next w:val="Normal"/>
    <w:rsid w:val="00901463"/>
  </w:style>
  <w:style w:type="paragraph" w:styleId="Header">
    <w:name w:val="header"/>
    <w:basedOn w:val="Normal"/>
    <w:link w:val="HeaderChar"/>
    <w:uiPriority w:val="99"/>
    <w:unhideWhenUsed/>
    <w:rsid w:val="004B63EA"/>
    <w:pPr>
      <w:tabs>
        <w:tab w:val="center" w:pos="4513"/>
        <w:tab w:val="right" w:pos="9026"/>
      </w:tabs>
    </w:pPr>
  </w:style>
  <w:style w:type="character" w:customStyle="1" w:styleId="HeaderChar">
    <w:name w:val="Header Char"/>
    <w:basedOn w:val="DefaultParagraphFont"/>
    <w:link w:val="Header"/>
    <w:uiPriority w:val="99"/>
    <w:rsid w:val="004B63EA"/>
  </w:style>
  <w:style w:type="paragraph" w:styleId="Footer">
    <w:name w:val="footer"/>
    <w:basedOn w:val="Normal"/>
    <w:link w:val="FooterChar"/>
    <w:uiPriority w:val="99"/>
    <w:unhideWhenUsed/>
    <w:rsid w:val="004B63EA"/>
    <w:pPr>
      <w:tabs>
        <w:tab w:val="center" w:pos="4513"/>
        <w:tab w:val="right" w:pos="9026"/>
      </w:tabs>
    </w:pPr>
  </w:style>
  <w:style w:type="character" w:customStyle="1" w:styleId="FooterChar">
    <w:name w:val="Footer Char"/>
    <w:basedOn w:val="DefaultParagraphFont"/>
    <w:link w:val="Footer"/>
    <w:uiPriority w:val="99"/>
    <w:rsid w:val="004B63EA"/>
  </w:style>
  <w:style w:type="paragraph" w:customStyle="1" w:styleId="EIB-Footer">
    <w:name w:val="EIB - Footer"/>
    <w:basedOn w:val="Footer"/>
    <w:link w:val="EIB-FooterChar"/>
    <w:qFormat/>
    <w:rsid w:val="004B63EA"/>
    <w:pPr>
      <w:spacing w:before="60" w:after="60"/>
    </w:pPr>
    <w:rPr>
      <w:rFonts w:ascii="Calibri" w:eastAsia="Calibri" w:hAnsi="Calibri" w:cs="Times New Roman"/>
      <w:color w:val="000080"/>
      <w:sz w:val="18"/>
      <w:szCs w:val="22"/>
      <w:lang w:val="en-AU"/>
    </w:rPr>
  </w:style>
  <w:style w:type="character" w:customStyle="1" w:styleId="EIB-FooterChar">
    <w:name w:val="EIB - Footer Char"/>
    <w:link w:val="EIB-Footer"/>
    <w:rsid w:val="004B63EA"/>
    <w:rPr>
      <w:rFonts w:ascii="Calibri" w:eastAsia="Calibri" w:hAnsi="Calibri" w:cs="Times New Roman"/>
      <w:color w:val="000080"/>
      <w:sz w:val="18"/>
      <w:szCs w:val="22"/>
      <w:lang w:val="en-AU"/>
    </w:rPr>
  </w:style>
  <w:style w:type="character" w:styleId="Hyperlink">
    <w:name w:val="Hyperlink"/>
    <w:uiPriority w:val="99"/>
    <w:unhideWhenUsed/>
    <w:rsid w:val="004B63EA"/>
    <w:rPr>
      <w:color w:val="0000FF"/>
      <w:u w:val="single"/>
    </w:rPr>
  </w:style>
  <w:style w:type="paragraph" w:styleId="Revision">
    <w:name w:val="Revision"/>
    <w:hidden/>
    <w:uiPriority w:val="99"/>
    <w:semiHidden/>
    <w:rsid w:val="00A43A5E"/>
  </w:style>
  <w:style w:type="character" w:styleId="CommentReference">
    <w:name w:val="annotation reference"/>
    <w:basedOn w:val="DefaultParagraphFont"/>
    <w:uiPriority w:val="99"/>
    <w:semiHidden/>
    <w:unhideWhenUsed/>
    <w:rsid w:val="0053164F"/>
    <w:rPr>
      <w:sz w:val="16"/>
      <w:szCs w:val="16"/>
    </w:rPr>
  </w:style>
  <w:style w:type="paragraph" w:styleId="CommentText">
    <w:name w:val="annotation text"/>
    <w:basedOn w:val="Normal"/>
    <w:link w:val="CommentTextChar"/>
    <w:uiPriority w:val="99"/>
    <w:unhideWhenUsed/>
    <w:rsid w:val="0053164F"/>
    <w:rPr>
      <w:sz w:val="20"/>
      <w:szCs w:val="20"/>
    </w:rPr>
  </w:style>
  <w:style w:type="character" w:customStyle="1" w:styleId="CommentTextChar">
    <w:name w:val="Comment Text Char"/>
    <w:basedOn w:val="DefaultParagraphFont"/>
    <w:link w:val="CommentText"/>
    <w:uiPriority w:val="99"/>
    <w:rsid w:val="0053164F"/>
    <w:rPr>
      <w:sz w:val="20"/>
      <w:szCs w:val="20"/>
    </w:rPr>
  </w:style>
  <w:style w:type="paragraph" w:styleId="CommentSubject">
    <w:name w:val="annotation subject"/>
    <w:basedOn w:val="CommentText"/>
    <w:next w:val="CommentText"/>
    <w:link w:val="CommentSubjectChar"/>
    <w:uiPriority w:val="99"/>
    <w:semiHidden/>
    <w:unhideWhenUsed/>
    <w:rsid w:val="0053164F"/>
    <w:rPr>
      <w:b/>
      <w:bCs/>
    </w:rPr>
  </w:style>
  <w:style w:type="character" w:customStyle="1" w:styleId="CommentSubjectChar">
    <w:name w:val="Comment Subject Char"/>
    <w:basedOn w:val="CommentTextChar"/>
    <w:link w:val="CommentSubject"/>
    <w:uiPriority w:val="99"/>
    <w:semiHidden/>
    <w:rsid w:val="0053164F"/>
    <w:rPr>
      <w:b/>
      <w:bCs/>
      <w:sz w:val="20"/>
      <w:szCs w:val="20"/>
    </w:rPr>
  </w:style>
  <w:style w:type="paragraph" w:styleId="FootnoteText">
    <w:name w:val="footnote text"/>
    <w:basedOn w:val="Normal"/>
    <w:link w:val="FootnoteTextChar"/>
    <w:uiPriority w:val="99"/>
    <w:semiHidden/>
    <w:unhideWhenUsed/>
    <w:rsid w:val="00684874"/>
    <w:rPr>
      <w:sz w:val="20"/>
      <w:szCs w:val="20"/>
    </w:rPr>
  </w:style>
  <w:style w:type="character" w:customStyle="1" w:styleId="FootnoteTextChar">
    <w:name w:val="Footnote Text Char"/>
    <w:basedOn w:val="DefaultParagraphFont"/>
    <w:link w:val="FootnoteText"/>
    <w:uiPriority w:val="99"/>
    <w:semiHidden/>
    <w:rsid w:val="00684874"/>
    <w:rPr>
      <w:sz w:val="20"/>
      <w:szCs w:val="20"/>
    </w:rPr>
  </w:style>
  <w:style w:type="character" w:styleId="FootnoteReference">
    <w:name w:val="footnote reference"/>
    <w:basedOn w:val="DefaultParagraphFont"/>
    <w:uiPriority w:val="99"/>
    <w:semiHidden/>
    <w:unhideWhenUsed/>
    <w:rsid w:val="00684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8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Paul.Roberts@act.gov.au" TargetMode="External"/><Relationship Id="rId2" Type="http://schemas.openxmlformats.org/officeDocument/2006/relationships/hyperlink" Target="https://www.treasury.act.gov.au/snapshot" TargetMode="External"/><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6061-5780-4522-AFFE-ECB63B1C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588</Words>
  <Characters>3358</Characters>
  <Application>Microsoft Office Word</Application>
  <DocSecurity>0</DocSecurity>
  <Lines>186</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Wang</dc:creator>
  <cp:keywords/>
  <dc:description/>
  <cp:lastModifiedBy>Roberts, Paul</cp:lastModifiedBy>
  <cp:revision>10</cp:revision>
  <cp:lastPrinted>2023-09-04T03:18:00Z</cp:lastPrinted>
  <dcterms:created xsi:type="dcterms:W3CDTF">2024-04-04T01:12:00Z</dcterms:created>
  <dcterms:modified xsi:type="dcterms:W3CDTF">2024-04-04T03:06:00Z</dcterms:modified>
  <cp:category/>
</cp:coreProperties>
</file>