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A43B" w14:textId="000C10B8" w:rsidR="00B51DBE" w:rsidRPr="00B51DBE" w:rsidRDefault="00B51DBE" w:rsidP="00B51DBE">
      <w:pPr>
        <w:pStyle w:val="TOC1"/>
      </w:pPr>
      <w:r w:rsidRPr="00B51DBE">
        <w:t>Contents</w:t>
      </w:r>
    </w:p>
    <w:p w14:paraId="6F216BA2" w14:textId="7C2CDC13" w:rsidR="00BC27B9" w:rsidRDefault="00EB585F">
      <w:pPr>
        <w:pStyle w:val="TOC1"/>
        <w:rPr>
          <w:rFonts w:asciiTheme="minorHAnsi" w:eastAsiaTheme="minorEastAsia" w:hAnsiTheme="minorHAnsi" w:cstheme="minorBidi"/>
          <w:b w:val="0"/>
          <w:bCs w:val="0"/>
          <w:noProof/>
          <w:sz w:val="22"/>
          <w:szCs w:val="22"/>
          <w:bdr w:val="none" w:sz="0" w:space="0" w:color="auto"/>
          <w:lang w:eastAsia="en-AU"/>
        </w:rPr>
      </w:pPr>
      <w:r w:rsidRPr="00B51DBE">
        <w:rPr>
          <w:b w:val="0"/>
          <w:bCs w:val="0"/>
        </w:rPr>
        <w:fldChar w:fldCharType="begin"/>
      </w:r>
      <w:r w:rsidRPr="00B51DBE">
        <w:rPr>
          <w:b w:val="0"/>
          <w:bCs w:val="0"/>
        </w:rPr>
        <w:instrText xml:space="preserve"> TOC \o "1-2" \h \z \u </w:instrText>
      </w:r>
      <w:r w:rsidRPr="00B51DBE">
        <w:rPr>
          <w:b w:val="0"/>
          <w:bCs w:val="0"/>
        </w:rPr>
        <w:fldChar w:fldCharType="separate"/>
      </w:r>
      <w:hyperlink w:anchor="_Toc83910735" w:history="1">
        <w:r w:rsidR="00BC27B9" w:rsidRPr="00C65D49">
          <w:rPr>
            <w:rStyle w:val="Hyperlink"/>
            <w:noProof/>
          </w:rPr>
          <w:t>ACT HEALTH DIRECTORATE</w:t>
        </w:r>
        <w:r w:rsidR="00BC27B9">
          <w:rPr>
            <w:noProof/>
            <w:webHidden/>
          </w:rPr>
          <w:tab/>
        </w:r>
        <w:r w:rsidR="00BC27B9">
          <w:rPr>
            <w:noProof/>
            <w:webHidden/>
          </w:rPr>
          <w:fldChar w:fldCharType="begin"/>
        </w:r>
        <w:r w:rsidR="00BC27B9">
          <w:rPr>
            <w:noProof/>
            <w:webHidden/>
          </w:rPr>
          <w:instrText xml:space="preserve"> PAGEREF _Toc83910735 \h </w:instrText>
        </w:r>
        <w:r w:rsidR="00BC27B9">
          <w:rPr>
            <w:noProof/>
            <w:webHidden/>
          </w:rPr>
        </w:r>
        <w:r w:rsidR="00BC27B9">
          <w:rPr>
            <w:noProof/>
            <w:webHidden/>
          </w:rPr>
          <w:fldChar w:fldCharType="separate"/>
        </w:r>
        <w:r w:rsidR="00BE0DA5">
          <w:rPr>
            <w:noProof/>
            <w:webHidden/>
          </w:rPr>
          <w:t>1</w:t>
        </w:r>
        <w:r w:rsidR="00BC27B9">
          <w:rPr>
            <w:noProof/>
            <w:webHidden/>
          </w:rPr>
          <w:fldChar w:fldCharType="end"/>
        </w:r>
      </w:hyperlink>
    </w:p>
    <w:p w14:paraId="702B18DD" w14:textId="292D3FFF"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36" w:history="1">
        <w:r w:rsidR="00BC27B9" w:rsidRPr="00C65D49">
          <w:rPr>
            <w:rStyle w:val="Hyperlink"/>
            <w:noProof/>
            <w:bdr w:val="nil"/>
          </w:rPr>
          <w:t>Purpose</w:t>
        </w:r>
        <w:r w:rsidR="00BC27B9">
          <w:rPr>
            <w:noProof/>
            <w:webHidden/>
          </w:rPr>
          <w:tab/>
        </w:r>
        <w:r w:rsidR="00BC27B9">
          <w:rPr>
            <w:noProof/>
            <w:webHidden/>
          </w:rPr>
          <w:fldChar w:fldCharType="begin"/>
        </w:r>
        <w:r w:rsidR="00BC27B9">
          <w:rPr>
            <w:noProof/>
            <w:webHidden/>
          </w:rPr>
          <w:instrText xml:space="preserve"> PAGEREF _Toc83910736 \h </w:instrText>
        </w:r>
        <w:r w:rsidR="00BC27B9">
          <w:rPr>
            <w:noProof/>
            <w:webHidden/>
          </w:rPr>
        </w:r>
        <w:r w:rsidR="00BC27B9">
          <w:rPr>
            <w:noProof/>
            <w:webHidden/>
          </w:rPr>
          <w:fldChar w:fldCharType="separate"/>
        </w:r>
        <w:r w:rsidR="00BE0DA5">
          <w:rPr>
            <w:noProof/>
            <w:webHidden/>
          </w:rPr>
          <w:t>1</w:t>
        </w:r>
        <w:r w:rsidR="00BC27B9">
          <w:rPr>
            <w:noProof/>
            <w:webHidden/>
          </w:rPr>
          <w:fldChar w:fldCharType="end"/>
        </w:r>
      </w:hyperlink>
    </w:p>
    <w:p w14:paraId="4065CF98" w14:textId="4C6BF422"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37" w:history="1">
        <w:r w:rsidR="00BC27B9" w:rsidRPr="00C65D49">
          <w:rPr>
            <w:rStyle w:val="Hyperlink"/>
            <w:noProof/>
            <w:bdr w:val="nil"/>
          </w:rPr>
          <w:t>2021-22 Priorities</w:t>
        </w:r>
        <w:r w:rsidR="00BC27B9">
          <w:rPr>
            <w:noProof/>
            <w:webHidden/>
          </w:rPr>
          <w:tab/>
        </w:r>
        <w:r w:rsidR="00BC27B9">
          <w:rPr>
            <w:noProof/>
            <w:webHidden/>
          </w:rPr>
          <w:fldChar w:fldCharType="begin"/>
        </w:r>
        <w:r w:rsidR="00BC27B9">
          <w:rPr>
            <w:noProof/>
            <w:webHidden/>
          </w:rPr>
          <w:instrText xml:space="preserve"> PAGEREF _Toc83910737 \h </w:instrText>
        </w:r>
        <w:r w:rsidR="00BC27B9">
          <w:rPr>
            <w:noProof/>
            <w:webHidden/>
          </w:rPr>
        </w:r>
        <w:r w:rsidR="00BC27B9">
          <w:rPr>
            <w:noProof/>
            <w:webHidden/>
          </w:rPr>
          <w:fldChar w:fldCharType="separate"/>
        </w:r>
        <w:r w:rsidR="00BE0DA5">
          <w:rPr>
            <w:noProof/>
            <w:webHidden/>
          </w:rPr>
          <w:t>2</w:t>
        </w:r>
        <w:r w:rsidR="00BC27B9">
          <w:rPr>
            <w:noProof/>
            <w:webHidden/>
          </w:rPr>
          <w:fldChar w:fldCharType="end"/>
        </w:r>
      </w:hyperlink>
    </w:p>
    <w:p w14:paraId="1CD9D70F" w14:textId="59C4EEF9"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38" w:history="1">
        <w:r w:rsidR="00BC27B9" w:rsidRPr="00C65D49">
          <w:rPr>
            <w:rStyle w:val="Hyperlink"/>
            <w:noProof/>
            <w:bdr w:val="nil"/>
          </w:rPr>
          <w:t>Estimated Employment Level</w:t>
        </w:r>
        <w:r w:rsidR="00BC27B9">
          <w:rPr>
            <w:noProof/>
            <w:webHidden/>
          </w:rPr>
          <w:tab/>
        </w:r>
        <w:r w:rsidR="00BC27B9">
          <w:rPr>
            <w:noProof/>
            <w:webHidden/>
          </w:rPr>
          <w:fldChar w:fldCharType="begin"/>
        </w:r>
        <w:r w:rsidR="00BC27B9">
          <w:rPr>
            <w:noProof/>
            <w:webHidden/>
          </w:rPr>
          <w:instrText xml:space="preserve"> PAGEREF _Toc83910738 \h </w:instrText>
        </w:r>
        <w:r w:rsidR="00BC27B9">
          <w:rPr>
            <w:noProof/>
            <w:webHidden/>
          </w:rPr>
        </w:r>
        <w:r w:rsidR="00BC27B9">
          <w:rPr>
            <w:noProof/>
            <w:webHidden/>
          </w:rPr>
          <w:fldChar w:fldCharType="separate"/>
        </w:r>
        <w:r w:rsidR="00BE0DA5">
          <w:rPr>
            <w:noProof/>
            <w:webHidden/>
          </w:rPr>
          <w:t>3</w:t>
        </w:r>
        <w:r w:rsidR="00BC27B9">
          <w:rPr>
            <w:noProof/>
            <w:webHidden/>
          </w:rPr>
          <w:fldChar w:fldCharType="end"/>
        </w:r>
      </w:hyperlink>
    </w:p>
    <w:p w14:paraId="6C1C0FF2" w14:textId="612446CC"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39" w:history="1">
        <w:r w:rsidR="00BC27B9" w:rsidRPr="00C65D49">
          <w:rPr>
            <w:rStyle w:val="Hyperlink"/>
            <w:noProof/>
            <w:bdr w:val="nil"/>
          </w:rPr>
          <w:t>Strategic Objectives and Indicators</w:t>
        </w:r>
        <w:r w:rsidR="00BC27B9">
          <w:rPr>
            <w:noProof/>
            <w:webHidden/>
          </w:rPr>
          <w:tab/>
        </w:r>
        <w:r w:rsidR="00BC27B9">
          <w:rPr>
            <w:noProof/>
            <w:webHidden/>
          </w:rPr>
          <w:fldChar w:fldCharType="begin"/>
        </w:r>
        <w:r w:rsidR="00BC27B9">
          <w:rPr>
            <w:noProof/>
            <w:webHidden/>
          </w:rPr>
          <w:instrText xml:space="preserve"> PAGEREF _Toc83910739 \h </w:instrText>
        </w:r>
        <w:r w:rsidR="00BC27B9">
          <w:rPr>
            <w:noProof/>
            <w:webHidden/>
          </w:rPr>
        </w:r>
        <w:r w:rsidR="00BC27B9">
          <w:rPr>
            <w:noProof/>
            <w:webHidden/>
          </w:rPr>
          <w:fldChar w:fldCharType="separate"/>
        </w:r>
        <w:r w:rsidR="00BE0DA5">
          <w:rPr>
            <w:noProof/>
            <w:webHidden/>
          </w:rPr>
          <w:t>4</w:t>
        </w:r>
        <w:r w:rsidR="00BC27B9">
          <w:rPr>
            <w:noProof/>
            <w:webHidden/>
          </w:rPr>
          <w:fldChar w:fldCharType="end"/>
        </w:r>
      </w:hyperlink>
    </w:p>
    <w:p w14:paraId="0B9CAB48" w14:textId="32C89389"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40" w:history="1">
        <w:r w:rsidR="00BC27B9" w:rsidRPr="00C65D49">
          <w:rPr>
            <w:rStyle w:val="Hyperlink"/>
            <w:noProof/>
            <w:bdr w:val="nil"/>
          </w:rPr>
          <w:t>Output Classes</w:t>
        </w:r>
        <w:r w:rsidR="00BC27B9">
          <w:rPr>
            <w:noProof/>
            <w:webHidden/>
          </w:rPr>
          <w:tab/>
        </w:r>
        <w:r w:rsidR="00BC27B9">
          <w:rPr>
            <w:noProof/>
            <w:webHidden/>
          </w:rPr>
          <w:fldChar w:fldCharType="begin"/>
        </w:r>
        <w:r w:rsidR="00BC27B9">
          <w:rPr>
            <w:noProof/>
            <w:webHidden/>
          </w:rPr>
          <w:instrText xml:space="preserve"> PAGEREF _Toc83910740 \h </w:instrText>
        </w:r>
        <w:r w:rsidR="00BC27B9">
          <w:rPr>
            <w:noProof/>
            <w:webHidden/>
          </w:rPr>
        </w:r>
        <w:r w:rsidR="00BC27B9">
          <w:rPr>
            <w:noProof/>
            <w:webHidden/>
          </w:rPr>
          <w:fldChar w:fldCharType="separate"/>
        </w:r>
        <w:r w:rsidR="00BE0DA5">
          <w:rPr>
            <w:noProof/>
            <w:webHidden/>
          </w:rPr>
          <w:t>9</w:t>
        </w:r>
        <w:r w:rsidR="00BC27B9">
          <w:rPr>
            <w:noProof/>
            <w:webHidden/>
          </w:rPr>
          <w:fldChar w:fldCharType="end"/>
        </w:r>
      </w:hyperlink>
    </w:p>
    <w:p w14:paraId="1463A015" w14:textId="0C76114B"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41" w:history="1">
        <w:r w:rsidR="00BC27B9" w:rsidRPr="00C65D49">
          <w:rPr>
            <w:rStyle w:val="Hyperlink"/>
            <w:noProof/>
            <w:bdr w:val="nil"/>
          </w:rPr>
          <w:t>Accountability Indicators</w:t>
        </w:r>
        <w:r w:rsidR="00BC27B9">
          <w:rPr>
            <w:noProof/>
            <w:webHidden/>
          </w:rPr>
          <w:tab/>
        </w:r>
        <w:r w:rsidR="00BC27B9">
          <w:rPr>
            <w:noProof/>
            <w:webHidden/>
          </w:rPr>
          <w:fldChar w:fldCharType="begin"/>
        </w:r>
        <w:r w:rsidR="00BC27B9">
          <w:rPr>
            <w:noProof/>
            <w:webHidden/>
          </w:rPr>
          <w:instrText xml:space="preserve"> PAGEREF _Toc83910741 \h </w:instrText>
        </w:r>
        <w:r w:rsidR="00BC27B9">
          <w:rPr>
            <w:noProof/>
            <w:webHidden/>
          </w:rPr>
        </w:r>
        <w:r w:rsidR="00BC27B9">
          <w:rPr>
            <w:noProof/>
            <w:webHidden/>
          </w:rPr>
          <w:fldChar w:fldCharType="separate"/>
        </w:r>
        <w:r w:rsidR="00BE0DA5">
          <w:rPr>
            <w:noProof/>
            <w:webHidden/>
          </w:rPr>
          <w:t>12</w:t>
        </w:r>
        <w:r w:rsidR="00BC27B9">
          <w:rPr>
            <w:noProof/>
            <w:webHidden/>
          </w:rPr>
          <w:fldChar w:fldCharType="end"/>
        </w:r>
      </w:hyperlink>
    </w:p>
    <w:p w14:paraId="4D00FE93" w14:textId="256CF4D8"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42" w:history="1">
        <w:r w:rsidR="00BC27B9" w:rsidRPr="00C65D49">
          <w:rPr>
            <w:rStyle w:val="Hyperlink"/>
            <w:noProof/>
            <w:bdr w:val="nil"/>
          </w:rPr>
          <w:t>Changes to Appropriation</w:t>
        </w:r>
        <w:r w:rsidR="00BC27B9">
          <w:rPr>
            <w:noProof/>
            <w:webHidden/>
          </w:rPr>
          <w:tab/>
        </w:r>
        <w:r w:rsidR="00BC27B9">
          <w:rPr>
            <w:noProof/>
            <w:webHidden/>
          </w:rPr>
          <w:fldChar w:fldCharType="begin"/>
        </w:r>
        <w:r w:rsidR="00BC27B9">
          <w:rPr>
            <w:noProof/>
            <w:webHidden/>
          </w:rPr>
          <w:instrText xml:space="preserve"> PAGEREF _Toc83910742 \h </w:instrText>
        </w:r>
        <w:r w:rsidR="00BC27B9">
          <w:rPr>
            <w:noProof/>
            <w:webHidden/>
          </w:rPr>
        </w:r>
        <w:r w:rsidR="00BC27B9">
          <w:rPr>
            <w:noProof/>
            <w:webHidden/>
          </w:rPr>
          <w:fldChar w:fldCharType="separate"/>
        </w:r>
        <w:r w:rsidR="00BE0DA5">
          <w:rPr>
            <w:noProof/>
            <w:webHidden/>
          </w:rPr>
          <w:t>15</w:t>
        </w:r>
        <w:r w:rsidR="00BC27B9">
          <w:rPr>
            <w:noProof/>
            <w:webHidden/>
          </w:rPr>
          <w:fldChar w:fldCharType="end"/>
        </w:r>
      </w:hyperlink>
    </w:p>
    <w:p w14:paraId="3A33290A" w14:textId="0AF688E2"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43" w:history="1">
        <w:r w:rsidR="00BC27B9" w:rsidRPr="00C65D49">
          <w:rPr>
            <w:rStyle w:val="Hyperlink"/>
            <w:noProof/>
            <w:bdr w:val="nil"/>
          </w:rPr>
          <w:t>Summary of 2021-22 Infrastructure Program</w:t>
        </w:r>
        <w:r w:rsidR="00BC27B9">
          <w:rPr>
            <w:noProof/>
            <w:webHidden/>
          </w:rPr>
          <w:tab/>
        </w:r>
        <w:r w:rsidR="00BC27B9">
          <w:rPr>
            <w:noProof/>
            <w:webHidden/>
          </w:rPr>
          <w:fldChar w:fldCharType="begin"/>
        </w:r>
        <w:r w:rsidR="00BC27B9">
          <w:rPr>
            <w:noProof/>
            <w:webHidden/>
          </w:rPr>
          <w:instrText xml:space="preserve"> PAGEREF _Toc83910743 \h </w:instrText>
        </w:r>
        <w:r w:rsidR="00BC27B9">
          <w:rPr>
            <w:noProof/>
            <w:webHidden/>
          </w:rPr>
        </w:r>
        <w:r w:rsidR="00BC27B9">
          <w:rPr>
            <w:noProof/>
            <w:webHidden/>
          </w:rPr>
          <w:fldChar w:fldCharType="separate"/>
        </w:r>
        <w:r w:rsidR="00BE0DA5">
          <w:rPr>
            <w:noProof/>
            <w:webHidden/>
          </w:rPr>
          <w:t>19</w:t>
        </w:r>
        <w:r w:rsidR="00BC27B9">
          <w:rPr>
            <w:noProof/>
            <w:webHidden/>
          </w:rPr>
          <w:fldChar w:fldCharType="end"/>
        </w:r>
      </w:hyperlink>
    </w:p>
    <w:p w14:paraId="57BA4417" w14:textId="78420ED1"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44" w:history="1">
        <w:r w:rsidR="00BC27B9" w:rsidRPr="00C65D49">
          <w:rPr>
            <w:rStyle w:val="Hyperlink"/>
            <w:noProof/>
            <w:bdr w:val="nil"/>
          </w:rPr>
          <w:t>Financial Statements – Controlled</w:t>
        </w:r>
        <w:r w:rsidR="00BC27B9">
          <w:rPr>
            <w:noProof/>
            <w:webHidden/>
          </w:rPr>
          <w:tab/>
        </w:r>
        <w:r w:rsidR="00BC27B9">
          <w:rPr>
            <w:noProof/>
            <w:webHidden/>
          </w:rPr>
          <w:fldChar w:fldCharType="begin"/>
        </w:r>
        <w:r w:rsidR="00BC27B9">
          <w:rPr>
            <w:noProof/>
            <w:webHidden/>
          </w:rPr>
          <w:instrText xml:space="preserve"> PAGEREF _Toc83910744 \h </w:instrText>
        </w:r>
        <w:r w:rsidR="00BC27B9">
          <w:rPr>
            <w:noProof/>
            <w:webHidden/>
          </w:rPr>
        </w:r>
        <w:r w:rsidR="00BC27B9">
          <w:rPr>
            <w:noProof/>
            <w:webHidden/>
          </w:rPr>
          <w:fldChar w:fldCharType="separate"/>
        </w:r>
        <w:r w:rsidR="00BE0DA5">
          <w:rPr>
            <w:noProof/>
            <w:webHidden/>
          </w:rPr>
          <w:t>21</w:t>
        </w:r>
        <w:r w:rsidR="00BC27B9">
          <w:rPr>
            <w:noProof/>
            <w:webHidden/>
          </w:rPr>
          <w:fldChar w:fldCharType="end"/>
        </w:r>
      </w:hyperlink>
    </w:p>
    <w:p w14:paraId="1FD30FEF" w14:textId="2FFAD234"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45" w:history="1">
        <w:r w:rsidR="00BC27B9" w:rsidRPr="00C65D49">
          <w:rPr>
            <w:rStyle w:val="Hyperlink"/>
            <w:noProof/>
            <w:bdr w:val="nil"/>
          </w:rPr>
          <w:t>Financial Statements – Territorial</w:t>
        </w:r>
        <w:r w:rsidR="00BC27B9">
          <w:rPr>
            <w:noProof/>
            <w:webHidden/>
          </w:rPr>
          <w:tab/>
        </w:r>
        <w:r w:rsidR="00BC27B9">
          <w:rPr>
            <w:noProof/>
            <w:webHidden/>
          </w:rPr>
          <w:fldChar w:fldCharType="begin"/>
        </w:r>
        <w:r w:rsidR="00BC27B9">
          <w:rPr>
            <w:noProof/>
            <w:webHidden/>
          </w:rPr>
          <w:instrText xml:space="preserve"> PAGEREF _Toc83910745 \h </w:instrText>
        </w:r>
        <w:r w:rsidR="00BC27B9">
          <w:rPr>
            <w:noProof/>
            <w:webHidden/>
          </w:rPr>
        </w:r>
        <w:r w:rsidR="00BC27B9">
          <w:rPr>
            <w:noProof/>
            <w:webHidden/>
          </w:rPr>
          <w:fldChar w:fldCharType="separate"/>
        </w:r>
        <w:r w:rsidR="00BE0DA5">
          <w:rPr>
            <w:noProof/>
            <w:webHidden/>
          </w:rPr>
          <w:t>28</w:t>
        </w:r>
        <w:r w:rsidR="00BC27B9">
          <w:rPr>
            <w:noProof/>
            <w:webHidden/>
          </w:rPr>
          <w:fldChar w:fldCharType="end"/>
        </w:r>
      </w:hyperlink>
    </w:p>
    <w:p w14:paraId="7F16F4AD" w14:textId="0655CC00" w:rsidR="00BC27B9" w:rsidRDefault="00C6718C">
      <w:pPr>
        <w:pStyle w:val="TOC1"/>
        <w:rPr>
          <w:rFonts w:asciiTheme="minorHAnsi" w:eastAsiaTheme="minorEastAsia" w:hAnsiTheme="minorHAnsi" w:cstheme="minorBidi"/>
          <w:b w:val="0"/>
          <w:bCs w:val="0"/>
          <w:noProof/>
          <w:sz w:val="22"/>
          <w:szCs w:val="22"/>
          <w:bdr w:val="none" w:sz="0" w:space="0" w:color="auto"/>
          <w:lang w:eastAsia="en-AU"/>
        </w:rPr>
      </w:pPr>
      <w:hyperlink w:anchor="_Toc83910746" w:history="1">
        <w:r w:rsidR="00BC27B9" w:rsidRPr="00C65D49">
          <w:rPr>
            <w:rStyle w:val="Hyperlink"/>
            <w:noProof/>
            <w:kern w:val="28"/>
          </w:rPr>
          <w:t>CANBERRA HEALTH SERVICES</w:t>
        </w:r>
        <w:r w:rsidR="00BC27B9">
          <w:rPr>
            <w:noProof/>
            <w:webHidden/>
          </w:rPr>
          <w:tab/>
        </w:r>
        <w:r w:rsidR="00BC27B9">
          <w:rPr>
            <w:noProof/>
            <w:webHidden/>
          </w:rPr>
          <w:fldChar w:fldCharType="begin"/>
        </w:r>
        <w:r w:rsidR="00BC27B9">
          <w:rPr>
            <w:noProof/>
            <w:webHidden/>
          </w:rPr>
          <w:instrText xml:space="preserve"> PAGEREF _Toc83910746 \h </w:instrText>
        </w:r>
        <w:r w:rsidR="00BC27B9">
          <w:rPr>
            <w:noProof/>
            <w:webHidden/>
          </w:rPr>
        </w:r>
        <w:r w:rsidR="00BC27B9">
          <w:rPr>
            <w:noProof/>
            <w:webHidden/>
          </w:rPr>
          <w:fldChar w:fldCharType="separate"/>
        </w:r>
        <w:r w:rsidR="00BE0DA5">
          <w:rPr>
            <w:noProof/>
            <w:webHidden/>
          </w:rPr>
          <w:t>32</w:t>
        </w:r>
        <w:r w:rsidR="00BC27B9">
          <w:rPr>
            <w:noProof/>
            <w:webHidden/>
          </w:rPr>
          <w:fldChar w:fldCharType="end"/>
        </w:r>
      </w:hyperlink>
    </w:p>
    <w:p w14:paraId="2EB57B2C" w14:textId="579D5D9A"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47" w:history="1">
        <w:r w:rsidR="00BC27B9" w:rsidRPr="00BC27B9">
          <w:rPr>
            <w:rStyle w:val="Hyperlink"/>
            <w:noProof/>
            <w:snapToGrid w:val="0"/>
          </w:rPr>
          <w:t>Purpose</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_Toc83910747 \h </w:instrText>
        </w:r>
        <w:r w:rsidR="00BC27B9" w:rsidRPr="00BC27B9">
          <w:rPr>
            <w:noProof/>
            <w:webHidden/>
          </w:rPr>
        </w:r>
        <w:r w:rsidR="00BC27B9" w:rsidRPr="00BC27B9">
          <w:rPr>
            <w:noProof/>
            <w:webHidden/>
          </w:rPr>
          <w:fldChar w:fldCharType="separate"/>
        </w:r>
        <w:r w:rsidR="00BE0DA5">
          <w:rPr>
            <w:noProof/>
            <w:webHidden/>
          </w:rPr>
          <w:t>32</w:t>
        </w:r>
        <w:r w:rsidR="00BC27B9" w:rsidRPr="00BC27B9">
          <w:rPr>
            <w:noProof/>
            <w:webHidden/>
          </w:rPr>
          <w:fldChar w:fldCharType="end"/>
        </w:r>
      </w:hyperlink>
    </w:p>
    <w:p w14:paraId="0343173D" w14:textId="28CAE11D"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48" w:history="1">
        <w:r w:rsidR="00BC27B9" w:rsidRPr="00BC27B9">
          <w:rPr>
            <w:rStyle w:val="Hyperlink"/>
            <w:noProof/>
            <w:snapToGrid w:val="0"/>
          </w:rPr>
          <w:t>2021-22 Priorities</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_Toc83910748 \h </w:instrText>
        </w:r>
        <w:r w:rsidR="00BC27B9" w:rsidRPr="00BC27B9">
          <w:rPr>
            <w:noProof/>
            <w:webHidden/>
          </w:rPr>
        </w:r>
        <w:r w:rsidR="00BC27B9" w:rsidRPr="00BC27B9">
          <w:rPr>
            <w:noProof/>
            <w:webHidden/>
          </w:rPr>
          <w:fldChar w:fldCharType="separate"/>
        </w:r>
        <w:r w:rsidR="00BE0DA5">
          <w:rPr>
            <w:noProof/>
            <w:webHidden/>
          </w:rPr>
          <w:t>32</w:t>
        </w:r>
        <w:r w:rsidR="00BC27B9" w:rsidRPr="00BC27B9">
          <w:rPr>
            <w:noProof/>
            <w:webHidden/>
          </w:rPr>
          <w:fldChar w:fldCharType="end"/>
        </w:r>
      </w:hyperlink>
    </w:p>
    <w:p w14:paraId="3FDF20E1" w14:textId="2A81BAD1"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49" w:history="1">
        <w:r w:rsidR="00BC27B9" w:rsidRPr="00BC27B9">
          <w:rPr>
            <w:rStyle w:val="Hyperlink"/>
            <w:noProof/>
            <w:snapToGrid w:val="0"/>
          </w:rPr>
          <w:t>Estimated Employment Level</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_Toc83910749 \h </w:instrText>
        </w:r>
        <w:r w:rsidR="00BC27B9" w:rsidRPr="00BC27B9">
          <w:rPr>
            <w:noProof/>
            <w:webHidden/>
          </w:rPr>
        </w:r>
        <w:r w:rsidR="00BC27B9" w:rsidRPr="00BC27B9">
          <w:rPr>
            <w:noProof/>
            <w:webHidden/>
          </w:rPr>
          <w:fldChar w:fldCharType="separate"/>
        </w:r>
        <w:r w:rsidR="00BE0DA5">
          <w:rPr>
            <w:noProof/>
            <w:webHidden/>
          </w:rPr>
          <w:t>32</w:t>
        </w:r>
        <w:r w:rsidR="00BC27B9" w:rsidRPr="00BC27B9">
          <w:rPr>
            <w:noProof/>
            <w:webHidden/>
          </w:rPr>
          <w:fldChar w:fldCharType="end"/>
        </w:r>
      </w:hyperlink>
    </w:p>
    <w:p w14:paraId="6DFD2789" w14:textId="74BC3A43"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50" w:history="1">
        <w:r w:rsidR="00BC27B9" w:rsidRPr="00BC27B9">
          <w:rPr>
            <w:rStyle w:val="Hyperlink"/>
            <w:noProof/>
            <w:bdr w:val="nil"/>
          </w:rPr>
          <w:t>Strategic Objectives and Indicators</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_Toc83910750 \h </w:instrText>
        </w:r>
        <w:r w:rsidR="00BC27B9" w:rsidRPr="00BC27B9">
          <w:rPr>
            <w:noProof/>
            <w:webHidden/>
          </w:rPr>
        </w:r>
        <w:r w:rsidR="00BC27B9" w:rsidRPr="00BC27B9">
          <w:rPr>
            <w:noProof/>
            <w:webHidden/>
          </w:rPr>
          <w:fldChar w:fldCharType="separate"/>
        </w:r>
        <w:r w:rsidR="00BE0DA5">
          <w:rPr>
            <w:noProof/>
            <w:webHidden/>
          </w:rPr>
          <w:t>33</w:t>
        </w:r>
        <w:r w:rsidR="00BC27B9" w:rsidRPr="00BC27B9">
          <w:rPr>
            <w:noProof/>
            <w:webHidden/>
          </w:rPr>
          <w:fldChar w:fldCharType="end"/>
        </w:r>
      </w:hyperlink>
    </w:p>
    <w:p w14:paraId="23E2B4C6" w14:textId="3EA11FF8"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51" w:history="1">
        <w:r w:rsidR="00BC27B9" w:rsidRPr="00BC27B9">
          <w:rPr>
            <w:rStyle w:val="Hyperlink"/>
            <w:noProof/>
            <w:snapToGrid w:val="0"/>
            <w:bdr w:val="nil"/>
          </w:rPr>
          <w:t>Output Classes</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_Toc83910751 \h </w:instrText>
        </w:r>
        <w:r w:rsidR="00BC27B9" w:rsidRPr="00BC27B9">
          <w:rPr>
            <w:noProof/>
            <w:webHidden/>
          </w:rPr>
        </w:r>
        <w:r w:rsidR="00BC27B9" w:rsidRPr="00BC27B9">
          <w:rPr>
            <w:noProof/>
            <w:webHidden/>
          </w:rPr>
          <w:fldChar w:fldCharType="separate"/>
        </w:r>
        <w:r w:rsidR="00BE0DA5">
          <w:rPr>
            <w:noProof/>
            <w:webHidden/>
          </w:rPr>
          <w:t>39</w:t>
        </w:r>
        <w:r w:rsidR="00BC27B9" w:rsidRPr="00BC27B9">
          <w:rPr>
            <w:noProof/>
            <w:webHidden/>
          </w:rPr>
          <w:fldChar w:fldCharType="end"/>
        </w:r>
      </w:hyperlink>
    </w:p>
    <w:p w14:paraId="4B3DC91A" w14:textId="2BC47E64"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52" w:history="1">
        <w:r w:rsidR="00BC27B9" w:rsidRPr="00BC27B9">
          <w:rPr>
            <w:rStyle w:val="Hyperlink"/>
            <w:noProof/>
            <w:snapToGrid w:val="0"/>
            <w:bdr w:val="nil"/>
          </w:rPr>
          <w:t>Accountability Indicators</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_Toc83910752 \h </w:instrText>
        </w:r>
        <w:r w:rsidR="00BC27B9" w:rsidRPr="00BC27B9">
          <w:rPr>
            <w:noProof/>
            <w:webHidden/>
          </w:rPr>
        </w:r>
        <w:r w:rsidR="00BC27B9" w:rsidRPr="00BC27B9">
          <w:rPr>
            <w:noProof/>
            <w:webHidden/>
          </w:rPr>
          <w:fldChar w:fldCharType="separate"/>
        </w:r>
        <w:r w:rsidR="00BE0DA5">
          <w:rPr>
            <w:noProof/>
            <w:webHidden/>
          </w:rPr>
          <w:t>43</w:t>
        </w:r>
        <w:r w:rsidR="00BC27B9" w:rsidRPr="00BC27B9">
          <w:rPr>
            <w:noProof/>
            <w:webHidden/>
          </w:rPr>
          <w:fldChar w:fldCharType="end"/>
        </w:r>
      </w:hyperlink>
    </w:p>
    <w:p w14:paraId="1C58B4A0" w14:textId="05F632A9"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53" w:history="1">
        <w:r w:rsidR="00BC27B9" w:rsidRPr="00BC27B9">
          <w:rPr>
            <w:rStyle w:val="Hyperlink"/>
            <w:noProof/>
            <w:snapToGrid w:val="0"/>
            <w:bdr w:val="nil"/>
          </w:rPr>
          <w:t>Changes to Appropriation</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_Toc83910753 \h </w:instrText>
        </w:r>
        <w:r w:rsidR="00BC27B9" w:rsidRPr="00BC27B9">
          <w:rPr>
            <w:noProof/>
            <w:webHidden/>
          </w:rPr>
        </w:r>
        <w:r w:rsidR="00BC27B9" w:rsidRPr="00BC27B9">
          <w:rPr>
            <w:noProof/>
            <w:webHidden/>
          </w:rPr>
          <w:fldChar w:fldCharType="separate"/>
        </w:r>
        <w:r w:rsidR="00BE0DA5">
          <w:rPr>
            <w:noProof/>
            <w:webHidden/>
          </w:rPr>
          <w:t>48</w:t>
        </w:r>
        <w:r w:rsidR="00BC27B9" w:rsidRPr="00BC27B9">
          <w:rPr>
            <w:noProof/>
            <w:webHidden/>
          </w:rPr>
          <w:fldChar w:fldCharType="end"/>
        </w:r>
      </w:hyperlink>
    </w:p>
    <w:p w14:paraId="12163139" w14:textId="5AD7BB2B"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54" w:history="1">
        <w:r w:rsidR="00BC27B9" w:rsidRPr="00BC27B9">
          <w:rPr>
            <w:rStyle w:val="Hyperlink"/>
            <w:noProof/>
            <w:snapToGrid w:val="0"/>
            <w:bdr w:val="nil"/>
          </w:rPr>
          <w:t>Summary of 2021-22 Infrastructure Program</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_Toc83910754 \h </w:instrText>
        </w:r>
        <w:r w:rsidR="00BC27B9" w:rsidRPr="00BC27B9">
          <w:rPr>
            <w:noProof/>
            <w:webHidden/>
          </w:rPr>
        </w:r>
        <w:r w:rsidR="00BC27B9" w:rsidRPr="00BC27B9">
          <w:rPr>
            <w:noProof/>
            <w:webHidden/>
          </w:rPr>
          <w:fldChar w:fldCharType="separate"/>
        </w:r>
        <w:r w:rsidR="00BE0DA5">
          <w:rPr>
            <w:noProof/>
            <w:webHidden/>
          </w:rPr>
          <w:t>50</w:t>
        </w:r>
        <w:r w:rsidR="00BC27B9" w:rsidRPr="00BC27B9">
          <w:rPr>
            <w:noProof/>
            <w:webHidden/>
          </w:rPr>
          <w:fldChar w:fldCharType="end"/>
        </w:r>
      </w:hyperlink>
    </w:p>
    <w:p w14:paraId="786B1C0A" w14:textId="6BD0513E"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55" w:history="1">
        <w:r w:rsidR="00BC27B9" w:rsidRPr="00BC27B9">
          <w:rPr>
            <w:rStyle w:val="Hyperlink"/>
            <w:noProof/>
            <w:snapToGrid w:val="0"/>
            <w:bdr w:val="nil"/>
          </w:rPr>
          <w:t>Financial Statements – Controlled</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_Toc83910755 \h </w:instrText>
        </w:r>
        <w:r w:rsidR="00BC27B9" w:rsidRPr="00BC27B9">
          <w:rPr>
            <w:noProof/>
            <w:webHidden/>
          </w:rPr>
        </w:r>
        <w:r w:rsidR="00BC27B9" w:rsidRPr="00BC27B9">
          <w:rPr>
            <w:noProof/>
            <w:webHidden/>
          </w:rPr>
          <w:fldChar w:fldCharType="separate"/>
        </w:r>
        <w:r w:rsidR="00BE0DA5">
          <w:rPr>
            <w:noProof/>
            <w:webHidden/>
          </w:rPr>
          <w:t>52</w:t>
        </w:r>
        <w:r w:rsidR="00BC27B9" w:rsidRPr="00BC27B9">
          <w:rPr>
            <w:noProof/>
            <w:webHidden/>
          </w:rPr>
          <w:fldChar w:fldCharType="end"/>
        </w:r>
      </w:hyperlink>
    </w:p>
    <w:p w14:paraId="401F9EA6" w14:textId="221BB202" w:rsidR="00BC27B9" w:rsidRDefault="00C6718C">
      <w:pPr>
        <w:pStyle w:val="TOC1"/>
        <w:rPr>
          <w:rFonts w:asciiTheme="minorHAnsi" w:eastAsiaTheme="minorEastAsia" w:hAnsiTheme="minorHAnsi" w:cstheme="minorBidi"/>
          <w:b w:val="0"/>
          <w:bCs w:val="0"/>
          <w:noProof/>
          <w:sz w:val="22"/>
          <w:szCs w:val="22"/>
          <w:bdr w:val="none" w:sz="0" w:space="0" w:color="auto"/>
          <w:lang w:eastAsia="en-AU"/>
        </w:rPr>
      </w:pPr>
      <w:hyperlink w:anchor="_Toc83910756" w:history="1">
        <w:r w:rsidR="00BC27B9" w:rsidRPr="00C65D49">
          <w:rPr>
            <w:rStyle w:val="Hyperlink"/>
            <w:noProof/>
            <w:kern w:val="28"/>
          </w:rPr>
          <w:t>ACT LOCAL HOSPITAL NETWORK</w:t>
        </w:r>
        <w:r w:rsidR="00BC27B9">
          <w:rPr>
            <w:noProof/>
            <w:webHidden/>
          </w:rPr>
          <w:tab/>
        </w:r>
        <w:r w:rsidR="00BC27B9">
          <w:rPr>
            <w:noProof/>
            <w:webHidden/>
          </w:rPr>
          <w:fldChar w:fldCharType="begin"/>
        </w:r>
        <w:r w:rsidR="00BC27B9">
          <w:rPr>
            <w:noProof/>
            <w:webHidden/>
          </w:rPr>
          <w:instrText xml:space="preserve"> PAGEREF _Toc83910756 \h </w:instrText>
        </w:r>
        <w:r w:rsidR="00BC27B9">
          <w:rPr>
            <w:noProof/>
            <w:webHidden/>
          </w:rPr>
        </w:r>
        <w:r w:rsidR="00BC27B9">
          <w:rPr>
            <w:noProof/>
            <w:webHidden/>
          </w:rPr>
          <w:fldChar w:fldCharType="separate"/>
        </w:r>
        <w:r w:rsidR="00BE0DA5">
          <w:rPr>
            <w:noProof/>
            <w:webHidden/>
          </w:rPr>
          <w:t>59</w:t>
        </w:r>
        <w:r w:rsidR="00BC27B9">
          <w:rPr>
            <w:noProof/>
            <w:webHidden/>
          </w:rPr>
          <w:fldChar w:fldCharType="end"/>
        </w:r>
      </w:hyperlink>
    </w:p>
    <w:p w14:paraId="18161941" w14:textId="6A1DC333"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57" w:history="1">
        <w:r w:rsidR="00BC27B9" w:rsidRPr="00BC27B9">
          <w:rPr>
            <w:rStyle w:val="Hyperlink"/>
            <w:noProof/>
            <w:snapToGrid w:val="0"/>
            <w:bdr w:val="nil"/>
          </w:rPr>
          <w:t>Purpose</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_Toc83910757 \h </w:instrText>
        </w:r>
        <w:r w:rsidR="00BC27B9" w:rsidRPr="00BC27B9">
          <w:rPr>
            <w:noProof/>
            <w:webHidden/>
          </w:rPr>
        </w:r>
        <w:r w:rsidR="00BC27B9" w:rsidRPr="00BC27B9">
          <w:rPr>
            <w:noProof/>
            <w:webHidden/>
          </w:rPr>
          <w:fldChar w:fldCharType="separate"/>
        </w:r>
        <w:r w:rsidR="00BE0DA5">
          <w:rPr>
            <w:noProof/>
            <w:webHidden/>
          </w:rPr>
          <w:t>59</w:t>
        </w:r>
        <w:r w:rsidR="00BC27B9" w:rsidRPr="00BC27B9">
          <w:rPr>
            <w:noProof/>
            <w:webHidden/>
          </w:rPr>
          <w:fldChar w:fldCharType="end"/>
        </w:r>
      </w:hyperlink>
    </w:p>
    <w:p w14:paraId="22D38903" w14:textId="4780FBAF"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58" w:history="1">
        <w:r w:rsidR="00BC27B9" w:rsidRPr="00BC27B9">
          <w:rPr>
            <w:rStyle w:val="Hyperlink"/>
            <w:noProof/>
            <w:snapToGrid w:val="0"/>
            <w:bdr w:val="nil"/>
          </w:rPr>
          <w:t>2021-22 Priorities</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_Toc83910758 \h </w:instrText>
        </w:r>
        <w:r w:rsidR="00BC27B9" w:rsidRPr="00BC27B9">
          <w:rPr>
            <w:noProof/>
            <w:webHidden/>
          </w:rPr>
        </w:r>
        <w:r w:rsidR="00BC27B9" w:rsidRPr="00BC27B9">
          <w:rPr>
            <w:noProof/>
            <w:webHidden/>
          </w:rPr>
          <w:fldChar w:fldCharType="separate"/>
        </w:r>
        <w:r w:rsidR="00BE0DA5">
          <w:rPr>
            <w:noProof/>
            <w:webHidden/>
          </w:rPr>
          <w:t>59</w:t>
        </w:r>
        <w:r w:rsidR="00BC27B9" w:rsidRPr="00BC27B9">
          <w:rPr>
            <w:noProof/>
            <w:webHidden/>
          </w:rPr>
          <w:fldChar w:fldCharType="end"/>
        </w:r>
      </w:hyperlink>
    </w:p>
    <w:p w14:paraId="283C0CFC" w14:textId="6A91AD33"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59" w:history="1">
        <w:r w:rsidR="00BC27B9" w:rsidRPr="00BC27B9">
          <w:rPr>
            <w:rStyle w:val="Hyperlink"/>
            <w:noProof/>
            <w:snapToGrid w:val="0"/>
            <w:bdr w:val="nil"/>
          </w:rPr>
          <w:t>Estimated Employment Level</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_Toc83910759 \h </w:instrText>
        </w:r>
        <w:r w:rsidR="00BC27B9" w:rsidRPr="00BC27B9">
          <w:rPr>
            <w:noProof/>
            <w:webHidden/>
          </w:rPr>
        </w:r>
        <w:r w:rsidR="00BC27B9" w:rsidRPr="00BC27B9">
          <w:rPr>
            <w:noProof/>
            <w:webHidden/>
          </w:rPr>
          <w:fldChar w:fldCharType="separate"/>
        </w:r>
        <w:r w:rsidR="00BE0DA5">
          <w:rPr>
            <w:noProof/>
            <w:webHidden/>
          </w:rPr>
          <w:t>60</w:t>
        </w:r>
        <w:r w:rsidR="00BC27B9" w:rsidRPr="00BC27B9">
          <w:rPr>
            <w:noProof/>
            <w:webHidden/>
          </w:rPr>
          <w:fldChar w:fldCharType="end"/>
        </w:r>
      </w:hyperlink>
    </w:p>
    <w:p w14:paraId="22CAF1AC" w14:textId="4BC73B60"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60" w:history="1">
        <w:r w:rsidR="00BC27B9" w:rsidRPr="00BC27B9">
          <w:rPr>
            <w:rStyle w:val="Hyperlink"/>
            <w:noProof/>
            <w:snapToGrid w:val="0"/>
            <w:bdr w:val="nil"/>
          </w:rPr>
          <w:t>Output Classes</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_Toc83910760 \h </w:instrText>
        </w:r>
        <w:r w:rsidR="00BC27B9" w:rsidRPr="00BC27B9">
          <w:rPr>
            <w:noProof/>
            <w:webHidden/>
          </w:rPr>
        </w:r>
        <w:r w:rsidR="00BC27B9" w:rsidRPr="00BC27B9">
          <w:rPr>
            <w:noProof/>
            <w:webHidden/>
          </w:rPr>
          <w:fldChar w:fldCharType="separate"/>
        </w:r>
        <w:r w:rsidR="00BE0DA5">
          <w:rPr>
            <w:noProof/>
            <w:webHidden/>
          </w:rPr>
          <w:t>61</w:t>
        </w:r>
        <w:r w:rsidR="00BC27B9" w:rsidRPr="00BC27B9">
          <w:rPr>
            <w:noProof/>
            <w:webHidden/>
          </w:rPr>
          <w:fldChar w:fldCharType="end"/>
        </w:r>
      </w:hyperlink>
    </w:p>
    <w:p w14:paraId="5EA609F5" w14:textId="1B3ECE27"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61" w:history="1">
        <w:r w:rsidR="00BC27B9" w:rsidRPr="00BC27B9">
          <w:rPr>
            <w:rStyle w:val="Hyperlink"/>
            <w:noProof/>
            <w:snapToGrid w:val="0"/>
            <w:bdr w:val="nil"/>
          </w:rPr>
          <w:t>Accountability Indicators</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_Toc83910761 \h </w:instrText>
        </w:r>
        <w:r w:rsidR="00BC27B9" w:rsidRPr="00BC27B9">
          <w:rPr>
            <w:noProof/>
            <w:webHidden/>
          </w:rPr>
        </w:r>
        <w:r w:rsidR="00BC27B9" w:rsidRPr="00BC27B9">
          <w:rPr>
            <w:noProof/>
            <w:webHidden/>
          </w:rPr>
          <w:fldChar w:fldCharType="separate"/>
        </w:r>
        <w:r w:rsidR="00BE0DA5">
          <w:rPr>
            <w:noProof/>
            <w:webHidden/>
          </w:rPr>
          <w:t>62</w:t>
        </w:r>
        <w:r w:rsidR="00BC27B9" w:rsidRPr="00BC27B9">
          <w:rPr>
            <w:noProof/>
            <w:webHidden/>
          </w:rPr>
          <w:fldChar w:fldCharType="end"/>
        </w:r>
      </w:hyperlink>
    </w:p>
    <w:p w14:paraId="22D8D7DE" w14:textId="28F1E5B2" w:rsidR="00BC27B9" w:rsidRP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62" w:history="1">
        <w:r w:rsidR="00BC27B9" w:rsidRPr="00BC27B9">
          <w:rPr>
            <w:rStyle w:val="Hyperlink"/>
            <w:noProof/>
            <w:snapToGrid w:val="0"/>
            <w:bdr w:val="nil"/>
          </w:rPr>
          <w:t>Changes to Appropriation</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_Toc83910762 \h </w:instrText>
        </w:r>
        <w:r w:rsidR="00BC27B9" w:rsidRPr="00BC27B9">
          <w:rPr>
            <w:noProof/>
            <w:webHidden/>
          </w:rPr>
        </w:r>
        <w:r w:rsidR="00BC27B9" w:rsidRPr="00BC27B9">
          <w:rPr>
            <w:noProof/>
            <w:webHidden/>
          </w:rPr>
          <w:fldChar w:fldCharType="separate"/>
        </w:r>
        <w:r w:rsidR="00BE0DA5">
          <w:rPr>
            <w:noProof/>
            <w:webHidden/>
          </w:rPr>
          <w:t>63</w:t>
        </w:r>
        <w:r w:rsidR="00BC27B9" w:rsidRPr="00BC27B9">
          <w:rPr>
            <w:noProof/>
            <w:webHidden/>
          </w:rPr>
          <w:fldChar w:fldCharType="end"/>
        </w:r>
      </w:hyperlink>
    </w:p>
    <w:p w14:paraId="73DE2DA5" w14:textId="6D46A291" w:rsidR="00BC27B9" w:rsidRDefault="00C6718C">
      <w:pPr>
        <w:pStyle w:val="TOC2"/>
        <w:tabs>
          <w:tab w:val="right" w:leader="dot" w:pos="9016"/>
        </w:tabs>
        <w:rPr>
          <w:rFonts w:asciiTheme="minorHAnsi" w:eastAsiaTheme="minorEastAsia" w:hAnsiTheme="minorHAnsi" w:cstheme="minorBidi"/>
          <w:noProof/>
          <w:sz w:val="22"/>
          <w:szCs w:val="22"/>
          <w:lang w:eastAsia="en-AU"/>
        </w:rPr>
      </w:pPr>
      <w:hyperlink w:anchor="_Toc83910763" w:history="1">
        <w:r w:rsidR="00BC27B9" w:rsidRPr="00BC27B9">
          <w:rPr>
            <w:rStyle w:val="Hyperlink"/>
            <w:noProof/>
            <w:snapToGrid w:val="0"/>
            <w:bdr w:val="nil"/>
          </w:rPr>
          <w:t>Financial Statements – Controlled</w:t>
        </w:r>
        <w:r w:rsidR="00BC27B9" w:rsidRPr="00BC27B9">
          <w:rPr>
            <w:noProof/>
            <w:webHidden/>
          </w:rPr>
          <w:tab/>
        </w:r>
        <w:r w:rsidR="00BC27B9" w:rsidRPr="00BC27B9">
          <w:rPr>
            <w:noProof/>
            <w:webHidden/>
          </w:rPr>
          <w:fldChar w:fldCharType="begin"/>
        </w:r>
        <w:r w:rsidR="00BC27B9" w:rsidRPr="00BC27B9">
          <w:rPr>
            <w:noProof/>
            <w:webHidden/>
          </w:rPr>
          <w:instrText xml:space="preserve"> PAGEREF _Toc83910763 \h </w:instrText>
        </w:r>
        <w:r w:rsidR="00BC27B9" w:rsidRPr="00BC27B9">
          <w:rPr>
            <w:noProof/>
            <w:webHidden/>
          </w:rPr>
        </w:r>
        <w:r w:rsidR="00BC27B9" w:rsidRPr="00BC27B9">
          <w:rPr>
            <w:noProof/>
            <w:webHidden/>
          </w:rPr>
          <w:fldChar w:fldCharType="separate"/>
        </w:r>
        <w:r w:rsidR="00BE0DA5">
          <w:rPr>
            <w:noProof/>
            <w:webHidden/>
          </w:rPr>
          <w:t>65</w:t>
        </w:r>
        <w:r w:rsidR="00BC27B9" w:rsidRPr="00BC27B9">
          <w:rPr>
            <w:noProof/>
            <w:webHidden/>
          </w:rPr>
          <w:fldChar w:fldCharType="end"/>
        </w:r>
      </w:hyperlink>
    </w:p>
    <w:p w14:paraId="661C4093" w14:textId="2D8A1684" w:rsidR="00496618" w:rsidRDefault="00EB585F">
      <w:pPr>
        <w:pBdr>
          <w:top w:val="nil"/>
          <w:left w:val="nil"/>
          <w:bottom w:val="nil"/>
          <w:right w:val="nil"/>
          <w:between w:val="nil"/>
          <w:bar w:val="nil"/>
        </w:pBdr>
        <w:rPr>
          <w:bdr w:val="nil"/>
        </w:rPr>
      </w:pPr>
      <w:r w:rsidRPr="00B51DBE">
        <w:rPr>
          <w:bdr w:val="nil"/>
        </w:rPr>
        <w:fldChar w:fldCharType="end"/>
      </w:r>
    </w:p>
    <w:p w14:paraId="23F4AAD7" w14:textId="77777777" w:rsidR="000A4550" w:rsidRDefault="000A4550">
      <w:pPr>
        <w:pBdr>
          <w:top w:val="nil"/>
          <w:left w:val="nil"/>
          <w:bottom w:val="nil"/>
          <w:right w:val="nil"/>
          <w:between w:val="nil"/>
          <w:bar w:val="nil"/>
        </w:pBdr>
        <w:spacing w:before="0" w:after="0"/>
        <w:rPr>
          <w:rFonts w:eastAsia="TimesNewRomanPS-ItalicMT"/>
          <w:bdr w:val="nil"/>
        </w:rPr>
        <w:sectPr w:rsidR="000A4550" w:rsidSect="000A455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51" w:right="1440" w:bottom="1729" w:left="1440" w:header="720" w:footer="720" w:gutter="0"/>
          <w:pgBorders>
            <w:top w:val="nil"/>
            <w:left w:val="nil"/>
            <w:bottom w:val="nil"/>
            <w:right w:val="nil"/>
          </w:pgBorders>
          <w:pgNumType w:fmt="lowerRoman" w:start="1"/>
          <w:cols w:space="720"/>
        </w:sectPr>
      </w:pPr>
    </w:p>
    <w:p w14:paraId="536910BD" w14:textId="77777777" w:rsidR="001F6B18" w:rsidRPr="009E2550" w:rsidRDefault="0027723F" w:rsidP="001F6B18">
      <w:pPr>
        <w:pStyle w:val="Heading1"/>
        <w:pageBreakBefore/>
        <w:pBdr>
          <w:top w:val="nil"/>
          <w:left w:val="nil"/>
          <w:right w:val="nil"/>
          <w:between w:val="nil"/>
          <w:bar w:val="nil"/>
        </w:pBdr>
        <w:rPr>
          <w:bdr w:val="nil"/>
        </w:rPr>
      </w:pPr>
      <w:bookmarkStart w:id="0" w:name="_Toc83910735"/>
      <w:r w:rsidRPr="00AB5AA0">
        <w:rPr>
          <w:sz w:val="36"/>
          <w:szCs w:val="36"/>
          <w:bdr w:val="nil"/>
        </w:rPr>
        <w:lastRenderedPageBreak/>
        <w:t>ACT HEALTH DIRECTORATE</w:t>
      </w:r>
      <w:bookmarkEnd w:id="0"/>
    </w:p>
    <w:p w14:paraId="00B410E2" w14:textId="752B7096" w:rsidR="001F6B18" w:rsidRPr="009E2550" w:rsidRDefault="0027723F" w:rsidP="00BC27B9">
      <w:pPr>
        <w:pStyle w:val="Heading2"/>
        <w:rPr>
          <w:bdr w:val="nil"/>
        </w:rPr>
      </w:pPr>
      <w:bookmarkStart w:id="1" w:name="_Toc83910736"/>
      <w:r w:rsidRPr="009E2550">
        <w:rPr>
          <w:bdr w:val="nil"/>
        </w:rPr>
        <w:t>P</w:t>
      </w:r>
      <w:r w:rsidR="00BC27B9">
        <w:rPr>
          <w:bdr w:val="nil"/>
        </w:rPr>
        <w:t>urpose</w:t>
      </w:r>
      <w:bookmarkEnd w:id="1"/>
    </w:p>
    <w:p w14:paraId="16F868FF" w14:textId="7AA0BF0E" w:rsidR="001F6B18" w:rsidRDefault="0027723F" w:rsidP="001F6B18">
      <w:pPr>
        <w:pStyle w:val="BodyText1"/>
        <w:pBdr>
          <w:top w:val="nil"/>
          <w:left w:val="nil"/>
          <w:bottom w:val="nil"/>
          <w:right w:val="nil"/>
          <w:between w:val="nil"/>
          <w:bar w:val="nil"/>
        </w:pBdr>
        <w:rPr>
          <w:bdr w:val="nil"/>
        </w:rPr>
      </w:pPr>
      <w:r>
        <w:rPr>
          <w:bdr w:val="nil"/>
        </w:rPr>
        <w:t xml:space="preserve">The ACT Health Directorate (the Directorate) provides strategic leadership, policy advice and oversight of the public health system, supporting and enabling clinical excellence and research across the public health system, to improve Territory-wide health care in the ACT. The Directorate engages with </w:t>
      </w:r>
      <w:r w:rsidR="001D151F">
        <w:rPr>
          <w:bdr w:val="nil"/>
        </w:rPr>
        <w:t>its</w:t>
      </w:r>
      <w:r>
        <w:rPr>
          <w:bdr w:val="nil"/>
        </w:rPr>
        <w:t xml:space="preserve"> partners and stakeholders to ensure better health outcomes for all in the ACT and surrounding regions. </w:t>
      </w:r>
    </w:p>
    <w:p w14:paraId="52E0CFA2" w14:textId="03CE7FBD" w:rsidR="001F6B18" w:rsidRDefault="0027723F" w:rsidP="001F6B18">
      <w:pPr>
        <w:pStyle w:val="BodyText1"/>
        <w:pBdr>
          <w:top w:val="nil"/>
          <w:left w:val="nil"/>
          <w:bottom w:val="nil"/>
          <w:right w:val="nil"/>
          <w:between w:val="nil"/>
          <w:bar w:val="nil"/>
        </w:pBdr>
        <w:rPr>
          <w:bdr w:val="nil"/>
        </w:rPr>
      </w:pPr>
      <w:r>
        <w:rPr>
          <w:bdr w:val="nil"/>
        </w:rPr>
        <w:t xml:space="preserve">We develop strategies and set direction to meet community needs and expectations, </w:t>
      </w:r>
      <w:r w:rsidR="00287AA2">
        <w:rPr>
          <w:bdr w:val="nil"/>
        </w:rPr>
        <w:t>s</w:t>
      </w:r>
      <w:r>
        <w:rPr>
          <w:bdr w:val="nil"/>
        </w:rPr>
        <w:t xml:space="preserve">triving for an innovative, effective and sustainable health service, now and into the future.  </w:t>
      </w:r>
    </w:p>
    <w:p w14:paraId="158A6CC2" w14:textId="77777777" w:rsidR="001F6B18" w:rsidRDefault="0027723F" w:rsidP="001F6B18">
      <w:pPr>
        <w:pStyle w:val="BodyText1"/>
        <w:pBdr>
          <w:top w:val="nil"/>
          <w:left w:val="nil"/>
          <w:bottom w:val="nil"/>
          <w:right w:val="nil"/>
          <w:between w:val="nil"/>
          <w:bar w:val="nil"/>
        </w:pBdr>
        <w:rPr>
          <w:bdr w:val="nil"/>
        </w:rPr>
      </w:pPr>
      <w:r>
        <w:rPr>
          <w:bdr w:val="nil"/>
        </w:rPr>
        <w:t>The Directorate’s key functions include:</w:t>
      </w:r>
    </w:p>
    <w:p w14:paraId="7A7B03AC" w14:textId="77777777" w:rsidR="001F6B18" w:rsidRDefault="0027723F" w:rsidP="001F6B18">
      <w:pPr>
        <w:pStyle w:val="BSbullet1"/>
        <w:numPr>
          <w:ilvl w:val="0"/>
          <w:numId w:val="3"/>
        </w:numPr>
        <w:pBdr>
          <w:top w:val="nil"/>
          <w:left w:val="nil"/>
          <w:bottom w:val="nil"/>
          <w:right w:val="nil"/>
          <w:between w:val="nil"/>
          <w:bar w:val="nil"/>
        </w:pBdr>
        <w:jc w:val="both"/>
        <w:rPr>
          <w:bdr w:val="nil"/>
        </w:rPr>
      </w:pPr>
      <w:r>
        <w:rPr>
          <w:bdr w:val="nil"/>
        </w:rPr>
        <w:t>providing strategic leadership, policy advice, and oversight of the public health system;</w:t>
      </w:r>
    </w:p>
    <w:p w14:paraId="5C48DC56" w14:textId="77777777" w:rsidR="001F6B18" w:rsidRDefault="0027723F" w:rsidP="001F6B18">
      <w:pPr>
        <w:pStyle w:val="BSbullet1"/>
        <w:numPr>
          <w:ilvl w:val="0"/>
          <w:numId w:val="3"/>
        </w:numPr>
        <w:pBdr>
          <w:top w:val="nil"/>
          <w:left w:val="nil"/>
          <w:bottom w:val="nil"/>
          <w:right w:val="nil"/>
          <w:between w:val="nil"/>
          <w:bar w:val="nil"/>
        </w:pBdr>
        <w:jc w:val="both"/>
        <w:rPr>
          <w:bdr w:val="nil"/>
        </w:rPr>
      </w:pPr>
      <w:r>
        <w:rPr>
          <w:bdr w:val="nil"/>
        </w:rPr>
        <w:t>leading engagement and negotiation with other jurisdictions on health funding agreements and national policy initiatives;</w:t>
      </w:r>
    </w:p>
    <w:p w14:paraId="7239BD02" w14:textId="77777777" w:rsidR="001F6B18" w:rsidRDefault="0027723F" w:rsidP="001F6B18">
      <w:pPr>
        <w:pStyle w:val="BSbullet1"/>
        <w:numPr>
          <w:ilvl w:val="0"/>
          <w:numId w:val="3"/>
        </w:numPr>
        <w:pBdr>
          <w:top w:val="nil"/>
          <w:left w:val="nil"/>
          <w:bottom w:val="nil"/>
          <w:right w:val="nil"/>
          <w:between w:val="nil"/>
          <w:bar w:val="nil"/>
        </w:pBdr>
        <w:jc w:val="both"/>
        <w:rPr>
          <w:bdr w:val="nil"/>
        </w:rPr>
      </w:pPr>
      <w:r>
        <w:rPr>
          <w:bdr w:val="nil"/>
        </w:rPr>
        <w:t>administering the ACT Government’s legislative program on health matters;</w:t>
      </w:r>
    </w:p>
    <w:p w14:paraId="2C14F9E7" w14:textId="77777777" w:rsidR="001F6B18" w:rsidRDefault="0027723F" w:rsidP="001F6B18">
      <w:pPr>
        <w:pStyle w:val="BSbullet1"/>
        <w:numPr>
          <w:ilvl w:val="0"/>
          <w:numId w:val="3"/>
        </w:numPr>
        <w:pBdr>
          <w:top w:val="nil"/>
          <w:left w:val="nil"/>
          <w:bottom w:val="nil"/>
          <w:right w:val="nil"/>
          <w:between w:val="nil"/>
          <w:bar w:val="nil"/>
        </w:pBdr>
        <w:jc w:val="both"/>
        <w:rPr>
          <w:bdr w:val="nil"/>
        </w:rPr>
      </w:pPr>
      <w:r>
        <w:rPr>
          <w:bdr w:val="nil"/>
        </w:rPr>
        <w:t>engaging with the Directorate’s partners and stakeholders to ensure health outcomes and impacts are considered in whole-of-government policy and health services planning;</w:t>
      </w:r>
    </w:p>
    <w:p w14:paraId="3BC3D647" w14:textId="77777777" w:rsidR="001F6B18" w:rsidRDefault="0027723F" w:rsidP="001F6B18">
      <w:pPr>
        <w:pStyle w:val="BSbullet1"/>
        <w:numPr>
          <w:ilvl w:val="0"/>
          <w:numId w:val="3"/>
        </w:numPr>
        <w:pBdr>
          <w:top w:val="nil"/>
          <w:left w:val="nil"/>
          <w:bottom w:val="nil"/>
          <w:right w:val="nil"/>
          <w:between w:val="nil"/>
          <w:bar w:val="nil"/>
        </w:pBdr>
        <w:jc w:val="both"/>
        <w:rPr>
          <w:bdr w:val="nil"/>
        </w:rPr>
      </w:pPr>
      <w:r>
        <w:rPr>
          <w:bdr w:val="nil"/>
        </w:rPr>
        <w:t>supporting and enabling clinical excellence, safe high-quality care, and research across the public health system;</w:t>
      </w:r>
    </w:p>
    <w:p w14:paraId="630046F2" w14:textId="77777777" w:rsidR="001F6B18" w:rsidRDefault="0027723F" w:rsidP="001F6B18">
      <w:pPr>
        <w:pStyle w:val="BSbullet1"/>
        <w:numPr>
          <w:ilvl w:val="0"/>
          <w:numId w:val="3"/>
        </w:numPr>
        <w:pBdr>
          <w:top w:val="nil"/>
          <w:left w:val="nil"/>
          <w:bottom w:val="nil"/>
          <w:right w:val="nil"/>
          <w:between w:val="nil"/>
          <w:bar w:val="nil"/>
        </w:pBdr>
        <w:jc w:val="both"/>
        <w:rPr>
          <w:bdr w:val="nil"/>
        </w:rPr>
      </w:pPr>
      <w:r>
        <w:rPr>
          <w:bdr w:val="nil"/>
        </w:rPr>
        <w:t>delivering a range of health prevention, promotion, and protection services;</w:t>
      </w:r>
    </w:p>
    <w:p w14:paraId="1CAE93FF" w14:textId="35B583EB" w:rsidR="001F6B18" w:rsidRDefault="0027723F" w:rsidP="001F6B18">
      <w:pPr>
        <w:pStyle w:val="BSbullet1"/>
        <w:numPr>
          <w:ilvl w:val="0"/>
          <w:numId w:val="3"/>
        </w:numPr>
        <w:pBdr>
          <w:top w:val="nil"/>
          <w:left w:val="nil"/>
          <w:bottom w:val="nil"/>
          <w:right w:val="nil"/>
          <w:between w:val="nil"/>
          <w:bar w:val="nil"/>
        </w:pBdr>
        <w:jc w:val="both"/>
        <w:rPr>
          <w:bdr w:val="nil"/>
        </w:rPr>
      </w:pPr>
      <w:r>
        <w:rPr>
          <w:bdr w:val="nil"/>
        </w:rPr>
        <w:t>implementing innovative digital technologies across the public health system and supporting Information and Communication Technology (ICT) solutions that enable person-centred care;</w:t>
      </w:r>
    </w:p>
    <w:p w14:paraId="70706E8F" w14:textId="77777777" w:rsidR="001F6B18" w:rsidRDefault="0027723F" w:rsidP="001F6B18">
      <w:pPr>
        <w:pStyle w:val="BSbullet1"/>
        <w:numPr>
          <w:ilvl w:val="0"/>
          <w:numId w:val="3"/>
        </w:numPr>
        <w:pBdr>
          <w:top w:val="nil"/>
          <w:left w:val="nil"/>
          <w:bottom w:val="nil"/>
          <w:right w:val="nil"/>
          <w:between w:val="nil"/>
          <w:bar w:val="nil"/>
        </w:pBdr>
        <w:jc w:val="both"/>
        <w:rPr>
          <w:bdr w:val="nil"/>
        </w:rPr>
      </w:pPr>
      <w:r>
        <w:rPr>
          <w:bdr w:val="nil"/>
        </w:rPr>
        <w:t>conducting public health system planning and evaluation for sustainable services, workforce and infrastructure, that supports effective resource allocation, innovation, and safe high-quality care;</w:t>
      </w:r>
    </w:p>
    <w:p w14:paraId="244E4462" w14:textId="77777777" w:rsidR="001F6B18" w:rsidRDefault="0027723F" w:rsidP="001F6B18">
      <w:pPr>
        <w:pStyle w:val="BSbullet1"/>
        <w:numPr>
          <w:ilvl w:val="0"/>
          <w:numId w:val="3"/>
        </w:numPr>
        <w:pBdr>
          <w:top w:val="nil"/>
          <w:left w:val="nil"/>
          <w:bottom w:val="nil"/>
          <w:right w:val="nil"/>
          <w:between w:val="nil"/>
          <w:bar w:val="nil"/>
        </w:pBdr>
        <w:jc w:val="both"/>
        <w:rPr>
          <w:bdr w:val="nil"/>
        </w:rPr>
      </w:pPr>
      <w:r>
        <w:rPr>
          <w:bdr w:val="nil"/>
        </w:rPr>
        <w:t>delivering Territory-wide health infrastructure strategy and design, including public hospital campus planning and planning for the new public health services;</w:t>
      </w:r>
    </w:p>
    <w:p w14:paraId="69A234BF" w14:textId="77777777" w:rsidR="001F6B18" w:rsidRDefault="0027723F" w:rsidP="001F6B18">
      <w:pPr>
        <w:pStyle w:val="BSbullet1"/>
        <w:numPr>
          <w:ilvl w:val="0"/>
          <w:numId w:val="3"/>
        </w:numPr>
        <w:pBdr>
          <w:top w:val="nil"/>
          <w:left w:val="nil"/>
          <w:bottom w:val="nil"/>
          <w:right w:val="nil"/>
          <w:between w:val="nil"/>
          <w:bar w:val="nil"/>
        </w:pBdr>
        <w:jc w:val="both"/>
        <w:rPr>
          <w:bdr w:val="nil"/>
        </w:rPr>
      </w:pPr>
      <w:r>
        <w:rPr>
          <w:bdr w:val="nil"/>
        </w:rPr>
        <w:t>commissioning value-based care that improves health outcomes; and</w:t>
      </w:r>
    </w:p>
    <w:p w14:paraId="0ECE78BA" w14:textId="77777777" w:rsidR="001F6B18" w:rsidRDefault="0027723F" w:rsidP="001F6B18">
      <w:pPr>
        <w:pStyle w:val="BSbullet1"/>
        <w:numPr>
          <w:ilvl w:val="0"/>
          <w:numId w:val="3"/>
        </w:numPr>
        <w:pBdr>
          <w:top w:val="nil"/>
          <w:left w:val="nil"/>
          <w:bottom w:val="nil"/>
          <w:right w:val="nil"/>
          <w:between w:val="nil"/>
          <w:bar w:val="nil"/>
        </w:pBdr>
        <w:jc w:val="both"/>
        <w:rPr>
          <w:bdr w:val="nil"/>
        </w:rPr>
      </w:pPr>
      <w:r>
        <w:rPr>
          <w:bdr w:val="nil"/>
        </w:rPr>
        <w:t>monitoring and evaluating public health system performance to ensure it meets community expectations and performance criteria.</w:t>
      </w:r>
    </w:p>
    <w:p w14:paraId="21FA3C48" w14:textId="77777777" w:rsidR="001F6B18" w:rsidRDefault="0027723F" w:rsidP="001F6B18">
      <w:pPr>
        <w:pStyle w:val="BSbullet1"/>
        <w:numPr>
          <w:ilvl w:val="0"/>
          <w:numId w:val="0"/>
        </w:numPr>
        <w:pBdr>
          <w:top w:val="nil"/>
          <w:left w:val="nil"/>
          <w:bottom w:val="nil"/>
          <w:right w:val="nil"/>
          <w:between w:val="nil"/>
          <w:bar w:val="nil"/>
        </w:pBdr>
        <w:tabs>
          <w:tab w:val="left" w:pos="720"/>
        </w:tabs>
        <w:jc w:val="both"/>
        <w:rPr>
          <w:bdr w:val="nil"/>
        </w:rPr>
      </w:pPr>
      <w:r>
        <w:rPr>
          <w:bdr w:val="nil"/>
        </w:rPr>
        <w:t xml:space="preserve">The Directorate’s work and vision is underpinned by the </w:t>
      </w:r>
      <w:r>
        <w:rPr>
          <w:i/>
          <w:iCs/>
          <w:bdr w:val="nil"/>
        </w:rPr>
        <w:t>ACT Health Directorate Strategic Plan 2020-25,</w:t>
      </w:r>
      <w:r>
        <w:rPr>
          <w:bdr w:val="nil"/>
        </w:rPr>
        <w:t xml:space="preserve"> which provides a foundation for our high performing organisation that values its people and reflects the way we work with our partner organisations.</w:t>
      </w:r>
    </w:p>
    <w:p w14:paraId="17E75F4A" w14:textId="77777777" w:rsidR="001F6B18" w:rsidRDefault="0027723F" w:rsidP="001F6B18">
      <w:pPr>
        <w:pStyle w:val="Heading2"/>
        <w:pBdr>
          <w:top w:val="nil"/>
          <w:left w:val="nil"/>
          <w:bottom w:val="nil"/>
          <w:right w:val="nil"/>
          <w:between w:val="nil"/>
          <w:bar w:val="nil"/>
        </w:pBdr>
        <w:spacing w:before="120"/>
        <w:rPr>
          <w:bdr w:val="nil"/>
        </w:rPr>
      </w:pPr>
      <w:bookmarkStart w:id="2" w:name="_Toc452467796"/>
      <w:bookmarkStart w:id="3" w:name="_Toc451895558"/>
      <w:bookmarkStart w:id="4" w:name="_Toc83910737"/>
      <w:r>
        <w:rPr>
          <w:bdr w:val="nil"/>
        </w:rPr>
        <w:lastRenderedPageBreak/>
        <w:t>2021-22 Priorities</w:t>
      </w:r>
      <w:bookmarkEnd w:id="2"/>
      <w:bookmarkEnd w:id="3"/>
      <w:bookmarkEnd w:id="4"/>
    </w:p>
    <w:p w14:paraId="0DD1727D" w14:textId="7983FE08" w:rsidR="00CC351F" w:rsidRPr="00CC351F" w:rsidRDefault="00CC351F" w:rsidP="00CC351F">
      <w:pPr>
        <w:pStyle w:val="BodyText1"/>
        <w:pBdr>
          <w:top w:val="nil"/>
          <w:left w:val="nil"/>
          <w:bottom w:val="nil"/>
          <w:right w:val="nil"/>
          <w:between w:val="nil"/>
          <w:bar w:val="nil"/>
        </w:pBdr>
        <w:rPr>
          <w:bdr w:val="nil"/>
        </w:rPr>
      </w:pPr>
      <w:bookmarkStart w:id="5" w:name="_Hlk80342503"/>
      <w:r w:rsidRPr="00CC351F">
        <w:rPr>
          <w:bdr w:val="nil"/>
        </w:rPr>
        <w:t>In 2021-22</w:t>
      </w:r>
      <w:r w:rsidR="005F24C2">
        <w:rPr>
          <w:bdr w:val="nil"/>
        </w:rPr>
        <w:t>,</w:t>
      </w:r>
      <w:r w:rsidRPr="00CC351F">
        <w:rPr>
          <w:bdr w:val="nil"/>
        </w:rPr>
        <w:t xml:space="preserve"> the Directorate will focus on a phased approach to achieving a COVID</w:t>
      </w:r>
      <w:r w:rsidR="005F24C2">
        <w:rPr>
          <w:bdr w:val="nil"/>
        </w:rPr>
        <w:t>-19</w:t>
      </w:r>
      <w:r w:rsidRPr="00CC351F">
        <w:rPr>
          <w:bdr w:val="nil"/>
        </w:rPr>
        <w:t xml:space="preserve"> normal life in a safe manner. We will balance the risks posed by COVID-19 to ensure we do not overwhelm our health system. We will move through the phases of the National Plan to transition Australia’s National COVID-19 response. Movement through each phase is triggered when the average vaccination rates across the nation, as well as in the ACT, have reached the required thresholds. </w:t>
      </w:r>
    </w:p>
    <w:p w14:paraId="26A1A420" w14:textId="77777777" w:rsidR="00CC351F" w:rsidRPr="00CC351F" w:rsidRDefault="00CC351F" w:rsidP="00CC351F">
      <w:pPr>
        <w:pStyle w:val="BodyText1"/>
        <w:pBdr>
          <w:top w:val="nil"/>
          <w:left w:val="nil"/>
          <w:bottom w:val="nil"/>
          <w:right w:val="nil"/>
          <w:between w:val="nil"/>
          <w:bar w:val="nil"/>
        </w:pBdr>
        <w:rPr>
          <w:bdr w:val="nil"/>
        </w:rPr>
      </w:pPr>
      <w:r w:rsidRPr="00CC351F">
        <w:rPr>
          <w:bdr w:val="nil"/>
        </w:rPr>
        <w:t>Work will continue on planning and implementing initiatives to support:</w:t>
      </w:r>
    </w:p>
    <w:p w14:paraId="22221CB2" w14:textId="43AABFD1" w:rsidR="00CC351F" w:rsidRPr="00CC351F" w:rsidRDefault="005F24C2" w:rsidP="00CC351F">
      <w:pPr>
        <w:pStyle w:val="BSbullet1"/>
        <w:numPr>
          <w:ilvl w:val="0"/>
          <w:numId w:val="3"/>
        </w:numPr>
        <w:pBdr>
          <w:top w:val="nil"/>
          <w:left w:val="nil"/>
          <w:bottom w:val="nil"/>
          <w:right w:val="nil"/>
          <w:between w:val="nil"/>
          <w:bar w:val="nil"/>
        </w:pBdr>
        <w:jc w:val="both"/>
        <w:rPr>
          <w:bdr w:val="nil"/>
        </w:rPr>
      </w:pPr>
      <w:r>
        <w:rPr>
          <w:bdr w:val="nil"/>
        </w:rPr>
        <w:t>p</w:t>
      </w:r>
      <w:r w:rsidR="00CC351F" w:rsidRPr="00CC351F">
        <w:rPr>
          <w:bdr w:val="nil"/>
        </w:rPr>
        <w:t xml:space="preserve">ublic </w:t>
      </w:r>
      <w:r w:rsidR="00677C53">
        <w:rPr>
          <w:bdr w:val="nil"/>
        </w:rPr>
        <w:t>h</w:t>
      </w:r>
      <w:r w:rsidR="00CC351F" w:rsidRPr="00CC351F">
        <w:rPr>
          <w:bdr w:val="nil"/>
        </w:rPr>
        <w:t xml:space="preserve">ealth </w:t>
      </w:r>
      <w:r w:rsidR="00677C53">
        <w:rPr>
          <w:bdr w:val="nil"/>
        </w:rPr>
        <w:t>r</w:t>
      </w:r>
      <w:r w:rsidR="00CC351F" w:rsidRPr="00CC351F">
        <w:rPr>
          <w:bdr w:val="nil"/>
        </w:rPr>
        <w:t xml:space="preserve">esponses - </w:t>
      </w:r>
      <w:r w:rsidR="00677C53">
        <w:rPr>
          <w:bdr w:val="nil"/>
        </w:rPr>
        <w:t>t</w:t>
      </w:r>
      <w:r w:rsidR="00CC351F" w:rsidRPr="00CC351F">
        <w:rPr>
          <w:bdr w:val="nil"/>
        </w:rPr>
        <w:t xml:space="preserve">est, </w:t>
      </w:r>
      <w:r w:rsidR="00677C53">
        <w:rPr>
          <w:bdr w:val="nil"/>
        </w:rPr>
        <w:t>t</w:t>
      </w:r>
      <w:r w:rsidR="00CC351F" w:rsidRPr="00CC351F">
        <w:rPr>
          <w:bdr w:val="nil"/>
        </w:rPr>
        <w:t xml:space="preserve">race, </w:t>
      </w:r>
      <w:r w:rsidR="00677C53">
        <w:rPr>
          <w:bdr w:val="nil"/>
        </w:rPr>
        <w:t>i</w:t>
      </w:r>
      <w:r w:rsidR="00CC351F" w:rsidRPr="00CC351F">
        <w:rPr>
          <w:bdr w:val="nil"/>
        </w:rPr>
        <w:t xml:space="preserve">solate and </w:t>
      </w:r>
      <w:r w:rsidR="00677C53">
        <w:rPr>
          <w:bdr w:val="nil"/>
        </w:rPr>
        <w:t>q</w:t>
      </w:r>
      <w:r w:rsidR="00CC351F" w:rsidRPr="00CC351F">
        <w:rPr>
          <w:bdr w:val="nil"/>
        </w:rPr>
        <w:t>uarantine (TTIQ)</w:t>
      </w:r>
      <w:r w:rsidR="00CC351F">
        <w:rPr>
          <w:bdr w:val="nil"/>
        </w:rPr>
        <w:t>;</w:t>
      </w:r>
      <w:r w:rsidR="00CC351F" w:rsidRPr="00CC351F">
        <w:rPr>
          <w:bdr w:val="nil"/>
        </w:rPr>
        <w:t xml:space="preserve"> </w:t>
      </w:r>
    </w:p>
    <w:p w14:paraId="11B38D91" w14:textId="33A92D4F" w:rsidR="00CC351F" w:rsidRPr="00CC351F" w:rsidRDefault="005F24C2" w:rsidP="00CC351F">
      <w:pPr>
        <w:pStyle w:val="BSbullet1"/>
        <w:numPr>
          <w:ilvl w:val="0"/>
          <w:numId w:val="3"/>
        </w:numPr>
        <w:pBdr>
          <w:top w:val="nil"/>
          <w:left w:val="nil"/>
          <w:bottom w:val="nil"/>
          <w:right w:val="nil"/>
          <w:between w:val="nil"/>
          <w:bar w:val="nil"/>
        </w:pBdr>
        <w:jc w:val="both"/>
        <w:rPr>
          <w:bdr w:val="nil"/>
        </w:rPr>
      </w:pPr>
      <w:r>
        <w:rPr>
          <w:bdr w:val="nil"/>
        </w:rPr>
        <w:t>p</w:t>
      </w:r>
      <w:r w:rsidR="00CC351F" w:rsidRPr="00CC351F">
        <w:rPr>
          <w:bdr w:val="nil"/>
        </w:rPr>
        <w:t xml:space="preserve">ublic </w:t>
      </w:r>
      <w:r w:rsidR="00677C53">
        <w:rPr>
          <w:bdr w:val="nil"/>
        </w:rPr>
        <w:t>h</w:t>
      </w:r>
      <w:r w:rsidR="00CC351F" w:rsidRPr="00CC351F">
        <w:rPr>
          <w:bdr w:val="nil"/>
        </w:rPr>
        <w:t xml:space="preserve">ealth </w:t>
      </w:r>
      <w:r w:rsidR="00677C53">
        <w:rPr>
          <w:bdr w:val="nil"/>
        </w:rPr>
        <w:t>s</w:t>
      </w:r>
      <w:r w:rsidR="00CC351F" w:rsidRPr="00CC351F">
        <w:rPr>
          <w:bdr w:val="nil"/>
        </w:rPr>
        <w:t xml:space="preserve">ocial </w:t>
      </w:r>
      <w:r w:rsidR="00677C53">
        <w:rPr>
          <w:bdr w:val="nil"/>
        </w:rPr>
        <w:t>m</w:t>
      </w:r>
      <w:r w:rsidR="00CC351F" w:rsidRPr="00CC351F">
        <w:rPr>
          <w:bdr w:val="nil"/>
        </w:rPr>
        <w:t>easures (public health restrictions)</w:t>
      </w:r>
      <w:r w:rsidR="00CC351F">
        <w:rPr>
          <w:bdr w:val="nil"/>
        </w:rPr>
        <w:t>;</w:t>
      </w:r>
    </w:p>
    <w:p w14:paraId="304AB04B" w14:textId="71AF9802" w:rsidR="00CC351F" w:rsidRPr="00CC351F" w:rsidRDefault="005F24C2" w:rsidP="00CC351F">
      <w:pPr>
        <w:pStyle w:val="BSbullet1"/>
        <w:numPr>
          <w:ilvl w:val="0"/>
          <w:numId w:val="3"/>
        </w:numPr>
        <w:pBdr>
          <w:top w:val="nil"/>
          <w:left w:val="nil"/>
          <w:bottom w:val="nil"/>
          <w:right w:val="nil"/>
          <w:between w:val="nil"/>
          <w:bar w:val="nil"/>
        </w:pBdr>
        <w:jc w:val="both"/>
        <w:rPr>
          <w:bdr w:val="nil"/>
        </w:rPr>
      </w:pPr>
      <w:r>
        <w:rPr>
          <w:bdr w:val="nil"/>
        </w:rPr>
        <w:t>h</w:t>
      </w:r>
      <w:r w:rsidR="00CC351F" w:rsidRPr="00CC351F">
        <w:rPr>
          <w:bdr w:val="nil"/>
        </w:rPr>
        <w:t>ealth system capacity, including the impact of COVID-19 in regional NSW</w:t>
      </w:r>
      <w:r w:rsidR="00CC351F">
        <w:rPr>
          <w:bdr w:val="nil"/>
        </w:rPr>
        <w:t>;</w:t>
      </w:r>
      <w:r w:rsidR="00CC351F" w:rsidRPr="00CC351F">
        <w:rPr>
          <w:bdr w:val="nil"/>
        </w:rPr>
        <w:t xml:space="preserve"> </w:t>
      </w:r>
    </w:p>
    <w:p w14:paraId="3C5A0510" w14:textId="33F96BF0" w:rsidR="00CC351F" w:rsidRPr="00CC351F" w:rsidRDefault="005F24C2" w:rsidP="00CC351F">
      <w:pPr>
        <w:pStyle w:val="BSbullet1"/>
        <w:numPr>
          <w:ilvl w:val="0"/>
          <w:numId w:val="3"/>
        </w:numPr>
        <w:pBdr>
          <w:top w:val="nil"/>
          <w:left w:val="nil"/>
          <w:bottom w:val="nil"/>
          <w:right w:val="nil"/>
          <w:between w:val="nil"/>
          <w:bar w:val="nil"/>
        </w:pBdr>
        <w:jc w:val="both"/>
        <w:rPr>
          <w:bdr w:val="nil"/>
        </w:rPr>
      </w:pPr>
      <w:r>
        <w:rPr>
          <w:bdr w:val="nil"/>
        </w:rPr>
        <w:t>a</w:t>
      </w:r>
      <w:r w:rsidR="00CC351F" w:rsidRPr="00CC351F">
        <w:rPr>
          <w:bdr w:val="nil"/>
        </w:rPr>
        <w:t>chieving and maintaining high vaccination rates, including in vulnerable and high risk groups</w:t>
      </w:r>
      <w:r w:rsidR="00CC351F">
        <w:rPr>
          <w:bdr w:val="nil"/>
        </w:rPr>
        <w:t>;</w:t>
      </w:r>
    </w:p>
    <w:p w14:paraId="64810C27" w14:textId="03224887" w:rsidR="00CC351F" w:rsidRPr="00CC351F" w:rsidRDefault="005F24C2" w:rsidP="00CC351F">
      <w:pPr>
        <w:pStyle w:val="BSbullet1"/>
        <w:numPr>
          <w:ilvl w:val="0"/>
          <w:numId w:val="3"/>
        </w:numPr>
        <w:pBdr>
          <w:top w:val="nil"/>
          <w:left w:val="nil"/>
          <w:bottom w:val="nil"/>
          <w:right w:val="nil"/>
          <w:between w:val="nil"/>
          <w:bar w:val="nil"/>
        </w:pBdr>
        <w:jc w:val="both"/>
        <w:rPr>
          <w:bdr w:val="nil"/>
        </w:rPr>
      </w:pPr>
      <w:r>
        <w:rPr>
          <w:bdr w:val="nil"/>
        </w:rPr>
        <w:t>c</w:t>
      </w:r>
      <w:r w:rsidR="00CC351F" w:rsidRPr="00CC351F">
        <w:rPr>
          <w:bdr w:val="nil"/>
        </w:rPr>
        <w:t>ompliance activities</w:t>
      </w:r>
      <w:r w:rsidR="00CC351F">
        <w:rPr>
          <w:bdr w:val="nil"/>
        </w:rPr>
        <w:t>; and</w:t>
      </w:r>
    </w:p>
    <w:p w14:paraId="56AC38C8" w14:textId="57FF03A8" w:rsidR="00CC351F" w:rsidRDefault="005F24C2" w:rsidP="00CC351F">
      <w:pPr>
        <w:pStyle w:val="BSbullet1"/>
        <w:numPr>
          <w:ilvl w:val="0"/>
          <w:numId w:val="3"/>
        </w:numPr>
        <w:pBdr>
          <w:top w:val="nil"/>
          <w:left w:val="nil"/>
          <w:bottom w:val="nil"/>
          <w:right w:val="nil"/>
          <w:between w:val="nil"/>
          <w:bar w:val="nil"/>
        </w:pBdr>
        <w:jc w:val="both"/>
        <w:rPr>
          <w:bdr w:val="nil"/>
        </w:rPr>
      </w:pPr>
      <w:r>
        <w:rPr>
          <w:bdr w:val="nil"/>
        </w:rPr>
        <w:t>m</w:t>
      </w:r>
      <w:r w:rsidR="00CC351F" w:rsidRPr="00CC351F">
        <w:rPr>
          <w:bdr w:val="nil"/>
        </w:rPr>
        <w:t>ental health support measures</w:t>
      </w:r>
      <w:r w:rsidR="00CC351F">
        <w:rPr>
          <w:bdr w:val="nil"/>
        </w:rPr>
        <w:t>.</w:t>
      </w:r>
    </w:p>
    <w:p w14:paraId="639ABBAB" w14:textId="77777777" w:rsidR="001F6B18" w:rsidRDefault="0027723F" w:rsidP="001F6B18">
      <w:pPr>
        <w:pBdr>
          <w:top w:val="nil"/>
          <w:left w:val="nil"/>
          <w:bottom w:val="nil"/>
          <w:right w:val="nil"/>
          <w:between w:val="nil"/>
          <w:bar w:val="nil"/>
        </w:pBdr>
        <w:jc w:val="both"/>
        <w:rPr>
          <w:rFonts w:cs="Calibri"/>
          <w:szCs w:val="24"/>
          <w:bdr w:val="nil"/>
        </w:rPr>
      </w:pPr>
      <w:r>
        <w:rPr>
          <w:rFonts w:cs="Calibri"/>
          <w:szCs w:val="24"/>
          <w:bdr w:val="nil"/>
        </w:rPr>
        <w:t xml:space="preserve">The Directorate will continue focus and investment into key infrastructure projects for ACT health facilities, to ensure our health system meets the growing need of our city.  This includes the continuation of planning and design works for a new northside hospital, which will bring modern hospital services closer to the growing and ageing northside population.  </w:t>
      </w:r>
    </w:p>
    <w:p w14:paraId="421E7FD1" w14:textId="77777777" w:rsidR="001F6B18" w:rsidRDefault="0027723F" w:rsidP="001F6B18">
      <w:pPr>
        <w:pBdr>
          <w:top w:val="nil"/>
          <w:left w:val="nil"/>
          <w:bottom w:val="nil"/>
          <w:right w:val="nil"/>
          <w:between w:val="nil"/>
          <w:bar w:val="nil"/>
        </w:pBdr>
        <w:spacing w:before="240" w:after="0"/>
        <w:jc w:val="both"/>
        <w:rPr>
          <w:rFonts w:cs="Calibri"/>
          <w:szCs w:val="24"/>
          <w:bdr w:val="nil"/>
        </w:rPr>
      </w:pPr>
      <w:r>
        <w:rPr>
          <w:rFonts w:cs="Calibri"/>
          <w:szCs w:val="24"/>
          <w:bdr w:val="nil"/>
        </w:rPr>
        <w:t xml:space="preserve">As part of planning for the new Northside Hospital, the Directorate will invest in the delivery of essential infrastructure upgrades at Calvary Public Hospital Bruce, to ensure the continued provision for safe and effective service for patients and staff. </w:t>
      </w:r>
    </w:p>
    <w:p w14:paraId="271A3B0F" w14:textId="43D2C657" w:rsidR="001F6B18" w:rsidRDefault="0027723F" w:rsidP="001F6B18">
      <w:pPr>
        <w:pBdr>
          <w:top w:val="nil"/>
          <w:left w:val="nil"/>
          <w:bottom w:val="nil"/>
          <w:right w:val="nil"/>
          <w:between w:val="nil"/>
          <w:bar w:val="nil"/>
        </w:pBdr>
        <w:spacing w:before="240" w:after="60"/>
        <w:jc w:val="both"/>
        <w:rPr>
          <w:szCs w:val="24"/>
          <w:bdr w:val="nil"/>
        </w:rPr>
      </w:pPr>
      <w:r>
        <w:rPr>
          <w:szCs w:val="24"/>
          <w:bdr w:val="nil"/>
        </w:rPr>
        <w:t xml:space="preserve">The Directorate is committed </w:t>
      </w:r>
      <w:r w:rsidR="001D151F">
        <w:rPr>
          <w:szCs w:val="24"/>
          <w:bdr w:val="nil"/>
        </w:rPr>
        <w:t>to</w:t>
      </w:r>
      <w:r>
        <w:rPr>
          <w:szCs w:val="24"/>
          <w:bdr w:val="nil"/>
        </w:rPr>
        <w:t xml:space="preserve"> the delivery of the Canberra Hospital Master Plan and will commence early works</w:t>
      </w:r>
      <w:r w:rsidR="00BF3AFE">
        <w:rPr>
          <w:szCs w:val="24"/>
          <w:bdr w:val="nil"/>
        </w:rPr>
        <w:t xml:space="preserve"> for a new multi-storey carpark at the Canberra Hospital</w:t>
      </w:r>
      <w:r>
        <w:rPr>
          <w:szCs w:val="24"/>
          <w:bdr w:val="nil"/>
        </w:rPr>
        <w:t>.  The Master Plan will deliver major expansion of the Canberra Hospital, which will deliver significant healthcare infrastructure, including new emergency, surgical and critical care facilities.</w:t>
      </w:r>
    </w:p>
    <w:p w14:paraId="345888E4" w14:textId="281B606A" w:rsidR="001F6B18" w:rsidRDefault="0027723F" w:rsidP="001F6B18">
      <w:pPr>
        <w:pBdr>
          <w:top w:val="nil"/>
          <w:left w:val="nil"/>
          <w:bottom w:val="nil"/>
          <w:right w:val="nil"/>
          <w:between w:val="nil"/>
          <w:bar w:val="nil"/>
        </w:pBdr>
        <w:spacing w:before="240"/>
        <w:jc w:val="both"/>
        <w:rPr>
          <w:szCs w:val="24"/>
          <w:bdr w:val="nil"/>
        </w:rPr>
      </w:pPr>
      <w:r>
        <w:rPr>
          <w:szCs w:val="24"/>
          <w:bdr w:val="nil"/>
        </w:rPr>
        <w:t>To improve health services in our system, the Directorate will deliver a range of new health service initiatives, implement new health policy, design and develop new health systems across a broad range of services, address specific unmet health care needs, improve mental health services and provide investment in harm minimisation from drug and alcohol.  This will be achieved by:</w:t>
      </w:r>
      <w:bookmarkEnd w:id="5"/>
    </w:p>
    <w:p w14:paraId="43884F85" w14:textId="6EB08839" w:rsidR="001F6B18" w:rsidRPr="000C26FB" w:rsidRDefault="001D151F" w:rsidP="000C26FB">
      <w:pPr>
        <w:pStyle w:val="BSbullet1"/>
        <w:numPr>
          <w:ilvl w:val="0"/>
          <w:numId w:val="3"/>
        </w:numPr>
        <w:pBdr>
          <w:top w:val="nil"/>
          <w:left w:val="nil"/>
          <w:bottom w:val="nil"/>
          <w:right w:val="nil"/>
          <w:between w:val="nil"/>
          <w:bar w:val="nil"/>
        </w:pBdr>
        <w:jc w:val="both"/>
        <w:rPr>
          <w:bdr w:val="nil"/>
        </w:rPr>
      </w:pPr>
      <w:r>
        <w:rPr>
          <w:bdr w:val="nil"/>
        </w:rPr>
        <w:t>d</w:t>
      </w:r>
      <w:r w:rsidR="0027723F" w:rsidRPr="000C26FB">
        <w:rPr>
          <w:bdr w:val="nil"/>
        </w:rPr>
        <w:t xml:space="preserve">elivering more timely, supportive, and accessible mental health programs for people in the ACT, targeting early intervention to provide better health outcomes.  A key focus will be meeting the </w:t>
      </w:r>
      <w:r w:rsidR="00BF3AFE">
        <w:rPr>
          <w:bdr w:val="nil"/>
        </w:rPr>
        <w:t>h</w:t>
      </w:r>
      <w:r w:rsidR="0027723F" w:rsidRPr="000C26FB">
        <w:rPr>
          <w:bdr w:val="nil"/>
        </w:rPr>
        <w:t xml:space="preserve">ealth </w:t>
      </w:r>
      <w:r>
        <w:rPr>
          <w:bdr w:val="nil"/>
        </w:rPr>
        <w:t>n</w:t>
      </w:r>
      <w:r w:rsidR="0027723F" w:rsidRPr="000C26FB">
        <w:rPr>
          <w:bdr w:val="nil"/>
        </w:rPr>
        <w:t xml:space="preserve">eeds of Aboriginal and Torres Strait Islander people, through the establishment of a culturally appropriate </w:t>
      </w:r>
      <w:r w:rsidR="00BF3AFE">
        <w:rPr>
          <w:bdr w:val="nil"/>
        </w:rPr>
        <w:t>s</w:t>
      </w:r>
      <w:r w:rsidR="0027723F" w:rsidRPr="000C26FB">
        <w:rPr>
          <w:bdr w:val="nil"/>
        </w:rPr>
        <w:t xml:space="preserve">uicide </w:t>
      </w:r>
      <w:r w:rsidR="00BF3AFE">
        <w:rPr>
          <w:bdr w:val="nil"/>
        </w:rPr>
        <w:t>p</w:t>
      </w:r>
      <w:r w:rsidR="0027723F" w:rsidRPr="000C26FB">
        <w:rPr>
          <w:bdr w:val="nil"/>
        </w:rPr>
        <w:t xml:space="preserve">revention </w:t>
      </w:r>
      <w:r w:rsidR="00BF3AFE">
        <w:rPr>
          <w:bdr w:val="nil"/>
        </w:rPr>
        <w:t>s</w:t>
      </w:r>
      <w:r w:rsidR="0027723F" w:rsidRPr="000C26FB">
        <w:rPr>
          <w:bdr w:val="nil"/>
        </w:rPr>
        <w:t xml:space="preserve">ervice, support for the continued delivery of the Detention Exit Community Outreach program and meeting the </w:t>
      </w:r>
      <w:r w:rsidR="0027723F" w:rsidRPr="000C26FB">
        <w:rPr>
          <w:bdr w:val="nil"/>
        </w:rPr>
        <w:lastRenderedPageBreak/>
        <w:t>needs of Aboriginal and Torres Strait Islander detainees at the Alexander Machonchie Centre (AMC), through the Winnunga Model of Care;</w:t>
      </w:r>
    </w:p>
    <w:p w14:paraId="7BC8D819" w14:textId="47F8987E" w:rsidR="000C26FB" w:rsidRDefault="001D151F" w:rsidP="000C26FB">
      <w:pPr>
        <w:pStyle w:val="BSbullet1"/>
        <w:numPr>
          <w:ilvl w:val="0"/>
          <w:numId w:val="3"/>
        </w:numPr>
        <w:pBdr>
          <w:top w:val="nil"/>
          <w:left w:val="nil"/>
          <w:bottom w:val="nil"/>
          <w:right w:val="nil"/>
          <w:between w:val="nil"/>
          <w:bar w:val="nil"/>
        </w:pBdr>
        <w:jc w:val="both"/>
        <w:rPr>
          <w:bdr w:val="nil"/>
        </w:rPr>
      </w:pPr>
      <w:r>
        <w:rPr>
          <w:bdr w:val="nil"/>
        </w:rPr>
        <w:t>i</w:t>
      </w:r>
      <w:r w:rsidR="0027723F" w:rsidRPr="00EB2A31">
        <w:rPr>
          <w:bdr w:val="nil"/>
        </w:rPr>
        <w:t>nvestment in evidence-based harm minimisation responses to illicit drugs through programs for harm reduction approaches to drug use and dependence</w:t>
      </w:r>
      <w:r w:rsidR="0027723F">
        <w:rPr>
          <w:bdr w:val="nil"/>
        </w:rPr>
        <w:t xml:space="preserve"> </w:t>
      </w:r>
      <w:r w:rsidR="0027723F" w:rsidRPr="00EB2A31">
        <w:rPr>
          <w:bdr w:val="nil"/>
        </w:rPr>
        <w:t>to reduce health, social and economic harms resulting from drug</w:t>
      </w:r>
      <w:r w:rsidR="0027723F" w:rsidRPr="000C26FB">
        <w:rPr>
          <w:bdr w:val="nil"/>
        </w:rPr>
        <w:t xml:space="preserve"> use.  Investment will include a fixed-site pill testing service;</w:t>
      </w:r>
    </w:p>
    <w:p w14:paraId="5C0AF52F" w14:textId="52BC3039" w:rsidR="000C26FB" w:rsidRDefault="001D151F" w:rsidP="000C26FB">
      <w:pPr>
        <w:pStyle w:val="BSbullet1"/>
        <w:numPr>
          <w:ilvl w:val="0"/>
          <w:numId w:val="3"/>
        </w:numPr>
        <w:pBdr>
          <w:top w:val="nil"/>
          <w:left w:val="nil"/>
          <w:bottom w:val="nil"/>
          <w:right w:val="nil"/>
          <w:between w:val="nil"/>
          <w:bar w:val="nil"/>
        </w:pBdr>
        <w:jc w:val="both"/>
        <w:rPr>
          <w:bdr w:val="nil"/>
        </w:rPr>
      </w:pPr>
      <w:r>
        <w:rPr>
          <w:bdr w:val="nil"/>
        </w:rPr>
        <w:t>p</w:t>
      </w:r>
      <w:r w:rsidR="0027723F" w:rsidRPr="000C26FB">
        <w:rPr>
          <w:bdr w:val="nil"/>
        </w:rPr>
        <w:t xml:space="preserve">roviding services within the Drug and Alcohol Court (DAC) program, a specialised criminal justice response to alcohol and drug related crime in the ACT. We will also </w:t>
      </w:r>
      <w:r w:rsidR="0027723F">
        <w:rPr>
          <w:bdr w:val="nil"/>
        </w:rPr>
        <w:t>partner with Winnunga Nimmityjah, to commence early planning and design for an Aboriginal and Torres Strait Islander residential alcohol and drug rehabilitation facility for the replacement of existing facilities;</w:t>
      </w:r>
    </w:p>
    <w:p w14:paraId="4EB81410" w14:textId="4A0F32AE" w:rsidR="001F6B18" w:rsidRPr="000C26FB" w:rsidRDefault="001D151F" w:rsidP="000C26FB">
      <w:pPr>
        <w:pStyle w:val="BSbullet1"/>
        <w:numPr>
          <w:ilvl w:val="0"/>
          <w:numId w:val="3"/>
        </w:numPr>
        <w:pBdr>
          <w:top w:val="nil"/>
          <w:left w:val="nil"/>
          <w:bottom w:val="nil"/>
          <w:right w:val="nil"/>
          <w:between w:val="nil"/>
          <w:bar w:val="nil"/>
        </w:pBdr>
        <w:jc w:val="both"/>
        <w:rPr>
          <w:bdr w:val="nil"/>
        </w:rPr>
      </w:pPr>
      <w:r>
        <w:rPr>
          <w:bdr w:val="nil"/>
        </w:rPr>
        <w:t>a</w:t>
      </w:r>
      <w:r w:rsidR="0027723F" w:rsidRPr="000C26FB">
        <w:rPr>
          <w:bdr w:val="nil"/>
        </w:rPr>
        <w:t>ddressing specific unmet health needs in the community, including support for a Community Health run program, for the provision of sexual health education, information, and support for people with disabilities;</w:t>
      </w:r>
    </w:p>
    <w:p w14:paraId="06E690D8" w14:textId="6CAECE94" w:rsidR="001F6B18" w:rsidRPr="000C26FB" w:rsidRDefault="001D151F" w:rsidP="000C26FB">
      <w:pPr>
        <w:pStyle w:val="BSbullet1"/>
        <w:numPr>
          <w:ilvl w:val="0"/>
          <w:numId w:val="3"/>
        </w:numPr>
        <w:pBdr>
          <w:top w:val="nil"/>
          <w:left w:val="nil"/>
          <w:bottom w:val="nil"/>
          <w:right w:val="nil"/>
          <w:between w:val="nil"/>
          <w:bar w:val="nil"/>
        </w:pBdr>
        <w:jc w:val="both"/>
        <w:rPr>
          <w:bdr w:val="nil"/>
        </w:rPr>
      </w:pPr>
      <w:r>
        <w:rPr>
          <w:bdr w:val="nil"/>
        </w:rPr>
        <w:t>l</w:t>
      </w:r>
      <w:r w:rsidR="0027723F" w:rsidRPr="000C26FB">
        <w:rPr>
          <w:bdr w:val="nil"/>
        </w:rPr>
        <w:t>eading the development of a co-design gender-focused peer-led health service with Non-Government Organisations and LGBTIQ+ stakeholders, and develop an implementation plan for the LGBTIQ+ Health Scoping Study to address health care concerns;</w:t>
      </w:r>
    </w:p>
    <w:p w14:paraId="564F5894" w14:textId="5B783982" w:rsidR="001F6B18" w:rsidRPr="000C26FB" w:rsidRDefault="001D151F" w:rsidP="000C26FB">
      <w:pPr>
        <w:pStyle w:val="BSbullet1"/>
        <w:numPr>
          <w:ilvl w:val="0"/>
          <w:numId w:val="3"/>
        </w:numPr>
        <w:pBdr>
          <w:top w:val="nil"/>
          <w:left w:val="nil"/>
          <w:bottom w:val="nil"/>
          <w:right w:val="nil"/>
          <w:between w:val="nil"/>
          <w:bar w:val="nil"/>
        </w:pBdr>
        <w:jc w:val="both"/>
        <w:rPr>
          <w:bdr w:val="nil"/>
        </w:rPr>
      </w:pPr>
      <w:r>
        <w:rPr>
          <w:bdr w:val="nil"/>
        </w:rPr>
        <w:t>s</w:t>
      </w:r>
      <w:r w:rsidR="0027723F" w:rsidRPr="000C26FB">
        <w:rPr>
          <w:bdr w:val="nil"/>
        </w:rPr>
        <w:t xml:space="preserve">upporting the implementation of the ‘Ratios Framework’ with </w:t>
      </w:r>
      <w:r w:rsidR="009D797A">
        <w:rPr>
          <w:bdr w:val="nil"/>
        </w:rPr>
        <w:t xml:space="preserve">the </w:t>
      </w:r>
      <w:r w:rsidR="0027723F" w:rsidRPr="000C26FB">
        <w:rPr>
          <w:bdr w:val="nil"/>
        </w:rPr>
        <w:t xml:space="preserve">first stage </w:t>
      </w:r>
      <w:r>
        <w:rPr>
          <w:bdr w:val="nil"/>
        </w:rPr>
        <w:t>of</w:t>
      </w:r>
      <w:r w:rsidR="0027723F" w:rsidRPr="000C26FB">
        <w:rPr>
          <w:bdr w:val="nil"/>
        </w:rPr>
        <w:t xml:space="preserve"> the introduction of nursing and midwifery ratios at Canberra Health Services and Calvary Public Hospital Bruce;</w:t>
      </w:r>
    </w:p>
    <w:p w14:paraId="3D0602C1" w14:textId="4B988A5F" w:rsidR="001F6B18" w:rsidRDefault="001D151F" w:rsidP="000C26FB">
      <w:pPr>
        <w:pStyle w:val="BSbullet1"/>
        <w:numPr>
          <w:ilvl w:val="0"/>
          <w:numId w:val="3"/>
        </w:numPr>
        <w:pBdr>
          <w:top w:val="nil"/>
          <w:left w:val="nil"/>
          <w:bottom w:val="nil"/>
          <w:right w:val="nil"/>
          <w:between w:val="nil"/>
          <w:bar w:val="nil"/>
        </w:pBdr>
        <w:jc w:val="both"/>
        <w:rPr>
          <w:bdr w:val="nil"/>
        </w:rPr>
      </w:pPr>
      <w:r>
        <w:rPr>
          <w:bdr w:val="nil"/>
        </w:rPr>
        <w:t>i</w:t>
      </w:r>
      <w:r w:rsidR="0027723F" w:rsidRPr="000C26FB">
        <w:rPr>
          <w:bdr w:val="nil"/>
        </w:rPr>
        <w:t xml:space="preserve">mplementing a new model of patient navigation to better coordinate care across the health system for people with chronic and complex conditions including a </w:t>
      </w:r>
      <w:r w:rsidR="00BF3AFE">
        <w:rPr>
          <w:bdr w:val="nil"/>
        </w:rPr>
        <w:t>p</w:t>
      </w:r>
      <w:r w:rsidR="0027723F" w:rsidRPr="000C26FB">
        <w:rPr>
          <w:bdr w:val="nil"/>
        </w:rPr>
        <w:t xml:space="preserve">aediatric </w:t>
      </w:r>
      <w:r w:rsidR="00BF3AFE">
        <w:rPr>
          <w:bdr w:val="nil"/>
        </w:rPr>
        <w:t>n</w:t>
      </w:r>
      <w:r w:rsidR="0027723F" w:rsidRPr="000C26FB">
        <w:rPr>
          <w:bdr w:val="nil"/>
        </w:rPr>
        <w:t xml:space="preserve">urse </w:t>
      </w:r>
      <w:r w:rsidR="00BF3AFE">
        <w:rPr>
          <w:bdr w:val="nil"/>
        </w:rPr>
        <w:t>l</w:t>
      </w:r>
      <w:r w:rsidR="0027723F" w:rsidRPr="000C26FB">
        <w:rPr>
          <w:bdr w:val="nil"/>
        </w:rPr>
        <w:t xml:space="preserve">iaison </w:t>
      </w:r>
      <w:r w:rsidR="00BF3AFE">
        <w:rPr>
          <w:bdr w:val="nil"/>
        </w:rPr>
        <w:t>s</w:t>
      </w:r>
      <w:r w:rsidR="0027723F" w:rsidRPr="000C26FB">
        <w:rPr>
          <w:bdr w:val="nil"/>
        </w:rPr>
        <w:t>ervice</w:t>
      </w:r>
      <w:r w:rsidR="0027723F">
        <w:rPr>
          <w:bdr w:val="nil"/>
        </w:rPr>
        <w:t>; and</w:t>
      </w:r>
    </w:p>
    <w:p w14:paraId="2AA4698D" w14:textId="6E180403" w:rsidR="001F6B18" w:rsidRDefault="001D151F" w:rsidP="000C26FB">
      <w:pPr>
        <w:pStyle w:val="BSbullet1"/>
        <w:numPr>
          <w:ilvl w:val="0"/>
          <w:numId w:val="3"/>
        </w:numPr>
        <w:pBdr>
          <w:top w:val="nil"/>
          <w:left w:val="nil"/>
          <w:bottom w:val="nil"/>
          <w:right w:val="nil"/>
          <w:between w:val="nil"/>
          <w:bar w:val="nil"/>
        </w:pBdr>
        <w:jc w:val="both"/>
        <w:rPr>
          <w:bdr w:val="nil"/>
        </w:rPr>
      </w:pPr>
      <w:r>
        <w:rPr>
          <w:bdr w:val="nil"/>
        </w:rPr>
        <w:t>p</w:t>
      </w:r>
      <w:r w:rsidR="0027723F">
        <w:rPr>
          <w:bdr w:val="nil"/>
        </w:rPr>
        <w:t xml:space="preserve">rogressing the design of an </w:t>
      </w:r>
      <w:r w:rsidR="00BF3AFE">
        <w:rPr>
          <w:bdr w:val="nil"/>
        </w:rPr>
        <w:t>a</w:t>
      </w:r>
      <w:r w:rsidR="0027723F">
        <w:rPr>
          <w:bdr w:val="nil"/>
        </w:rPr>
        <w:t xml:space="preserve">ctivity </w:t>
      </w:r>
      <w:r w:rsidR="00BF3AFE">
        <w:rPr>
          <w:bdr w:val="nil"/>
        </w:rPr>
        <w:t>b</w:t>
      </w:r>
      <w:r w:rsidR="0027723F">
        <w:rPr>
          <w:bdr w:val="nil"/>
        </w:rPr>
        <w:t xml:space="preserve">ased </w:t>
      </w:r>
      <w:r w:rsidR="00BF3AFE">
        <w:rPr>
          <w:bdr w:val="nil"/>
        </w:rPr>
        <w:t>m</w:t>
      </w:r>
      <w:r w:rsidR="0027723F">
        <w:rPr>
          <w:bdr w:val="nil"/>
        </w:rPr>
        <w:t>anagement system tailored to the needs of the ACT public health system to assist our capacity to respond to increasing demand for health services.</w:t>
      </w:r>
    </w:p>
    <w:p w14:paraId="00720BFC" w14:textId="77777777" w:rsidR="001F6B18" w:rsidRDefault="0027723F" w:rsidP="001F6B18">
      <w:pPr>
        <w:pStyle w:val="Heading2"/>
        <w:pBdr>
          <w:top w:val="nil"/>
          <w:left w:val="nil"/>
          <w:bottom w:val="nil"/>
          <w:right w:val="nil"/>
          <w:between w:val="nil"/>
          <w:bar w:val="nil"/>
        </w:pBdr>
        <w:rPr>
          <w:bdr w:val="nil"/>
        </w:rPr>
      </w:pPr>
      <w:bookmarkStart w:id="6" w:name="_Toc452467797"/>
      <w:bookmarkStart w:id="7" w:name="_Toc451895559"/>
      <w:bookmarkStart w:id="8" w:name="_Toc83910738"/>
      <w:r>
        <w:rPr>
          <w:bdr w:val="nil"/>
        </w:rPr>
        <w:t>Estimated Employment Level</w:t>
      </w:r>
      <w:bookmarkEnd w:id="6"/>
      <w:bookmarkEnd w:id="7"/>
      <w:bookmarkEnd w:id="8"/>
    </w:p>
    <w:p w14:paraId="32427A25" w14:textId="0F9A1721" w:rsidR="001F6B18" w:rsidRDefault="0027723F" w:rsidP="001F6B18">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BE0DA5">
        <w:rPr>
          <w:noProof/>
          <w:bdr w:val="nil"/>
        </w:rPr>
        <w:t>1</w:t>
      </w:r>
      <w:r>
        <w:rPr>
          <w:noProof/>
          <w:bdr w:val="nil"/>
        </w:rPr>
        <w:fldChar w:fldCharType="end"/>
      </w:r>
      <w:r>
        <w:rPr>
          <w:bdr w:val="nil"/>
        </w:rPr>
        <w:t>: Estimated Employment Level</w:t>
      </w:r>
    </w:p>
    <w:tbl>
      <w:tblPr>
        <w:tblW w:w="8997" w:type="dxa"/>
        <w:tblInd w:w="108" w:type="dxa"/>
        <w:tblBorders>
          <w:top w:val="single" w:sz="8" w:space="0" w:color="000000"/>
          <w:bottom w:val="single" w:sz="8" w:space="0" w:color="000000"/>
          <w:insideH w:val="single" w:sz="8" w:space="0" w:color="000000"/>
        </w:tblBorders>
        <w:tblLayout w:type="fixed"/>
        <w:tblLook w:val="04A0" w:firstRow="1" w:lastRow="0" w:firstColumn="1" w:lastColumn="0" w:noHBand="0" w:noVBand="1"/>
      </w:tblPr>
      <w:tblGrid>
        <w:gridCol w:w="2592"/>
        <w:gridCol w:w="1601"/>
        <w:gridCol w:w="1601"/>
        <w:gridCol w:w="1601"/>
        <w:gridCol w:w="1602"/>
      </w:tblGrid>
      <w:tr w:rsidR="00496618" w14:paraId="7882B112" w14:textId="77777777" w:rsidTr="001F6B18">
        <w:trPr>
          <w:trHeight w:val="392"/>
          <w:tblHeader/>
        </w:trPr>
        <w:tc>
          <w:tcPr>
            <w:tcW w:w="2592" w:type="dxa"/>
            <w:vAlign w:val="bottom"/>
          </w:tcPr>
          <w:p w14:paraId="3B54AEBE" w14:textId="77777777" w:rsidR="001F6B18" w:rsidRDefault="001F6B18">
            <w:pPr>
              <w:pStyle w:val="BStabletext"/>
              <w:pBdr>
                <w:top w:val="nil"/>
                <w:left w:val="nil"/>
                <w:bottom w:val="nil"/>
                <w:right w:val="nil"/>
                <w:between w:val="nil"/>
                <w:bar w:val="nil"/>
              </w:pBdr>
              <w:rPr>
                <w:bdr w:val="nil"/>
              </w:rPr>
            </w:pPr>
          </w:p>
        </w:tc>
        <w:tc>
          <w:tcPr>
            <w:tcW w:w="1601" w:type="dxa"/>
            <w:hideMark/>
          </w:tcPr>
          <w:p w14:paraId="3AC07113" w14:textId="77777777" w:rsidR="001F6B18" w:rsidRDefault="0027723F">
            <w:pPr>
              <w:pStyle w:val="BStableheading1"/>
              <w:framePr w:wrap="around"/>
              <w:pBdr>
                <w:top w:val="nil"/>
                <w:left w:val="nil"/>
                <w:bottom w:val="nil"/>
                <w:right w:val="nil"/>
                <w:between w:val="nil"/>
                <w:bar w:val="nil"/>
              </w:pBdr>
              <w:rPr>
                <w:bdr w:val="nil"/>
              </w:rPr>
            </w:pPr>
            <w:r>
              <w:rPr>
                <w:bdr w:val="nil"/>
              </w:rPr>
              <w:t>2019-20</w:t>
            </w:r>
          </w:p>
          <w:p w14:paraId="03BEB0FC" w14:textId="77777777" w:rsidR="001F6B18" w:rsidRDefault="0027723F">
            <w:pPr>
              <w:pStyle w:val="BStableheading1"/>
              <w:framePr w:wrap="around"/>
              <w:pBdr>
                <w:top w:val="nil"/>
                <w:left w:val="nil"/>
                <w:bottom w:val="nil"/>
                <w:right w:val="nil"/>
                <w:between w:val="nil"/>
                <w:bar w:val="nil"/>
              </w:pBdr>
              <w:rPr>
                <w:bdr w:val="nil"/>
              </w:rPr>
            </w:pPr>
            <w:r>
              <w:rPr>
                <w:bdr w:val="nil"/>
              </w:rPr>
              <w:t>Actual</w:t>
            </w:r>
          </w:p>
          <w:p w14:paraId="4598672C" w14:textId="77777777" w:rsidR="001F6B18" w:rsidRDefault="0027723F">
            <w:pPr>
              <w:pStyle w:val="BStableheading1"/>
              <w:framePr w:wrap="around"/>
              <w:pBdr>
                <w:top w:val="nil"/>
                <w:left w:val="nil"/>
                <w:bottom w:val="nil"/>
                <w:right w:val="nil"/>
                <w:between w:val="nil"/>
                <w:bar w:val="nil"/>
              </w:pBdr>
              <w:rPr>
                <w:bdr w:val="nil"/>
              </w:rPr>
            </w:pPr>
            <w:r>
              <w:rPr>
                <w:bdr w:val="nil"/>
              </w:rPr>
              <w:t>Outcome</w:t>
            </w:r>
          </w:p>
        </w:tc>
        <w:tc>
          <w:tcPr>
            <w:tcW w:w="1601" w:type="dxa"/>
            <w:hideMark/>
          </w:tcPr>
          <w:p w14:paraId="02BAE299" w14:textId="77777777" w:rsidR="001F6B18" w:rsidRDefault="0027723F" w:rsidP="001F6B18">
            <w:pPr>
              <w:pStyle w:val="BStableheading1"/>
              <w:framePr w:wrap="auto" w:vAnchor="margin" w:yAlign="inline"/>
              <w:pBdr>
                <w:top w:val="nil"/>
                <w:left w:val="nil"/>
                <w:bottom w:val="nil"/>
                <w:right w:val="nil"/>
                <w:between w:val="nil"/>
                <w:bar w:val="nil"/>
              </w:pBdr>
              <w:rPr>
                <w:bdr w:val="nil"/>
              </w:rPr>
            </w:pPr>
            <w:r>
              <w:rPr>
                <w:bdr w:val="nil"/>
              </w:rPr>
              <w:t>2020-21</w:t>
            </w:r>
          </w:p>
          <w:p w14:paraId="5693B25D" w14:textId="77777777" w:rsidR="001F6B18" w:rsidRDefault="0027723F">
            <w:pPr>
              <w:pStyle w:val="BStableheading1"/>
              <w:framePr w:wrap="around"/>
              <w:pBdr>
                <w:top w:val="nil"/>
                <w:left w:val="nil"/>
                <w:bottom w:val="nil"/>
                <w:right w:val="nil"/>
                <w:between w:val="nil"/>
                <w:bar w:val="nil"/>
              </w:pBdr>
              <w:rPr>
                <w:bdr w:val="nil"/>
              </w:rPr>
            </w:pPr>
            <w:r>
              <w:rPr>
                <w:bdr w:val="nil"/>
              </w:rPr>
              <w:t>Budget</w:t>
            </w:r>
          </w:p>
        </w:tc>
        <w:tc>
          <w:tcPr>
            <w:tcW w:w="1601" w:type="dxa"/>
            <w:hideMark/>
          </w:tcPr>
          <w:p w14:paraId="7B2E8F1F" w14:textId="77777777" w:rsidR="001F6B18" w:rsidRDefault="0027723F">
            <w:pPr>
              <w:pStyle w:val="BStableheading1"/>
              <w:framePr w:wrap="around"/>
              <w:pBdr>
                <w:top w:val="nil"/>
                <w:left w:val="nil"/>
                <w:bottom w:val="nil"/>
                <w:right w:val="nil"/>
                <w:between w:val="nil"/>
                <w:bar w:val="nil"/>
              </w:pBdr>
              <w:rPr>
                <w:bdr w:val="nil"/>
              </w:rPr>
            </w:pPr>
            <w:r>
              <w:rPr>
                <w:bdr w:val="nil"/>
              </w:rPr>
              <w:t>2020-21</w:t>
            </w:r>
          </w:p>
          <w:p w14:paraId="44359A56" w14:textId="77777777" w:rsidR="001F6B18" w:rsidRDefault="0027723F">
            <w:pPr>
              <w:pStyle w:val="BStableheading1"/>
              <w:framePr w:wrap="around"/>
              <w:pBdr>
                <w:top w:val="nil"/>
                <w:left w:val="nil"/>
                <w:bottom w:val="nil"/>
                <w:right w:val="nil"/>
                <w:between w:val="nil"/>
                <w:bar w:val="nil"/>
              </w:pBdr>
              <w:rPr>
                <w:bdr w:val="nil"/>
              </w:rPr>
            </w:pPr>
            <w:r>
              <w:rPr>
                <w:bdr w:val="nil"/>
              </w:rPr>
              <w:t>Interim</w:t>
            </w:r>
          </w:p>
          <w:p w14:paraId="576EBBAB" w14:textId="77777777" w:rsidR="001F6B18" w:rsidRDefault="0027723F">
            <w:pPr>
              <w:pStyle w:val="BStableheading1"/>
              <w:framePr w:wrap="around"/>
              <w:pBdr>
                <w:top w:val="nil"/>
                <w:left w:val="nil"/>
                <w:bottom w:val="nil"/>
                <w:right w:val="nil"/>
                <w:between w:val="nil"/>
                <w:bar w:val="nil"/>
              </w:pBdr>
              <w:rPr>
                <w:bdr w:val="nil"/>
              </w:rPr>
            </w:pPr>
            <w:r>
              <w:rPr>
                <w:bdr w:val="nil"/>
              </w:rPr>
              <w:t>Outcome</w:t>
            </w:r>
          </w:p>
        </w:tc>
        <w:tc>
          <w:tcPr>
            <w:tcW w:w="1602" w:type="dxa"/>
            <w:noWrap/>
            <w:hideMark/>
          </w:tcPr>
          <w:p w14:paraId="4E227493" w14:textId="77777777" w:rsidR="001F6B18" w:rsidRDefault="0027723F">
            <w:pPr>
              <w:pStyle w:val="BStableheading1"/>
              <w:framePr w:wrap="around"/>
              <w:pBdr>
                <w:top w:val="nil"/>
                <w:left w:val="nil"/>
                <w:bottom w:val="nil"/>
                <w:right w:val="nil"/>
                <w:between w:val="nil"/>
                <w:bar w:val="nil"/>
              </w:pBdr>
              <w:rPr>
                <w:bdr w:val="nil"/>
              </w:rPr>
            </w:pPr>
            <w:r>
              <w:rPr>
                <w:bdr w:val="nil"/>
              </w:rPr>
              <w:t>2021-22</w:t>
            </w:r>
          </w:p>
          <w:p w14:paraId="1ADF02FF" w14:textId="77777777" w:rsidR="001F6B18" w:rsidRDefault="0027723F">
            <w:pPr>
              <w:pStyle w:val="BStableheading1"/>
              <w:framePr w:wrap="around"/>
              <w:pBdr>
                <w:top w:val="nil"/>
                <w:left w:val="nil"/>
                <w:bottom w:val="nil"/>
                <w:right w:val="nil"/>
                <w:between w:val="nil"/>
                <w:bar w:val="nil"/>
              </w:pBdr>
              <w:rPr>
                <w:bdr w:val="nil"/>
              </w:rPr>
            </w:pPr>
            <w:r>
              <w:rPr>
                <w:bdr w:val="nil"/>
              </w:rPr>
              <w:t>Budget</w:t>
            </w:r>
            <w:r w:rsidRPr="00507A5C">
              <w:rPr>
                <w:bdr w:val="nil"/>
                <w:vertAlign w:val="superscript"/>
              </w:rPr>
              <w:t>1</w:t>
            </w:r>
          </w:p>
        </w:tc>
      </w:tr>
      <w:tr w:rsidR="00496618" w14:paraId="053124F4" w14:textId="77777777" w:rsidTr="001F6B18">
        <w:trPr>
          <w:trHeight w:val="392"/>
          <w:tblHeader/>
        </w:trPr>
        <w:tc>
          <w:tcPr>
            <w:tcW w:w="2592" w:type="dxa"/>
            <w:vAlign w:val="bottom"/>
          </w:tcPr>
          <w:p w14:paraId="48D007D5" w14:textId="77777777" w:rsidR="001F6B18" w:rsidRPr="00281A6D" w:rsidRDefault="0027723F" w:rsidP="001F6B18">
            <w:pPr>
              <w:pStyle w:val="BStabletext"/>
              <w:pBdr>
                <w:top w:val="nil"/>
                <w:left w:val="nil"/>
                <w:bottom w:val="nil"/>
                <w:right w:val="nil"/>
                <w:between w:val="nil"/>
                <w:bar w:val="nil"/>
              </w:pBdr>
              <w:rPr>
                <w:b/>
                <w:bdr w:val="nil"/>
              </w:rPr>
            </w:pPr>
            <w:r w:rsidRPr="00281A6D">
              <w:rPr>
                <w:rStyle w:val="Strong"/>
                <w:b w:val="0"/>
                <w:bCs/>
                <w:bdr w:val="nil"/>
              </w:rPr>
              <w:t>Staffing (FTE)</w:t>
            </w:r>
          </w:p>
        </w:tc>
        <w:tc>
          <w:tcPr>
            <w:tcW w:w="1601" w:type="dxa"/>
            <w:vAlign w:val="bottom"/>
          </w:tcPr>
          <w:p w14:paraId="6FC95FCD" w14:textId="77777777" w:rsidR="001F6B18" w:rsidRPr="00281A6D" w:rsidRDefault="0027723F" w:rsidP="001F6B18">
            <w:pPr>
              <w:pStyle w:val="BStableheading1"/>
              <w:framePr w:wrap="around"/>
              <w:pBdr>
                <w:top w:val="nil"/>
                <w:left w:val="nil"/>
                <w:bottom w:val="nil"/>
                <w:right w:val="nil"/>
                <w:between w:val="nil"/>
                <w:bar w:val="nil"/>
              </w:pBdr>
              <w:rPr>
                <w:b w:val="0"/>
                <w:bdr w:val="nil"/>
              </w:rPr>
            </w:pPr>
            <w:r>
              <w:rPr>
                <w:b w:val="0"/>
                <w:bdr w:val="nil"/>
              </w:rPr>
              <w:t>613</w:t>
            </w:r>
          </w:p>
        </w:tc>
        <w:tc>
          <w:tcPr>
            <w:tcW w:w="1601" w:type="dxa"/>
            <w:vAlign w:val="bottom"/>
          </w:tcPr>
          <w:p w14:paraId="1B6D2B1E" w14:textId="77777777" w:rsidR="001F6B18" w:rsidRPr="00281A6D" w:rsidRDefault="0027723F" w:rsidP="001F6B18">
            <w:pPr>
              <w:pStyle w:val="BStableheading1"/>
              <w:framePr w:wrap="auto" w:vAnchor="margin" w:yAlign="inline"/>
              <w:pBdr>
                <w:top w:val="nil"/>
                <w:left w:val="nil"/>
                <w:bottom w:val="nil"/>
                <w:right w:val="nil"/>
                <w:between w:val="nil"/>
                <w:bar w:val="nil"/>
              </w:pBdr>
              <w:rPr>
                <w:b w:val="0"/>
                <w:bdr w:val="nil"/>
              </w:rPr>
            </w:pPr>
            <w:r>
              <w:rPr>
                <w:b w:val="0"/>
                <w:bdr w:val="nil"/>
              </w:rPr>
              <w:t>683</w:t>
            </w:r>
          </w:p>
        </w:tc>
        <w:tc>
          <w:tcPr>
            <w:tcW w:w="1601" w:type="dxa"/>
            <w:vAlign w:val="bottom"/>
          </w:tcPr>
          <w:p w14:paraId="461BEA40" w14:textId="77777777" w:rsidR="001F6B18" w:rsidRPr="00281A6D" w:rsidRDefault="0027723F" w:rsidP="001F6B18">
            <w:pPr>
              <w:pStyle w:val="BStableheading1"/>
              <w:framePr w:wrap="around"/>
              <w:pBdr>
                <w:top w:val="nil"/>
                <w:left w:val="nil"/>
                <w:bottom w:val="nil"/>
                <w:right w:val="nil"/>
                <w:between w:val="nil"/>
                <w:bar w:val="nil"/>
              </w:pBdr>
              <w:rPr>
                <w:b w:val="0"/>
                <w:bdr w:val="nil"/>
              </w:rPr>
            </w:pPr>
            <w:r>
              <w:rPr>
                <w:b w:val="0"/>
                <w:bdr w:val="nil"/>
              </w:rPr>
              <w:t>807</w:t>
            </w:r>
          </w:p>
        </w:tc>
        <w:tc>
          <w:tcPr>
            <w:tcW w:w="1602" w:type="dxa"/>
            <w:noWrap/>
            <w:vAlign w:val="bottom"/>
          </w:tcPr>
          <w:p w14:paraId="37F6769D" w14:textId="045A2035" w:rsidR="001F6B18" w:rsidRPr="00281A6D" w:rsidRDefault="0027723F" w:rsidP="001F6B18">
            <w:pPr>
              <w:pStyle w:val="BStableheading1"/>
              <w:framePr w:wrap="around"/>
              <w:pBdr>
                <w:top w:val="nil"/>
                <w:left w:val="nil"/>
                <w:bottom w:val="nil"/>
                <w:right w:val="nil"/>
                <w:between w:val="nil"/>
                <w:bar w:val="nil"/>
              </w:pBdr>
              <w:rPr>
                <w:b w:val="0"/>
                <w:bdr w:val="nil"/>
              </w:rPr>
            </w:pPr>
            <w:r>
              <w:rPr>
                <w:b w:val="0"/>
                <w:bdr w:val="nil"/>
              </w:rPr>
              <w:t>82</w:t>
            </w:r>
            <w:r w:rsidR="00E25D42">
              <w:rPr>
                <w:b w:val="0"/>
                <w:bdr w:val="nil"/>
              </w:rPr>
              <w:t>9</w:t>
            </w:r>
          </w:p>
        </w:tc>
      </w:tr>
    </w:tbl>
    <w:p w14:paraId="496355CB" w14:textId="77777777" w:rsidR="001F6B18" w:rsidRPr="00A757AE" w:rsidRDefault="0027723F" w:rsidP="001F6B18">
      <w:pPr>
        <w:pStyle w:val="NoteHeading1"/>
        <w:pBdr>
          <w:top w:val="nil"/>
          <w:left w:val="nil"/>
          <w:bottom w:val="nil"/>
          <w:right w:val="nil"/>
          <w:between w:val="nil"/>
          <w:bar w:val="nil"/>
        </w:pBdr>
        <w:rPr>
          <w:rStyle w:val="LineNumber"/>
          <w:bdr w:val="nil"/>
        </w:rPr>
      </w:pPr>
      <w:r w:rsidRPr="00A757AE">
        <w:rPr>
          <w:bdr w:val="nil"/>
        </w:rPr>
        <w:t>Note:</w:t>
      </w:r>
    </w:p>
    <w:p w14:paraId="02DF2C95" w14:textId="0AA8E315" w:rsidR="001F6B18" w:rsidRPr="006D1EEF" w:rsidRDefault="0027723F" w:rsidP="001F6B18">
      <w:pPr>
        <w:pStyle w:val="NumberedNotes"/>
        <w:pBdr>
          <w:top w:val="nil"/>
          <w:left w:val="nil"/>
          <w:bottom w:val="nil"/>
          <w:right w:val="nil"/>
          <w:between w:val="nil"/>
          <w:bar w:val="nil"/>
        </w:pBdr>
        <w:spacing w:before="0" w:after="0"/>
        <w:rPr>
          <w:sz w:val="18"/>
          <w:szCs w:val="18"/>
          <w:bdr w:val="nil"/>
        </w:rPr>
      </w:pPr>
      <w:r w:rsidRPr="006D1EEF">
        <w:rPr>
          <w:sz w:val="18"/>
          <w:szCs w:val="18"/>
          <w:bdr w:val="nil"/>
        </w:rPr>
        <w:t>1. The increase in FTE relates to 2021-22 new initiatives.</w:t>
      </w:r>
    </w:p>
    <w:p w14:paraId="46BE0FD1" w14:textId="77777777" w:rsidR="001F6B18" w:rsidRDefault="0027723F" w:rsidP="001F6B18">
      <w:pPr>
        <w:pStyle w:val="Heading2"/>
        <w:pageBreakBefore/>
        <w:pBdr>
          <w:top w:val="nil"/>
          <w:left w:val="nil"/>
          <w:bottom w:val="nil"/>
          <w:right w:val="nil"/>
          <w:between w:val="nil"/>
          <w:bar w:val="nil"/>
        </w:pBdr>
        <w:rPr>
          <w:bdr w:val="nil"/>
        </w:rPr>
      </w:pPr>
      <w:bookmarkStart w:id="9" w:name="_Toc452467798"/>
      <w:bookmarkStart w:id="10" w:name="_Toc63344613"/>
      <w:bookmarkStart w:id="11" w:name="_Toc83910739"/>
      <w:r>
        <w:rPr>
          <w:bdr w:val="nil"/>
        </w:rPr>
        <w:lastRenderedPageBreak/>
        <w:t>Strategic Objectives and Indicators</w:t>
      </w:r>
      <w:bookmarkEnd w:id="9"/>
      <w:bookmarkEnd w:id="10"/>
      <w:bookmarkEnd w:id="11"/>
      <w:r>
        <w:rPr>
          <w:bdr w:val="nil"/>
        </w:rPr>
        <w:t xml:space="preserve"> </w:t>
      </w:r>
    </w:p>
    <w:p w14:paraId="0471ADE8" w14:textId="77777777" w:rsidR="001F6B18" w:rsidRDefault="0027723F" w:rsidP="008E3537">
      <w:pPr>
        <w:pStyle w:val="Heading3"/>
        <w:rPr>
          <w:bdr w:val="nil"/>
        </w:rPr>
      </w:pPr>
      <w:bookmarkStart w:id="12" w:name="_Toc514832550"/>
      <w:bookmarkStart w:id="13" w:name="_Toc514832367"/>
      <w:bookmarkStart w:id="14" w:name="_Toc514765743"/>
      <w:bookmarkStart w:id="15" w:name="_Toc514764115"/>
      <w:bookmarkStart w:id="16" w:name="_Toc483492149"/>
      <w:bookmarkStart w:id="17" w:name="_Toc483560931"/>
      <w:bookmarkStart w:id="18" w:name="_Toc483919425"/>
      <w:bookmarkStart w:id="19" w:name="_Toc484069672"/>
      <w:bookmarkStart w:id="20" w:name="_Hlk63090310"/>
      <w:r>
        <w:rPr>
          <w:bdr w:val="nil"/>
        </w:rPr>
        <w:t xml:space="preserve">Strategic Objective </w:t>
      </w:r>
      <w:bookmarkEnd w:id="12"/>
      <w:bookmarkEnd w:id="13"/>
      <w:bookmarkEnd w:id="14"/>
      <w:bookmarkEnd w:id="15"/>
      <w:bookmarkEnd w:id="16"/>
      <w:bookmarkEnd w:id="17"/>
      <w:bookmarkEnd w:id="18"/>
      <w:bookmarkEnd w:id="19"/>
      <w:r>
        <w:rPr>
          <w:bdr w:val="nil"/>
        </w:rPr>
        <w:t>1 – A Healthy Community</w:t>
      </w:r>
      <w:bookmarkEnd w:id="20"/>
    </w:p>
    <w:p w14:paraId="182953C2" w14:textId="0CFF8CE5" w:rsidR="001F6B18" w:rsidRDefault="0027723F" w:rsidP="001F6B18">
      <w:pPr>
        <w:pBdr>
          <w:top w:val="nil"/>
          <w:left w:val="nil"/>
          <w:bottom w:val="nil"/>
          <w:right w:val="nil"/>
          <w:between w:val="nil"/>
          <w:bar w:val="nil"/>
        </w:pBdr>
        <w:jc w:val="both"/>
        <w:rPr>
          <w:bdr w:val="nil"/>
        </w:rPr>
      </w:pPr>
      <w:r>
        <w:rPr>
          <w:bdr w:val="nil"/>
        </w:rPr>
        <w:t xml:space="preserve">To enable people to live healthy and active lives and stay well and productive, the Directorate provides evidence-informed and strategic health policy advice to Government to drive system-wide strategies that set clear priorities for safety, quality, expenditure and activities. To achieve this objective, the Directorate engages with national and inter-jurisdictional forums, collaborates across the ACT Public Service and works with business, community, and health sector partners. </w:t>
      </w:r>
    </w:p>
    <w:p w14:paraId="047EEEFB" w14:textId="77777777" w:rsidR="001F6B18" w:rsidRDefault="0027723F" w:rsidP="001F6B18">
      <w:pPr>
        <w:pStyle w:val="Heading4"/>
        <w:pBdr>
          <w:top w:val="nil"/>
          <w:left w:val="nil"/>
          <w:bottom w:val="nil"/>
          <w:right w:val="nil"/>
          <w:between w:val="nil"/>
          <w:bar w:val="nil"/>
        </w:pBdr>
        <w:rPr>
          <w:bdr w:val="nil"/>
        </w:rPr>
      </w:pPr>
      <w:r>
        <w:rPr>
          <w:bdr w:val="nil"/>
        </w:rPr>
        <w:t>Strategic Indicator 1.1 - Improving the Mental Wellbeing of Canberrans</w:t>
      </w:r>
    </w:p>
    <w:p w14:paraId="14A2BAD3" w14:textId="77777777" w:rsidR="001F6B18" w:rsidRDefault="0027723F" w:rsidP="001F6B18">
      <w:pPr>
        <w:pBdr>
          <w:top w:val="nil"/>
          <w:left w:val="nil"/>
          <w:bottom w:val="nil"/>
          <w:right w:val="nil"/>
          <w:between w:val="nil"/>
          <w:bar w:val="nil"/>
        </w:pBdr>
        <w:jc w:val="both"/>
        <w:rPr>
          <w:bdr w:val="nil"/>
        </w:rPr>
      </w:pPr>
      <w:r>
        <w:rPr>
          <w:bdr w:val="nil"/>
        </w:rPr>
        <w:t xml:space="preserve">Percentage of ACT adults who self-report their mental health status as very good or excellent.  </w:t>
      </w:r>
    </w:p>
    <w:p w14:paraId="41E5E780" w14:textId="77777777" w:rsidR="001F6B18" w:rsidRDefault="0027723F" w:rsidP="001F6B18">
      <w:pPr>
        <w:pBdr>
          <w:top w:val="nil"/>
          <w:left w:val="nil"/>
          <w:bottom w:val="nil"/>
          <w:right w:val="nil"/>
          <w:between w:val="nil"/>
          <w:bar w:val="nil"/>
        </w:pBdr>
        <w:jc w:val="both"/>
        <w:rPr>
          <w:bdr w:val="nil"/>
        </w:rPr>
      </w:pPr>
      <w:r>
        <w:rPr>
          <w:bdr w:val="nil"/>
        </w:rPr>
        <w:t>T</w:t>
      </w:r>
      <w:r>
        <w:rPr>
          <w:szCs w:val="24"/>
          <w:bdr w:val="nil"/>
        </w:rPr>
        <w:t xml:space="preserve">his indicator reflects people’s feelings and views about their mental health.  Mental health is impacted by a range of factors, including access to appropriate preventive, early intervention, primary care, community, and acute services. </w:t>
      </w:r>
    </w:p>
    <w:p w14:paraId="2BEEF1D8" w14:textId="3F9AAA8D" w:rsidR="001F6B18" w:rsidRDefault="0027723F" w:rsidP="001F6B18">
      <w:pPr>
        <w:keepNext/>
        <w:pBdr>
          <w:top w:val="nil"/>
          <w:left w:val="nil"/>
          <w:bottom w:val="nil"/>
          <w:right w:val="nil"/>
          <w:between w:val="nil"/>
          <w:bar w:val="nil"/>
        </w:pBdr>
        <w:spacing w:before="240"/>
        <w:jc w:val="both"/>
        <w:rPr>
          <w:b/>
          <w:bCs/>
          <w:sz w:val="22"/>
          <w:szCs w:val="18"/>
          <w:bdr w:val="nil"/>
        </w:rPr>
      </w:pPr>
      <w:r>
        <w:rPr>
          <w:b/>
          <w:bCs/>
          <w:sz w:val="22"/>
          <w:szCs w:val="18"/>
          <w:bdr w:val="nil"/>
        </w:rPr>
        <w:t>Table 2: Percentage of ACT adults who self-report their mental health status as very good or excellent</w:t>
      </w:r>
    </w:p>
    <w:tbl>
      <w:tblPr>
        <w:tblW w:w="9120" w:type="dxa"/>
        <w:tblLayout w:type="fixed"/>
        <w:tblLook w:val="04A0" w:firstRow="1" w:lastRow="0" w:firstColumn="1" w:lastColumn="0" w:noHBand="0" w:noVBand="1"/>
      </w:tblPr>
      <w:tblGrid>
        <w:gridCol w:w="4848"/>
        <w:gridCol w:w="1424"/>
        <w:gridCol w:w="1424"/>
        <w:gridCol w:w="1424"/>
      </w:tblGrid>
      <w:tr w:rsidR="007457C3" w14:paraId="228155EA" w14:textId="77777777" w:rsidTr="009B4A73">
        <w:trPr>
          <w:trHeight w:val="147"/>
        </w:trPr>
        <w:tc>
          <w:tcPr>
            <w:tcW w:w="4848" w:type="dxa"/>
            <w:vMerge w:val="restart"/>
            <w:tcBorders>
              <w:top w:val="single" w:sz="4" w:space="0" w:color="auto"/>
              <w:left w:val="nil"/>
              <w:bottom w:val="single" w:sz="4" w:space="0" w:color="auto"/>
              <w:right w:val="nil"/>
            </w:tcBorders>
            <w:hideMark/>
          </w:tcPr>
          <w:p w14:paraId="74D2008E" w14:textId="77777777" w:rsidR="007457C3" w:rsidRDefault="007457C3" w:rsidP="009B4A73">
            <w:pPr>
              <w:pBdr>
                <w:top w:val="nil"/>
                <w:left w:val="nil"/>
                <w:bottom w:val="nil"/>
                <w:right w:val="nil"/>
                <w:between w:val="nil"/>
                <w:bar w:val="nil"/>
              </w:pBdr>
              <w:spacing w:before="0" w:after="0" w:line="252" w:lineRule="auto"/>
              <w:ind w:left="227" w:hanging="227"/>
              <w:rPr>
                <w:b/>
                <w:bCs/>
                <w:sz w:val="20"/>
                <w:bdr w:val="nil"/>
              </w:rPr>
            </w:pPr>
            <w:r>
              <w:rPr>
                <w:b/>
                <w:bCs/>
                <w:sz w:val="20"/>
                <w:bdr w:val="nil"/>
              </w:rPr>
              <w:t>Strategic Indicator</w:t>
            </w:r>
          </w:p>
        </w:tc>
        <w:tc>
          <w:tcPr>
            <w:tcW w:w="1424" w:type="dxa"/>
            <w:tcBorders>
              <w:top w:val="single" w:sz="4" w:space="0" w:color="auto"/>
              <w:left w:val="nil"/>
              <w:bottom w:val="nil"/>
              <w:right w:val="nil"/>
            </w:tcBorders>
            <w:hideMark/>
          </w:tcPr>
          <w:p w14:paraId="376C398D" w14:textId="77777777" w:rsidR="007457C3" w:rsidRDefault="007457C3" w:rsidP="009B4A73">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24" w:type="dxa"/>
            <w:tcBorders>
              <w:top w:val="single" w:sz="4" w:space="0" w:color="auto"/>
              <w:left w:val="nil"/>
              <w:bottom w:val="nil"/>
              <w:right w:val="nil"/>
            </w:tcBorders>
            <w:hideMark/>
          </w:tcPr>
          <w:p w14:paraId="4DE8BAB3" w14:textId="77777777" w:rsidR="007457C3" w:rsidRDefault="007457C3" w:rsidP="009B4A73">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24" w:type="dxa"/>
            <w:tcBorders>
              <w:top w:val="single" w:sz="4" w:space="0" w:color="auto"/>
              <w:left w:val="nil"/>
              <w:bottom w:val="nil"/>
              <w:right w:val="nil"/>
            </w:tcBorders>
            <w:hideMark/>
          </w:tcPr>
          <w:p w14:paraId="744F551E" w14:textId="77777777" w:rsidR="007457C3" w:rsidRDefault="007457C3" w:rsidP="009B4A73">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2021-22</w:t>
            </w:r>
          </w:p>
        </w:tc>
      </w:tr>
      <w:tr w:rsidR="007457C3" w14:paraId="4DAE512B" w14:textId="77777777" w:rsidTr="009B4A73">
        <w:trPr>
          <w:trHeight w:val="263"/>
        </w:trPr>
        <w:tc>
          <w:tcPr>
            <w:tcW w:w="4848" w:type="dxa"/>
            <w:vMerge/>
            <w:tcBorders>
              <w:top w:val="single" w:sz="4" w:space="0" w:color="auto"/>
              <w:left w:val="nil"/>
              <w:bottom w:val="single" w:sz="4" w:space="0" w:color="auto"/>
              <w:right w:val="nil"/>
            </w:tcBorders>
            <w:vAlign w:val="center"/>
            <w:hideMark/>
          </w:tcPr>
          <w:p w14:paraId="56C9A8C8" w14:textId="77777777" w:rsidR="007457C3" w:rsidRDefault="007457C3" w:rsidP="009B4A73">
            <w:pPr>
              <w:pBdr>
                <w:top w:val="nil"/>
                <w:left w:val="nil"/>
                <w:bottom w:val="nil"/>
                <w:right w:val="nil"/>
                <w:between w:val="nil"/>
                <w:bar w:val="nil"/>
              </w:pBdr>
              <w:spacing w:before="0" w:after="0"/>
              <w:rPr>
                <w:b/>
                <w:bCs/>
                <w:sz w:val="20"/>
                <w:bdr w:val="nil"/>
              </w:rPr>
            </w:pPr>
          </w:p>
        </w:tc>
        <w:tc>
          <w:tcPr>
            <w:tcW w:w="1424" w:type="dxa"/>
            <w:tcBorders>
              <w:top w:val="nil"/>
              <w:left w:val="nil"/>
              <w:bottom w:val="single" w:sz="4" w:space="0" w:color="auto"/>
              <w:right w:val="nil"/>
            </w:tcBorders>
            <w:hideMark/>
          </w:tcPr>
          <w:p w14:paraId="115CD208" w14:textId="77777777" w:rsidR="007457C3" w:rsidRDefault="007457C3" w:rsidP="009B4A73">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c>
          <w:tcPr>
            <w:tcW w:w="1424" w:type="dxa"/>
            <w:tcBorders>
              <w:top w:val="nil"/>
              <w:left w:val="nil"/>
              <w:bottom w:val="single" w:sz="4" w:space="0" w:color="auto"/>
              <w:right w:val="nil"/>
            </w:tcBorders>
            <w:hideMark/>
          </w:tcPr>
          <w:p w14:paraId="5F4E1BAB" w14:textId="65FA2AB7" w:rsidR="007457C3" w:rsidRDefault="007457C3" w:rsidP="009B4A73">
            <w:pPr>
              <w:pBdr>
                <w:top w:val="nil"/>
                <w:left w:val="nil"/>
                <w:bottom w:val="nil"/>
                <w:right w:val="nil"/>
                <w:between w:val="nil"/>
                <w:bar w:val="nil"/>
              </w:pBdr>
              <w:spacing w:before="0" w:after="0" w:line="252" w:lineRule="auto"/>
              <w:ind w:left="227" w:hanging="227"/>
              <w:jc w:val="right"/>
              <w:rPr>
                <w:b/>
                <w:sz w:val="20"/>
                <w:bdr w:val="nil"/>
              </w:rPr>
            </w:pPr>
            <w:r>
              <w:rPr>
                <w:b/>
                <w:sz w:val="20"/>
                <w:bdr w:val="nil"/>
              </w:rPr>
              <w:t>Inter</w:t>
            </w:r>
            <w:r w:rsidR="00D76773">
              <w:rPr>
                <w:b/>
                <w:sz w:val="20"/>
                <w:bdr w:val="nil"/>
              </w:rPr>
              <w:t>i</w:t>
            </w:r>
            <w:r>
              <w:rPr>
                <w:b/>
                <w:sz w:val="20"/>
                <w:bdr w:val="nil"/>
              </w:rPr>
              <w:t>m</w:t>
            </w:r>
          </w:p>
          <w:p w14:paraId="30F23A6C" w14:textId="2D137A78" w:rsidR="007457C3" w:rsidRDefault="007457C3" w:rsidP="009B4A73">
            <w:pPr>
              <w:pBdr>
                <w:top w:val="nil"/>
                <w:left w:val="nil"/>
                <w:bottom w:val="nil"/>
                <w:right w:val="nil"/>
                <w:between w:val="nil"/>
                <w:bar w:val="nil"/>
              </w:pBdr>
              <w:spacing w:before="0" w:after="0" w:line="252" w:lineRule="auto"/>
              <w:ind w:left="227" w:hanging="227"/>
              <w:jc w:val="right"/>
              <w:rPr>
                <w:b/>
                <w:sz w:val="20"/>
                <w:bdr w:val="nil"/>
              </w:rPr>
            </w:pPr>
            <w:r>
              <w:rPr>
                <w:b/>
                <w:sz w:val="20"/>
                <w:bdr w:val="nil"/>
              </w:rPr>
              <w:t>Outcome</w:t>
            </w:r>
            <w:r w:rsidRPr="007457C3">
              <w:rPr>
                <w:b/>
                <w:sz w:val="20"/>
                <w:bdr w:val="nil"/>
                <w:vertAlign w:val="superscript"/>
              </w:rPr>
              <w:t>1</w:t>
            </w:r>
          </w:p>
        </w:tc>
        <w:tc>
          <w:tcPr>
            <w:tcW w:w="1424" w:type="dxa"/>
            <w:tcBorders>
              <w:top w:val="nil"/>
              <w:left w:val="nil"/>
              <w:bottom w:val="single" w:sz="4" w:space="0" w:color="auto"/>
              <w:right w:val="nil"/>
            </w:tcBorders>
            <w:hideMark/>
          </w:tcPr>
          <w:p w14:paraId="57B81FF1" w14:textId="77777777" w:rsidR="007457C3" w:rsidRDefault="007457C3" w:rsidP="009B4A73">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r>
      <w:tr w:rsidR="007457C3" w14:paraId="47F0E724" w14:textId="77777777" w:rsidTr="009B4A73">
        <w:trPr>
          <w:trHeight w:val="620"/>
        </w:trPr>
        <w:tc>
          <w:tcPr>
            <w:tcW w:w="4848" w:type="dxa"/>
            <w:tcBorders>
              <w:top w:val="nil"/>
              <w:left w:val="nil"/>
              <w:bottom w:val="single" w:sz="4" w:space="0" w:color="auto"/>
              <w:right w:val="nil"/>
            </w:tcBorders>
            <w:hideMark/>
          </w:tcPr>
          <w:p w14:paraId="336CB8B0" w14:textId="352B0808" w:rsidR="007457C3" w:rsidRDefault="007457C3" w:rsidP="009B4A73">
            <w:pPr>
              <w:pBdr>
                <w:top w:val="nil"/>
                <w:left w:val="nil"/>
                <w:bottom w:val="nil"/>
                <w:right w:val="nil"/>
                <w:between w:val="nil"/>
                <w:bar w:val="nil"/>
              </w:pBdr>
              <w:spacing w:before="0" w:after="0" w:line="252" w:lineRule="auto"/>
              <w:ind w:left="227" w:hanging="227"/>
              <w:rPr>
                <w:bCs/>
                <w:sz w:val="20"/>
                <w:bdr w:val="nil"/>
              </w:rPr>
            </w:pPr>
            <w:r>
              <w:rPr>
                <w:bCs/>
                <w:sz w:val="20"/>
                <w:bdr w:val="nil"/>
              </w:rPr>
              <w:t>Percentage of ACT adults who self-report their mental health as very good or excellent</w:t>
            </w:r>
          </w:p>
        </w:tc>
        <w:tc>
          <w:tcPr>
            <w:tcW w:w="1424" w:type="dxa"/>
            <w:tcBorders>
              <w:top w:val="nil"/>
              <w:left w:val="nil"/>
              <w:bottom w:val="single" w:sz="4" w:space="0" w:color="auto"/>
              <w:right w:val="nil"/>
            </w:tcBorders>
            <w:hideMark/>
          </w:tcPr>
          <w:p w14:paraId="6CF5F826" w14:textId="379E97AF" w:rsidR="007457C3" w:rsidRDefault="007457C3" w:rsidP="009B4A73">
            <w:pPr>
              <w:pBdr>
                <w:top w:val="nil"/>
                <w:left w:val="nil"/>
                <w:bottom w:val="nil"/>
                <w:right w:val="nil"/>
                <w:between w:val="nil"/>
                <w:bar w:val="nil"/>
              </w:pBdr>
              <w:spacing w:before="0" w:after="0" w:line="252" w:lineRule="auto"/>
              <w:ind w:left="227" w:hanging="227"/>
              <w:jc w:val="right"/>
              <w:rPr>
                <w:sz w:val="20"/>
                <w:bdr w:val="nil"/>
              </w:rPr>
            </w:pPr>
            <w:r>
              <w:rPr>
                <w:sz w:val="20"/>
                <w:bdr w:val="nil"/>
              </w:rPr>
              <w:t>&gt;60%</w:t>
            </w:r>
          </w:p>
        </w:tc>
        <w:tc>
          <w:tcPr>
            <w:tcW w:w="1424" w:type="dxa"/>
            <w:tcBorders>
              <w:top w:val="nil"/>
              <w:left w:val="nil"/>
              <w:bottom w:val="single" w:sz="4" w:space="0" w:color="auto"/>
              <w:right w:val="nil"/>
            </w:tcBorders>
            <w:hideMark/>
          </w:tcPr>
          <w:p w14:paraId="333DBD32" w14:textId="2C1AECF8" w:rsidR="007457C3" w:rsidRDefault="007457C3" w:rsidP="009B4A73">
            <w:pPr>
              <w:pBdr>
                <w:top w:val="nil"/>
                <w:left w:val="nil"/>
                <w:bottom w:val="nil"/>
                <w:right w:val="nil"/>
                <w:between w:val="nil"/>
                <w:bar w:val="nil"/>
              </w:pBdr>
              <w:spacing w:before="0" w:after="0" w:line="252" w:lineRule="auto"/>
              <w:ind w:left="227" w:hanging="227"/>
              <w:jc w:val="right"/>
              <w:rPr>
                <w:sz w:val="20"/>
                <w:bdr w:val="nil"/>
              </w:rPr>
            </w:pPr>
            <w:r>
              <w:rPr>
                <w:sz w:val="20"/>
                <w:bdr w:val="nil"/>
              </w:rPr>
              <w:t>52%</w:t>
            </w:r>
          </w:p>
        </w:tc>
        <w:tc>
          <w:tcPr>
            <w:tcW w:w="1424" w:type="dxa"/>
            <w:tcBorders>
              <w:top w:val="nil"/>
              <w:left w:val="nil"/>
              <w:bottom w:val="single" w:sz="4" w:space="0" w:color="auto"/>
              <w:right w:val="nil"/>
            </w:tcBorders>
            <w:hideMark/>
          </w:tcPr>
          <w:p w14:paraId="628FF683" w14:textId="4C4F46CA" w:rsidR="007457C3" w:rsidRDefault="007457C3" w:rsidP="009B4A73">
            <w:pPr>
              <w:pBdr>
                <w:top w:val="nil"/>
                <w:left w:val="nil"/>
                <w:bottom w:val="nil"/>
                <w:right w:val="nil"/>
                <w:between w:val="nil"/>
                <w:bar w:val="nil"/>
              </w:pBdr>
              <w:spacing w:before="0" w:after="0" w:line="252" w:lineRule="auto"/>
              <w:ind w:left="227" w:hanging="227"/>
              <w:jc w:val="right"/>
              <w:rPr>
                <w:sz w:val="20"/>
                <w:bdr w:val="nil"/>
              </w:rPr>
            </w:pPr>
            <w:r>
              <w:rPr>
                <w:sz w:val="20"/>
                <w:bdr w:val="nil"/>
              </w:rPr>
              <w:t>&gt;60%</w:t>
            </w:r>
          </w:p>
        </w:tc>
      </w:tr>
    </w:tbl>
    <w:p w14:paraId="18EA7C48" w14:textId="77777777" w:rsidR="001F6B18" w:rsidRDefault="001F6B18" w:rsidP="001F6B18">
      <w:pPr>
        <w:pBdr>
          <w:top w:val="nil"/>
          <w:left w:val="nil"/>
          <w:bottom w:val="nil"/>
          <w:right w:val="nil"/>
          <w:between w:val="nil"/>
          <w:bar w:val="nil"/>
        </w:pBdr>
        <w:spacing w:before="0" w:after="0"/>
        <w:ind w:left="142"/>
        <w:rPr>
          <w:i/>
          <w:sz w:val="16"/>
          <w:szCs w:val="16"/>
          <w:bdr w:val="nil"/>
        </w:rPr>
      </w:pPr>
    </w:p>
    <w:p w14:paraId="76AE8DFA" w14:textId="77777777" w:rsidR="001F6B18" w:rsidRDefault="0027723F" w:rsidP="001F6B18">
      <w:pPr>
        <w:pBdr>
          <w:top w:val="nil"/>
          <w:left w:val="nil"/>
          <w:bottom w:val="nil"/>
          <w:right w:val="nil"/>
          <w:between w:val="nil"/>
          <w:bar w:val="nil"/>
        </w:pBdr>
        <w:spacing w:before="0" w:after="0"/>
        <w:ind w:left="142"/>
        <w:rPr>
          <w:i/>
          <w:sz w:val="16"/>
          <w:szCs w:val="16"/>
          <w:bdr w:val="nil"/>
          <w:lang w:eastAsia="en-AU"/>
        </w:rPr>
      </w:pPr>
      <w:r>
        <w:rPr>
          <w:i/>
          <w:sz w:val="16"/>
          <w:szCs w:val="16"/>
          <w:bdr w:val="nil"/>
          <w:lang w:eastAsia="en-AU"/>
        </w:rPr>
        <w:t>Sources:  ACT General Health Survey</w:t>
      </w:r>
    </w:p>
    <w:p w14:paraId="364D34BB" w14:textId="77777777" w:rsidR="001F6B18" w:rsidRDefault="0027723F" w:rsidP="001F6B18">
      <w:pPr>
        <w:pStyle w:val="BSnote"/>
        <w:pBdr>
          <w:top w:val="nil"/>
          <w:left w:val="nil"/>
          <w:bottom w:val="nil"/>
          <w:right w:val="nil"/>
          <w:between w:val="nil"/>
          <w:bar w:val="nil"/>
        </w:pBdr>
        <w:rPr>
          <w:bdr w:val="nil"/>
        </w:rPr>
      </w:pPr>
      <w:r>
        <w:rPr>
          <w:bdr w:val="nil"/>
        </w:rPr>
        <w:t xml:space="preserve">Note: </w:t>
      </w:r>
    </w:p>
    <w:p w14:paraId="4AECA786" w14:textId="0EAF2439" w:rsidR="001F6B18" w:rsidRPr="007E0E38" w:rsidRDefault="0027723F" w:rsidP="009832FC">
      <w:pPr>
        <w:pStyle w:val="BSnoteslist"/>
        <w:numPr>
          <w:ilvl w:val="0"/>
          <w:numId w:val="6"/>
        </w:numPr>
        <w:pBdr>
          <w:top w:val="nil"/>
          <w:left w:val="nil"/>
          <w:bottom w:val="nil"/>
          <w:right w:val="nil"/>
          <w:between w:val="nil"/>
          <w:bar w:val="nil"/>
        </w:pBdr>
        <w:jc w:val="both"/>
        <w:rPr>
          <w:bdr w:val="nil"/>
        </w:rPr>
      </w:pPr>
      <w:r w:rsidRPr="007E0E38">
        <w:rPr>
          <w:bdr w:val="nil"/>
        </w:rPr>
        <w:t>This result is reflective of the underlying prevalence of mental health and other conditions (for example, cancer and diabetes) in the community.  For example, 6.1 per cent of respondents to the 2019 General Health Survey had probable serious mental illness, 17.1 per cent had anxiety and 15.0 per cent had depression</w:t>
      </w:r>
      <w:r>
        <w:rPr>
          <w:bdr w:val="nil"/>
        </w:rPr>
        <w:t>.</w:t>
      </w:r>
      <w:r w:rsidR="00C44064">
        <w:rPr>
          <w:bdr w:val="nil"/>
        </w:rPr>
        <w:t xml:space="preserve">  In addition, </w:t>
      </w:r>
      <w:r w:rsidR="00C44064" w:rsidRPr="00C44064">
        <w:rPr>
          <w:bdr w:val="nil"/>
        </w:rPr>
        <w:t>It is likely that there is an impact as a result of the COVID-19 pandemic.  While the result from the 2020 General Health Survey is not significantly different to previous years, other surveys have reported a decline in self-rated mental health</w:t>
      </w:r>
      <w:r w:rsidR="00C44064">
        <w:rPr>
          <w:bdr w:val="nil"/>
        </w:rPr>
        <w:t xml:space="preserve"> related to the pandemic.</w:t>
      </w:r>
    </w:p>
    <w:p w14:paraId="73E3A55B" w14:textId="77777777" w:rsidR="001F6B18" w:rsidRDefault="0027723F" w:rsidP="009832FC">
      <w:pPr>
        <w:pStyle w:val="BSnoteslist"/>
        <w:numPr>
          <w:ilvl w:val="0"/>
          <w:numId w:val="7"/>
        </w:numPr>
        <w:pBdr>
          <w:top w:val="nil"/>
          <w:left w:val="nil"/>
          <w:bottom w:val="nil"/>
          <w:right w:val="nil"/>
          <w:between w:val="nil"/>
          <w:bar w:val="nil"/>
        </w:pBdr>
        <w:rPr>
          <w:bdr w:val="nil"/>
        </w:rPr>
      </w:pPr>
      <w:r>
        <w:rPr>
          <w:bdr w:val="nil"/>
        </w:rPr>
        <w:br w:type="page"/>
      </w:r>
    </w:p>
    <w:p w14:paraId="7F4B808D" w14:textId="77777777" w:rsidR="001F6B18" w:rsidRDefault="0027723F" w:rsidP="001F6B18">
      <w:pPr>
        <w:pStyle w:val="Heading4"/>
        <w:pBdr>
          <w:top w:val="nil"/>
          <w:left w:val="nil"/>
          <w:bottom w:val="nil"/>
          <w:right w:val="nil"/>
          <w:between w:val="nil"/>
          <w:bar w:val="nil"/>
        </w:pBdr>
        <w:rPr>
          <w:bdr w:val="nil"/>
        </w:rPr>
      </w:pPr>
      <w:r>
        <w:rPr>
          <w:bdr w:val="nil"/>
        </w:rPr>
        <w:lastRenderedPageBreak/>
        <w:t>Strategic Indicator 1.2 - Improving the Health Status of Canberrans</w:t>
      </w:r>
    </w:p>
    <w:p w14:paraId="0E8FA207" w14:textId="77777777" w:rsidR="001F6B18" w:rsidRDefault="0027723F" w:rsidP="001F6B18">
      <w:pPr>
        <w:pBdr>
          <w:top w:val="nil"/>
          <w:left w:val="nil"/>
          <w:bottom w:val="nil"/>
          <w:right w:val="nil"/>
          <w:between w:val="nil"/>
          <w:bar w:val="nil"/>
        </w:pBdr>
        <w:jc w:val="both"/>
        <w:rPr>
          <w:szCs w:val="24"/>
          <w:bdr w:val="nil"/>
        </w:rPr>
      </w:pPr>
      <w:r>
        <w:rPr>
          <w:szCs w:val="24"/>
          <w:bdr w:val="nil"/>
        </w:rPr>
        <w:t>Percentage of ACT adults who self-report their health status as very good or excellent.</w:t>
      </w:r>
    </w:p>
    <w:p w14:paraId="3747A350" w14:textId="77777777" w:rsidR="001F6B18" w:rsidRDefault="0027723F" w:rsidP="001F6B18">
      <w:pPr>
        <w:pBdr>
          <w:top w:val="nil"/>
          <w:left w:val="nil"/>
          <w:bottom w:val="nil"/>
          <w:right w:val="nil"/>
          <w:between w:val="nil"/>
          <w:bar w:val="nil"/>
        </w:pBdr>
        <w:jc w:val="both"/>
        <w:rPr>
          <w:szCs w:val="24"/>
          <w:bdr w:val="nil"/>
        </w:rPr>
      </w:pPr>
      <w:r>
        <w:rPr>
          <w:szCs w:val="24"/>
          <w:bdr w:val="nil"/>
        </w:rPr>
        <w:t xml:space="preserve">This indicator reflects people’s feelings and views about their physical health status.  Physical health status at a population level is impacted by a range of factors, including access to appropriate preventive health, health protection, primary care and hospital services. </w:t>
      </w:r>
    </w:p>
    <w:p w14:paraId="5250F373" w14:textId="77777777" w:rsidR="001F6B18" w:rsidRDefault="0027723F" w:rsidP="001F6B18">
      <w:pPr>
        <w:keepNext/>
        <w:pBdr>
          <w:top w:val="nil"/>
          <w:left w:val="nil"/>
          <w:bottom w:val="nil"/>
          <w:right w:val="nil"/>
          <w:between w:val="nil"/>
          <w:bar w:val="nil"/>
        </w:pBdr>
        <w:spacing w:before="240"/>
        <w:rPr>
          <w:b/>
          <w:bCs/>
          <w:sz w:val="22"/>
          <w:szCs w:val="18"/>
          <w:bdr w:val="nil"/>
        </w:rPr>
      </w:pPr>
      <w:r>
        <w:rPr>
          <w:b/>
          <w:bCs/>
          <w:sz w:val="22"/>
          <w:szCs w:val="18"/>
          <w:bdr w:val="nil"/>
        </w:rPr>
        <w:t xml:space="preserve">Table </w:t>
      </w:r>
      <w:r>
        <w:rPr>
          <w:b/>
          <w:bCs/>
          <w:color w:val="000000"/>
          <w:sz w:val="22"/>
          <w:szCs w:val="18"/>
          <w:bdr w:val="nil"/>
        </w:rPr>
        <w:t>3</w:t>
      </w:r>
      <w:r>
        <w:rPr>
          <w:b/>
          <w:bCs/>
          <w:sz w:val="22"/>
          <w:szCs w:val="18"/>
          <w:bdr w:val="nil"/>
        </w:rPr>
        <w:t>: Percentage of ACT adults who self-report their health status as very good or excellent</w:t>
      </w:r>
    </w:p>
    <w:tbl>
      <w:tblPr>
        <w:tblW w:w="9120" w:type="dxa"/>
        <w:tblLayout w:type="fixed"/>
        <w:tblLook w:val="04A0" w:firstRow="1" w:lastRow="0" w:firstColumn="1" w:lastColumn="0" w:noHBand="0" w:noVBand="1"/>
      </w:tblPr>
      <w:tblGrid>
        <w:gridCol w:w="4848"/>
        <w:gridCol w:w="1424"/>
        <w:gridCol w:w="1424"/>
        <w:gridCol w:w="1424"/>
      </w:tblGrid>
      <w:tr w:rsidR="00496618" w14:paraId="5D9B35E3" w14:textId="77777777" w:rsidTr="001F6B18">
        <w:trPr>
          <w:trHeight w:val="147"/>
        </w:trPr>
        <w:tc>
          <w:tcPr>
            <w:tcW w:w="4848" w:type="dxa"/>
            <w:vMerge w:val="restart"/>
            <w:tcBorders>
              <w:top w:val="single" w:sz="4" w:space="0" w:color="auto"/>
              <w:left w:val="nil"/>
              <w:bottom w:val="single" w:sz="4" w:space="0" w:color="auto"/>
              <w:right w:val="nil"/>
            </w:tcBorders>
            <w:hideMark/>
          </w:tcPr>
          <w:p w14:paraId="0698763F" w14:textId="77777777" w:rsidR="001F6B18" w:rsidRDefault="0027723F">
            <w:pPr>
              <w:pBdr>
                <w:top w:val="nil"/>
                <w:left w:val="nil"/>
                <w:bottom w:val="nil"/>
                <w:right w:val="nil"/>
                <w:between w:val="nil"/>
                <w:bar w:val="nil"/>
              </w:pBdr>
              <w:spacing w:before="0" w:after="0" w:line="252" w:lineRule="auto"/>
              <w:ind w:left="227" w:hanging="227"/>
              <w:rPr>
                <w:b/>
                <w:bCs/>
                <w:sz w:val="20"/>
                <w:bdr w:val="nil"/>
              </w:rPr>
            </w:pPr>
            <w:r>
              <w:rPr>
                <w:b/>
                <w:bCs/>
                <w:sz w:val="20"/>
                <w:bdr w:val="nil"/>
              </w:rPr>
              <w:t>Strategic Indicator</w:t>
            </w:r>
          </w:p>
        </w:tc>
        <w:tc>
          <w:tcPr>
            <w:tcW w:w="1424" w:type="dxa"/>
            <w:tcBorders>
              <w:top w:val="single" w:sz="4" w:space="0" w:color="auto"/>
              <w:left w:val="nil"/>
              <w:bottom w:val="nil"/>
              <w:right w:val="nil"/>
            </w:tcBorders>
            <w:hideMark/>
          </w:tcPr>
          <w:p w14:paraId="21FCFED8"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24" w:type="dxa"/>
            <w:tcBorders>
              <w:top w:val="single" w:sz="4" w:space="0" w:color="auto"/>
              <w:left w:val="nil"/>
              <w:bottom w:val="nil"/>
              <w:right w:val="nil"/>
            </w:tcBorders>
            <w:hideMark/>
          </w:tcPr>
          <w:p w14:paraId="01C9618A"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24" w:type="dxa"/>
            <w:tcBorders>
              <w:top w:val="single" w:sz="4" w:space="0" w:color="auto"/>
              <w:left w:val="nil"/>
              <w:bottom w:val="nil"/>
              <w:right w:val="nil"/>
            </w:tcBorders>
            <w:hideMark/>
          </w:tcPr>
          <w:p w14:paraId="25AFA009"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2021-22</w:t>
            </w:r>
          </w:p>
        </w:tc>
      </w:tr>
      <w:tr w:rsidR="00496618" w14:paraId="5750CEB2" w14:textId="77777777" w:rsidTr="001F6B18">
        <w:trPr>
          <w:trHeight w:val="263"/>
        </w:trPr>
        <w:tc>
          <w:tcPr>
            <w:tcW w:w="4848" w:type="dxa"/>
            <w:vMerge/>
            <w:tcBorders>
              <w:top w:val="single" w:sz="4" w:space="0" w:color="auto"/>
              <w:left w:val="nil"/>
              <w:bottom w:val="single" w:sz="4" w:space="0" w:color="auto"/>
              <w:right w:val="nil"/>
            </w:tcBorders>
            <w:vAlign w:val="center"/>
            <w:hideMark/>
          </w:tcPr>
          <w:p w14:paraId="266F3449" w14:textId="77777777" w:rsidR="001F6B18" w:rsidRDefault="001F6B18">
            <w:pPr>
              <w:pBdr>
                <w:top w:val="nil"/>
                <w:left w:val="nil"/>
                <w:bottom w:val="nil"/>
                <w:right w:val="nil"/>
                <w:between w:val="nil"/>
                <w:bar w:val="nil"/>
              </w:pBdr>
              <w:spacing w:before="0" w:after="0"/>
              <w:rPr>
                <w:b/>
                <w:bCs/>
                <w:sz w:val="20"/>
                <w:bdr w:val="nil"/>
              </w:rPr>
            </w:pPr>
          </w:p>
        </w:tc>
        <w:tc>
          <w:tcPr>
            <w:tcW w:w="1424" w:type="dxa"/>
            <w:tcBorders>
              <w:top w:val="nil"/>
              <w:left w:val="nil"/>
              <w:bottom w:val="single" w:sz="4" w:space="0" w:color="auto"/>
              <w:right w:val="nil"/>
            </w:tcBorders>
            <w:hideMark/>
          </w:tcPr>
          <w:p w14:paraId="1335A0CD"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c>
          <w:tcPr>
            <w:tcW w:w="1424" w:type="dxa"/>
            <w:tcBorders>
              <w:top w:val="nil"/>
              <w:left w:val="nil"/>
              <w:bottom w:val="single" w:sz="4" w:space="0" w:color="auto"/>
              <w:right w:val="nil"/>
            </w:tcBorders>
            <w:hideMark/>
          </w:tcPr>
          <w:p w14:paraId="5AFE8518" w14:textId="77777777" w:rsidR="007457C3" w:rsidRDefault="007457C3">
            <w:pPr>
              <w:pBdr>
                <w:top w:val="nil"/>
                <w:left w:val="nil"/>
                <w:bottom w:val="nil"/>
                <w:right w:val="nil"/>
                <w:between w:val="nil"/>
                <w:bar w:val="nil"/>
              </w:pBdr>
              <w:spacing w:before="0" w:after="0" w:line="252" w:lineRule="auto"/>
              <w:ind w:left="227" w:hanging="227"/>
              <w:jc w:val="right"/>
              <w:rPr>
                <w:b/>
                <w:sz w:val="20"/>
                <w:bdr w:val="nil"/>
              </w:rPr>
            </w:pPr>
            <w:r>
              <w:rPr>
                <w:b/>
                <w:sz w:val="20"/>
                <w:bdr w:val="nil"/>
              </w:rPr>
              <w:t>Interim</w:t>
            </w:r>
          </w:p>
          <w:p w14:paraId="0B668881" w14:textId="5A9D2E1A"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Outcome</w:t>
            </w:r>
          </w:p>
        </w:tc>
        <w:tc>
          <w:tcPr>
            <w:tcW w:w="1424" w:type="dxa"/>
            <w:tcBorders>
              <w:top w:val="nil"/>
              <w:left w:val="nil"/>
              <w:bottom w:val="single" w:sz="4" w:space="0" w:color="auto"/>
              <w:right w:val="nil"/>
            </w:tcBorders>
            <w:hideMark/>
          </w:tcPr>
          <w:p w14:paraId="778F80E5"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r>
      <w:tr w:rsidR="00496618" w14:paraId="5CD96A3F" w14:textId="77777777" w:rsidTr="001F6B18">
        <w:trPr>
          <w:trHeight w:val="620"/>
        </w:trPr>
        <w:tc>
          <w:tcPr>
            <w:tcW w:w="4848" w:type="dxa"/>
            <w:tcBorders>
              <w:top w:val="nil"/>
              <w:left w:val="nil"/>
              <w:bottom w:val="single" w:sz="4" w:space="0" w:color="auto"/>
              <w:right w:val="nil"/>
            </w:tcBorders>
            <w:hideMark/>
          </w:tcPr>
          <w:p w14:paraId="52166618" w14:textId="77777777" w:rsidR="001F6B18" w:rsidRDefault="0027723F">
            <w:pPr>
              <w:pBdr>
                <w:top w:val="nil"/>
                <w:left w:val="nil"/>
                <w:bottom w:val="nil"/>
                <w:right w:val="nil"/>
                <w:between w:val="nil"/>
                <w:bar w:val="nil"/>
              </w:pBdr>
              <w:spacing w:before="0" w:after="0" w:line="252" w:lineRule="auto"/>
              <w:ind w:left="227" w:hanging="227"/>
              <w:rPr>
                <w:bCs/>
                <w:sz w:val="20"/>
                <w:bdr w:val="nil"/>
              </w:rPr>
            </w:pPr>
            <w:r>
              <w:rPr>
                <w:bCs/>
                <w:sz w:val="20"/>
                <w:bdr w:val="nil"/>
              </w:rPr>
              <w:t>Percentage of ACT adults who self-report their health status as very good or excellent</w:t>
            </w:r>
          </w:p>
        </w:tc>
        <w:tc>
          <w:tcPr>
            <w:tcW w:w="1424" w:type="dxa"/>
            <w:tcBorders>
              <w:top w:val="nil"/>
              <w:left w:val="nil"/>
              <w:bottom w:val="single" w:sz="4" w:space="0" w:color="auto"/>
              <w:right w:val="nil"/>
            </w:tcBorders>
            <w:hideMark/>
          </w:tcPr>
          <w:p w14:paraId="405781FB" w14:textId="77777777" w:rsidR="001F6B18" w:rsidRDefault="0027723F">
            <w:pPr>
              <w:pBdr>
                <w:top w:val="nil"/>
                <w:left w:val="nil"/>
                <w:bottom w:val="nil"/>
                <w:right w:val="nil"/>
                <w:between w:val="nil"/>
                <w:bar w:val="nil"/>
              </w:pBdr>
              <w:spacing w:before="0" w:after="0" w:line="252" w:lineRule="auto"/>
              <w:ind w:left="227" w:hanging="227"/>
              <w:jc w:val="right"/>
              <w:rPr>
                <w:sz w:val="20"/>
                <w:bdr w:val="nil"/>
              </w:rPr>
            </w:pPr>
            <w:r>
              <w:rPr>
                <w:sz w:val="20"/>
                <w:bdr w:val="nil"/>
              </w:rPr>
              <w:t>&gt;55%</w:t>
            </w:r>
          </w:p>
        </w:tc>
        <w:tc>
          <w:tcPr>
            <w:tcW w:w="1424" w:type="dxa"/>
            <w:tcBorders>
              <w:top w:val="nil"/>
              <w:left w:val="nil"/>
              <w:bottom w:val="single" w:sz="4" w:space="0" w:color="auto"/>
              <w:right w:val="nil"/>
            </w:tcBorders>
            <w:hideMark/>
          </w:tcPr>
          <w:p w14:paraId="78225D29" w14:textId="77777777" w:rsidR="001F6B18" w:rsidRDefault="0027723F">
            <w:pPr>
              <w:pBdr>
                <w:top w:val="nil"/>
                <w:left w:val="nil"/>
                <w:bottom w:val="nil"/>
                <w:right w:val="nil"/>
                <w:between w:val="nil"/>
                <w:bar w:val="nil"/>
              </w:pBdr>
              <w:spacing w:before="0" w:after="0" w:line="252" w:lineRule="auto"/>
              <w:ind w:left="227" w:hanging="227"/>
              <w:jc w:val="right"/>
              <w:rPr>
                <w:sz w:val="20"/>
                <w:bdr w:val="nil"/>
              </w:rPr>
            </w:pPr>
            <w:r>
              <w:rPr>
                <w:sz w:val="20"/>
                <w:bdr w:val="nil"/>
              </w:rPr>
              <w:t>55%</w:t>
            </w:r>
          </w:p>
        </w:tc>
        <w:tc>
          <w:tcPr>
            <w:tcW w:w="1424" w:type="dxa"/>
            <w:tcBorders>
              <w:top w:val="nil"/>
              <w:left w:val="nil"/>
              <w:bottom w:val="single" w:sz="4" w:space="0" w:color="auto"/>
              <w:right w:val="nil"/>
            </w:tcBorders>
            <w:hideMark/>
          </w:tcPr>
          <w:p w14:paraId="595CEC13" w14:textId="1CCE922D" w:rsidR="001F6B18" w:rsidRDefault="00895481">
            <w:pPr>
              <w:pBdr>
                <w:top w:val="nil"/>
                <w:left w:val="nil"/>
                <w:bottom w:val="nil"/>
                <w:right w:val="nil"/>
                <w:between w:val="nil"/>
                <w:bar w:val="nil"/>
              </w:pBdr>
              <w:spacing w:before="0" w:after="0" w:line="252" w:lineRule="auto"/>
              <w:ind w:left="227" w:hanging="227"/>
              <w:jc w:val="right"/>
              <w:rPr>
                <w:sz w:val="20"/>
                <w:bdr w:val="nil"/>
              </w:rPr>
            </w:pPr>
            <w:r>
              <w:rPr>
                <w:sz w:val="20"/>
                <w:bdr w:val="nil"/>
              </w:rPr>
              <w:t>&gt;</w:t>
            </w:r>
            <w:r w:rsidR="0027723F">
              <w:rPr>
                <w:sz w:val="20"/>
                <w:bdr w:val="nil"/>
              </w:rPr>
              <w:t>55%</w:t>
            </w:r>
          </w:p>
        </w:tc>
      </w:tr>
    </w:tbl>
    <w:p w14:paraId="1BCDC875" w14:textId="77777777" w:rsidR="001F6B18" w:rsidRDefault="001F6B18" w:rsidP="001F6B18">
      <w:pPr>
        <w:pBdr>
          <w:top w:val="nil"/>
          <w:left w:val="nil"/>
          <w:bottom w:val="nil"/>
          <w:right w:val="nil"/>
          <w:between w:val="nil"/>
          <w:bar w:val="nil"/>
        </w:pBdr>
        <w:spacing w:before="0" w:after="0"/>
        <w:ind w:left="142"/>
        <w:rPr>
          <w:i/>
          <w:sz w:val="16"/>
          <w:szCs w:val="16"/>
          <w:bdr w:val="nil"/>
        </w:rPr>
      </w:pPr>
    </w:p>
    <w:p w14:paraId="408FF49D" w14:textId="77777777" w:rsidR="001F6B18" w:rsidRDefault="0027723F" w:rsidP="001F6B18">
      <w:pPr>
        <w:pBdr>
          <w:top w:val="nil"/>
          <w:left w:val="nil"/>
          <w:bottom w:val="nil"/>
          <w:right w:val="nil"/>
          <w:between w:val="nil"/>
          <w:bar w:val="nil"/>
        </w:pBdr>
        <w:spacing w:before="0" w:after="0"/>
        <w:rPr>
          <w:i/>
          <w:sz w:val="16"/>
          <w:szCs w:val="16"/>
          <w:bdr w:val="nil"/>
          <w:lang w:eastAsia="en-AU"/>
        </w:rPr>
      </w:pPr>
      <w:r>
        <w:rPr>
          <w:i/>
          <w:sz w:val="16"/>
          <w:szCs w:val="16"/>
          <w:bdr w:val="nil"/>
          <w:lang w:eastAsia="en-AU"/>
        </w:rPr>
        <w:t>Sources:  ACT General Health Survey</w:t>
      </w:r>
    </w:p>
    <w:p w14:paraId="6DA80925" w14:textId="77777777" w:rsidR="001F6B18" w:rsidRDefault="0027723F" w:rsidP="001F6B18">
      <w:pPr>
        <w:pStyle w:val="Heading4"/>
        <w:pBdr>
          <w:top w:val="nil"/>
          <w:left w:val="nil"/>
          <w:bottom w:val="nil"/>
          <w:right w:val="nil"/>
          <w:between w:val="nil"/>
          <w:bar w:val="nil"/>
        </w:pBdr>
        <w:rPr>
          <w:sz w:val="28"/>
          <w:szCs w:val="26"/>
          <w:bdr w:val="nil"/>
        </w:rPr>
      </w:pPr>
      <w:r>
        <w:rPr>
          <w:szCs w:val="24"/>
          <w:bdr w:val="nil"/>
        </w:rPr>
        <w:t>Strategic Indicator 1.3 -</w:t>
      </w:r>
      <w:r>
        <w:rPr>
          <w:sz w:val="28"/>
          <w:szCs w:val="26"/>
          <w:bdr w:val="nil"/>
        </w:rPr>
        <w:t xml:space="preserve"> </w:t>
      </w:r>
      <w:r>
        <w:rPr>
          <w:bdr w:val="nil"/>
        </w:rPr>
        <w:t>Reducing the Risk of Fractured Femurs in ACT Residents Aged over 75 years</w:t>
      </w:r>
    </w:p>
    <w:p w14:paraId="6273AFAC" w14:textId="77777777" w:rsidR="001F6B18" w:rsidRDefault="0027723F" w:rsidP="001F6B18">
      <w:pPr>
        <w:pBdr>
          <w:top w:val="nil"/>
          <w:left w:val="nil"/>
          <w:bottom w:val="nil"/>
          <w:right w:val="nil"/>
          <w:between w:val="nil"/>
          <w:bar w:val="nil"/>
        </w:pBdr>
        <w:jc w:val="both"/>
        <w:rPr>
          <w:szCs w:val="24"/>
          <w:bdr w:val="nil"/>
        </w:rPr>
      </w:pPr>
      <w:r>
        <w:rPr>
          <w:bdr w:val="nil"/>
        </w:rPr>
        <w:t>This indicator provides an indication of the success of public and community health initiatives to prevent hip fractures.  In 2020-21, the ACT rate of admissions in persons aged 75 years and over with a fractured neck of femur was 5.0 per 1,000 persons in the ACT population.  This is not significantly different to the long-term target and follows a generally decreasing trend over a 10 year period.</w:t>
      </w:r>
    </w:p>
    <w:p w14:paraId="0B275498" w14:textId="77777777" w:rsidR="001F6B18" w:rsidRDefault="0027723F" w:rsidP="001F6B18">
      <w:pPr>
        <w:keepNext/>
        <w:pBdr>
          <w:top w:val="nil"/>
          <w:left w:val="nil"/>
          <w:bottom w:val="nil"/>
          <w:right w:val="nil"/>
          <w:between w:val="nil"/>
          <w:bar w:val="nil"/>
        </w:pBdr>
        <w:spacing w:before="240"/>
        <w:rPr>
          <w:b/>
          <w:bCs/>
          <w:sz w:val="22"/>
          <w:szCs w:val="18"/>
          <w:bdr w:val="nil"/>
        </w:rPr>
      </w:pPr>
      <w:r>
        <w:rPr>
          <w:b/>
          <w:bCs/>
          <w:sz w:val="22"/>
          <w:szCs w:val="18"/>
          <w:bdr w:val="nil"/>
        </w:rPr>
        <w:t>Table 4: Reduction in the rate of broken hips (fractured neck of femur)</w:t>
      </w:r>
    </w:p>
    <w:tbl>
      <w:tblPr>
        <w:tblW w:w="9067" w:type="dxa"/>
        <w:tblInd w:w="113" w:type="dxa"/>
        <w:tblLayout w:type="fixed"/>
        <w:tblLook w:val="04A0" w:firstRow="1" w:lastRow="0" w:firstColumn="1" w:lastColumn="0" w:noHBand="0" w:noVBand="1"/>
      </w:tblPr>
      <w:tblGrid>
        <w:gridCol w:w="6353"/>
        <w:gridCol w:w="1357"/>
        <w:gridCol w:w="1357"/>
      </w:tblGrid>
      <w:tr w:rsidR="00496618" w14:paraId="65C31021" w14:textId="77777777" w:rsidTr="001F6B18">
        <w:tc>
          <w:tcPr>
            <w:tcW w:w="6353" w:type="dxa"/>
            <w:tcBorders>
              <w:top w:val="single" w:sz="4" w:space="0" w:color="auto"/>
              <w:left w:val="nil"/>
              <w:bottom w:val="single" w:sz="4" w:space="0" w:color="auto"/>
              <w:right w:val="nil"/>
            </w:tcBorders>
            <w:vAlign w:val="bottom"/>
            <w:hideMark/>
          </w:tcPr>
          <w:p w14:paraId="13DB36D3" w14:textId="77777777" w:rsidR="001F6B18" w:rsidRDefault="0027723F">
            <w:pPr>
              <w:pBdr>
                <w:top w:val="nil"/>
                <w:left w:val="nil"/>
                <w:bottom w:val="nil"/>
                <w:right w:val="nil"/>
                <w:between w:val="nil"/>
                <w:bar w:val="nil"/>
              </w:pBdr>
              <w:spacing w:before="0" w:after="0" w:line="254" w:lineRule="auto"/>
              <w:ind w:left="227" w:hanging="227"/>
              <w:rPr>
                <w:b/>
                <w:bCs/>
                <w:sz w:val="20"/>
                <w:bdr w:val="nil"/>
              </w:rPr>
            </w:pPr>
            <w:r>
              <w:rPr>
                <w:b/>
                <w:bCs/>
                <w:sz w:val="20"/>
                <w:bdr w:val="nil"/>
              </w:rPr>
              <w:t>Strategic Indicator</w:t>
            </w:r>
          </w:p>
          <w:p w14:paraId="7EE50F66" w14:textId="76396B6D" w:rsidR="007457C3" w:rsidRDefault="007457C3">
            <w:pPr>
              <w:pBdr>
                <w:top w:val="nil"/>
                <w:left w:val="nil"/>
                <w:bottom w:val="nil"/>
                <w:right w:val="nil"/>
                <w:between w:val="nil"/>
                <w:bar w:val="nil"/>
              </w:pBdr>
              <w:spacing w:before="0" w:after="0" w:line="254" w:lineRule="auto"/>
              <w:ind w:left="227" w:hanging="227"/>
              <w:rPr>
                <w:b/>
                <w:bCs/>
                <w:sz w:val="20"/>
                <w:bdr w:val="nil"/>
              </w:rPr>
            </w:pPr>
          </w:p>
        </w:tc>
        <w:tc>
          <w:tcPr>
            <w:tcW w:w="1357" w:type="dxa"/>
            <w:tcBorders>
              <w:top w:val="single" w:sz="4" w:space="0" w:color="auto"/>
              <w:left w:val="nil"/>
              <w:bottom w:val="single" w:sz="4" w:space="0" w:color="auto"/>
              <w:right w:val="nil"/>
            </w:tcBorders>
            <w:hideMark/>
          </w:tcPr>
          <w:p w14:paraId="348CC77F" w14:textId="77777777" w:rsidR="001F6B18" w:rsidRDefault="0027723F">
            <w:pPr>
              <w:pBdr>
                <w:top w:val="nil"/>
                <w:left w:val="nil"/>
                <w:bottom w:val="nil"/>
                <w:right w:val="nil"/>
                <w:between w:val="nil"/>
                <w:bar w:val="nil"/>
              </w:pBdr>
              <w:spacing w:before="0" w:after="0" w:line="254" w:lineRule="auto"/>
              <w:ind w:left="227" w:hanging="227"/>
              <w:jc w:val="right"/>
              <w:rPr>
                <w:b/>
                <w:sz w:val="20"/>
                <w:bdr w:val="nil"/>
              </w:rPr>
            </w:pPr>
            <w:r>
              <w:rPr>
                <w:b/>
                <w:sz w:val="20"/>
                <w:bdr w:val="nil"/>
              </w:rPr>
              <w:t xml:space="preserve">2020-21 </w:t>
            </w:r>
          </w:p>
          <w:p w14:paraId="17CE2E54" w14:textId="77777777" w:rsidR="001F6B18" w:rsidRDefault="0027723F">
            <w:pPr>
              <w:pBdr>
                <w:top w:val="nil"/>
                <w:left w:val="nil"/>
                <w:bottom w:val="nil"/>
                <w:right w:val="nil"/>
                <w:between w:val="nil"/>
                <w:bar w:val="nil"/>
              </w:pBdr>
              <w:spacing w:before="0" w:after="0" w:line="254" w:lineRule="auto"/>
              <w:ind w:left="227" w:hanging="227"/>
              <w:jc w:val="right"/>
              <w:rPr>
                <w:b/>
                <w:sz w:val="20"/>
                <w:highlight w:val="yellow"/>
                <w:bdr w:val="nil"/>
              </w:rPr>
            </w:pPr>
            <w:r>
              <w:rPr>
                <w:b/>
                <w:sz w:val="20"/>
                <w:bdr w:val="nil"/>
              </w:rPr>
              <w:t>ACT Rate</w:t>
            </w:r>
            <w:r w:rsidRPr="00825F16">
              <w:rPr>
                <w:b/>
                <w:sz w:val="20"/>
                <w:bdr w:val="nil"/>
                <w:vertAlign w:val="superscript"/>
              </w:rPr>
              <w:t>1</w:t>
            </w:r>
          </w:p>
        </w:tc>
        <w:tc>
          <w:tcPr>
            <w:tcW w:w="1357" w:type="dxa"/>
            <w:tcBorders>
              <w:top w:val="single" w:sz="4" w:space="0" w:color="auto"/>
              <w:left w:val="nil"/>
              <w:bottom w:val="single" w:sz="4" w:space="0" w:color="auto"/>
              <w:right w:val="nil"/>
            </w:tcBorders>
            <w:hideMark/>
          </w:tcPr>
          <w:p w14:paraId="5BD4022A" w14:textId="77777777" w:rsidR="001F6B18" w:rsidRDefault="0027723F">
            <w:pPr>
              <w:pBdr>
                <w:top w:val="nil"/>
                <w:left w:val="nil"/>
                <w:bottom w:val="nil"/>
                <w:right w:val="nil"/>
                <w:between w:val="nil"/>
                <w:bar w:val="nil"/>
              </w:pBdr>
              <w:spacing w:before="0" w:after="0" w:line="254" w:lineRule="auto"/>
              <w:ind w:left="227" w:hanging="227"/>
              <w:jc w:val="right"/>
              <w:rPr>
                <w:b/>
                <w:sz w:val="20"/>
                <w:bdr w:val="nil"/>
              </w:rPr>
            </w:pPr>
            <w:r>
              <w:rPr>
                <w:b/>
                <w:sz w:val="20"/>
                <w:bdr w:val="nil"/>
              </w:rPr>
              <w:t>Long Term</w:t>
            </w:r>
          </w:p>
          <w:p w14:paraId="6F63E131" w14:textId="77777777" w:rsidR="001F6B18" w:rsidRDefault="0027723F">
            <w:pPr>
              <w:pBdr>
                <w:top w:val="nil"/>
                <w:left w:val="nil"/>
                <w:bottom w:val="nil"/>
                <w:right w:val="nil"/>
                <w:between w:val="nil"/>
                <w:bar w:val="nil"/>
              </w:pBdr>
              <w:spacing w:before="0" w:after="0" w:line="254" w:lineRule="auto"/>
              <w:ind w:left="227" w:hanging="227"/>
              <w:jc w:val="right"/>
              <w:rPr>
                <w:b/>
                <w:sz w:val="20"/>
                <w:bdr w:val="nil"/>
              </w:rPr>
            </w:pPr>
            <w:r>
              <w:rPr>
                <w:b/>
                <w:sz w:val="20"/>
                <w:bdr w:val="nil"/>
              </w:rPr>
              <w:t>Target</w:t>
            </w:r>
          </w:p>
        </w:tc>
      </w:tr>
      <w:tr w:rsidR="00496618" w14:paraId="426DCD03" w14:textId="77777777" w:rsidTr="001F6B18">
        <w:tc>
          <w:tcPr>
            <w:tcW w:w="6353" w:type="dxa"/>
            <w:tcBorders>
              <w:top w:val="single" w:sz="4" w:space="0" w:color="auto"/>
              <w:left w:val="nil"/>
              <w:bottom w:val="single" w:sz="4" w:space="0" w:color="auto"/>
              <w:right w:val="nil"/>
            </w:tcBorders>
            <w:hideMark/>
          </w:tcPr>
          <w:p w14:paraId="074EC198" w14:textId="77777777" w:rsidR="001F6B18" w:rsidRDefault="0027723F">
            <w:pPr>
              <w:pBdr>
                <w:top w:val="nil"/>
                <w:left w:val="nil"/>
                <w:bottom w:val="nil"/>
                <w:right w:val="nil"/>
                <w:between w:val="nil"/>
                <w:bar w:val="nil"/>
              </w:pBdr>
              <w:spacing w:before="0" w:after="0" w:line="254" w:lineRule="auto"/>
              <w:rPr>
                <w:b/>
                <w:bCs/>
                <w:sz w:val="20"/>
                <w:bdr w:val="nil"/>
              </w:rPr>
            </w:pPr>
            <w:r>
              <w:rPr>
                <w:bCs/>
                <w:sz w:val="20"/>
                <w:bdr w:val="nil"/>
              </w:rPr>
              <w:t xml:space="preserve">Rate per 1,000 </w:t>
            </w:r>
            <w:r w:rsidRPr="00A66BA5">
              <w:rPr>
                <w:bCs/>
                <w:sz w:val="20"/>
                <w:bdr w:val="nil"/>
              </w:rPr>
              <w:t>ACT residents aged 75 years and over</w:t>
            </w:r>
          </w:p>
        </w:tc>
        <w:tc>
          <w:tcPr>
            <w:tcW w:w="1357" w:type="dxa"/>
            <w:tcBorders>
              <w:top w:val="single" w:sz="4" w:space="0" w:color="auto"/>
              <w:left w:val="nil"/>
              <w:bottom w:val="single" w:sz="4" w:space="0" w:color="auto"/>
              <w:right w:val="nil"/>
            </w:tcBorders>
            <w:hideMark/>
          </w:tcPr>
          <w:p w14:paraId="7365A481" w14:textId="77777777" w:rsidR="001F6B18" w:rsidRDefault="0027723F" w:rsidP="001F6B18">
            <w:pPr>
              <w:pStyle w:val="BStablefigures00"/>
              <w:pBdr>
                <w:top w:val="nil"/>
                <w:left w:val="nil"/>
                <w:bottom w:val="nil"/>
                <w:right w:val="nil"/>
                <w:between w:val="nil"/>
                <w:bar w:val="nil"/>
              </w:pBdr>
              <w:rPr>
                <w:highlight w:val="yellow"/>
                <w:bdr w:val="nil"/>
              </w:rPr>
            </w:pPr>
            <w:r>
              <w:rPr>
                <w:bdr w:val="nil"/>
              </w:rPr>
              <w:t>5.0</w:t>
            </w:r>
          </w:p>
        </w:tc>
        <w:tc>
          <w:tcPr>
            <w:tcW w:w="1357" w:type="dxa"/>
            <w:tcBorders>
              <w:top w:val="single" w:sz="4" w:space="0" w:color="auto"/>
              <w:left w:val="nil"/>
              <w:bottom w:val="single" w:sz="4" w:space="0" w:color="auto"/>
              <w:right w:val="nil"/>
            </w:tcBorders>
            <w:hideMark/>
          </w:tcPr>
          <w:p w14:paraId="1D64E339" w14:textId="77777777" w:rsidR="001F6B18" w:rsidRDefault="0027723F" w:rsidP="001F6B18">
            <w:pPr>
              <w:pStyle w:val="BStablefigures00"/>
              <w:pBdr>
                <w:top w:val="nil"/>
                <w:left w:val="nil"/>
                <w:bottom w:val="nil"/>
                <w:right w:val="nil"/>
                <w:between w:val="nil"/>
                <w:bar w:val="nil"/>
              </w:pBdr>
              <w:rPr>
                <w:bdr w:val="nil"/>
              </w:rPr>
            </w:pPr>
            <w:r>
              <w:rPr>
                <w:bdr w:val="nil"/>
              </w:rPr>
              <w:tab/>
            </w:r>
            <w:r>
              <w:rPr>
                <w:bdr w:val="nil"/>
              </w:rPr>
              <w:tab/>
              <w:t>5.3</w:t>
            </w:r>
          </w:p>
        </w:tc>
      </w:tr>
    </w:tbl>
    <w:p w14:paraId="095EB4A0" w14:textId="77777777" w:rsidR="001F6B18" w:rsidRDefault="001F6B18" w:rsidP="001F6B18">
      <w:pPr>
        <w:pBdr>
          <w:top w:val="nil"/>
          <w:left w:val="nil"/>
          <w:bottom w:val="nil"/>
          <w:right w:val="nil"/>
          <w:between w:val="nil"/>
          <w:bar w:val="nil"/>
        </w:pBdr>
        <w:spacing w:before="0" w:after="0"/>
        <w:ind w:left="142"/>
        <w:rPr>
          <w:i/>
          <w:sz w:val="16"/>
          <w:szCs w:val="16"/>
          <w:bdr w:val="nil"/>
        </w:rPr>
      </w:pPr>
    </w:p>
    <w:p w14:paraId="11440B03" w14:textId="77777777" w:rsidR="001F6B18" w:rsidRDefault="0027723F" w:rsidP="001F6B18">
      <w:pPr>
        <w:pBdr>
          <w:top w:val="nil"/>
          <w:left w:val="nil"/>
          <w:bottom w:val="nil"/>
          <w:right w:val="nil"/>
          <w:between w:val="nil"/>
          <w:bar w:val="nil"/>
        </w:pBdr>
        <w:spacing w:before="0" w:after="0"/>
        <w:ind w:left="142"/>
        <w:rPr>
          <w:i/>
          <w:sz w:val="16"/>
          <w:szCs w:val="16"/>
          <w:bdr w:val="nil"/>
          <w:lang w:eastAsia="en-AU"/>
        </w:rPr>
      </w:pPr>
      <w:r>
        <w:rPr>
          <w:i/>
          <w:sz w:val="16"/>
          <w:szCs w:val="16"/>
          <w:bdr w:val="nil"/>
          <w:lang w:eastAsia="en-AU"/>
        </w:rPr>
        <w:t>Source:  ACT Admitted Patient Care data (Public Hospital data only)</w:t>
      </w:r>
    </w:p>
    <w:p w14:paraId="7A671DFF" w14:textId="77777777" w:rsidR="001F6B18" w:rsidRDefault="0027723F" w:rsidP="001F6B18">
      <w:pPr>
        <w:pStyle w:val="BSnote"/>
        <w:pBdr>
          <w:top w:val="nil"/>
          <w:left w:val="nil"/>
          <w:bottom w:val="nil"/>
          <w:right w:val="nil"/>
          <w:between w:val="nil"/>
          <w:bar w:val="nil"/>
        </w:pBdr>
        <w:rPr>
          <w:bdr w:val="nil"/>
        </w:rPr>
      </w:pPr>
      <w:r>
        <w:rPr>
          <w:bdr w:val="nil"/>
        </w:rPr>
        <w:t xml:space="preserve">Note: </w:t>
      </w:r>
    </w:p>
    <w:p w14:paraId="60F6AA68" w14:textId="77777777" w:rsidR="001F6B18" w:rsidRDefault="0027723F" w:rsidP="009832FC">
      <w:pPr>
        <w:pStyle w:val="BSnoteslist"/>
        <w:numPr>
          <w:ilvl w:val="0"/>
          <w:numId w:val="8"/>
        </w:numPr>
        <w:pBdr>
          <w:top w:val="nil"/>
          <w:left w:val="nil"/>
          <w:bottom w:val="nil"/>
          <w:right w:val="nil"/>
          <w:between w:val="nil"/>
          <w:bar w:val="nil"/>
        </w:pBdr>
        <w:jc w:val="both"/>
        <w:rPr>
          <w:bdr w:val="nil"/>
        </w:rPr>
      </w:pPr>
      <w:r>
        <w:rPr>
          <w:bdr w:val="nil"/>
        </w:rPr>
        <w:t xml:space="preserve">The rate of fractured neck of femur in ACT residents fluctuates from year to year due to a relatively small ACT population aged 75 years and over. Small changes in the number of cases have large influence over the calculated rate. </w:t>
      </w:r>
    </w:p>
    <w:p w14:paraId="71F451D6" w14:textId="77777777" w:rsidR="001F6B18" w:rsidRDefault="0027723F" w:rsidP="001F6B18">
      <w:pPr>
        <w:pBdr>
          <w:top w:val="nil"/>
          <w:left w:val="nil"/>
          <w:bottom w:val="nil"/>
          <w:right w:val="nil"/>
          <w:between w:val="nil"/>
          <w:bar w:val="nil"/>
        </w:pBdr>
        <w:spacing w:before="0" w:after="0"/>
        <w:rPr>
          <w:b/>
          <w:bCs/>
          <w:sz w:val="28"/>
          <w:szCs w:val="26"/>
          <w:bdr w:val="nil"/>
        </w:rPr>
      </w:pPr>
      <w:r>
        <w:rPr>
          <w:b/>
          <w:bCs/>
          <w:sz w:val="28"/>
          <w:szCs w:val="26"/>
          <w:bdr w:val="nil"/>
        </w:rPr>
        <w:br w:type="page"/>
      </w:r>
    </w:p>
    <w:p w14:paraId="44F47AD3" w14:textId="77777777" w:rsidR="001F6B18" w:rsidRDefault="0027723F" w:rsidP="008E3537">
      <w:pPr>
        <w:pStyle w:val="Heading3"/>
        <w:rPr>
          <w:sz w:val="32"/>
          <w:szCs w:val="32"/>
          <w:bdr w:val="nil"/>
        </w:rPr>
      </w:pPr>
      <w:r>
        <w:rPr>
          <w:bdr w:val="nil"/>
        </w:rPr>
        <w:lastRenderedPageBreak/>
        <w:t>Strategic Objective 2 – A safe, responsive, sustainable public health system</w:t>
      </w:r>
    </w:p>
    <w:p w14:paraId="7218C2B2" w14:textId="6360B771" w:rsidR="001F6B18" w:rsidRDefault="0027723F" w:rsidP="001F6B18">
      <w:pPr>
        <w:pBdr>
          <w:top w:val="nil"/>
          <w:left w:val="nil"/>
          <w:bottom w:val="nil"/>
          <w:right w:val="nil"/>
          <w:between w:val="nil"/>
          <w:bar w:val="nil"/>
        </w:pBdr>
        <w:jc w:val="both"/>
        <w:rPr>
          <w:bdr w:val="nil"/>
        </w:rPr>
      </w:pPr>
      <w:r>
        <w:rPr>
          <w:bdr w:val="nil"/>
        </w:rPr>
        <w:t>Effective delivery of government policy requires coordination, cohesion and alignment of efforts across the ACT public health system. The Directorate plans for our community’s future needs, carefully considering how to allocate resources to best improve health outcomes and enable safe, high-quality care for the community now and into the future. A Territory-wide Health Service</w:t>
      </w:r>
      <w:r w:rsidR="00011509">
        <w:rPr>
          <w:bdr w:val="nil"/>
        </w:rPr>
        <w:t>s</w:t>
      </w:r>
      <w:r>
        <w:rPr>
          <w:bdr w:val="nil"/>
        </w:rPr>
        <w:t xml:space="preserve"> Plan is currently being developed and will provide a system wide view of priorities for health service development and redesign across the ACT, over the next five to ten years. </w:t>
      </w:r>
    </w:p>
    <w:p w14:paraId="3AF222E5" w14:textId="77777777" w:rsidR="001F6B18" w:rsidRDefault="0027723F" w:rsidP="001F6B18">
      <w:pPr>
        <w:pBdr>
          <w:top w:val="nil"/>
          <w:left w:val="nil"/>
          <w:bottom w:val="nil"/>
          <w:right w:val="nil"/>
          <w:between w:val="nil"/>
          <w:bar w:val="nil"/>
        </w:pBdr>
        <w:jc w:val="both"/>
        <w:rPr>
          <w:bdr w:val="nil"/>
        </w:rPr>
      </w:pPr>
      <w:r>
        <w:rPr>
          <w:bdr w:val="nil"/>
        </w:rPr>
        <w:t>The Directorate works to deliver high quality services through:</w:t>
      </w:r>
    </w:p>
    <w:p w14:paraId="76318B52" w14:textId="77777777" w:rsidR="001F6B18" w:rsidRDefault="0027723F" w:rsidP="001F6B18">
      <w:pPr>
        <w:pStyle w:val="BSbullet1"/>
        <w:pBdr>
          <w:top w:val="nil"/>
          <w:left w:val="nil"/>
          <w:bottom w:val="nil"/>
          <w:right w:val="nil"/>
          <w:between w:val="nil"/>
          <w:bar w:val="nil"/>
        </w:pBdr>
        <w:jc w:val="both"/>
        <w:rPr>
          <w:bdr w:val="nil"/>
        </w:rPr>
      </w:pPr>
      <w:r>
        <w:rPr>
          <w:bdr w:val="nil"/>
        </w:rPr>
        <w:t>ensuring our regulatory services remain responsive and risk based and facilitate regulatory compliance through co-design and engagement;</w:t>
      </w:r>
    </w:p>
    <w:p w14:paraId="65BACAB6" w14:textId="77777777" w:rsidR="001F6B18" w:rsidRDefault="0027723F" w:rsidP="001F6B18">
      <w:pPr>
        <w:pStyle w:val="BSbullet1"/>
        <w:pBdr>
          <w:top w:val="nil"/>
          <w:left w:val="nil"/>
          <w:bottom w:val="nil"/>
          <w:right w:val="nil"/>
          <w:between w:val="nil"/>
          <w:bar w:val="nil"/>
        </w:pBdr>
        <w:jc w:val="both"/>
        <w:rPr>
          <w:bdr w:val="nil"/>
        </w:rPr>
      </w:pPr>
      <w:r>
        <w:rPr>
          <w:bdr w:val="nil"/>
        </w:rPr>
        <w:t>embedding and utilising accurate and responsive health data and analytics that inform planning, decision making and service delivery;</w:t>
      </w:r>
    </w:p>
    <w:p w14:paraId="49FFA71F" w14:textId="77777777" w:rsidR="001F6B18" w:rsidRDefault="0027723F" w:rsidP="001F6B18">
      <w:pPr>
        <w:pStyle w:val="BSbullet1"/>
        <w:pBdr>
          <w:top w:val="nil"/>
          <w:left w:val="nil"/>
          <w:bottom w:val="nil"/>
          <w:right w:val="nil"/>
          <w:between w:val="nil"/>
          <w:bar w:val="nil"/>
        </w:pBdr>
        <w:jc w:val="both"/>
        <w:rPr>
          <w:bdr w:val="nil"/>
        </w:rPr>
      </w:pPr>
      <w:r>
        <w:rPr>
          <w:bdr w:val="nil"/>
        </w:rPr>
        <w:t>delivering high quality person-centred digital solutions that enable safe, timely and effective care, improve collaboration and innovation, and are on time and on budget; and</w:t>
      </w:r>
    </w:p>
    <w:p w14:paraId="6FBB2587" w14:textId="77777777" w:rsidR="001F6B18" w:rsidRDefault="0027723F" w:rsidP="001F6B18">
      <w:pPr>
        <w:pStyle w:val="BSbullet1"/>
        <w:pBdr>
          <w:top w:val="nil"/>
          <w:left w:val="nil"/>
          <w:bottom w:val="nil"/>
          <w:right w:val="nil"/>
          <w:between w:val="nil"/>
          <w:bar w:val="nil"/>
        </w:pBdr>
        <w:jc w:val="both"/>
        <w:rPr>
          <w:bdr w:val="nil"/>
        </w:rPr>
      </w:pPr>
      <w:r>
        <w:rPr>
          <w:bdr w:val="nil"/>
        </w:rPr>
        <w:t>driving a dynamic and innovative health and medical research environment that translates research into better health outcomes.</w:t>
      </w:r>
    </w:p>
    <w:p w14:paraId="799BA101" w14:textId="77777777" w:rsidR="001F6B18" w:rsidRDefault="0027723F" w:rsidP="001F6B18">
      <w:pPr>
        <w:pStyle w:val="Heading4"/>
        <w:pBdr>
          <w:top w:val="nil"/>
          <w:left w:val="nil"/>
          <w:bottom w:val="nil"/>
          <w:right w:val="nil"/>
          <w:between w:val="nil"/>
          <w:bar w:val="nil"/>
        </w:pBdr>
        <w:rPr>
          <w:bdr w:val="nil"/>
        </w:rPr>
      </w:pPr>
      <w:r>
        <w:rPr>
          <w:bdr w:val="nil"/>
        </w:rPr>
        <w:t>Strategic Indicator 2.1 - Performing more Elective Surgery</w:t>
      </w:r>
    </w:p>
    <w:p w14:paraId="627C9208" w14:textId="77777777" w:rsidR="001F6B18" w:rsidRDefault="0027723F" w:rsidP="001F6B18">
      <w:pPr>
        <w:pBdr>
          <w:top w:val="nil"/>
          <w:left w:val="nil"/>
          <w:bottom w:val="nil"/>
          <w:right w:val="nil"/>
          <w:between w:val="nil"/>
          <w:bar w:val="nil"/>
        </w:pBdr>
        <w:rPr>
          <w:bdr w:val="nil"/>
        </w:rPr>
      </w:pPr>
      <w:r>
        <w:rPr>
          <w:bdr w:val="nil"/>
        </w:rPr>
        <w:t>Increasing the number of elective surgery procedures performed.</w:t>
      </w:r>
    </w:p>
    <w:p w14:paraId="5FFB21AF" w14:textId="77777777" w:rsidR="001F6B18" w:rsidRDefault="0027723F" w:rsidP="001F6B18">
      <w:pPr>
        <w:keepNext/>
        <w:pBdr>
          <w:top w:val="nil"/>
          <w:left w:val="nil"/>
          <w:bottom w:val="nil"/>
          <w:right w:val="nil"/>
          <w:between w:val="nil"/>
          <w:bar w:val="nil"/>
        </w:pBdr>
        <w:spacing w:before="240"/>
        <w:rPr>
          <w:b/>
          <w:bCs/>
          <w:color w:val="000000"/>
          <w:sz w:val="22"/>
          <w:szCs w:val="18"/>
          <w:bdr w:val="nil"/>
          <w:vertAlign w:val="superscript"/>
        </w:rPr>
      </w:pPr>
      <w:r>
        <w:rPr>
          <w:b/>
          <w:bCs/>
          <w:color w:val="000000"/>
          <w:sz w:val="22"/>
          <w:szCs w:val="18"/>
          <w:bdr w:val="nil"/>
        </w:rPr>
        <w:t>Table 5: Number of elective surgeries performed</w:t>
      </w:r>
    </w:p>
    <w:tbl>
      <w:tblPr>
        <w:tblW w:w="9105" w:type="dxa"/>
        <w:tblLayout w:type="fixed"/>
        <w:tblLook w:val="04A0" w:firstRow="1" w:lastRow="0" w:firstColumn="1" w:lastColumn="0" w:noHBand="0" w:noVBand="1"/>
      </w:tblPr>
      <w:tblGrid>
        <w:gridCol w:w="4837"/>
        <w:gridCol w:w="1426"/>
        <w:gridCol w:w="1421"/>
        <w:gridCol w:w="1421"/>
      </w:tblGrid>
      <w:tr w:rsidR="00496618" w14:paraId="5CA8703E" w14:textId="77777777" w:rsidTr="001F6B18">
        <w:trPr>
          <w:trHeight w:val="134"/>
        </w:trPr>
        <w:tc>
          <w:tcPr>
            <w:tcW w:w="4837" w:type="dxa"/>
            <w:tcBorders>
              <w:top w:val="single" w:sz="4" w:space="0" w:color="auto"/>
              <w:left w:val="nil"/>
              <w:bottom w:val="nil"/>
              <w:right w:val="nil"/>
            </w:tcBorders>
            <w:hideMark/>
          </w:tcPr>
          <w:p w14:paraId="40481C2D" w14:textId="77777777" w:rsidR="001F6B18" w:rsidRDefault="0027723F">
            <w:pPr>
              <w:pBdr>
                <w:top w:val="nil"/>
                <w:left w:val="nil"/>
                <w:bottom w:val="nil"/>
                <w:right w:val="nil"/>
                <w:between w:val="nil"/>
                <w:bar w:val="nil"/>
              </w:pBdr>
              <w:spacing w:before="0" w:after="0" w:line="252" w:lineRule="auto"/>
              <w:ind w:left="227" w:hanging="227"/>
              <w:rPr>
                <w:b/>
                <w:bCs/>
                <w:sz w:val="20"/>
                <w:bdr w:val="nil"/>
              </w:rPr>
            </w:pPr>
            <w:r>
              <w:rPr>
                <w:b/>
                <w:bCs/>
                <w:sz w:val="20"/>
                <w:bdr w:val="nil"/>
              </w:rPr>
              <w:t>Strategic Indicator</w:t>
            </w:r>
          </w:p>
        </w:tc>
        <w:tc>
          <w:tcPr>
            <w:tcW w:w="1426" w:type="dxa"/>
            <w:tcBorders>
              <w:top w:val="single" w:sz="4" w:space="0" w:color="auto"/>
              <w:left w:val="nil"/>
              <w:bottom w:val="nil"/>
              <w:right w:val="nil"/>
            </w:tcBorders>
            <w:hideMark/>
          </w:tcPr>
          <w:p w14:paraId="296DCFE1"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21" w:type="dxa"/>
            <w:tcBorders>
              <w:top w:val="single" w:sz="4" w:space="0" w:color="auto"/>
              <w:left w:val="nil"/>
              <w:bottom w:val="nil"/>
              <w:right w:val="nil"/>
            </w:tcBorders>
            <w:hideMark/>
          </w:tcPr>
          <w:p w14:paraId="74CCA2EE"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21" w:type="dxa"/>
            <w:tcBorders>
              <w:top w:val="single" w:sz="4" w:space="0" w:color="auto"/>
              <w:left w:val="nil"/>
              <w:bottom w:val="nil"/>
              <w:right w:val="nil"/>
            </w:tcBorders>
            <w:hideMark/>
          </w:tcPr>
          <w:p w14:paraId="69938D81"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2021-22</w:t>
            </w:r>
          </w:p>
        </w:tc>
      </w:tr>
      <w:tr w:rsidR="00496618" w14:paraId="3F4DF1FB" w14:textId="77777777" w:rsidTr="001F6B18">
        <w:tc>
          <w:tcPr>
            <w:tcW w:w="4837" w:type="dxa"/>
            <w:tcBorders>
              <w:top w:val="nil"/>
              <w:left w:val="nil"/>
              <w:bottom w:val="single" w:sz="4" w:space="0" w:color="auto"/>
              <w:right w:val="nil"/>
            </w:tcBorders>
          </w:tcPr>
          <w:p w14:paraId="44E6E752" w14:textId="77777777" w:rsidR="001F6B18" w:rsidRDefault="001F6B18">
            <w:pPr>
              <w:pBdr>
                <w:top w:val="nil"/>
                <w:left w:val="nil"/>
                <w:bottom w:val="nil"/>
                <w:right w:val="nil"/>
                <w:between w:val="nil"/>
                <w:bar w:val="nil"/>
              </w:pBdr>
              <w:spacing w:before="0" w:after="0" w:line="252" w:lineRule="auto"/>
              <w:ind w:left="227" w:hanging="227"/>
              <w:rPr>
                <w:b/>
                <w:bCs/>
                <w:sz w:val="20"/>
                <w:bdr w:val="nil"/>
              </w:rPr>
            </w:pPr>
          </w:p>
        </w:tc>
        <w:tc>
          <w:tcPr>
            <w:tcW w:w="1426" w:type="dxa"/>
            <w:tcBorders>
              <w:top w:val="nil"/>
              <w:left w:val="nil"/>
              <w:bottom w:val="single" w:sz="4" w:space="0" w:color="auto"/>
              <w:right w:val="nil"/>
            </w:tcBorders>
            <w:hideMark/>
          </w:tcPr>
          <w:p w14:paraId="694504BC"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c>
          <w:tcPr>
            <w:tcW w:w="1421" w:type="dxa"/>
            <w:tcBorders>
              <w:top w:val="nil"/>
              <w:left w:val="nil"/>
              <w:bottom w:val="single" w:sz="4" w:space="0" w:color="auto"/>
              <w:right w:val="nil"/>
            </w:tcBorders>
            <w:hideMark/>
          </w:tcPr>
          <w:p w14:paraId="17D3993C" w14:textId="77777777" w:rsidR="001F6B18" w:rsidRDefault="0027723F" w:rsidP="001F6B18">
            <w:pPr>
              <w:pBdr>
                <w:top w:val="nil"/>
                <w:left w:val="nil"/>
                <w:bottom w:val="nil"/>
                <w:right w:val="nil"/>
                <w:between w:val="nil"/>
                <w:bar w:val="nil"/>
              </w:pBdr>
              <w:spacing w:before="0" w:after="0" w:line="252" w:lineRule="auto"/>
              <w:ind w:left="227" w:hanging="227"/>
              <w:jc w:val="right"/>
              <w:rPr>
                <w:b/>
                <w:sz w:val="20"/>
                <w:bdr w:val="nil"/>
              </w:rPr>
            </w:pPr>
            <w:r>
              <w:rPr>
                <w:b/>
                <w:sz w:val="20"/>
                <w:bdr w:val="nil"/>
              </w:rPr>
              <w:t>Interim Outcome</w:t>
            </w:r>
            <w:r w:rsidRPr="00825F16">
              <w:rPr>
                <w:b/>
                <w:sz w:val="20"/>
                <w:bdr w:val="nil"/>
                <w:vertAlign w:val="superscript"/>
              </w:rPr>
              <w:t>1</w:t>
            </w:r>
          </w:p>
        </w:tc>
        <w:tc>
          <w:tcPr>
            <w:tcW w:w="1421" w:type="dxa"/>
            <w:tcBorders>
              <w:top w:val="nil"/>
              <w:left w:val="nil"/>
              <w:bottom w:val="single" w:sz="4" w:space="0" w:color="auto"/>
              <w:right w:val="nil"/>
            </w:tcBorders>
            <w:hideMark/>
          </w:tcPr>
          <w:p w14:paraId="2BAA4CB8" w14:textId="60CB03C0"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r w:rsidR="000C26FB" w:rsidRPr="000C26FB">
              <w:rPr>
                <w:b/>
                <w:bCs/>
                <w:sz w:val="20"/>
                <w:bdr w:val="nil"/>
                <w:vertAlign w:val="superscript"/>
              </w:rPr>
              <w:t>2</w:t>
            </w:r>
          </w:p>
        </w:tc>
      </w:tr>
      <w:tr w:rsidR="00496618" w14:paraId="6BE3525D" w14:textId="77777777" w:rsidTr="001F6B18">
        <w:trPr>
          <w:trHeight w:val="70"/>
        </w:trPr>
        <w:tc>
          <w:tcPr>
            <w:tcW w:w="4837" w:type="dxa"/>
            <w:tcBorders>
              <w:top w:val="single" w:sz="4" w:space="0" w:color="auto"/>
              <w:left w:val="nil"/>
              <w:bottom w:val="single" w:sz="4" w:space="0" w:color="auto"/>
              <w:right w:val="nil"/>
            </w:tcBorders>
            <w:hideMark/>
          </w:tcPr>
          <w:p w14:paraId="2C48FA6F" w14:textId="77777777" w:rsidR="001F6B18" w:rsidRDefault="0027723F">
            <w:pPr>
              <w:pBdr>
                <w:top w:val="nil"/>
                <w:left w:val="nil"/>
                <w:bottom w:val="nil"/>
                <w:right w:val="nil"/>
                <w:between w:val="nil"/>
                <w:bar w:val="nil"/>
              </w:pBdr>
              <w:spacing w:before="0" w:after="0" w:line="252" w:lineRule="auto"/>
              <w:ind w:left="227" w:hanging="227"/>
              <w:rPr>
                <w:bCs/>
                <w:sz w:val="20"/>
                <w:bdr w:val="nil"/>
              </w:rPr>
            </w:pPr>
            <w:r>
              <w:rPr>
                <w:bCs/>
                <w:sz w:val="20"/>
                <w:bdr w:val="nil"/>
              </w:rPr>
              <w:t>Number of elective surgeries performed</w:t>
            </w:r>
          </w:p>
        </w:tc>
        <w:tc>
          <w:tcPr>
            <w:tcW w:w="1426" w:type="dxa"/>
            <w:tcBorders>
              <w:top w:val="single" w:sz="4" w:space="0" w:color="auto"/>
              <w:left w:val="nil"/>
              <w:bottom w:val="single" w:sz="4" w:space="0" w:color="auto"/>
              <w:right w:val="nil"/>
            </w:tcBorders>
            <w:hideMark/>
          </w:tcPr>
          <w:p w14:paraId="06BC3C69" w14:textId="77777777" w:rsidR="001F6B18" w:rsidRDefault="0027723F">
            <w:pPr>
              <w:pBdr>
                <w:top w:val="nil"/>
                <w:left w:val="nil"/>
                <w:bottom w:val="nil"/>
                <w:right w:val="nil"/>
                <w:between w:val="nil"/>
                <w:bar w:val="nil"/>
              </w:pBdr>
              <w:spacing w:before="0" w:after="0" w:line="252" w:lineRule="auto"/>
              <w:ind w:left="227" w:hanging="227"/>
              <w:jc w:val="right"/>
              <w:rPr>
                <w:sz w:val="20"/>
                <w:bdr w:val="nil"/>
              </w:rPr>
            </w:pPr>
            <w:r>
              <w:rPr>
                <w:sz w:val="20"/>
                <w:bdr w:val="nil"/>
              </w:rPr>
              <w:t>&gt;16,000</w:t>
            </w:r>
          </w:p>
        </w:tc>
        <w:tc>
          <w:tcPr>
            <w:tcW w:w="1421" w:type="dxa"/>
            <w:tcBorders>
              <w:top w:val="single" w:sz="4" w:space="0" w:color="auto"/>
              <w:left w:val="nil"/>
              <w:bottom w:val="single" w:sz="4" w:space="0" w:color="auto"/>
              <w:right w:val="nil"/>
            </w:tcBorders>
            <w:hideMark/>
          </w:tcPr>
          <w:p w14:paraId="7E663194" w14:textId="77777777" w:rsidR="001F6B18" w:rsidRDefault="0027723F">
            <w:pPr>
              <w:pBdr>
                <w:top w:val="nil"/>
                <w:left w:val="nil"/>
                <w:bottom w:val="nil"/>
                <w:right w:val="nil"/>
                <w:between w:val="nil"/>
                <w:bar w:val="nil"/>
              </w:pBdr>
              <w:spacing w:before="0" w:after="0" w:line="252" w:lineRule="auto"/>
              <w:ind w:left="227" w:hanging="227"/>
              <w:jc w:val="right"/>
              <w:rPr>
                <w:sz w:val="20"/>
                <w:bdr w:val="nil"/>
              </w:rPr>
            </w:pPr>
            <w:r>
              <w:rPr>
                <w:sz w:val="20"/>
                <w:bdr w:val="nil"/>
              </w:rPr>
              <w:t>15,324</w:t>
            </w:r>
          </w:p>
        </w:tc>
        <w:tc>
          <w:tcPr>
            <w:tcW w:w="1421" w:type="dxa"/>
            <w:tcBorders>
              <w:top w:val="single" w:sz="4" w:space="0" w:color="auto"/>
              <w:left w:val="nil"/>
              <w:bottom w:val="single" w:sz="4" w:space="0" w:color="auto"/>
              <w:right w:val="nil"/>
            </w:tcBorders>
            <w:hideMark/>
          </w:tcPr>
          <w:p w14:paraId="3188E5C4" w14:textId="7118D5B2" w:rsidR="001F6B18" w:rsidRDefault="0027723F">
            <w:pPr>
              <w:pBdr>
                <w:top w:val="nil"/>
                <w:left w:val="nil"/>
                <w:bottom w:val="nil"/>
                <w:right w:val="nil"/>
                <w:between w:val="nil"/>
                <w:bar w:val="nil"/>
              </w:pBdr>
              <w:spacing w:before="0" w:after="0" w:line="252" w:lineRule="auto"/>
              <w:ind w:left="227" w:hanging="227"/>
              <w:jc w:val="right"/>
              <w:rPr>
                <w:sz w:val="20"/>
                <w:bdr w:val="nil"/>
              </w:rPr>
            </w:pPr>
            <w:r>
              <w:rPr>
                <w:sz w:val="20"/>
                <w:bdr w:val="nil"/>
              </w:rPr>
              <w:t>14,800</w:t>
            </w:r>
          </w:p>
        </w:tc>
      </w:tr>
    </w:tbl>
    <w:p w14:paraId="0ADBA28A" w14:textId="77777777" w:rsidR="001F6B18" w:rsidRDefault="0027723F" w:rsidP="001F6B18">
      <w:pPr>
        <w:pStyle w:val="BSnote"/>
        <w:pBdr>
          <w:top w:val="nil"/>
          <w:left w:val="nil"/>
          <w:bottom w:val="nil"/>
          <w:right w:val="nil"/>
          <w:between w:val="nil"/>
          <w:bar w:val="nil"/>
        </w:pBdr>
        <w:rPr>
          <w:bdr w:val="nil"/>
        </w:rPr>
      </w:pPr>
      <w:r>
        <w:rPr>
          <w:bdr w:val="nil"/>
        </w:rPr>
        <w:t xml:space="preserve">Notes: </w:t>
      </w:r>
    </w:p>
    <w:p w14:paraId="6C1C4AC7" w14:textId="6E183496" w:rsidR="000C26FB" w:rsidRPr="000C26FB" w:rsidRDefault="00011509" w:rsidP="009832FC">
      <w:pPr>
        <w:pStyle w:val="BSnoteslist"/>
        <w:numPr>
          <w:ilvl w:val="0"/>
          <w:numId w:val="9"/>
        </w:numPr>
        <w:pBdr>
          <w:top w:val="nil"/>
          <w:left w:val="nil"/>
          <w:bottom w:val="nil"/>
          <w:right w:val="nil"/>
          <w:between w:val="nil"/>
          <w:bar w:val="nil"/>
        </w:pBdr>
        <w:ind w:left="357" w:hanging="357"/>
        <w:jc w:val="both"/>
        <w:rPr>
          <w:b/>
          <w:bCs/>
          <w:i/>
          <w:szCs w:val="18"/>
          <w:bdr w:val="nil"/>
        </w:rPr>
      </w:pPr>
      <w:r w:rsidRPr="000C26FB">
        <w:rPr>
          <w:bdr w:val="nil"/>
        </w:rPr>
        <w:t xml:space="preserve">As part of the COVID-19 recovery project, the </w:t>
      </w:r>
      <w:r>
        <w:rPr>
          <w:bdr w:val="nil"/>
        </w:rPr>
        <w:t xml:space="preserve">ACT aimed to deliver more </w:t>
      </w:r>
      <w:r w:rsidRPr="000C26FB">
        <w:rPr>
          <w:bdr w:val="nil"/>
        </w:rPr>
        <w:t xml:space="preserve">than 16,000 </w:t>
      </w:r>
      <w:r>
        <w:rPr>
          <w:bdr w:val="nil"/>
        </w:rPr>
        <w:t>elective surgeries</w:t>
      </w:r>
      <w:r w:rsidRPr="000C26FB">
        <w:rPr>
          <w:bdr w:val="nil"/>
        </w:rPr>
        <w:t xml:space="preserve">. The Territory achieved 95 per cent of the target and achieved a record number of surgeries for the year. </w:t>
      </w:r>
      <w:r>
        <w:rPr>
          <w:bdr w:val="nil"/>
        </w:rPr>
        <w:t>Full achievement of the target was constrained mainly by the availability of sufficient clinical workforce, especially where public and private elective surgery was recovering nationwide from the early pandemic suspensions and border restrictions continued to impact on clinical workforce movement</w:t>
      </w:r>
      <w:r w:rsidR="000C26FB" w:rsidRPr="000C26FB">
        <w:rPr>
          <w:szCs w:val="18"/>
          <w:bdr w:val="nil"/>
        </w:rPr>
        <w:t>.</w:t>
      </w:r>
    </w:p>
    <w:p w14:paraId="755AA57B" w14:textId="20CB123E" w:rsidR="001F6B18" w:rsidRPr="000C26FB" w:rsidRDefault="00011509" w:rsidP="009832FC">
      <w:pPr>
        <w:pStyle w:val="BSnoteslist"/>
        <w:numPr>
          <w:ilvl w:val="0"/>
          <w:numId w:val="9"/>
        </w:numPr>
        <w:pBdr>
          <w:top w:val="nil"/>
          <w:left w:val="nil"/>
          <w:bottom w:val="nil"/>
          <w:right w:val="nil"/>
          <w:between w:val="nil"/>
          <w:bar w:val="nil"/>
        </w:pBdr>
        <w:spacing w:after="240"/>
        <w:jc w:val="both"/>
        <w:rPr>
          <w:b/>
          <w:bCs/>
          <w:i/>
          <w:szCs w:val="18"/>
          <w:bdr w:val="nil"/>
        </w:rPr>
      </w:pPr>
      <w:r w:rsidRPr="000C26FB">
        <w:rPr>
          <w:szCs w:val="18"/>
          <w:bdr w:val="nil"/>
        </w:rPr>
        <w:t xml:space="preserve">The 2020-21 target </w:t>
      </w:r>
      <w:r>
        <w:rPr>
          <w:szCs w:val="18"/>
          <w:bdr w:val="nil"/>
        </w:rPr>
        <w:t xml:space="preserve">was above trend growth on account of </w:t>
      </w:r>
      <w:r w:rsidRPr="000C26FB">
        <w:rPr>
          <w:szCs w:val="18"/>
          <w:bdr w:val="nil"/>
        </w:rPr>
        <w:t xml:space="preserve">the </w:t>
      </w:r>
      <w:r>
        <w:rPr>
          <w:szCs w:val="18"/>
          <w:bdr w:val="nil"/>
        </w:rPr>
        <w:t xml:space="preserve">COVID-19 </w:t>
      </w:r>
      <w:r w:rsidRPr="000C26FB">
        <w:rPr>
          <w:szCs w:val="18"/>
          <w:bdr w:val="nil"/>
        </w:rPr>
        <w:t xml:space="preserve">recovery project, </w:t>
      </w:r>
      <w:r>
        <w:rPr>
          <w:szCs w:val="18"/>
          <w:bdr w:val="nil"/>
        </w:rPr>
        <w:t>as outlined above.</w:t>
      </w:r>
      <w:r w:rsidRPr="000C26FB">
        <w:rPr>
          <w:szCs w:val="18"/>
          <w:bdr w:val="nil"/>
        </w:rPr>
        <w:t xml:space="preserve">  </w:t>
      </w:r>
      <w:r>
        <w:rPr>
          <w:szCs w:val="18"/>
          <w:bdr w:val="nil"/>
        </w:rPr>
        <w:t>The 2021</w:t>
      </w:r>
      <w:r>
        <w:rPr>
          <w:szCs w:val="18"/>
          <w:bdr w:val="nil"/>
        </w:rPr>
        <w:noBreakHyphen/>
        <w:t>22 target does not as yet take account of the introduction of a new non-admitted model of care for some urology services.  This was funded through the 2019-20 Budget and becomes operational in 2021-22.  Data on the impact of the new model of care on urology surgeries will be collected and analysed throughout 2021-22</w:t>
      </w:r>
      <w:r w:rsidR="0027723F" w:rsidRPr="000C26FB">
        <w:rPr>
          <w:szCs w:val="18"/>
          <w:bdr w:val="nil"/>
        </w:rPr>
        <w:t>.</w:t>
      </w:r>
      <w:r w:rsidR="0027723F" w:rsidRPr="000C26FB">
        <w:rPr>
          <w:szCs w:val="18"/>
          <w:bdr w:val="nil"/>
        </w:rPr>
        <w:br w:type="page"/>
      </w:r>
    </w:p>
    <w:p w14:paraId="318B49DC" w14:textId="77777777" w:rsidR="001F6B18" w:rsidRDefault="0027723F" w:rsidP="001F6B18">
      <w:pPr>
        <w:pStyle w:val="Heading4"/>
        <w:pBdr>
          <w:top w:val="nil"/>
          <w:left w:val="nil"/>
          <w:bottom w:val="nil"/>
          <w:right w:val="nil"/>
          <w:between w:val="nil"/>
          <w:bar w:val="nil"/>
        </w:pBdr>
        <w:rPr>
          <w:sz w:val="28"/>
          <w:szCs w:val="26"/>
          <w:bdr w:val="nil"/>
        </w:rPr>
      </w:pPr>
      <w:r>
        <w:rPr>
          <w:szCs w:val="24"/>
          <w:bdr w:val="nil"/>
        </w:rPr>
        <w:lastRenderedPageBreak/>
        <w:t>Strategic Indicator 2.2 -</w:t>
      </w:r>
      <w:r>
        <w:rPr>
          <w:sz w:val="28"/>
          <w:szCs w:val="26"/>
          <w:bdr w:val="nil"/>
        </w:rPr>
        <w:t xml:space="preserve"> </w:t>
      </w:r>
      <w:r>
        <w:rPr>
          <w:bdr w:val="nil"/>
        </w:rPr>
        <w:t>Reducing the Waiting List for Elective Surgery</w:t>
      </w:r>
    </w:p>
    <w:p w14:paraId="479D3F3C" w14:textId="77777777" w:rsidR="001F6B18" w:rsidRDefault="0027723F" w:rsidP="001F6B18">
      <w:pPr>
        <w:pBdr>
          <w:top w:val="nil"/>
          <w:left w:val="nil"/>
          <w:bottom w:val="nil"/>
          <w:right w:val="nil"/>
          <w:between w:val="nil"/>
          <w:bar w:val="nil"/>
        </w:pBdr>
        <w:jc w:val="both"/>
        <w:rPr>
          <w:bdr w:val="nil"/>
        </w:rPr>
      </w:pPr>
      <w:r>
        <w:rPr>
          <w:bdr w:val="nil"/>
        </w:rPr>
        <w:t>Reducing the number of people waiting longer than clinically recommended timeframes for elective surgery.</w:t>
      </w:r>
    </w:p>
    <w:p w14:paraId="768FB11E" w14:textId="77777777" w:rsidR="001F6B18" w:rsidRDefault="0027723F" w:rsidP="001F6B18">
      <w:pPr>
        <w:keepNext/>
        <w:pBdr>
          <w:top w:val="nil"/>
          <w:left w:val="nil"/>
          <w:bottom w:val="nil"/>
          <w:right w:val="nil"/>
          <w:between w:val="nil"/>
          <w:bar w:val="nil"/>
        </w:pBdr>
        <w:spacing w:before="240"/>
        <w:jc w:val="both"/>
        <w:rPr>
          <w:b/>
          <w:bCs/>
          <w:color w:val="000000"/>
          <w:sz w:val="22"/>
          <w:szCs w:val="18"/>
          <w:bdr w:val="nil"/>
        </w:rPr>
      </w:pPr>
      <w:r>
        <w:rPr>
          <w:b/>
          <w:bCs/>
          <w:color w:val="000000"/>
          <w:sz w:val="22"/>
          <w:szCs w:val="18"/>
          <w:bdr w:val="nil"/>
        </w:rPr>
        <w:t>Table 6: The number of patients waiting longer than clinically recommended timeframes for elective surgery</w:t>
      </w:r>
    </w:p>
    <w:tbl>
      <w:tblPr>
        <w:tblW w:w="9180" w:type="dxa"/>
        <w:tblLayout w:type="fixed"/>
        <w:tblLook w:val="04A0" w:firstRow="1" w:lastRow="0" w:firstColumn="1" w:lastColumn="0" w:noHBand="0" w:noVBand="1"/>
      </w:tblPr>
      <w:tblGrid>
        <w:gridCol w:w="4975"/>
        <w:gridCol w:w="1401"/>
        <w:gridCol w:w="1402"/>
        <w:gridCol w:w="1402"/>
      </w:tblGrid>
      <w:tr w:rsidR="00496618" w14:paraId="058E5D35" w14:textId="77777777" w:rsidTr="001F6B18">
        <w:trPr>
          <w:trHeight w:val="166"/>
        </w:trPr>
        <w:tc>
          <w:tcPr>
            <w:tcW w:w="4975" w:type="dxa"/>
            <w:tcBorders>
              <w:top w:val="single" w:sz="4" w:space="0" w:color="auto"/>
              <w:left w:val="nil"/>
              <w:bottom w:val="nil"/>
              <w:right w:val="nil"/>
            </w:tcBorders>
            <w:hideMark/>
          </w:tcPr>
          <w:p w14:paraId="018AC151" w14:textId="77777777" w:rsidR="001F6B18" w:rsidRDefault="0027723F">
            <w:pPr>
              <w:pBdr>
                <w:top w:val="nil"/>
                <w:left w:val="nil"/>
                <w:bottom w:val="nil"/>
                <w:right w:val="nil"/>
                <w:between w:val="nil"/>
                <w:bar w:val="nil"/>
              </w:pBdr>
              <w:spacing w:before="0" w:after="0" w:line="252" w:lineRule="auto"/>
              <w:ind w:left="227" w:hanging="227"/>
              <w:rPr>
                <w:b/>
                <w:bCs/>
                <w:sz w:val="20"/>
                <w:bdr w:val="nil"/>
              </w:rPr>
            </w:pPr>
            <w:r>
              <w:rPr>
                <w:b/>
                <w:bCs/>
                <w:sz w:val="20"/>
                <w:bdr w:val="nil"/>
              </w:rPr>
              <w:t>Strategic Indicator</w:t>
            </w:r>
          </w:p>
        </w:tc>
        <w:tc>
          <w:tcPr>
            <w:tcW w:w="1401" w:type="dxa"/>
            <w:tcBorders>
              <w:top w:val="single" w:sz="4" w:space="0" w:color="auto"/>
              <w:left w:val="nil"/>
              <w:bottom w:val="nil"/>
              <w:right w:val="nil"/>
            </w:tcBorders>
            <w:hideMark/>
          </w:tcPr>
          <w:p w14:paraId="4326E5D1"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02" w:type="dxa"/>
            <w:tcBorders>
              <w:top w:val="single" w:sz="4" w:space="0" w:color="auto"/>
              <w:left w:val="nil"/>
              <w:bottom w:val="nil"/>
              <w:right w:val="nil"/>
            </w:tcBorders>
            <w:hideMark/>
          </w:tcPr>
          <w:p w14:paraId="464B4EE7"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02" w:type="dxa"/>
            <w:tcBorders>
              <w:top w:val="single" w:sz="4" w:space="0" w:color="auto"/>
              <w:left w:val="nil"/>
              <w:bottom w:val="nil"/>
              <w:right w:val="nil"/>
            </w:tcBorders>
            <w:hideMark/>
          </w:tcPr>
          <w:p w14:paraId="521EE043"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2021-22</w:t>
            </w:r>
          </w:p>
        </w:tc>
      </w:tr>
      <w:tr w:rsidR="00496618" w14:paraId="76D22657" w14:textId="77777777" w:rsidTr="001F6B18">
        <w:trPr>
          <w:trHeight w:val="316"/>
        </w:trPr>
        <w:tc>
          <w:tcPr>
            <w:tcW w:w="4975" w:type="dxa"/>
            <w:tcBorders>
              <w:top w:val="nil"/>
              <w:left w:val="nil"/>
              <w:bottom w:val="single" w:sz="4" w:space="0" w:color="auto"/>
              <w:right w:val="nil"/>
            </w:tcBorders>
          </w:tcPr>
          <w:p w14:paraId="419A7F30" w14:textId="77777777" w:rsidR="001F6B18" w:rsidRDefault="001F6B18">
            <w:pPr>
              <w:pBdr>
                <w:top w:val="nil"/>
                <w:left w:val="nil"/>
                <w:bottom w:val="nil"/>
                <w:right w:val="nil"/>
                <w:between w:val="nil"/>
                <w:bar w:val="nil"/>
              </w:pBdr>
              <w:spacing w:before="0" w:after="0" w:line="252" w:lineRule="auto"/>
              <w:ind w:left="227" w:hanging="227"/>
              <w:rPr>
                <w:b/>
                <w:bCs/>
                <w:sz w:val="20"/>
                <w:bdr w:val="nil"/>
              </w:rPr>
            </w:pPr>
          </w:p>
        </w:tc>
        <w:tc>
          <w:tcPr>
            <w:tcW w:w="1401" w:type="dxa"/>
            <w:tcBorders>
              <w:top w:val="nil"/>
              <w:left w:val="nil"/>
              <w:bottom w:val="single" w:sz="4" w:space="0" w:color="auto"/>
              <w:right w:val="nil"/>
            </w:tcBorders>
            <w:hideMark/>
          </w:tcPr>
          <w:p w14:paraId="5F0E3279"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c>
          <w:tcPr>
            <w:tcW w:w="1402" w:type="dxa"/>
            <w:tcBorders>
              <w:top w:val="nil"/>
              <w:left w:val="nil"/>
              <w:bottom w:val="single" w:sz="4" w:space="0" w:color="auto"/>
              <w:right w:val="nil"/>
            </w:tcBorders>
            <w:hideMark/>
          </w:tcPr>
          <w:p w14:paraId="3EB32439"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Interim Outcome</w:t>
            </w:r>
            <w:r w:rsidRPr="00C06982">
              <w:rPr>
                <w:b/>
                <w:sz w:val="20"/>
                <w:bdr w:val="nil"/>
                <w:vertAlign w:val="superscript"/>
              </w:rPr>
              <w:t>1</w:t>
            </w:r>
          </w:p>
        </w:tc>
        <w:tc>
          <w:tcPr>
            <w:tcW w:w="1402" w:type="dxa"/>
            <w:tcBorders>
              <w:top w:val="nil"/>
              <w:left w:val="nil"/>
              <w:bottom w:val="single" w:sz="4" w:space="0" w:color="auto"/>
              <w:right w:val="nil"/>
            </w:tcBorders>
            <w:hideMark/>
          </w:tcPr>
          <w:p w14:paraId="7981777E"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r>
      <w:tr w:rsidR="00496618" w14:paraId="2295C5DA" w14:textId="77777777" w:rsidTr="001F6B18">
        <w:trPr>
          <w:trHeight w:val="263"/>
        </w:trPr>
        <w:tc>
          <w:tcPr>
            <w:tcW w:w="4975" w:type="dxa"/>
            <w:tcBorders>
              <w:top w:val="single" w:sz="4" w:space="0" w:color="auto"/>
              <w:left w:val="nil"/>
              <w:bottom w:val="single" w:sz="4" w:space="0" w:color="auto"/>
              <w:right w:val="nil"/>
            </w:tcBorders>
            <w:hideMark/>
          </w:tcPr>
          <w:p w14:paraId="7715C453" w14:textId="77777777" w:rsidR="001F6B18" w:rsidRDefault="0027723F">
            <w:pPr>
              <w:pBdr>
                <w:top w:val="nil"/>
                <w:left w:val="nil"/>
                <w:bottom w:val="nil"/>
                <w:right w:val="nil"/>
                <w:between w:val="nil"/>
                <w:bar w:val="nil"/>
              </w:pBdr>
              <w:spacing w:before="0" w:after="0" w:line="252" w:lineRule="auto"/>
              <w:ind w:left="227" w:hanging="227"/>
              <w:rPr>
                <w:bCs/>
                <w:sz w:val="20"/>
                <w:bdr w:val="nil"/>
              </w:rPr>
            </w:pPr>
            <w:r>
              <w:rPr>
                <w:bCs/>
                <w:sz w:val="20"/>
                <w:bdr w:val="nil"/>
              </w:rPr>
              <w:t>The number of patients waiting longer than clinically recommended timeframes for elective surgery</w:t>
            </w:r>
          </w:p>
        </w:tc>
        <w:tc>
          <w:tcPr>
            <w:tcW w:w="1401" w:type="dxa"/>
            <w:tcBorders>
              <w:top w:val="single" w:sz="4" w:space="0" w:color="auto"/>
              <w:left w:val="nil"/>
              <w:bottom w:val="single" w:sz="4" w:space="0" w:color="auto"/>
              <w:right w:val="nil"/>
            </w:tcBorders>
            <w:hideMark/>
          </w:tcPr>
          <w:p w14:paraId="19199393" w14:textId="77777777" w:rsidR="001F6B18" w:rsidRDefault="0027723F">
            <w:pPr>
              <w:pBdr>
                <w:top w:val="nil"/>
                <w:left w:val="nil"/>
                <w:bottom w:val="nil"/>
                <w:right w:val="nil"/>
                <w:between w:val="nil"/>
                <w:bar w:val="nil"/>
              </w:pBdr>
              <w:spacing w:before="0" w:after="0" w:line="252" w:lineRule="auto"/>
              <w:ind w:left="227" w:hanging="227"/>
              <w:jc w:val="right"/>
              <w:rPr>
                <w:sz w:val="20"/>
                <w:bdr w:val="nil"/>
              </w:rPr>
            </w:pPr>
            <w:r>
              <w:rPr>
                <w:sz w:val="20"/>
                <w:bdr w:val="nil"/>
              </w:rPr>
              <w:t>430</w:t>
            </w:r>
          </w:p>
        </w:tc>
        <w:tc>
          <w:tcPr>
            <w:tcW w:w="1402" w:type="dxa"/>
            <w:tcBorders>
              <w:top w:val="single" w:sz="4" w:space="0" w:color="auto"/>
              <w:left w:val="nil"/>
              <w:bottom w:val="single" w:sz="4" w:space="0" w:color="auto"/>
              <w:right w:val="nil"/>
            </w:tcBorders>
            <w:hideMark/>
          </w:tcPr>
          <w:p w14:paraId="053F25C7" w14:textId="77777777" w:rsidR="001F6B18" w:rsidRDefault="0027723F" w:rsidP="001F6B18">
            <w:pPr>
              <w:pBdr>
                <w:top w:val="nil"/>
                <w:left w:val="nil"/>
                <w:bottom w:val="nil"/>
                <w:right w:val="nil"/>
                <w:between w:val="nil"/>
                <w:bar w:val="nil"/>
              </w:pBdr>
              <w:spacing w:before="0" w:after="0" w:line="252" w:lineRule="auto"/>
              <w:ind w:left="227" w:hanging="227"/>
              <w:jc w:val="right"/>
              <w:rPr>
                <w:sz w:val="20"/>
                <w:bdr w:val="nil"/>
              </w:rPr>
            </w:pPr>
            <w:r>
              <w:rPr>
                <w:sz w:val="20"/>
                <w:bdr w:val="nil"/>
              </w:rPr>
              <w:t xml:space="preserve">          773</w:t>
            </w:r>
          </w:p>
        </w:tc>
        <w:tc>
          <w:tcPr>
            <w:tcW w:w="1402" w:type="dxa"/>
            <w:tcBorders>
              <w:top w:val="single" w:sz="4" w:space="0" w:color="auto"/>
              <w:left w:val="nil"/>
              <w:bottom w:val="single" w:sz="4" w:space="0" w:color="auto"/>
              <w:right w:val="nil"/>
            </w:tcBorders>
            <w:hideMark/>
          </w:tcPr>
          <w:p w14:paraId="6298FFAF" w14:textId="77777777" w:rsidR="001F6B18" w:rsidRDefault="0027723F">
            <w:pPr>
              <w:pBdr>
                <w:top w:val="nil"/>
                <w:left w:val="nil"/>
                <w:bottom w:val="nil"/>
                <w:right w:val="nil"/>
                <w:between w:val="nil"/>
                <w:bar w:val="nil"/>
              </w:pBdr>
              <w:spacing w:before="0" w:after="0" w:line="252" w:lineRule="auto"/>
              <w:ind w:left="227" w:hanging="227"/>
              <w:jc w:val="right"/>
              <w:rPr>
                <w:sz w:val="20"/>
                <w:bdr w:val="nil"/>
              </w:rPr>
            </w:pPr>
            <w:r>
              <w:rPr>
                <w:sz w:val="20"/>
                <w:bdr w:val="nil"/>
              </w:rPr>
              <w:t>430</w:t>
            </w:r>
          </w:p>
        </w:tc>
      </w:tr>
    </w:tbl>
    <w:p w14:paraId="66D3F789" w14:textId="77777777" w:rsidR="001F6B18" w:rsidRDefault="0027723F" w:rsidP="001F6B18">
      <w:pPr>
        <w:pStyle w:val="BSnote"/>
        <w:pBdr>
          <w:top w:val="nil"/>
          <w:left w:val="nil"/>
          <w:bottom w:val="nil"/>
          <w:right w:val="nil"/>
          <w:between w:val="nil"/>
          <w:bar w:val="nil"/>
        </w:pBdr>
        <w:rPr>
          <w:bdr w:val="nil"/>
        </w:rPr>
      </w:pPr>
      <w:r>
        <w:rPr>
          <w:bdr w:val="nil"/>
        </w:rPr>
        <w:t xml:space="preserve">Note: </w:t>
      </w:r>
    </w:p>
    <w:p w14:paraId="6CCC3D93" w14:textId="1DEB41ED" w:rsidR="001F6B18" w:rsidRPr="007E0E38" w:rsidRDefault="00011509" w:rsidP="009832FC">
      <w:pPr>
        <w:pStyle w:val="BSnoteslist"/>
        <w:numPr>
          <w:ilvl w:val="0"/>
          <w:numId w:val="10"/>
        </w:numPr>
        <w:pBdr>
          <w:top w:val="nil"/>
          <w:left w:val="nil"/>
          <w:bottom w:val="nil"/>
          <w:right w:val="nil"/>
          <w:between w:val="nil"/>
          <w:bar w:val="nil"/>
        </w:pBdr>
        <w:jc w:val="both"/>
        <w:rPr>
          <w:bdr w:val="nil"/>
        </w:rPr>
      </w:pPr>
      <w:r w:rsidRPr="007E0E38">
        <w:rPr>
          <w:bdr w:val="nil"/>
        </w:rPr>
        <w:t>At the end of 20</w:t>
      </w:r>
      <w:r>
        <w:rPr>
          <w:bdr w:val="nil"/>
        </w:rPr>
        <w:t>19</w:t>
      </w:r>
      <w:r w:rsidRPr="007E0E38">
        <w:rPr>
          <w:bdr w:val="nil"/>
        </w:rPr>
        <w:t>-2</w:t>
      </w:r>
      <w:r>
        <w:rPr>
          <w:bdr w:val="nil"/>
        </w:rPr>
        <w:t>0,</w:t>
      </w:r>
      <w:r w:rsidRPr="007E0E38">
        <w:rPr>
          <w:bdr w:val="nil"/>
        </w:rPr>
        <w:t xml:space="preserve"> due to the </w:t>
      </w:r>
      <w:r>
        <w:rPr>
          <w:bdr w:val="nil"/>
        </w:rPr>
        <w:t xml:space="preserve">temporary suspension </w:t>
      </w:r>
      <w:r w:rsidRPr="007E0E38">
        <w:rPr>
          <w:bdr w:val="nil"/>
        </w:rPr>
        <w:t>of non-essential surgery</w:t>
      </w:r>
      <w:r>
        <w:rPr>
          <w:bdr w:val="nil"/>
        </w:rPr>
        <w:t xml:space="preserve"> on account of COVID-19</w:t>
      </w:r>
      <w:r w:rsidRPr="007E0E38">
        <w:rPr>
          <w:bdr w:val="nil"/>
        </w:rPr>
        <w:t xml:space="preserve">, the </w:t>
      </w:r>
      <w:r>
        <w:rPr>
          <w:bdr w:val="nil"/>
        </w:rPr>
        <w:t xml:space="preserve">Territory recorded a high </w:t>
      </w:r>
      <w:r w:rsidRPr="007E0E38">
        <w:rPr>
          <w:bdr w:val="nil"/>
        </w:rPr>
        <w:t xml:space="preserve">number of patients </w:t>
      </w:r>
      <w:r>
        <w:rPr>
          <w:bdr w:val="nil"/>
        </w:rPr>
        <w:t xml:space="preserve">against this indicator, </w:t>
      </w:r>
      <w:r w:rsidRPr="007E0E38">
        <w:rPr>
          <w:bdr w:val="nil"/>
        </w:rPr>
        <w:t xml:space="preserve">at 1,317. </w:t>
      </w:r>
      <w:r>
        <w:rPr>
          <w:bdr w:val="nil"/>
        </w:rPr>
        <w:t xml:space="preserve">In 2020-21, </w:t>
      </w:r>
      <w:r w:rsidRPr="007E0E38">
        <w:rPr>
          <w:bdr w:val="nil"/>
        </w:rPr>
        <w:t xml:space="preserve">the </w:t>
      </w:r>
      <w:r>
        <w:rPr>
          <w:bdr w:val="nil"/>
        </w:rPr>
        <w:t xml:space="preserve">COVID-19 </w:t>
      </w:r>
      <w:r w:rsidRPr="007E0E38">
        <w:rPr>
          <w:bdr w:val="nil"/>
        </w:rPr>
        <w:t xml:space="preserve">elective surgery recovery project targeted those patients who were overdue </w:t>
      </w:r>
      <w:r>
        <w:rPr>
          <w:bdr w:val="nil"/>
        </w:rPr>
        <w:t xml:space="preserve">against clinically recommended timeframes as at 30 June 2020, with 99 per cent of those patients </w:t>
      </w:r>
      <w:r w:rsidRPr="007E0E38">
        <w:rPr>
          <w:bdr w:val="nil"/>
        </w:rPr>
        <w:t>receiv</w:t>
      </w:r>
      <w:r>
        <w:rPr>
          <w:bdr w:val="nil"/>
        </w:rPr>
        <w:t>ing</w:t>
      </w:r>
      <w:r w:rsidRPr="007E0E38">
        <w:rPr>
          <w:bdr w:val="nil"/>
        </w:rPr>
        <w:t xml:space="preserve"> their surgery</w:t>
      </w:r>
      <w:r>
        <w:rPr>
          <w:bdr w:val="nil"/>
        </w:rPr>
        <w:t xml:space="preserve"> by 30 June 2021.  </w:t>
      </w:r>
      <w:r w:rsidRPr="007E0E38">
        <w:rPr>
          <w:bdr w:val="nil"/>
        </w:rPr>
        <w:t>Record demand for elective surgery services in 2020</w:t>
      </w:r>
      <w:r>
        <w:rPr>
          <w:bdr w:val="nil"/>
        </w:rPr>
        <w:t>-</w:t>
      </w:r>
      <w:r w:rsidRPr="007E0E38">
        <w:rPr>
          <w:bdr w:val="nil"/>
        </w:rPr>
        <w:t>21</w:t>
      </w:r>
      <w:r>
        <w:rPr>
          <w:bdr w:val="nil"/>
        </w:rPr>
        <w:t>,</w:t>
      </w:r>
      <w:r w:rsidRPr="007E0E38">
        <w:rPr>
          <w:bdr w:val="nil"/>
        </w:rPr>
        <w:t xml:space="preserve"> with 17,396 </w:t>
      </w:r>
      <w:r>
        <w:rPr>
          <w:bdr w:val="nil"/>
        </w:rPr>
        <w:t>additions to the wait list</w:t>
      </w:r>
      <w:r w:rsidRPr="007E0E38">
        <w:rPr>
          <w:bdr w:val="nil"/>
        </w:rPr>
        <w:t>,</w:t>
      </w:r>
      <w:r>
        <w:rPr>
          <w:bdr w:val="nil"/>
        </w:rPr>
        <w:t xml:space="preserve"> contributed to the result against the indicator remaining above target at the end of the period</w:t>
      </w:r>
      <w:r w:rsidR="0027723F" w:rsidRPr="007E0E38">
        <w:rPr>
          <w:bdr w:val="nil"/>
        </w:rPr>
        <w:t>.</w:t>
      </w:r>
    </w:p>
    <w:p w14:paraId="72632570" w14:textId="77777777" w:rsidR="001F6B18" w:rsidRDefault="0027723F" w:rsidP="001F6B18">
      <w:pPr>
        <w:pStyle w:val="Heading4"/>
        <w:pBdr>
          <w:top w:val="nil"/>
          <w:left w:val="nil"/>
          <w:bottom w:val="nil"/>
          <w:right w:val="nil"/>
          <w:between w:val="nil"/>
          <w:bar w:val="nil"/>
        </w:pBdr>
        <w:rPr>
          <w:sz w:val="28"/>
          <w:szCs w:val="26"/>
          <w:bdr w:val="nil"/>
        </w:rPr>
      </w:pPr>
      <w:r>
        <w:rPr>
          <w:szCs w:val="24"/>
          <w:bdr w:val="nil"/>
        </w:rPr>
        <w:t>Strategic Indicator 2.3 -</w:t>
      </w:r>
      <w:r>
        <w:rPr>
          <w:sz w:val="28"/>
          <w:szCs w:val="26"/>
          <w:bdr w:val="nil"/>
        </w:rPr>
        <w:t xml:space="preserve"> </w:t>
      </w:r>
      <w:r>
        <w:rPr>
          <w:bdr w:val="nil"/>
        </w:rPr>
        <w:t>Improving Timeliness of Emergency Department Treatment</w:t>
      </w:r>
    </w:p>
    <w:p w14:paraId="60A02F66" w14:textId="77777777" w:rsidR="001F6B18" w:rsidRDefault="0027723F" w:rsidP="001F6B18">
      <w:pPr>
        <w:pBdr>
          <w:top w:val="nil"/>
          <w:left w:val="nil"/>
          <w:bottom w:val="nil"/>
          <w:right w:val="nil"/>
          <w:between w:val="nil"/>
          <w:bar w:val="nil"/>
        </w:pBdr>
        <w:jc w:val="both"/>
        <w:rPr>
          <w:b/>
          <w:bdr w:val="nil"/>
        </w:rPr>
      </w:pPr>
      <w:r>
        <w:rPr>
          <w:bdr w:val="nil"/>
        </w:rPr>
        <w:t>Percentage of Emergency Department presentations whose length of stay in the Emergency Department is four hours or less.  This provides an indication of the effectiveness of the public hospital system in meeting the need for Emergency Department services.</w:t>
      </w:r>
    </w:p>
    <w:p w14:paraId="7C4743AD" w14:textId="77777777" w:rsidR="001F6B18" w:rsidRDefault="0027723F" w:rsidP="001F6B18">
      <w:pPr>
        <w:keepNext/>
        <w:pBdr>
          <w:top w:val="nil"/>
          <w:left w:val="nil"/>
          <w:bottom w:val="nil"/>
          <w:right w:val="nil"/>
          <w:between w:val="nil"/>
          <w:bar w:val="nil"/>
        </w:pBdr>
        <w:spacing w:before="240"/>
        <w:jc w:val="both"/>
        <w:rPr>
          <w:b/>
          <w:bCs/>
          <w:color w:val="000000"/>
          <w:sz w:val="22"/>
          <w:szCs w:val="18"/>
          <w:bdr w:val="nil"/>
          <w:vertAlign w:val="superscript"/>
        </w:rPr>
      </w:pPr>
      <w:r>
        <w:rPr>
          <w:b/>
          <w:bCs/>
          <w:color w:val="000000"/>
          <w:sz w:val="22"/>
          <w:szCs w:val="18"/>
          <w:bdr w:val="nil"/>
        </w:rPr>
        <w:t>Table 7: The Percentage of Emergency Department presentations whose length of stay in the Emergency Department is four hours or less</w:t>
      </w:r>
    </w:p>
    <w:tbl>
      <w:tblPr>
        <w:tblW w:w="9180" w:type="dxa"/>
        <w:tblLayout w:type="fixed"/>
        <w:tblLook w:val="04A0" w:firstRow="1" w:lastRow="0" w:firstColumn="1" w:lastColumn="0" w:noHBand="0" w:noVBand="1"/>
      </w:tblPr>
      <w:tblGrid>
        <w:gridCol w:w="4928"/>
        <w:gridCol w:w="1417"/>
        <w:gridCol w:w="1417"/>
        <w:gridCol w:w="1418"/>
      </w:tblGrid>
      <w:tr w:rsidR="00496618" w14:paraId="0DA17D05" w14:textId="77777777" w:rsidTr="001F6B18">
        <w:trPr>
          <w:trHeight w:val="157"/>
        </w:trPr>
        <w:tc>
          <w:tcPr>
            <w:tcW w:w="4928" w:type="dxa"/>
            <w:vMerge w:val="restart"/>
            <w:tcBorders>
              <w:top w:val="single" w:sz="4" w:space="0" w:color="auto"/>
              <w:left w:val="nil"/>
              <w:bottom w:val="single" w:sz="4" w:space="0" w:color="auto"/>
              <w:right w:val="nil"/>
            </w:tcBorders>
            <w:hideMark/>
          </w:tcPr>
          <w:p w14:paraId="54FC4C11" w14:textId="77777777" w:rsidR="001F6B18" w:rsidRDefault="0027723F">
            <w:pPr>
              <w:pBdr>
                <w:top w:val="nil"/>
                <w:left w:val="nil"/>
                <w:bottom w:val="nil"/>
                <w:right w:val="nil"/>
                <w:between w:val="nil"/>
                <w:bar w:val="nil"/>
              </w:pBdr>
              <w:spacing w:before="0" w:after="0" w:line="252" w:lineRule="auto"/>
              <w:ind w:left="227" w:hanging="227"/>
              <w:rPr>
                <w:b/>
                <w:bCs/>
                <w:sz w:val="20"/>
                <w:bdr w:val="nil"/>
              </w:rPr>
            </w:pPr>
            <w:r>
              <w:rPr>
                <w:b/>
                <w:bCs/>
                <w:sz w:val="20"/>
                <w:bdr w:val="nil"/>
              </w:rPr>
              <w:t>Strategic Indicator</w:t>
            </w:r>
          </w:p>
        </w:tc>
        <w:tc>
          <w:tcPr>
            <w:tcW w:w="1417" w:type="dxa"/>
            <w:tcBorders>
              <w:top w:val="single" w:sz="4" w:space="0" w:color="auto"/>
              <w:left w:val="nil"/>
              <w:bottom w:val="nil"/>
              <w:right w:val="nil"/>
            </w:tcBorders>
            <w:hideMark/>
          </w:tcPr>
          <w:p w14:paraId="6DFF0AB4"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17" w:type="dxa"/>
            <w:tcBorders>
              <w:top w:val="single" w:sz="4" w:space="0" w:color="auto"/>
              <w:left w:val="nil"/>
              <w:bottom w:val="nil"/>
              <w:right w:val="nil"/>
            </w:tcBorders>
            <w:hideMark/>
          </w:tcPr>
          <w:p w14:paraId="6C4A961F"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18" w:type="dxa"/>
            <w:tcBorders>
              <w:top w:val="single" w:sz="4" w:space="0" w:color="auto"/>
              <w:left w:val="nil"/>
              <w:bottom w:val="nil"/>
              <w:right w:val="nil"/>
            </w:tcBorders>
            <w:hideMark/>
          </w:tcPr>
          <w:p w14:paraId="046E117C"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2021-22</w:t>
            </w:r>
          </w:p>
        </w:tc>
      </w:tr>
      <w:tr w:rsidR="00496618" w14:paraId="3D2A4CB4" w14:textId="77777777" w:rsidTr="001F6B18">
        <w:trPr>
          <w:trHeight w:val="282"/>
        </w:trPr>
        <w:tc>
          <w:tcPr>
            <w:tcW w:w="4928" w:type="dxa"/>
            <w:vMerge/>
            <w:tcBorders>
              <w:top w:val="single" w:sz="4" w:space="0" w:color="auto"/>
              <w:left w:val="nil"/>
              <w:bottom w:val="single" w:sz="4" w:space="0" w:color="auto"/>
              <w:right w:val="nil"/>
            </w:tcBorders>
            <w:vAlign w:val="center"/>
            <w:hideMark/>
          </w:tcPr>
          <w:p w14:paraId="0745DA6C" w14:textId="77777777" w:rsidR="001F6B18" w:rsidRDefault="001F6B18">
            <w:pPr>
              <w:pBdr>
                <w:top w:val="nil"/>
                <w:left w:val="nil"/>
                <w:bottom w:val="nil"/>
                <w:right w:val="nil"/>
                <w:between w:val="nil"/>
                <w:bar w:val="nil"/>
              </w:pBdr>
              <w:spacing w:before="0" w:after="0"/>
              <w:rPr>
                <w:b/>
                <w:bCs/>
                <w:sz w:val="20"/>
                <w:bdr w:val="nil"/>
              </w:rPr>
            </w:pPr>
          </w:p>
        </w:tc>
        <w:tc>
          <w:tcPr>
            <w:tcW w:w="1417" w:type="dxa"/>
            <w:tcBorders>
              <w:top w:val="nil"/>
              <w:left w:val="nil"/>
              <w:bottom w:val="single" w:sz="4" w:space="0" w:color="auto"/>
              <w:right w:val="nil"/>
            </w:tcBorders>
            <w:hideMark/>
          </w:tcPr>
          <w:p w14:paraId="1DD91E27"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c>
          <w:tcPr>
            <w:tcW w:w="1417" w:type="dxa"/>
            <w:tcBorders>
              <w:top w:val="nil"/>
              <w:left w:val="nil"/>
              <w:bottom w:val="single" w:sz="4" w:space="0" w:color="auto"/>
              <w:right w:val="nil"/>
            </w:tcBorders>
            <w:hideMark/>
          </w:tcPr>
          <w:p w14:paraId="2D668B7F"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Interim Outcome</w:t>
            </w:r>
            <w:r w:rsidRPr="00C06982">
              <w:rPr>
                <w:b/>
                <w:sz w:val="20"/>
                <w:bdr w:val="nil"/>
                <w:vertAlign w:val="superscript"/>
              </w:rPr>
              <w:t>1</w:t>
            </w:r>
          </w:p>
        </w:tc>
        <w:tc>
          <w:tcPr>
            <w:tcW w:w="1418" w:type="dxa"/>
            <w:tcBorders>
              <w:top w:val="nil"/>
              <w:left w:val="nil"/>
              <w:bottom w:val="single" w:sz="4" w:space="0" w:color="auto"/>
              <w:right w:val="nil"/>
            </w:tcBorders>
            <w:hideMark/>
          </w:tcPr>
          <w:p w14:paraId="52024BFF"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r>
      <w:tr w:rsidR="00496618" w14:paraId="1809756A" w14:textId="77777777" w:rsidTr="001F6B18">
        <w:trPr>
          <w:trHeight w:val="250"/>
        </w:trPr>
        <w:tc>
          <w:tcPr>
            <w:tcW w:w="4928" w:type="dxa"/>
            <w:tcBorders>
              <w:top w:val="single" w:sz="4" w:space="0" w:color="auto"/>
              <w:left w:val="nil"/>
              <w:bottom w:val="single" w:sz="4" w:space="0" w:color="auto"/>
              <w:right w:val="nil"/>
            </w:tcBorders>
            <w:hideMark/>
          </w:tcPr>
          <w:p w14:paraId="1ACD71C8" w14:textId="77777777" w:rsidR="001F6B18" w:rsidRDefault="0027723F">
            <w:pPr>
              <w:pBdr>
                <w:top w:val="nil"/>
                <w:left w:val="nil"/>
                <w:bottom w:val="nil"/>
                <w:right w:val="nil"/>
                <w:between w:val="nil"/>
                <w:bar w:val="nil"/>
              </w:pBdr>
              <w:spacing w:before="0" w:after="0" w:line="252" w:lineRule="auto"/>
              <w:ind w:left="227" w:hanging="227"/>
              <w:rPr>
                <w:bCs/>
                <w:sz w:val="20"/>
                <w:bdr w:val="nil"/>
                <w:vertAlign w:val="superscript"/>
              </w:rPr>
            </w:pPr>
            <w:r>
              <w:rPr>
                <w:bCs/>
                <w:sz w:val="20"/>
                <w:bdr w:val="nil"/>
              </w:rPr>
              <w:t>Percentage of Emergency Department presentations whose length of stay in the Emergency Department is four hours or less</w:t>
            </w:r>
          </w:p>
        </w:tc>
        <w:tc>
          <w:tcPr>
            <w:tcW w:w="1417" w:type="dxa"/>
            <w:tcBorders>
              <w:top w:val="single" w:sz="4" w:space="0" w:color="auto"/>
              <w:left w:val="nil"/>
              <w:bottom w:val="single" w:sz="4" w:space="0" w:color="auto"/>
              <w:right w:val="nil"/>
            </w:tcBorders>
            <w:hideMark/>
          </w:tcPr>
          <w:p w14:paraId="5692B7B5" w14:textId="77777777" w:rsidR="001F6B18" w:rsidRDefault="0027723F">
            <w:pPr>
              <w:framePr w:wrap="around" w:vAnchor="text" w:hAnchor="text" w:y="1"/>
              <w:pBdr>
                <w:top w:val="nil"/>
                <w:left w:val="nil"/>
                <w:bottom w:val="nil"/>
                <w:right w:val="nil"/>
                <w:between w:val="nil"/>
                <w:bar w:val="nil"/>
              </w:pBdr>
              <w:spacing w:before="0" w:after="0" w:line="252" w:lineRule="auto"/>
              <w:jc w:val="right"/>
              <w:rPr>
                <w:sz w:val="20"/>
                <w:bdr w:val="nil"/>
              </w:rPr>
            </w:pPr>
            <w:r>
              <w:rPr>
                <w:sz w:val="20"/>
                <w:bdr w:val="nil"/>
                <w:lang w:eastAsia="en-AU"/>
              </w:rPr>
              <w:t>90%</w:t>
            </w:r>
          </w:p>
        </w:tc>
        <w:tc>
          <w:tcPr>
            <w:tcW w:w="1417" w:type="dxa"/>
            <w:tcBorders>
              <w:top w:val="single" w:sz="4" w:space="0" w:color="auto"/>
              <w:left w:val="nil"/>
              <w:bottom w:val="single" w:sz="4" w:space="0" w:color="auto"/>
              <w:right w:val="nil"/>
            </w:tcBorders>
            <w:hideMark/>
          </w:tcPr>
          <w:p w14:paraId="559E817B" w14:textId="77777777" w:rsidR="001F6B18" w:rsidRDefault="0027723F">
            <w:pPr>
              <w:framePr w:wrap="around" w:vAnchor="text" w:hAnchor="text" w:y="1"/>
              <w:pBdr>
                <w:top w:val="nil"/>
                <w:left w:val="nil"/>
                <w:bottom w:val="nil"/>
                <w:right w:val="nil"/>
                <w:between w:val="nil"/>
                <w:bar w:val="nil"/>
              </w:pBdr>
              <w:spacing w:before="0" w:after="0" w:line="252" w:lineRule="auto"/>
              <w:jc w:val="right"/>
              <w:rPr>
                <w:sz w:val="20"/>
                <w:bdr w:val="nil"/>
                <w:lang w:eastAsia="en-AU"/>
              </w:rPr>
            </w:pPr>
            <w:r>
              <w:rPr>
                <w:sz w:val="20"/>
                <w:bdr w:val="nil"/>
                <w:lang w:eastAsia="en-AU"/>
              </w:rPr>
              <w:t>57%</w:t>
            </w:r>
          </w:p>
        </w:tc>
        <w:tc>
          <w:tcPr>
            <w:tcW w:w="1418" w:type="dxa"/>
            <w:tcBorders>
              <w:top w:val="single" w:sz="4" w:space="0" w:color="auto"/>
              <w:left w:val="nil"/>
              <w:bottom w:val="single" w:sz="4" w:space="0" w:color="auto"/>
              <w:right w:val="nil"/>
            </w:tcBorders>
            <w:hideMark/>
          </w:tcPr>
          <w:p w14:paraId="3CDA26A6" w14:textId="77777777" w:rsidR="001F6B18" w:rsidRDefault="0027723F">
            <w:pPr>
              <w:framePr w:wrap="around" w:vAnchor="text" w:hAnchor="text" w:y="1"/>
              <w:pBdr>
                <w:top w:val="nil"/>
                <w:left w:val="nil"/>
                <w:bottom w:val="nil"/>
                <w:right w:val="nil"/>
                <w:between w:val="nil"/>
                <w:bar w:val="nil"/>
              </w:pBdr>
              <w:spacing w:before="0" w:after="0" w:line="252" w:lineRule="auto"/>
              <w:jc w:val="right"/>
              <w:rPr>
                <w:sz w:val="20"/>
                <w:bdr w:val="nil"/>
                <w:lang w:eastAsia="en-AU"/>
              </w:rPr>
            </w:pPr>
            <w:r>
              <w:rPr>
                <w:sz w:val="20"/>
                <w:bdr w:val="nil"/>
                <w:lang w:eastAsia="en-AU"/>
              </w:rPr>
              <w:t>90%</w:t>
            </w:r>
          </w:p>
        </w:tc>
      </w:tr>
    </w:tbl>
    <w:p w14:paraId="3DEA2572" w14:textId="77777777" w:rsidR="001F6B18" w:rsidRDefault="0027723F" w:rsidP="001F6B18">
      <w:pPr>
        <w:pStyle w:val="BSnote"/>
        <w:pBdr>
          <w:top w:val="nil"/>
          <w:left w:val="nil"/>
          <w:bottom w:val="nil"/>
          <w:right w:val="nil"/>
          <w:between w:val="nil"/>
          <w:bar w:val="nil"/>
        </w:pBdr>
        <w:rPr>
          <w:bdr w:val="nil"/>
        </w:rPr>
      </w:pPr>
      <w:r>
        <w:rPr>
          <w:bdr w:val="nil"/>
        </w:rPr>
        <w:t xml:space="preserve">Note: </w:t>
      </w:r>
    </w:p>
    <w:p w14:paraId="5AAB5A42" w14:textId="4E032848" w:rsidR="001F6B18" w:rsidRPr="007E0E38" w:rsidRDefault="00FE2AA6" w:rsidP="009832FC">
      <w:pPr>
        <w:pStyle w:val="BSnoteslist"/>
        <w:numPr>
          <w:ilvl w:val="0"/>
          <w:numId w:val="11"/>
        </w:numPr>
        <w:pBdr>
          <w:top w:val="nil"/>
          <w:left w:val="nil"/>
          <w:bottom w:val="nil"/>
          <w:right w:val="nil"/>
          <w:between w:val="nil"/>
          <w:bar w:val="nil"/>
        </w:pBdr>
        <w:jc w:val="both"/>
        <w:rPr>
          <w:bdr w:val="nil"/>
        </w:rPr>
      </w:pPr>
      <w:r>
        <w:rPr>
          <w:bdr w:val="nil"/>
        </w:rPr>
        <w:t>The below target result continues to be influenced by the ‘seen on time’ results for patients in Triage Categories 3 and 4, as measured against the Australasian Triage Scale of the Australasian College of Emerge</w:t>
      </w:r>
      <w:r w:rsidR="00900A2B">
        <w:rPr>
          <w:bdr w:val="nil"/>
        </w:rPr>
        <w:t>n</w:t>
      </w:r>
      <w:r>
        <w:rPr>
          <w:bdr w:val="nil"/>
        </w:rPr>
        <w:t>cy Medicine.  The number of presentations in these triage categories made up approximately 80 per cent of total emergency department presentations in the period.  Other influences on the result against this indicator can be high bed occupancy rates and high admission rates from the emergency department</w:t>
      </w:r>
      <w:r w:rsidR="0027723F" w:rsidRPr="007E0E38">
        <w:rPr>
          <w:bdr w:val="nil"/>
        </w:rPr>
        <w:t>.</w:t>
      </w:r>
    </w:p>
    <w:p w14:paraId="7AB279A1" w14:textId="77777777" w:rsidR="001F6B18" w:rsidRDefault="0027723F">
      <w:pPr>
        <w:pBdr>
          <w:top w:val="nil"/>
          <w:left w:val="nil"/>
          <w:bottom w:val="nil"/>
          <w:right w:val="nil"/>
          <w:between w:val="nil"/>
          <w:bar w:val="nil"/>
        </w:pBdr>
        <w:spacing w:before="0" w:after="0"/>
        <w:rPr>
          <w:b/>
          <w:bCs/>
          <w:i/>
          <w:szCs w:val="24"/>
          <w:bdr w:val="nil"/>
        </w:rPr>
      </w:pPr>
      <w:r>
        <w:rPr>
          <w:szCs w:val="24"/>
          <w:bdr w:val="nil"/>
        </w:rPr>
        <w:br w:type="page"/>
      </w:r>
    </w:p>
    <w:p w14:paraId="2BF105A8" w14:textId="77777777" w:rsidR="001F6B18" w:rsidRDefault="0027723F" w:rsidP="001F6B18">
      <w:pPr>
        <w:pStyle w:val="Heading4"/>
        <w:pBdr>
          <w:top w:val="nil"/>
          <w:left w:val="nil"/>
          <w:bottom w:val="nil"/>
          <w:right w:val="nil"/>
          <w:between w:val="nil"/>
          <w:bar w:val="nil"/>
        </w:pBdr>
        <w:rPr>
          <w:sz w:val="28"/>
          <w:szCs w:val="26"/>
          <w:bdr w:val="nil"/>
        </w:rPr>
      </w:pPr>
      <w:r>
        <w:rPr>
          <w:szCs w:val="24"/>
          <w:bdr w:val="nil"/>
        </w:rPr>
        <w:lastRenderedPageBreak/>
        <w:t xml:space="preserve">Strategic Indicator 2.4 – </w:t>
      </w:r>
      <w:r>
        <w:rPr>
          <w:bdr w:val="nil"/>
        </w:rPr>
        <w:t>Surgical complications requiring unplanned return to theatre</w:t>
      </w:r>
    </w:p>
    <w:p w14:paraId="5872D4B9" w14:textId="77777777" w:rsidR="001F6B18" w:rsidRDefault="0027723F" w:rsidP="001F6B18">
      <w:pPr>
        <w:pBdr>
          <w:top w:val="nil"/>
          <w:left w:val="nil"/>
          <w:bottom w:val="nil"/>
          <w:right w:val="nil"/>
          <w:between w:val="nil"/>
          <w:bar w:val="nil"/>
        </w:pBdr>
        <w:jc w:val="both"/>
        <w:rPr>
          <w:bdr w:val="nil"/>
        </w:rPr>
      </w:pPr>
      <w:r>
        <w:rPr>
          <w:bdr w:val="nil"/>
        </w:rPr>
        <w:t xml:space="preserve">This indicator considers unplanned return to theatre because of some selected surgical complications for which clinical risk mitigation strategies are thought to reduce the risk of that complication occurring.  </w:t>
      </w:r>
    </w:p>
    <w:p w14:paraId="48579D1D" w14:textId="77777777" w:rsidR="001F6B18" w:rsidRDefault="0027723F" w:rsidP="001F6B18">
      <w:pPr>
        <w:keepNext/>
        <w:pBdr>
          <w:top w:val="nil"/>
          <w:left w:val="nil"/>
          <w:bottom w:val="nil"/>
          <w:right w:val="nil"/>
          <w:between w:val="nil"/>
          <w:bar w:val="nil"/>
        </w:pBdr>
        <w:spacing w:before="240"/>
        <w:jc w:val="both"/>
        <w:rPr>
          <w:b/>
          <w:bCs/>
          <w:color w:val="000000"/>
          <w:sz w:val="22"/>
          <w:szCs w:val="18"/>
          <w:bdr w:val="nil"/>
          <w:vertAlign w:val="superscript"/>
        </w:rPr>
      </w:pPr>
      <w:r>
        <w:rPr>
          <w:b/>
          <w:bCs/>
          <w:color w:val="000000"/>
          <w:sz w:val="22"/>
          <w:szCs w:val="18"/>
          <w:bdr w:val="nil"/>
        </w:rPr>
        <w:t>Table 8: Number of surgical complications requiring unplanned return to theatre per 10,000 hospital admissions</w:t>
      </w:r>
    </w:p>
    <w:tbl>
      <w:tblPr>
        <w:tblW w:w="9180" w:type="dxa"/>
        <w:tblLayout w:type="fixed"/>
        <w:tblLook w:val="04A0" w:firstRow="1" w:lastRow="0" w:firstColumn="1" w:lastColumn="0" w:noHBand="0" w:noVBand="1"/>
      </w:tblPr>
      <w:tblGrid>
        <w:gridCol w:w="4928"/>
        <w:gridCol w:w="1417"/>
        <w:gridCol w:w="1417"/>
        <w:gridCol w:w="1418"/>
      </w:tblGrid>
      <w:tr w:rsidR="00496618" w14:paraId="47E2C689" w14:textId="77777777" w:rsidTr="001F6B18">
        <w:trPr>
          <w:trHeight w:val="147"/>
        </w:trPr>
        <w:tc>
          <w:tcPr>
            <w:tcW w:w="4928" w:type="dxa"/>
            <w:vMerge w:val="restart"/>
            <w:tcBorders>
              <w:top w:val="single" w:sz="4" w:space="0" w:color="auto"/>
              <w:left w:val="nil"/>
              <w:bottom w:val="single" w:sz="4" w:space="0" w:color="auto"/>
              <w:right w:val="nil"/>
            </w:tcBorders>
            <w:hideMark/>
          </w:tcPr>
          <w:p w14:paraId="64334E8E" w14:textId="77777777" w:rsidR="001F6B18" w:rsidRDefault="0027723F">
            <w:pPr>
              <w:pBdr>
                <w:top w:val="nil"/>
                <w:left w:val="nil"/>
                <w:bottom w:val="nil"/>
                <w:right w:val="nil"/>
                <w:between w:val="nil"/>
                <w:bar w:val="nil"/>
              </w:pBdr>
              <w:spacing w:before="0" w:after="0" w:line="252" w:lineRule="auto"/>
              <w:ind w:left="227" w:hanging="227"/>
              <w:rPr>
                <w:b/>
                <w:bCs/>
                <w:sz w:val="20"/>
                <w:bdr w:val="nil"/>
              </w:rPr>
            </w:pPr>
            <w:r>
              <w:rPr>
                <w:b/>
                <w:bCs/>
                <w:sz w:val="20"/>
                <w:bdr w:val="nil"/>
              </w:rPr>
              <w:t>Strategic Indicator</w:t>
            </w:r>
          </w:p>
        </w:tc>
        <w:tc>
          <w:tcPr>
            <w:tcW w:w="1417" w:type="dxa"/>
            <w:tcBorders>
              <w:top w:val="single" w:sz="4" w:space="0" w:color="auto"/>
              <w:left w:val="nil"/>
              <w:bottom w:val="nil"/>
              <w:right w:val="nil"/>
            </w:tcBorders>
            <w:hideMark/>
          </w:tcPr>
          <w:p w14:paraId="1F598271"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17" w:type="dxa"/>
            <w:tcBorders>
              <w:top w:val="single" w:sz="4" w:space="0" w:color="auto"/>
              <w:left w:val="nil"/>
              <w:bottom w:val="nil"/>
              <w:right w:val="nil"/>
            </w:tcBorders>
            <w:hideMark/>
          </w:tcPr>
          <w:p w14:paraId="47EDEF42"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18" w:type="dxa"/>
            <w:tcBorders>
              <w:top w:val="single" w:sz="4" w:space="0" w:color="auto"/>
              <w:left w:val="nil"/>
              <w:bottom w:val="nil"/>
              <w:right w:val="nil"/>
            </w:tcBorders>
            <w:hideMark/>
          </w:tcPr>
          <w:p w14:paraId="0E009863"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2021-22</w:t>
            </w:r>
          </w:p>
        </w:tc>
      </w:tr>
      <w:tr w:rsidR="00496618" w14:paraId="574FE340" w14:textId="77777777" w:rsidTr="001F6B18">
        <w:trPr>
          <w:trHeight w:val="263"/>
        </w:trPr>
        <w:tc>
          <w:tcPr>
            <w:tcW w:w="4928" w:type="dxa"/>
            <w:vMerge/>
            <w:tcBorders>
              <w:top w:val="single" w:sz="4" w:space="0" w:color="auto"/>
              <w:left w:val="nil"/>
              <w:bottom w:val="single" w:sz="4" w:space="0" w:color="auto"/>
              <w:right w:val="nil"/>
            </w:tcBorders>
            <w:vAlign w:val="center"/>
            <w:hideMark/>
          </w:tcPr>
          <w:p w14:paraId="61E754ED" w14:textId="77777777" w:rsidR="001F6B18" w:rsidRDefault="001F6B18">
            <w:pPr>
              <w:pBdr>
                <w:top w:val="nil"/>
                <w:left w:val="nil"/>
                <w:bottom w:val="nil"/>
                <w:right w:val="nil"/>
                <w:between w:val="nil"/>
                <w:bar w:val="nil"/>
              </w:pBdr>
              <w:spacing w:before="0" w:after="0"/>
              <w:rPr>
                <w:b/>
                <w:bCs/>
                <w:sz w:val="20"/>
                <w:bdr w:val="nil"/>
              </w:rPr>
            </w:pPr>
          </w:p>
        </w:tc>
        <w:tc>
          <w:tcPr>
            <w:tcW w:w="1417" w:type="dxa"/>
            <w:tcBorders>
              <w:top w:val="nil"/>
              <w:left w:val="nil"/>
              <w:bottom w:val="single" w:sz="4" w:space="0" w:color="auto"/>
              <w:right w:val="nil"/>
            </w:tcBorders>
            <w:hideMark/>
          </w:tcPr>
          <w:p w14:paraId="02B1FC2A"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c>
          <w:tcPr>
            <w:tcW w:w="1417" w:type="dxa"/>
            <w:tcBorders>
              <w:top w:val="nil"/>
              <w:left w:val="nil"/>
              <w:bottom w:val="single" w:sz="4" w:space="0" w:color="auto"/>
              <w:right w:val="nil"/>
            </w:tcBorders>
            <w:hideMark/>
          </w:tcPr>
          <w:p w14:paraId="7A5F9C77" w14:textId="77777777" w:rsidR="007457C3" w:rsidRDefault="007457C3">
            <w:pPr>
              <w:pBdr>
                <w:top w:val="nil"/>
                <w:left w:val="nil"/>
                <w:bottom w:val="nil"/>
                <w:right w:val="nil"/>
                <w:between w:val="nil"/>
                <w:bar w:val="nil"/>
              </w:pBdr>
              <w:spacing w:before="0" w:after="0" w:line="252" w:lineRule="auto"/>
              <w:ind w:left="227" w:hanging="227"/>
              <w:jc w:val="right"/>
              <w:rPr>
                <w:b/>
                <w:sz w:val="20"/>
                <w:bdr w:val="nil"/>
              </w:rPr>
            </w:pPr>
            <w:r>
              <w:rPr>
                <w:b/>
                <w:sz w:val="20"/>
                <w:bdr w:val="nil"/>
              </w:rPr>
              <w:t>Interim</w:t>
            </w:r>
          </w:p>
          <w:p w14:paraId="01239899" w14:textId="5993137E"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Outcome</w:t>
            </w:r>
          </w:p>
        </w:tc>
        <w:tc>
          <w:tcPr>
            <w:tcW w:w="1418" w:type="dxa"/>
            <w:tcBorders>
              <w:top w:val="nil"/>
              <w:left w:val="nil"/>
              <w:bottom w:val="single" w:sz="4" w:space="0" w:color="auto"/>
              <w:right w:val="nil"/>
            </w:tcBorders>
            <w:hideMark/>
          </w:tcPr>
          <w:p w14:paraId="4DA1E80C"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r>
      <w:tr w:rsidR="00496618" w14:paraId="18BB8203" w14:textId="77777777" w:rsidTr="001F6B18">
        <w:trPr>
          <w:trHeight w:val="233"/>
        </w:trPr>
        <w:tc>
          <w:tcPr>
            <w:tcW w:w="4928" w:type="dxa"/>
            <w:tcBorders>
              <w:top w:val="single" w:sz="4" w:space="0" w:color="auto"/>
              <w:left w:val="nil"/>
              <w:bottom w:val="single" w:sz="4" w:space="0" w:color="auto"/>
              <w:right w:val="nil"/>
            </w:tcBorders>
            <w:hideMark/>
          </w:tcPr>
          <w:p w14:paraId="2ECE059D" w14:textId="77777777" w:rsidR="001F6B18" w:rsidRDefault="0027723F">
            <w:pPr>
              <w:pBdr>
                <w:top w:val="nil"/>
                <w:left w:val="nil"/>
                <w:bottom w:val="nil"/>
                <w:right w:val="nil"/>
                <w:between w:val="nil"/>
                <w:bar w:val="nil"/>
              </w:pBdr>
              <w:spacing w:before="0" w:after="0" w:line="252" w:lineRule="auto"/>
              <w:ind w:left="227" w:hanging="227"/>
              <w:rPr>
                <w:bCs/>
                <w:sz w:val="20"/>
                <w:bdr w:val="nil"/>
                <w:vertAlign w:val="superscript"/>
              </w:rPr>
            </w:pPr>
            <w:r>
              <w:rPr>
                <w:bCs/>
                <w:sz w:val="20"/>
                <w:bdr w:val="nil"/>
              </w:rPr>
              <w:t>Number of surgical complications requiring unplanned return to theatre per 10,000 hospital admissions</w:t>
            </w:r>
          </w:p>
        </w:tc>
        <w:tc>
          <w:tcPr>
            <w:tcW w:w="1417" w:type="dxa"/>
            <w:tcBorders>
              <w:top w:val="single" w:sz="4" w:space="0" w:color="auto"/>
              <w:left w:val="nil"/>
              <w:bottom w:val="single" w:sz="4" w:space="0" w:color="auto"/>
              <w:right w:val="nil"/>
            </w:tcBorders>
            <w:hideMark/>
          </w:tcPr>
          <w:p w14:paraId="30BA1913" w14:textId="77777777" w:rsidR="001F6B18" w:rsidRDefault="0027723F">
            <w:pPr>
              <w:framePr w:wrap="around" w:vAnchor="text" w:hAnchor="text" w:y="1"/>
              <w:pBdr>
                <w:top w:val="nil"/>
                <w:left w:val="nil"/>
                <w:bottom w:val="nil"/>
                <w:right w:val="nil"/>
                <w:between w:val="nil"/>
                <w:bar w:val="nil"/>
              </w:pBdr>
              <w:spacing w:before="0" w:after="0" w:line="252" w:lineRule="auto"/>
              <w:jc w:val="right"/>
              <w:rPr>
                <w:sz w:val="20"/>
                <w:bdr w:val="nil"/>
              </w:rPr>
            </w:pPr>
            <w:r>
              <w:rPr>
                <w:color w:val="313131"/>
                <w:sz w:val="20"/>
                <w:bdr w:val="nil"/>
              </w:rPr>
              <w:t>≤</w:t>
            </w:r>
            <w:r>
              <w:rPr>
                <w:sz w:val="20"/>
                <w:bdr w:val="nil"/>
                <w:lang w:eastAsia="en-AU"/>
              </w:rPr>
              <w:t>20</w:t>
            </w:r>
          </w:p>
        </w:tc>
        <w:tc>
          <w:tcPr>
            <w:tcW w:w="1417" w:type="dxa"/>
            <w:tcBorders>
              <w:top w:val="single" w:sz="4" w:space="0" w:color="auto"/>
              <w:left w:val="nil"/>
              <w:bottom w:val="single" w:sz="4" w:space="0" w:color="auto"/>
              <w:right w:val="nil"/>
            </w:tcBorders>
            <w:hideMark/>
          </w:tcPr>
          <w:p w14:paraId="6E60BADA" w14:textId="77777777" w:rsidR="001F6B18" w:rsidRDefault="0027723F">
            <w:pPr>
              <w:framePr w:wrap="around" w:vAnchor="text" w:hAnchor="text" w:y="1"/>
              <w:pBdr>
                <w:top w:val="nil"/>
                <w:left w:val="nil"/>
                <w:bottom w:val="nil"/>
                <w:right w:val="nil"/>
                <w:between w:val="nil"/>
                <w:bar w:val="nil"/>
              </w:pBdr>
              <w:spacing w:before="0" w:after="0" w:line="252" w:lineRule="auto"/>
              <w:jc w:val="right"/>
              <w:rPr>
                <w:sz w:val="20"/>
                <w:bdr w:val="nil"/>
                <w:lang w:eastAsia="en-AU"/>
              </w:rPr>
            </w:pPr>
            <w:r>
              <w:rPr>
                <w:sz w:val="20"/>
                <w:bdr w:val="nil"/>
                <w:lang w:eastAsia="en-AU"/>
              </w:rPr>
              <w:t>12</w:t>
            </w:r>
          </w:p>
        </w:tc>
        <w:tc>
          <w:tcPr>
            <w:tcW w:w="1418" w:type="dxa"/>
            <w:tcBorders>
              <w:top w:val="single" w:sz="4" w:space="0" w:color="auto"/>
              <w:left w:val="nil"/>
              <w:bottom w:val="single" w:sz="4" w:space="0" w:color="auto"/>
              <w:right w:val="nil"/>
            </w:tcBorders>
            <w:hideMark/>
          </w:tcPr>
          <w:p w14:paraId="0FED2BF1" w14:textId="77777777" w:rsidR="001F6B18" w:rsidRDefault="0027723F">
            <w:pPr>
              <w:framePr w:wrap="around" w:vAnchor="text" w:hAnchor="text" w:y="1"/>
              <w:pBdr>
                <w:top w:val="nil"/>
                <w:left w:val="nil"/>
                <w:bottom w:val="nil"/>
                <w:right w:val="nil"/>
                <w:between w:val="nil"/>
                <w:bar w:val="nil"/>
              </w:pBdr>
              <w:spacing w:before="0" w:after="0" w:line="252" w:lineRule="auto"/>
              <w:jc w:val="right"/>
              <w:rPr>
                <w:sz w:val="20"/>
                <w:bdr w:val="nil"/>
                <w:lang w:eastAsia="en-AU"/>
              </w:rPr>
            </w:pPr>
            <w:r>
              <w:rPr>
                <w:color w:val="313131"/>
                <w:sz w:val="20"/>
                <w:bdr w:val="nil"/>
              </w:rPr>
              <w:t>≤</w:t>
            </w:r>
            <w:r>
              <w:rPr>
                <w:sz w:val="20"/>
                <w:bdr w:val="nil"/>
                <w:lang w:eastAsia="en-AU"/>
              </w:rPr>
              <w:t>20</w:t>
            </w:r>
          </w:p>
        </w:tc>
      </w:tr>
    </w:tbl>
    <w:p w14:paraId="6C776F2D" w14:textId="77777777" w:rsidR="001F6B18" w:rsidRDefault="0027723F" w:rsidP="001F6B18">
      <w:pPr>
        <w:pStyle w:val="Heading4"/>
        <w:pBdr>
          <w:top w:val="nil"/>
          <w:left w:val="nil"/>
          <w:bottom w:val="nil"/>
          <w:right w:val="nil"/>
          <w:between w:val="nil"/>
          <w:bar w:val="nil"/>
        </w:pBdr>
        <w:rPr>
          <w:sz w:val="28"/>
          <w:szCs w:val="26"/>
          <w:bdr w:val="nil"/>
        </w:rPr>
      </w:pPr>
      <w:r>
        <w:rPr>
          <w:szCs w:val="24"/>
          <w:bdr w:val="nil"/>
        </w:rPr>
        <w:t>Strategic Indicator 2.5 –</w:t>
      </w:r>
      <w:r>
        <w:rPr>
          <w:sz w:val="28"/>
          <w:szCs w:val="26"/>
          <w:bdr w:val="nil"/>
        </w:rPr>
        <w:t xml:space="preserve"> </w:t>
      </w:r>
      <w:r>
        <w:rPr>
          <w:bdr w:val="nil"/>
        </w:rPr>
        <w:t>Avoidable Readmissions to Hospital</w:t>
      </w:r>
    </w:p>
    <w:p w14:paraId="3CF0F321" w14:textId="77777777" w:rsidR="001F6B18" w:rsidRDefault="0027723F" w:rsidP="001F6B18">
      <w:pPr>
        <w:pBdr>
          <w:top w:val="nil"/>
          <w:left w:val="nil"/>
          <w:bottom w:val="nil"/>
          <w:right w:val="nil"/>
          <w:between w:val="nil"/>
          <w:bar w:val="nil"/>
        </w:pBdr>
        <w:jc w:val="both"/>
        <w:rPr>
          <w:bdr w:val="nil"/>
        </w:rPr>
      </w:pPr>
      <w:r>
        <w:rPr>
          <w:bdr w:val="nil"/>
        </w:rPr>
        <w:t xml:space="preserve">This indicator considers the number of people readmitted to hospital with selected diagnoses that are thought to be avoidable through improved clinical management and/or discharge planning.  </w:t>
      </w:r>
    </w:p>
    <w:p w14:paraId="02AC147B" w14:textId="77777777" w:rsidR="001F6B18" w:rsidRDefault="0027723F" w:rsidP="001F6B18">
      <w:pPr>
        <w:keepNext/>
        <w:pBdr>
          <w:top w:val="nil"/>
          <w:left w:val="nil"/>
          <w:bottom w:val="nil"/>
          <w:right w:val="nil"/>
          <w:between w:val="nil"/>
          <w:bar w:val="nil"/>
        </w:pBdr>
        <w:spacing w:before="240"/>
        <w:rPr>
          <w:b/>
          <w:bCs/>
          <w:color w:val="000000"/>
          <w:sz w:val="22"/>
          <w:szCs w:val="18"/>
          <w:bdr w:val="nil"/>
          <w:vertAlign w:val="superscript"/>
        </w:rPr>
      </w:pPr>
      <w:bookmarkStart w:id="21" w:name="_Hlk83644775"/>
      <w:r>
        <w:rPr>
          <w:b/>
          <w:bCs/>
          <w:color w:val="000000"/>
          <w:sz w:val="22"/>
          <w:szCs w:val="18"/>
          <w:bdr w:val="nil"/>
        </w:rPr>
        <w:t>Table 9: Number of avoidable readmissions for selected conditions per 10,000 hospital admissions</w:t>
      </w:r>
    </w:p>
    <w:tbl>
      <w:tblPr>
        <w:tblW w:w="9180" w:type="dxa"/>
        <w:tblLayout w:type="fixed"/>
        <w:tblLook w:val="04A0" w:firstRow="1" w:lastRow="0" w:firstColumn="1" w:lastColumn="0" w:noHBand="0" w:noVBand="1"/>
      </w:tblPr>
      <w:tblGrid>
        <w:gridCol w:w="4928"/>
        <w:gridCol w:w="1417"/>
        <w:gridCol w:w="1417"/>
        <w:gridCol w:w="1418"/>
      </w:tblGrid>
      <w:tr w:rsidR="00496618" w14:paraId="4BCFCFA5" w14:textId="77777777" w:rsidTr="001F6B18">
        <w:trPr>
          <w:trHeight w:val="147"/>
        </w:trPr>
        <w:tc>
          <w:tcPr>
            <w:tcW w:w="4928" w:type="dxa"/>
            <w:vMerge w:val="restart"/>
            <w:tcBorders>
              <w:top w:val="single" w:sz="4" w:space="0" w:color="auto"/>
              <w:left w:val="nil"/>
              <w:bottom w:val="single" w:sz="4" w:space="0" w:color="auto"/>
              <w:right w:val="nil"/>
            </w:tcBorders>
            <w:hideMark/>
          </w:tcPr>
          <w:p w14:paraId="1E9A5DD8" w14:textId="77777777" w:rsidR="001F6B18" w:rsidRDefault="0027723F">
            <w:pPr>
              <w:pBdr>
                <w:top w:val="nil"/>
                <w:left w:val="nil"/>
                <w:bottom w:val="nil"/>
                <w:right w:val="nil"/>
                <w:between w:val="nil"/>
                <w:bar w:val="nil"/>
              </w:pBdr>
              <w:spacing w:before="0" w:after="0" w:line="252" w:lineRule="auto"/>
              <w:ind w:left="227" w:hanging="227"/>
              <w:rPr>
                <w:b/>
                <w:bCs/>
                <w:sz w:val="20"/>
                <w:bdr w:val="nil"/>
              </w:rPr>
            </w:pPr>
            <w:r>
              <w:rPr>
                <w:b/>
                <w:bCs/>
                <w:sz w:val="20"/>
                <w:bdr w:val="nil"/>
              </w:rPr>
              <w:t>Strategic Indicator</w:t>
            </w:r>
          </w:p>
        </w:tc>
        <w:tc>
          <w:tcPr>
            <w:tcW w:w="1417" w:type="dxa"/>
            <w:tcBorders>
              <w:top w:val="single" w:sz="4" w:space="0" w:color="auto"/>
              <w:left w:val="nil"/>
              <w:bottom w:val="nil"/>
              <w:right w:val="nil"/>
            </w:tcBorders>
            <w:hideMark/>
          </w:tcPr>
          <w:p w14:paraId="230EF2ED"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17" w:type="dxa"/>
            <w:tcBorders>
              <w:top w:val="single" w:sz="4" w:space="0" w:color="auto"/>
              <w:left w:val="nil"/>
              <w:bottom w:val="nil"/>
              <w:right w:val="nil"/>
            </w:tcBorders>
            <w:hideMark/>
          </w:tcPr>
          <w:p w14:paraId="0F8A3535"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2020-21</w:t>
            </w:r>
          </w:p>
        </w:tc>
        <w:tc>
          <w:tcPr>
            <w:tcW w:w="1418" w:type="dxa"/>
            <w:tcBorders>
              <w:top w:val="single" w:sz="4" w:space="0" w:color="auto"/>
              <w:left w:val="nil"/>
              <w:bottom w:val="nil"/>
              <w:right w:val="nil"/>
            </w:tcBorders>
            <w:hideMark/>
          </w:tcPr>
          <w:p w14:paraId="4427F431"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2021-22</w:t>
            </w:r>
          </w:p>
        </w:tc>
      </w:tr>
      <w:tr w:rsidR="00496618" w14:paraId="55758F27" w14:textId="77777777" w:rsidTr="001F6B18">
        <w:trPr>
          <w:trHeight w:val="263"/>
        </w:trPr>
        <w:tc>
          <w:tcPr>
            <w:tcW w:w="4928" w:type="dxa"/>
            <w:vMerge/>
            <w:tcBorders>
              <w:top w:val="single" w:sz="4" w:space="0" w:color="auto"/>
              <w:left w:val="nil"/>
              <w:bottom w:val="single" w:sz="4" w:space="0" w:color="auto"/>
              <w:right w:val="nil"/>
            </w:tcBorders>
            <w:vAlign w:val="center"/>
            <w:hideMark/>
          </w:tcPr>
          <w:p w14:paraId="7E5DD098" w14:textId="77777777" w:rsidR="001F6B18" w:rsidRDefault="001F6B18">
            <w:pPr>
              <w:pBdr>
                <w:top w:val="nil"/>
                <w:left w:val="nil"/>
                <w:bottom w:val="nil"/>
                <w:right w:val="nil"/>
                <w:between w:val="nil"/>
                <w:bar w:val="nil"/>
              </w:pBdr>
              <w:spacing w:before="0" w:after="0"/>
              <w:rPr>
                <w:b/>
                <w:bCs/>
                <w:sz w:val="20"/>
                <w:bdr w:val="nil"/>
              </w:rPr>
            </w:pPr>
          </w:p>
        </w:tc>
        <w:tc>
          <w:tcPr>
            <w:tcW w:w="1417" w:type="dxa"/>
            <w:tcBorders>
              <w:top w:val="nil"/>
              <w:left w:val="nil"/>
              <w:bottom w:val="single" w:sz="4" w:space="0" w:color="auto"/>
              <w:right w:val="nil"/>
            </w:tcBorders>
            <w:hideMark/>
          </w:tcPr>
          <w:p w14:paraId="70184762"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c>
          <w:tcPr>
            <w:tcW w:w="1417" w:type="dxa"/>
            <w:tcBorders>
              <w:top w:val="nil"/>
              <w:left w:val="nil"/>
              <w:bottom w:val="single" w:sz="4" w:space="0" w:color="auto"/>
              <w:right w:val="nil"/>
            </w:tcBorders>
            <w:hideMark/>
          </w:tcPr>
          <w:p w14:paraId="39ACBB47" w14:textId="77777777" w:rsidR="007457C3" w:rsidRDefault="007457C3">
            <w:pPr>
              <w:pBdr>
                <w:top w:val="nil"/>
                <w:left w:val="nil"/>
                <w:bottom w:val="nil"/>
                <w:right w:val="nil"/>
                <w:between w:val="nil"/>
                <w:bar w:val="nil"/>
              </w:pBdr>
              <w:spacing w:before="0" w:after="0" w:line="252" w:lineRule="auto"/>
              <w:ind w:left="227" w:hanging="227"/>
              <w:jc w:val="right"/>
              <w:rPr>
                <w:b/>
                <w:sz w:val="20"/>
                <w:bdr w:val="nil"/>
              </w:rPr>
            </w:pPr>
            <w:r>
              <w:rPr>
                <w:b/>
                <w:sz w:val="20"/>
                <w:bdr w:val="nil"/>
              </w:rPr>
              <w:t>Interim</w:t>
            </w:r>
          </w:p>
          <w:p w14:paraId="6E7777A8" w14:textId="6131418D"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Outcome</w:t>
            </w:r>
            <w:r w:rsidRPr="00C06982">
              <w:rPr>
                <w:b/>
                <w:sz w:val="20"/>
                <w:bdr w:val="nil"/>
                <w:vertAlign w:val="superscript"/>
              </w:rPr>
              <w:t>1</w:t>
            </w:r>
          </w:p>
        </w:tc>
        <w:tc>
          <w:tcPr>
            <w:tcW w:w="1418" w:type="dxa"/>
            <w:tcBorders>
              <w:top w:val="nil"/>
              <w:left w:val="nil"/>
              <w:bottom w:val="single" w:sz="4" w:space="0" w:color="auto"/>
              <w:right w:val="nil"/>
            </w:tcBorders>
            <w:hideMark/>
          </w:tcPr>
          <w:p w14:paraId="78364803" w14:textId="77777777" w:rsidR="001F6B18" w:rsidRDefault="0027723F">
            <w:pPr>
              <w:pBdr>
                <w:top w:val="nil"/>
                <w:left w:val="nil"/>
                <w:bottom w:val="nil"/>
                <w:right w:val="nil"/>
                <w:between w:val="nil"/>
                <w:bar w:val="nil"/>
              </w:pBdr>
              <w:spacing w:before="0" w:after="0" w:line="252" w:lineRule="auto"/>
              <w:ind w:left="227" w:hanging="227"/>
              <w:jc w:val="right"/>
              <w:rPr>
                <w:b/>
                <w:sz w:val="20"/>
                <w:bdr w:val="nil"/>
              </w:rPr>
            </w:pPr>
            <w:r>
              <w:rPr>
                <w:b/>
                <w:sz w:val="20"/>
                <w:bdr w:val="nil"/>
              </w:rPr>
              <w:t>Target</w:t>
            </w:r>
          </w:p>
        </w:tc>
      </w:tr>
      <w:tr w:rsidR="00496618" w14:paraId="272C4DF7" w14:textId="77777777" w:rsidTr="001F6B18">
        <w:trPr>
          <w:trHeight w:val="233"/>
        </w:trPr>
        <w:tc>
          <w:tcPr>
            <w:tcW w:w="4928" w:type="dxa"/>
            <w:tcBorders>
              <w:top w:val="single" w:sz="4" w:space="0" w:color="auto"/>
              <w:left w:val="nil"/>
              <w:bottom w:val="single" w:sz="4" w:space="0" w:color="auto"/>
              <w:right w:val="nil"/>
            </w:tcBorders>
            <w:hideMark/>
          </w:tcPr>
          <w:p w14:paraId="1A01B2F2" w14:textId="77777777" w:rsidR="001F6B18" w:rsidRDefault="0027723F">
            <w:pPr>
              <w:pBdr>
                <w:top w:val="nil"/>
                <w:left w:val="nil"/>
                <w:bottom w:val="nil"/>
                <w:right w:val="nil"/>
                <w:between w:val="nil"/>
                <w:bar w:val="nil"/>
              </w:pBdr>
              <w:spacing w:before="0" w:after="0" w:line="252" w:lineRule="auto"/>
              <w:ind w:left="227" w:hanging="227"/>
              <w:rPr>
                <w:bCs/>
                <w:sz w:val="20"/>
                <w:bdr w:val="nil"/>
                <w:vertAlign w:val="superscript"/>
              </w:rPr>
            </w:pPr>
            <w:r>
              <w:rPr>
                <w:bCs/>
                <w:sz w:val="20"/>
                <w:bdr w:val="nil"/>
              </w:rPr>
              <w:t>Number of avoidable readmissions for selected conditions per 10,000 hospital admissions</w:t>
            </w:r>
          </w:p>
        </w:tc>
        <w:tc>
          <w:tcPr>
            <w:tcW w:w="1417" w:type="dxa"/>
            <w:tcBorders>
              <w:top w:val="single" w:sz="4" w:space="0" w:color="auto"/>
              <w:left w:val="nil"/>
              <w:bottom w:val="single" w:sz="4" w:space="0" w:color="auto"/>
              <w:right w:val="nil"/>
            </w:tcBorders>
            <w:hideMark/>
          </w:tcPr>
          <w:p w14:paraId="4E3AB758" w14:textId="77777777" w:rsidR="001F6B18" w:rsidRDefault="0027723F">
            <w:pPr>
              <w:framePr w:wrap="around" w:vAnchor="text" w:hAnchor="text" w:y="1"/>
              <w:pBdr>
                <w:top w:val="nil"/>
                <w:left w:val="nil"/>
                <w:bottom w:val="nil"/>
                <w:right w:val="nil"/>
                <w:between w:val="nil"/>
                <w:bar w:val="nil"/>
              </w:pBdr>
              <w:spacing w:before="0" w:after="0" w:line="252" w:lineRule="auto"/>
              <w:jc w:val="right"/>
              <w:rPr>
                <w:sz w:val="20"/>
                <w:bdr w:val="nil"/>
              </w:rPr>
            </w:pPr>
            <w:r>
              <w:rPr>
                <w:color w:val="313131"/>
                <w:sz w:val="20"/>
                <w:bdr w:val="nil"/>
              </w:rPr>
              <w:t>≤5</w:t>
            </w:r>
            <w:r>
              <w:rPr>
                <w:sz w:val="20"/>
                <w:bdr w:val="nil"/>
                <w:lang w:eastAsia="en-AU"/>
              </w:rPr>
              <w:t>0</w:t>
            </w:r>
          </w:p>
        </w:tc>
        <w:tc>
          <w:tcPr>
            <w:tcW w:w="1417" w:type="dxa"/>
            <w:tcBorders>
              <w:top w:val="single" w:sz="4" w:space="0" w:color="auto"/>
              <w:left w:val="nil"/>
              <w:bottom w:val="single" w:sz="4" w:space="0" w:color="auto"/>
              <w:right w:val="nil"/>
            </w:tcBorders>
            <w:hideMark/>
          </w:tcPr>
          <w:p w14:paraId="3D98851C" w14:textId="77777777" w:rsidR="001F6B18" w:rsidRDefault="0027723F">
            <w:pPr>
              <w:framePr w:wrap="around" w:vAnchor="text" w:hAnchor="text" w:y="1"/>
              <w:pBdr>
                <w:top w:val="nil"/>
                <w:left w:val="nil"/>
                <w:bottom w:val="nil"/>
                <w:right w:val="nil"/>
                <w:between w:val="nil"/>
                <w:bar w:val="nil"/>
              </w:pBdr>
              <w:spacing w:before="0" w:after="0" w:line="252" w:lineRule="auto"/>
              <w:jc w:val="right"/>
              <w:rPr>
                <w:sz w:val="20"/>
                <w:bdr w:val="nil"/>
                <w:lang w:eastAsia="en-AU"/>
              </w:rPr>
            </w:pPr>
            <w:r>
              <w:rPr>
                <w:sz w:val="20"/>
                <w:bdr w:val="nil"/>
                <w:lang w:eastAsia="en-AU"/>
              </w:rPr>
              <w:t>127</w:t>
            </w:r>
          </w:p>
        </w:tc>
        <w:tc>
          <w:tcPr>
            <w:tcW w:w="1418" w:type="dxa"/>
            <w:tcBorders>
              <w:top w:val="single" w:sz="4" w:space="0" w:color="auto"/>
              <w:left w:val="nil"/>
              <w:bottom w:val="single" w:sz="4" w:space="0" w:color="auto"/>
              <w:right w:val="nil"/>
            </w:tcBorders>
            <w:hideMark/>
          </w:tcPr>
          <w:p w14:paraId="1F374A5B" w14:textId="77777777" w:rsidR="001F6B18" w:rsidRDefault="0027723F">
            <w:pPr>
              <w:framePr w:wrap="around" w:vAnchor="text" w:hAnchor="text" w:y="1"/>
              <w:pBdr>
                <w:top w:val="nil"/>
                <w:left w:val="nil"/>
                <w:bottom w:val="nil"/>
                <w:right w:val="nil"/>
                <w:between w:val="nil"/>
                <w:bar w:val="nil"/>
              </w:pBdr>
              <w:spacing w:before="0" w:after="0" w:line="252" w:lineRule="auto"/>
              <w:jc w:val="right"/>
              <w:rPr>
                <w:sz w:val="20"/>
                <w:bdr w:val="nil"/>
                <w:lang w:eastAsia="en-AU"/>
              </w:rPr>
            </w:pPr>
            <w:r>
              <w:rPr>
                <w:color w:val="313131"/>
                <w:sz w:val="20"/>
                <w:bdr w:val="nil"/>
              </w:rPr>
              <w:t>≤50</w:t>
            </w:r>
          </w:p>
        </w:tc>
      </w:tr>
    </w:tbl>
    <w:p w14:paraId="69B7CC74" w14:textId="77777777" w:rsidR="001F6B18" w:rsidRDefault="0027723F" w:rsidP="001F6B18">
      <w:pPr>
        <w:pStyle w:val="BSnote"/>
        <w:pBdr>
          <w:top w:val="nil"/>
          <w:left w:val="nil"/>
          <w:bottom w:val="nil"/>
          <w:right w:val="nil"/>
          <w:between w:val="nil"/>
          <w:bar w:val="nil"/>
        </w:pBdr>
        <w:rPr>
          <w:bdr w:val="nil"/>
        </w:rPr>
      </w:pPr>
      <w:r>
        <w:rPr>
          <w:bdr w:val="nil"/>
        </w:rPr>
        <w:t xml:space="preserve">Note: </w:t>
      </w:r>
    </w:p>
    <w:p w14:paraId="4B2B622B" w14:textId="03990A75" w:rsidR="001F6B18" w:rsidRPr="00D62507" w:rsidRDefault="00605337" w:rsidP="009832FC">
      <w:pPr>
        <w:pStyle w:val="BSnoteslist"/>
        <w:numPr>
          <w:ilvl w:val="0"/>
          <w:numId w:val="12"/>
        </w:numPr>
        <w:pBdr>
          <w:top w:val="nil"/>
          <w:left w:val="nil"/>
          <w:bottom w:val="nil"/>
          <w:right w:val="nil"/>
          <w:between w:val="nil"/>
          <w:bar w:val="nil"/>
        </w:pBdr>
        <w:jc w:val="both"/>
        <w:rPr>
          <w:bdr w:val="nil"/>
        </w:rPr>
      </w:pPr>
      <w:r w:rsidRPr="00D62507">
        <w:rPr>
          <w:bdr w:val="nil"/>
        </w:rPr>
        <w:t>Since the setting of this target in 2020-21, the national methodology of inclusions and exclusions has been redefined</w:t>
      </w:r>
      <w:r w:rsidR="00654F86" w:rsidRPr="00D62507">
        <w:rPr>
          <w:bdr w:val="nil"/>
        </w:rPr>
        <w:t>,</w:t>
      </w:r>
      <w:r w:rsidRPr="00D62507">
        <w:rPr>
          <w:bdr w:val="nil"/>
        </w:rPr>
        <w:t xml:space="preserve"> resulting i</w:t>
      </w:r>
      <w:r w:rsidR="00B513F3" w:rsidRPr="00D62507">
        <w:rPr>
          <w:bdr w:val="nil"/>
        </w:rPr>
        <w:t>n</w:t>
      </w:r>
      <w:r w:rsidRPr="00D62507">
        <w:rPr>
          <w:bdr w:val="nil"/>
        </w:rPr>
        <w:t xml:space="preserve"> the above outcome</w:t>
      </w:r>
      <w:r w:rsidR="0027723F" w:rsidRPr="00D62507">
        <w:rPr>
          <w:bdr w:val="nil"/>
        </w:rPr>
        <w:t>.</w:t>
      </w:r>
      <w:r w:rsidRPr="00D62507">
        <w:rPr>
          <w:bdr w:val="nil"/>
        </w:rPr>
        <w:t xml:space="preserve">  The results will continue to be monitored with a view to resetting the target in the 2022-23 Budget.</w:t>
      </w:r>
    </w:p>
    <w:bookmarkEnd w:id="21"/>
    <w:p w14:paraId="5A61F844" w14:textId="77777777" w:rsidR="001F6B18" w:rsidRPr="00A66BA5" w:rsidRDefault="0027723F" w:rsidP="001F6B18">
      <w:pPr>
        <w:pBdr>
          <w:top w:val="nil"/>
          <w:left w:val="nil"/>
          <w:bottom w:val="nil"/>
          <w:right w:val="nil"/>
          <w:between w:val="nil"/>
          <w:bar w:val="nil"/>
        </w:pBdr>
        <w:jc w:val="both"/>
        <w:rPr>
          <w:bdr w:val="nil"/>
        </w:rPr>
      </w:pPr>
      <w:r>
        <w:t xml:space="preserve"> </w:t>
      </w:r>
    </w:p>
    <w:p w14:paraId="7B7E3113" w14:textId="77777777" w:rsidR="001F6B18" w:rsidRDefault="0027723F" w:rsidP="001F6B18">
      <w:pPr>
        <w:pStyle w:val="Heading2"/>
        <w:pageBreakBefore/>
        <w:pBdr>
          <w:top w:val="nil"/>
          <w:left w:val="nil"/>
          <w:bottom w:val="nil"/>
          <w:right w:val="nil"/>
          <w:between w:val="nil"/>
          <w:bar w:val="nil"/>
        </w:pBdr>
        <w:rPr>
          <w:bdr w:val="nil"/>
        </w:rPr>
      </w:pPr>
      <w:bookmarkStart w:id="22" w:name="_Toc452467799"/>
      <w:bookmarkStart w:id="23" w:name="_Toc83910740"/>
      <w:r>
        <w:rPr>
          <w:bdr w:val="nil"/>
        </w:rPr>
        <w:lastRenderedPageBreak/>
        <w:t>Output Classes</w:t>
      </w:r>
      <w:bookmarkEnd w:id="22"/>
      <w:bookmarkEnd w:id="23"/>
    </w:p>
    <w:p w14:paraId="332DA714" w14:textId="77777777" w:rsidR="001F6B18" w:rsidRDefault="0027723F" w:rsidP="001F6B18">
      <w:pPr>
        <w:keepNext/>
        <w:keepLines/>
        <w:pBdr>
          <w:top w:val="nil"/>
          <w:left w:val="nil"/>
          <w:bottom w:val="nil"/>
          <w:right w:val="nil"/>
          <w:between w:val="nil"/>
          <w:bar w:val="nil"/>
        </w:pBdr>
        <w:spacing w:before="120" w:after="120"/>
        <w:jc w:val="both"/>
        <w:rPr>
          <w:bdr w:val="nil"/>
        </w:rPr>
      </w:pPr>
      <w:r>
        <w:rPr>
          <w:bdr w:val="nil"/>
        </w:rPr>
        <w:t xml:space="preserve">The Directorate will undertake Territory wide planning of public health services, promote physically and mentally healthy communities and support continuous improvement of the public health system. </w:t>
      </w:r>
    </w:p>
    <w:p w14:paraId="796F89CC" w14:textId="77777777" w:rsidR="001F6B18" w:rsidRPr="00446921" w:rsidRDefault="0027723F" w:rsidP="008E3537">
      <w:pPr>
        <w:pStyle w:val="Heading3"/>
        <w:rPr>
          <w:bdr w:val="nil"/>
        </w:rPr>
      </w:pPr>
      <w:r>
        <w:rPr>
          <w:bdr w:val="nil"/>
        </w:rPr>
        <w:t>Output Class 1: Public Health Services</w:t>
      </w:r>
    </w:p>
    <w:p w14:paraId="470647A7" w14:textId="77777777" w:rsidR="001F6B18" w:rsidRDefault="0027723F" w:rsidP="001F6B18">
      <w:pPr>
        <w:pStyle w:val="Caption"/>
        <w:pBdr>
          <w:top w:val="nil"/>
          <w:left w:val="nil"/>
          <w:bottom w:val="nil"/>
          <w:right w:val="nil"/>
          <w:between w:val="nil"/>
          <w:bar w:val="nil"/>
        </w:pBdr>
        <w:rPr>
          <w:bdr w:val="nil"/>
        </w:rPr>
      </w:pPr>
      <w:r w:rsidRPr="00446921">
        <w:rPr>
          <w:bdr w:val="nil"/>
        </w:rPr>
        <w:t>Table 1</w:t>
      </w:r>
      <w:r>
        <w:rPr>
          <w:bdr w:val="nil"/>
        </w:rPr>
        <w:t>0</w:t>
      </w:r>
      <w:r w:rsidRPr="00446921">
        <w:rPr>
          <w:bdr w:val="nil"/>
        </w:rPr>
        <w:t xml:space="preserve">: Output Class 1: </w:t>
      </w:r>
      <w:r>
        <w:rPr>
          <w:bdr w:val="nil"/>
        </w:rPr>
        <w:t>Public Health Services</w:t>
      </w:r>
    </w:p>
    <w:tbl>
      <w:tblPr>
        <w:tblW w:w="9060" w:type="dxa"/>
        <w:tblLayout w:type="fixed"/>
        <w:tblLook w:val="0600" w:firstRow="0" w:lastRow="0" w:firstColumn="0" w:lastColumn="0" w:noHBand="1" w:noVBand="1"/>
      </w:tblPr>
      <w:tblGrid>
        <w:gridCol w:w="4695"/>
        <w:gridCol w:w="540"/>
        <w:gridCol w:w="2175"/>
        <w:gridCol w:w="1650"/>
      </w:tblGrid>
      <w:tr w:rsidR="00496618" w14:paraId="6081793A" w14:textId="77777777" w:rsidTr="001F6B18">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tcPr>
          <w:p w14:paraId="56F7A4EA"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bookmarkStart w:id="24" w:name="_Hlk9425307"/>
          </w:p>
        </w:tc>
        <w:tc>
          <w:tcPr>
            <w:tcW w:w="540" w:type="dxa"/>
            <w:tcBorders>
              <w:top w:val="single" w:sz="4" w:space="0" w:color="000000"/>
              <w:left w:val="nil"/>
              <w:bottom w:val="nil"/>
              <w:right w:val="nil"/>
            </w:tcBorders>
            <w:noWrap/>
            <w:tcMar>
              <w:top w:w="0" w:type="dxa"/>
              <w:left w:w="40" w:type="dxa"/>
              <w:bottom w:w="0" w:type="dxa"/>
              <w:right w:w="40" w:type="dxa"/>
            </w:tcMar>
          </w:tcPr>
          <w:p w14:paraId="757E7747"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0FB2C992"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58EB935F"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496618" w14:paraId="4C7EB978" w14:textId="77777777" w:rsidTr="001F6B18">
        <w:trPr>
          <w:trHeight w:val="240"/>
        </w:trPr>
        <w:tc>
          <w:tcPr>
            <w:tcW w:w="4695" w:type="dxa"/>
            <w:noWrap/>
            <w:tcMar>
              <w:top w:w="0" w:type="dxa"/>
              <w:left w:w="40" w:type="dxa"/>
              <w:bottom w:w="0" w:type="dxa"/>
              <w:right w:w="40" w:type="dxa"/>
            </w:tcMar>
          </w:tcPr>
          <w:p w14:paraId="62149E7A"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noWrap/>
            <w:tcMar>
              <w:top w:w="0" w:type="dxa"/>
              <w:left w:w="40" w:type="dxa"/>
              <w:bottom w:w="0" w:type="dxa"/>
              <w:right w:w="40" w:type="dxa"/>
            </w:tcMar>
          </w:tcPr>
          <w:p w14:paraId="4C10AA8D"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Mar>
              <w:top w:w="0" w:type="dxa"/>
              <w:left w:w="40" w:type="dxa"/>
              <w:bottom w:w="0" w:type="dxa"/>
              <w:right w:w="40" w:type="dxa"/>
            </w:tcMar>
            <w:hideMark/>
          </w:tcPr>
          <w:p w14:paraId="366BC335" w14:textId="7F45AE3C" w:rsidR="001F6B18" w:rsidRDefault="004A2C91"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 xml:space="preserve">Interim </w:t>
            </w:r>
            <w:r w:rsidR="0027723F">
              <w:rPr>
                <w:rFonts w:eastAsia="Calibri" w:cs="Calibri"/>
                <w:b/>
                <w:color w:val="000000"/>
                <w:sz w:val="18"/>
                <w:bdr w:val="nil"/>
              </w:rPr>
              <w:t>Outcome</w:t>
            </w:r>
          </w:p>
        </w:tc>
        <w:tc>
          <w:tcPr>
            <w:tcW w:w="1650" w:type="dxa"/>
            <w:noWrap/>
            <w:tcMar>
              <w:top w:w="0" w:type="dxa"/>
              <w:left w:w="40" w:type="dxa"/>
              <w:bottom w:w="0" w:type="dxa"/>
              <w:right w:w="40" w:type="dxa"/>
            </w:tcMar>
            <w:hideMark/>
          </w:tcPr>
          <w:p w14:paraId="5F2C95E1"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496618" w14:paraId="3324036A" w14:textId="77777777" w:rsidTr="001F6B18">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349E1D8A"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30E01505"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1F932B26"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6BEB0B79"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496618" w14:paraId="77B2B0D7" w14:textId="77777777" w:rsidTr="001F6B18">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07A3C710" w14:textId="77777777" w:rsidR="001F6B18" w:rsidRPr="0038545F" w:rsidRDefault="0027723F" w:rsidP="001F6B18">
            <w:pPr>
              <w:pStyle w:val="Normal0"/>
              <w:pBdr>
                <w:top w:val="nil"/>
                <w:left w:val="nil"/>
                <w:bottom w:val="nil"/>
                <w:right w:val="nil"/>
                <w:between w:val="nil"/>
                <w:bar w:val="nil"/>
              </w:pBdr>
              <w:spacing w:before="0" w:after="0"/>
              <w:rPr>
                <w:rFonts w:eastAsia="Calibri" w:cs="Calibri"/>
                <w:color w:val="000000"/>
                <w:sz w:val="18"/>
                <w:bdr w:val="nil"/>
              </w:rPr>
            </w:pPr>
            <w:r w:rsidRPr="0038545F">
              <w:rPr>
                <w:rFonts w:eastAsia="Calibri" w:cs="Calibri"/>
                <w:color w:val="000000"/>
                <w:sz w:val="18"/>
                <w:bdr w:val="nil"/>
              </w:rPr>
              <w:t>Total Cost</w:t>
            </w:r>
            <w:r w:rsidRPr="00D977A6">
              <w:rPr>
                <w:rFonts w:eastAsia="Calibri" w:cs="Calibri"/>
                <w:color w:val="000000"/>
                <w:sz w:val="18"/>
                <w:bdr w:val="nil"/>
                <w:vertAlign w:val="superscript"/>
              </w:rPr>
              <w:t>1,2</w:t>
            </w:r>
          </w:p>
        </w:tc>
        <w:tc>
          <w:tcPr>
            <w:tcW w:w="540" w:type="dxa"/>
            <w:tcBorders>
              <w:top w:val="single" w:sz="4" w:space="0" w:color="000000"/>
              <w:left w:val="nil"/>
              <w:bottom w:val="nil"/>
              <w:right w:val="nil"/>
            </w:tcBorders>
            <w:noWrap/>
            <w:tcMar>
              <w:top w:w="0" w:type="dxa"/>
              <w:left w:w="40" w:type="dxa"/>
              <w:bottom w:w="0" w:type="dxa"/>
              <w:right w:w="40" w:type="dxa"/>
            </w:tcMar>
          </w:tcPr>
          <w:p w14:paraId="31186437" w14:textId="77777777" w:rsidR="001F6B18" w:rsidRDefault="001F6B18" w:rsidP="001F6B18">
            <w:pPr>
              <w:pStyle w:val="Normal0"/>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tcPr>
          <w:p w14:paraId="0FC95CB0" w14:textId="77777777"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395,048</w:t>
            </w:r>
          </w:p>
        </w:tc>
        <w:tc>
          <w:tcPr>
            <w:tcW w:w="1650" w:type="dxa"/>
            <w:tcBorders>
              <w:top w:val="single" w:sz="4" w:space="0" w:color="000000"/>
              <w:left w:val="nil"/>
              <w:bottom w:val="nil"/>
              <w:right w:val="nil"/>
            </w:tcBorders>
            <w:noWrap/>
            <w:tcMar>
              <w:top w:w="0" w:type="dxa"/>
              <w:left w:w="40" w:type="dxa"/>
              <w:bottom w:w="0" w:type="dxa"/>
              <w:right w:w="40" w:type="dxa"/>
            </w:tcMar>
          </w:tcPr>
          <w:p w14:paraId="3AF58316" w14:textId="1EB9EB56"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w:t>
            </w:r>
            <w:r w:rsidR="002668D2">
              <w:rPr>
                <w:rFonts w:eastAsia="Calibri" w:cs="Calibri"/>
                <w:color w:val="000000"/>
                <w:sz w:val="18"/>
                <w:bdr w:val="nil"/>
              </w:rPr>
              <w:t>50,447</w:t>
            </w:r>
          </w:p>
        </w:tc>
      </w:tr>
      <w:tr w:rsidR="00496618" w14:paraId="24F60193" w14:textId="77777777" w:rsidTr="001F6B18">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hideMark/>
          </w:tcPr>
          <w:p w14:paraId="1D371DBF" w14:textId="77777777" w:rsidR="001F6B18" w:rsidRPr="0038545F" w:rsidRDefault="0027723F" w:rsidP="001F6B18">
            <w:pPr>
              <w:pStyle w:val="Normal0"/>
              <w:pBdr>
                <w:top w:val="nil"/>
                <w:left w:val="nil"/>
                <w:bottom w:val="nil"/>
                <w:right w:val="nil"/>
                <w:between w:val="nil"/>
                <w:bar w:val="nil"/>
              </w:pBdr>
              <w:spacing w:before="0" w:after="0"/>
              <w:rPr>
                <w:rFonts w:eastAsia="Calibri" w:cs="Calibri"/>
                <w:color w:val="000000"/>
                <w:sz w:val="18"/>
                <w:bdr w:val="nil"/>
              </w:rPr>
            </w:pPr>
            <w:r w:rsidRPr="0038545F">
              <w:rPr>
                <w:rFonts w:eastAsia="Calibri" w:cs="Calibri"/>
                <w:color w:val="000000"/>
                <w:sz w:val="18"/>
                <w:bdr w:val="nil"/>
              </w:rPr>
              <w:t>Controlled Recurrent Payments</w:t>
            </w:r>
          </w:p>
        </w:tc>
        <w:tc>
          <w:tcPr>
            <w:tcW w:w="540" w:type="dxa"/>
            <w:tcBorders>
              <w:top w:val="nil"/>
              <w:left w:val="nil"/>
              <w:bottom w:val="single" w:sz="4" w:space="0" w:color="000000"/>
              <w:right w:val="nil"/>
            </w:tcBorders>
            <w:noWrap/>
            <w:tcMar>
              <w:top w:w="0" w:type="dxa"/>
              <w:left w:w="40" w:type="dxa"/>
              <w:bottom w:w="0" w:type="dxa"/>
              <w:right w:w="40" w:type="dxa"/>
            </w:tcMar>
          </w:tcPr>
          <w:p w14:paraId="667CE2C1" w14:textId="77777777" w:rsidR="001F6B18" w:rsidRDefault="001F6B18" w:rsidP="001F6B18">
            <w:pPr>
              <w:pStyle w:val="Normal0"/>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tcPr>
          <w:p w14:paraId="6013F30F" w14:textId="77777777"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249,100</w:t>
            </w:r>
          </w:p>
        </w:tc>
        <w:tc>
          <w:tcPr>
            <w:tcW w:w="1650" w:type="dxa"/>
            <w:tcBorders>
              <w:top w:val="nil"/>
              <w:left w:val="nil"/>
              <w:bottom w:val="single" w:sz="4" w:space="0" w:color="000000"/>
              <w:right w:val="nil"/>
            </w:tcBorders>
            <w:noWrap/>
            <w:tcMar>
              <w:top w:w="0" w:type="dxa"/>
              <w:left w:w="40" w:type="dxa"/>
              <w:bottom w:w="0" w:type="dxa"/>
              <w:right w:w="40" w:type="dxa"/>
            </w:tcMar>
          </w:tcPr>
          <w:p w14:paraId="78606455" w14:textId="7411F2D4"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w:t>
            </w:r>
            <w:r w:rsidR="002668D2">
              <w:rPr>
                <w:rFonts w:eastAsia="Calibri" w:cs="Calibri"/>
                <w:color w:val="000000"/>
                <w:sz w:val="18"/>
                <w:bdr w:val="nil"/>
              </w:rPr>
              <w:t>74,523</w:t>
            </w:r>
          </w:p>
        </w:tc>
      </w:tr>
    </w:tbl>
    <w:p w14:paraId="0CA71F13" w14:textId="0C1C41B9" w:rsidR="001F6B18" w:rsidRDefault="0027723F" w:rsidP="001F6B18">
      <w:pPr>
        <w:pStyle w:val="BSnote0"/>
        <w:pBdr>
          <w:top w:val="nil"/>
          <w:left w:val="nil"/>
          <w:bottom w:val="nil"/>
          <w:right w:val="nil"/>
          <w:between w:val="nil"/>
          <w:bar w:val="nil"/>
        </w:pBdr>
        <w:rPr>
          <w:bdr w:val="nil"/>
        </w:rPr>
      </w:pPr>
      <w:r>
        <w:rPr>
          <w:bdr w:val="nil"/>
        </w:rPr>
        <w:t>Note</w:t>
      </w:r>
      <w:r w:rsidR="006D1EEF">
        <w:rPr>
          <w:bdr w:val="nil"/>
        </w:rPr>
        <w:t>s</w:t>
      </w:r>
      <w:r>
        <w:rPr>
          <w:bdr w:val="nil"/>
        </w:rPr>
        <w:t>:</w:t>
      </w:r>
    </w:p>
    <w:p w14:paraId="025FD800" w14:textId="388FDF1B" w:rsidR="001F6B18" w:rsidRPr="008A5341" w:rsidRDefault="0027723F" w:rsidP="009832FC">
      <w:pPr>
        <w:pStyle w:val="BSnoteslist1"/>
        <w:numPr>
          <w:ilvl w:val="0"/>
          <w:numId w:val="14"/>
        </w:numPr>
        <w:pBdr>
          <w:top w:val="nil"/>
          <w:left w:val="nil"/>
          <w:bottom w:val="nil"/>
          <w:right w:val="nil"/>
          <w:between w:val="nil"/>
          <w:bar w:val="nil"/>
        </w:pBdr>
        <w:jc w:val="both"/>
        <w:rPr>
          <w:bdr w:val="nil"/>
        </w:rPr>
      </w:pPr>
      <w:r w:rsidRPr="008A5341">
        <w:rPr>
          <w:bdr w:val="nil"/>
        </w:rPr>
        <w:t xml:space="preserve">Total cost </w:t>
      </w:r>
      <w:r w:rsidRPr="008A5341">
        <w:rPr>
          <w:szCs w:val="16"/>
          <w:bdr w:val="nil"/>
        </w:rPr>
        <w:t>includes</w:t>
      </w:r>
      <w:r w:rsidRPr="008A5341">
        <w:rPr>
          <w:bdr w:val="nil"/>
        </w:rPr>
        <w:t xml:space="preserve"> depreciation and amortisation of $</w:t>
      </w:r>
      <w:r>
        <w:rPr>
          <w:bdr w:val="nil"/>
        </w:rPr>
        <w:t>2</w:t>
      </w:r>
      <w:r w:rsidR="000C26FB">
        <w:rPr>
          <w:bdr w:val="nil"/>
        </w:rPr>
        <w:t>1</w:t>
      </w:r>
      <w:r>
        <w:rPr>
          <w:bdr w:val="nil"/>
        </w:rPr>
        <w:t>.</w:t>
      </w:r>
      <w:r w:rsidR="000C26FB">
        <w:rPr>
          <w:bdr w:val="nil"/>
        </w:rPr>
        <w:t>393</w:t>
      </w:r>
      <w:r w:rsidRPr="008A5341">
        <w:rPr>
          <w:bdr w:val="nil"/>
        </w:rPr>
        <w:t> million in 20</w:t>
      </w:r>
      <w:r w:rsidR="000C26FB">
        <w:rPr>
          <w:bdr w:val="nil"/>
        </w:rPr>
        <w:t>2</w:t>
      </w:r>
      <w:r>
        <w:rPr>
          <w:bdr w:val="nil"/>
        </w:rPr>
        <w:t>0</w:t>
      </w:r>
      <w:r w:rsidR="000C26FB">
        <w:rPr>
          <w:bdr w:val="nil"/>
        </w:rPr>
        <w:t>-21</w:t>
      </w:r>
      <w:r w:rsidRPr="008A5341">
        <w:rPr>
          <w:bdr w:val="nil"/>
        </w:rPr>
        <w:t xml:space="preserve"> and $</w:t>
      </w:r>
      <w:r>
        <w:rPr>
          <w:bdr w:val="nil"/>
        </w:rPr>
        <w:t>2</w:t>
      </w:r>
      <w:r w:rsidR="000C26FB">
        <w:rPr>
          <w:bdr w:val="nil"/>
        </w:rPr>
        <w:t>8.205</w:t>
      </w:r>
      <w:r w:rsidRPr="008A5341">
        <w:rPr>
          <w:bdr w:val="nil"/>
        </w:rPr>
        <w:t> million in 20</w:t>
      </w:r>
      <w:r>
        <w:rPr>
          <w:bdr w:val="nil"/>
        </w:rPr>
        <w:t>21</w:t>
      </w:r>
      <w:r w:rsidR="000C26FB">
        <w:rPr>
          <w:bdr w:val="nil"/>
        </w:rPr>
        <w:t>-22</w:t>
      </w:r>
      <w:r w:rsidRPr="008A5341">
        <w:rPr>
          <w:bdr w:val="nil"/>
        </w:rPr>
        <w:t>.</w:t>
      </w:r>
    </w:p>
    <w:bookmarkEnd w:id="24"/>
    <w:p w14:paraId="31EE1F0A" w14:textId="4B4F7B83" w:rsidR="001F6B18" w:rsidRPr="008A5341" w:rsidRDefault="0027723F" w:rsidP="009832FC">
      <w:pPr>
        <w:pStyle w:val="BSnoteslist1"/>
        <w:numPr>
          <w:ilvl w:val="0"/>
          <w:numId w:val="14"/>
        </w:numPr>
        <w:pBdr>
          <w:top w:val="nil"/>
          <w:left w:val="nil"/>
          <w:bottom w:val="nil"/>
          <w:right w:val="nil"/>
          <w:between w:val="nil"/>
          <w:bar w:val="nil"/>
        </w:pBdr>
        <w:jc w:val="both"/>
        <w:rPr>
          <w:bdr w:val="nil"/>
        </w:rPr>
      </w:pPr>
      <w:r>
        <w:rPr>
          <w:bdr w:val="nil"/>
        </w:rPr>
        <w:t xml:space="preserve">The increase in total cost </w:t>
      </w:r>
      <w:r w:rsidR="00286745">
        <w:rPr>
          <w:bdr w:val="nil"/>
        </w:rPr>
        <w:t xml:space="preserve">is impacted by </w:t>
      </w:r>
      <w:r w:rsidR="000C26FB">
        <w:rPr>
          <w:bdr w:val="nil"/>
        </w:rPr>
        <w:t xml:space="preserve">the full year effect of </w:t>
      </w:r>
      <w:r>
        <w:rPr>
          <w:bdr w:val="nil"/>
        </w:rPr>
        <w:t>a change in the funding flow for cross border health receipts, which are now required to be transacted through the Directorate resulting in an increase in total expenses and total revenue</w:t>
      </w:r>
      <w:r w:rsidR="00286745">
        <w:rPr>
          <w:bdr w:val="nil"/>
        </w:rPr>
        <w:t xml:space="preserve"> of $29 million</w:t>
      </w:r>
      <w:r>
        <w:rPr>
          <w:bdr w:val="nil"/>
        </w:rPr>
        <w:t>.</w:t>
      </w:r>
    </w:p>
    <w:p w14:paraId="17298E77" w14:textId="77777777" w:rsidR="001F6B18" w:rsidRDefault="0027723F" w:rsidP="001F6B18">
      <w:pPr>
        <w:pStyle w:val="Heading4"/>
        <w:pBdr>
          <w:top w:val="nil"/>
          <w:left w:val="nil"/>
          <w:bottom w:val="nil"/>
          <w:right w:val="nil"/>
          <w:between w:val="nil"/>
          <w:bar w:val="nil"/>
        </w:pBdr>
        <w:rPr>
          <w:bCs w:val="0"/>
          <w:bdr w:val="nil"/>
        </w:rPr>
      </w:pPr>
      <w:r>
        <w:rPr>
          <w:bCs w:val="0"/>
          <w:bdr w:val="nil"/>
        </w:rPr>
        <w:t xml:space="preserve">Output 1.1: </w:t>
      </w:r>
      <w:r w:rsidRPr="00446921">
        <w:rPr>
          <w:bCs w:val="0"/>
          <w:bdr w:val="nil"/>
        </w:rPr>
        <w:t>Improved Hospital Services</w:t>
      </w:r>
    </w:p>
    <w:p w14:paraId="304B2ED1" w14:textId="77777777" w:rsidR="001F6B18" w:rsidRDefault="0027723F" w:rsidP="001F6B18">
      <w:pPr>
        <w:pBdr>
          <w:top w:val="nil"/>
          <w:left w:val="nil"/>
          <w:bottom w:val="nil"/>
          <w:right w:val="nil"/>
          <w:between w:val="nil"/>
          <w:bar w:val="nil"/>
        </w:pBdr>
        <w:autoSpaceDE w:val="0"/>
        <w:autoSpaceDN w:val="0"/>
        <w:adjustRightInd w:val="0"/>
        <w:contextualSpacing/>
        <w:rPr>
          <w:rFonts w:cs="Calibri"/>
          <w:sz w:val="22"/>
          <w:szCs w:val="24"/>
          <w:bdr w:val="nil"/>
        </w:rPr>
      </w:pPr>
      <w:r>
        <w:rPr>
          <w:rFonts w:cs="Calibri"/>
          <w:szCs w:val="24"/>
          <w:bdr w:val="nil"/>
        </w:rPr>
        <w:t>The Directorate seeks to improve hospital services in collaboration with its service partners by:</w:t>
      </w:r>
    </w:p>
    <w:p w14:paraId="4F4FDB9F" w14:textId="77777777" w:rsidR="001F6B18" w:rsidRDefault="0027723F" w:rsidP="001F6B18">
      <w:pPr>
        <w:pStyle w:val="BSbullet1"/>
        <w:pBdr>
          <w:top w:val="nil"/>
          <w:left w:val="nil"/>
          <w:bottom w:val="nil"/>
          <w:right w:val="nil"/>
          <w:between w:val="nil"/>
          <w:bar w:val="nil"/>
        </w:pBdr>
        <w:jc w:val="both"/>
        <w:rPr>
          <w:bdr w:val="nil"/>
        </w:rPr>
      </w:pPr>
      <w:r>
        <w:rPr>
          <w:bdr w:val="nil"/>
        </w:rPr>
        <w:t>planning and delivering an ACT wide health system service model;</w:t>
      </w:r>
    </w:p>
    <w:p w14:paraId="45A9387B" w14:textId="77777777" w:rsidR="001F6B18" w:rsidRDefault="0027723F" w:rsidP="001F6B18">
      <w:pPr>
        <w:pStyle w:val="BSbullet1"/>
        <w:pBdr>
          <w:top w:val="nil"/>
          <w:left w:val="nil"/>
          <w:bottom w:val="nil"/>
          <w:right w:val="nil"/>
          <w:between w:val="nil"/>
          <w:bar w:val="nil"/>
        </w:pBdr>
        <w:jc w:val="both"/>
        <w:rPr>
          <w:bdr w:val="nil"/>
        </w:rPr>
      </w:pPr>
      <w:r>
        <w:rPr>
          <w:bdr w:val="nil"/>
        </w:rPr>
        <w:t>managing, developing, implementing and providing advice on health services planning processes across the system;</w:t>
      </w:r>
    </w:p>
    <w:p w14:paraId="07E898BC" w14:textId="77777777" w:rsidR="001F6B18" w:rsidRDefault="0027723F" w:rsidP="001F6B18">
      <w:pPr>
        <w:pStyle w:val="BSbullet1"/>
        <w:pBdr>
          <w:top w:val="nil"/>
          <w:left w:val="nil"/>
          <w:bottom w:val="nil"/>
          <w:right w:val="nil"/>
          <w:between w:val="nil"/>
          <w:bar w:val="nil"/>
        </w:pBdr>
        <w:jc w:val="both"/>
        <w:rPr>
          <w:bdr w:val="nil"/>
        </w:rPr>
      </w:pPr>
      <w:r>
        <w:rPr>
          <w:bdr w:val="nil"/>
        </w:rPr>
        <w:t>developing strategic policy for the health system, including working with the Commonwealth on key health improvement initiatives;</w:t>
      </w:r>
    </w:p>
    <w:p w14:paraId="013813CE" w14:textId="77777777" w:rsidR="001F6B18" w:rsidRDefault="0027723F" w:rsidP="001F6B18">
      <w:pPr>
        <w:pStyle w:val="BSbullet1"/>
        <w:pBdr>
          <w:top w:val="nil"/>
          <w:left w:val="nil"/>
          <w:bottom w:val="nil"/>
          <w:right w:val="nil"/>
          <w:between w:val="nil"/>
          <w:bar w:val="nil"/>
        </w:pBdr>
        <w:jc w:val="both"/>
        <w:rPr>
          <w:bdr w:val="nil"/>
        </w:rPr>
      </w:pPr>
      <w:r>
        <w:rPr>
          <w:bdr w:val="nil"/>
        </w:rPr>
        <w:t>managing demand for and supply of health services across the Territory;</w:t>
      </w:r>
    </w:p>
    <w:p w14:paraId="5F5C7F74" w14:textId="77777777" w:rsidR="001F6B18" w:rsidRDefault="0027723F" w:rsidP="001F6B18">
      <w:pPr>
        <w:pStyle w:val="BSbullet1"/>
        <w:pBdr>
          <w:top w:val="nil"/>
          <w:left w:val="nil"/>
          <w:bottom w:val="nil"/>
          <w:right w:val="nil"/>
          <w:between w:val="nil"/>
          <w:bar w:val="nil"/>
        </w:pBdr>
        <w:jc w:val="both"/>
        <w:rPr>
          <w:bdr w:val="nil"/>
        </w:rPr>
      </w:pPr>
      <w:r>
        <w:rPr>
          <w:bdr w:val="nil"/>
        </w:rPr>
        <w:t>improving the health and wellbeing of the ACT population by promoting healthy behaviours and lifestyles and through ongoing monitoring and evaluation of health programs and policy;</w:t>
      </w:r>
    </w:p>
    <w:p w14:paraId="7A927921" w14:textId="77777777" w:rsidR="001F6B18" w:rsidRDefault="0027723F" w:rsidP="001F6B18">
      <w:pPr>
        <w:pStyle w:val="BSbullet1"/>
        <w:pBdr>
          <w:top w:val="nil"/>
          <w:left w:val="nil"/>
          <w:bottom w:val="nil"/>
          <w:right w:val="nil"/>
          <w:between w:val="nil"/>
          <w:bar w:val="nil"/>
        </w:pBdr>
        <w:jc w:val="both"/>
        <w:rPr>
          <w:bdr w:val="nil"/>
        </w:rPr>
      </w:pPr>
      <w:r>
        <w:rPr>
          <w:bdr w:val="nil"/>
        </w:rPr>
        <w:t>preventing, and providing a timely response to, potential public health incidents;</w:t>
      </w:r>
    </w:p>
    <w:p w14:paraId="603DD32F" w14:textId="77777777" w:rsidR="001F6B18" w:rsidRDefault="0027723F" w:rsidP="001F6B18">
      <w:pPr>
        <w:pStyle w:val="BSbullet1"/>
        <w:pBdr>
          <w:top w:val="nil"/>
          <w:left w:val="nil"/>
          <w:bottom w:val="nil"/>
          <w:right w:val="nil"/>
          <w:between w:val="nil"/>
          <w:bar w:val="nil"/>
        </w:pBdr>
        <w:jc w:val="both"/>
        <w:rPr>
          <w:bdr w:val="nil"/>
        </w:rPr>
      </w:pPr>
      <w:r>
        <w:rPr>
          <w:bdr w:val="nil"/>
        </w:rPr>
        <w:t>leading the development of strategies and policies towards funding sustainability;</w:t>
      </w:r>
    </w:p>
    <w:p w14:paraId="3EDB9701" w14:textId="77777777" w:rsidR="001F6B18" w:rsidRDefault="0027723F" w:rsidP="001F6B18">
      <w:pPr>
        <w:pStyle w:val="BSbullet1"/>
        <w:pBdr>
          <w:top w:val="nil"/>
          <w:left w:val="nil"/>
          <w:bottom w:val="nil"/>
          <w:right w:val="nil"/>
          <w:between w:val="nil"/>
          <w:bar w:val="nil"/>
        </w:pBdr>
        <w:jc w:val="both"/>
        <w:rPr>
          <w:bdr w:val="nil"/>
        </w:rPr>
      </w:pPr>
      <w:r>
        <w:rPr>
          <w:bdr w:val="nil"/>
        </w:rPr>
        <w:t>leading the health workforce and clinical training strategy including building strong partnerships with key academic institutions and training providers; and</w:t>
      </w:r>
    </w:p>
    <w:p w14:paraId="093CCE8B" w14:textId="3DD8C43A" w:rsidR="001F6B18" w:rsidRDefault="0027723F" w:rsidP="001F6B18">
      <w:pPr>
        <w:pStyle w:val="BSbullet1"/>
        <w:pBdr>
          <w:top w:val="nil"/>
          <w:left w:val="nil"/>
          <w:bottom w:val="nil"/>
          <w:right w:val="nil"/>
          <w:between w:val="nil"/>
          <w:bar w:val="nil"/>
        </w:pBdr>
        <w:jc w:val="both"/>
        <w:rPr>
          <w:bdr w:val="nil"/>
        </w:rPr>
      </w:pPr>
      <w:r>
        <w:rPr>
          <w:bdr w:val="nil"/>
        </w:rPr>
        <w:t xml:space="preserve">commissioning and managing contracts for the provision of health services, including </w:t>
      </w:r>
      <w:r w:rsidR="008F2187">
        <w:rPr>
          <w:bdr w:val="nil"/>
        </w:rPr>
        <w:t xml:space="preserve">the public hospital provider through the Local Hospital Network, as well as </w:t>
      </w:r>
      <w:r>
        <w:rPr>
          <w:bdr w:val="nil"/>
        </w:rPr>
        <w:t>partnerships with community sector organisations, peak bodies and advocacy groups.</w:t>
      </w:r>
    </w:p>
    <w:p w14:paraId="7CCC616A" w14:textId="77777777" w:rsidR="001F6B18" w:rsidRDefault="0027723F">
      <w:pPr>
        <w:pBdr>
          <w:top w:val="nil"/>
          <w:left w:val="nil"/>
          <w:bottom w:val="nil"/>
          <w:right w:val="nil"/>
          <w:between w:val="nil"/>
          <w:bar w:val="nil"/>
        </w:pBdr>
        <w:spacing w:before="0" w:after="0"/>
        <w:rPr>
          <w:b/>
          <w:szCs w:val="24"/>
          <w:bdr w:val="nil"/>
        </w:rPr>
      </w:pPr>
      <w:r>
        <w:rPr>
          <w:b/>
          <w:bdr w:val="nil"/>
        </w:rPr>
        <w:br w:type="page"/>
      </w:r>
    </w:p>
    <w:p w14:paraId="47C2252E" w14:textId="77777777" w:rsidR="001F6B18" w:rsidRDefault="0027723F" w:rsidP="001F6B18">
      <w:pPr>
        <w:pStyle w:val="BSbullet1"/>
        <w:keepNext/>
        <w:keepLines/>
        <w:numPr>
          <w:ilvl w:val="0"/>
          <w:numId w:val="0"/>
        </w:numPr>
        <w:pBdr>
          <w:top w:val="nil"/>
          <w:left w:val="nil"/>
          <w:bottom w:val="nil"/>
          <w:right w:val="nil"/>
          <w:between w:val="nil"/>
          <w:bar w:val="nil"/>
        </w:pBdr>
        <w:tabs>
          <w:tab w:val="left" w:pos="720"/>
        </w:tabs>
        <w:rPr>
          <w:b/>
          <w:bdr w:val="nil"/>
        </w:rPr>
      </w:pPr>
      <w:r>
        <w:rPr>
          <w:b/>
          <w:bdr w:val="nil"/>
        </w:rPr>
        <w:lastRenderedPageBreak/>
        <w:t xml:space="preserve">Table 11: Output 1.1:  </w:t>
      </w:r>
      <w:r w:rsidRPr="00446921">
        <w:rPr>
          <w:b/>
          <w:bdr w:val="nil"/>
        </w:rPr>
        <w:t>Improved Hospital Services</w:t>
      </w:r>
    </w:p>
    <w:tbl>
      <w:tblPr>
        <w:tblW w:w="9060" w:type="dxa"/>
        <w:tblLayout w:type="fixed"/>
        <w:tblLook w:val="0600" w:firstRow="0" w:lastRow="0" w:firstColumn="0" w:lastColumn="0" w:noHBand="1" w:noVBand="1"/>
      </w:tblPr>
      <w:tblGrid>
        <w:gridCol w:w="4695"/>
        <w:gridCol w:w="540"/>
        <w:gridCol w:w="2175"/>
        <w:gridCol w:w="1650"/>
      </w:tblGrid>
      <w:tr w:rsidR="00496618" w14:paraId="20C6E074" w14:textId="77777777" w:rsidTr="001F6B18">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tcPr>
          <w:p w14:paraId="7E193158"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cBorders>
            <w:noWrap/>
            <w:tcMar>
              <w:top w:w="0" w:type="dxa"/>
              <w:left w:w="40" w:type="dxa"/>
              <w:bottom w:w="0" w:type="dxa"/>
              <w:right w:w="40" w:type="dxa"/>
            </w:tcMar>
          </w:tcPr>
          <w:p w14:paraId="278702CB"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0182E91C"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163595F7"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496618" w14:paraId="3AA0ECEC" w14:textId="77777777" w:rsidTr="001F6B18">
        <w:trPr>
          <w:trHeight w:val="240"/>
        </w:trPr>
        <w:tc>
          <w:tcPr>
            <w:tcW w:w="4695" w:type="dxa"/>
            <w:noWrap/>
            <w:tcMar>
              <w:top w:w="0" w:type="dxa"/>
              <w:left w:w="40" w:type="dxa"/>
              <w:bottom w:w="0" w:type="dxa"/>
              <w:right w:w="40" w:type="dxa"/>
            </w:tcMar>
          </w:tcPr>
          <w:p w14:paraId="089D7835"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noWrap/>
            <w:tcMar>
              <w:top w:w="0" w:type="dxa"/>
              <w:left w:w="40" w:type="dxa"/>
              <w:bottom w:w="0" w:type="dxa"/>
              <w:right w:w="40" w:type="dxa"/>
            </w:tcMar>
          </w:tcPr>
          <w:p w14:paraId="1C192B9C"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Mar>
              <w:top w:w="0" w:type="dxa"/>
              <w:left w:w="40" w:type="dxa"/>
              <w:bottom w:w="0" w:type="dxa"/>
              <w:right w:w="40" w:type="dxa"/>
            </w:tcMar>
            <w:hideMark/>
          </w:tcPr>
          <w:p w14:paraId="0CAAD129" w14:textId="2F3A2205" w:rsidR="001F6B18" w:rsidRDefault="004A2C91"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 xml:space="preserve">Interim </w:t>
            </w:r>
            <w:r w:rsidR="0027723F">
              <w:rPr>
                <w:rFonts w:eastAsia="Calibri" w:cs="Calibri"/>
                <w:b/>
                <w:color w:val="000000"/>
                <w:sz w:val="18"/>
                <w:bdr w:val="nil"/>
              </w:rPr>
              <w:t>Outcome</w:t>
            </w:r>
          </w:p>
        </w:tc>
        <w:tc>
          <w:tcPr>
            <w:tcW w:w="1650" w:type="dxa"/>
            <w:noWrap/>
            <w:tcMar>
              <w:top w:w="0" w:type="dxa"/>
              <w:left w:w="40" w:type="dxa"/>
              <w:bottom w:w="0" w:type="dxa"/>
              <w:right w:w="40" w:type="dxa"/>
            </w:tcMar>
            <w:hideMark/>
          </w:tcPr>
          <w:p w14:paraId="1026C6AF"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496618" w14:paraId="29E5C954" w14:textId="77777777" w:rsidTr="001F6B18">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4AADE48D"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0C25CA0C"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20C4D327"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39E539C3"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496618" w14:paraId="730DC2EC" w14:textId="77777777" w:rsidTr="001F6B18">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6F696D09" w14:textId="77777777" w:rsidR="001F6B18" w:rsidRPr="0038545F" w:rsidRDefault="0027723F" w:rsidP="001F6B18">
            <w:pPr>
              <w:pStyle w:val="Normal0"/>
              <w:pBdr>
                <w:top w:val="nil"/>
                <w:left w:val="nil"/>
                <w:bottom w:val="nil"/>
                <w:right w:val="nil"/>
                <w:between w:val="nil"/>
                <w:bar w:val="nil"/>
              </w:pBdr>
              <w:spacing w:before="0" w:after="0"/>
              <w:rPr>
                <w:rFonts w:eastAsia="Calibri" w:cs="Calibri"/>
                <w:color w:val="000000"/>
                <w:sz w:val="18"/>
                <w:bdr w:val="nil"/>
              </w:rPr>
            </w:pPr>
            <w:r w:rsidRPr="0038545F">
              <w:rPr>
                <w:rFonts w:eastAsia="Calibri" w:cs="Calibri"/>
                <w:color w:val="000000"/>
                <w:sz w:val="18"/>
                <w:bdr w:val="nil"/>
              </w:rPr>
              <w:t>Total Cost</w:t>
            </w:r>
            <w:r w:rsidRPr="00EF556B">
              <w:rPr>
                <w:rFonts w:eastAsia="Calibri" w:cs="Calibri"/>
                <w:color w:val="000000"/>
                <w:sz w:val="18"/>
                <w:bdr w:val="nil"/>
                <w:vertAlign w:val="superscript"/>
              </w:rPr>
              <w:t>1</w:t>
            </w:r>
          </w:p>
        </w:tc>
        <w:tc>
          <w:tcPr>
            <w:tcW w:w="540" w:type="dxa"/>
            <w:tcBorders>
              <w:top w:val="single" w:sz="4" w:space="0" w:color="000000"/>
              <w:left w:val="nil"/>
              <w:bottom w:val="nil"/>
              <w:right w:val="nil"/>
            </w:tcBorders>
            <w:noWrap/>
            <w:tcMar>
              <w:top w:w="0" w:type="dxa"/>
              <w:left w:w="40" w:type="dxa"/>
              <w:bottom w:w="0" w:type="dxa"/>
              <w:right w:w="40" w:type="dxa"/>
            </w:tcMar>
          </w:tcPr>
          <w:p w14:paraId="3A88E416" w14:textId="77777777" w:rsidR="001F6B18" w:rsidRDefault="001F6B18" w:rsidP="001F6B18">
            <w:pPr>
              <w:pStyle w:val="Normal0"/>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tcPr>
          <w:p w14:paraId="30A2F689" w14:textId="77777777"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85,219</w:t>
            </w:r>
          </w:p>
        </w:tc>
        <w:tc>
          <w:tcPr>
            <w:tcW w:w="1650" w:type="dxa"/>
            <w:tcBorders>
              <w:top w:val="single" w:sz="4" w:space="0" w:color="000000"/>
              <w:left w:val="nil"/>
              <w:bottom w:val="nil"/>
              <w:right w:val="nil"/>
            </w:tcBorders>
            <w:noWrap/>
            <w:tcMar>
              <w:top w:w="0" w:type="dxa"/>
              <w:left w:w="40" w:type="dxa"/>
              <w:bottom w:w="0" w:type="dxa"/>
              <w:right w:w="40" w:type="dxa"/>
            </w:tcMar>
          </w:tcPr>
          <w:p w14:paraId="76D8B7BD" w14:textId="321BAC47" w:rsidR="001F6B18" w:rsidRDefault="002668D2"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98,465</w:t>
            </w:r>
          </w:p>
        </w:tc>
      </w:tr>
      <w:tr w:rsidR="00496618" w14:paraId="3B693FBA" w14:textId="77777777" w:rsidTr="001F6B18">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hideMark/>
          </w:tcPr>
          <w:p w14:paraId="71FBBBE9" w14:textId="77777777" w:rsidR="001F6B18" w:rsidRPr="0038545F" w:rsidRDefault="0027723F" w:rsidP="001F6B18">
            <w:pPr>
              <w:pStyle w:val="Normal0"/>
              <w:pBdr>
                <w:top w:val="nil"/>
                <w:left w:val="nil"/>
                <w:bottom w:val="nil"/>
                <w:right w:val="nil"/>
                <w:between w:val="nil"/>
                <w:bar w:val="nil"/>
              </w:pBdr>
              <w:spacing w:before="0" w:after="0"/>
              <w:rPr>
                <w:rFonts w:eastAsia="Calibri" w:cs="Calibri"/>
                <w:color w:val="000000"/>
                <w:sz w:val="18"/>
                <w:bdr w:val="nil"/>
              </w:rPr>
            </w:pPr>
            <w:r w:rsidRPr="0038545F">
              <w:rPr>
                <w:rFonts w:eastAsia="Calibri" w:cs="Calibri"/>
                <w:color w:val="000000"/>
                <w:sz w:val="18"/>
                <w:bdr w:val="nil"/>
              </w:rPr>
              <w:t>Controlled Recurrent Payments</w:t>
            </w:r>
          </w:p>
        </w:tc>
        <w:tc>
          <w:tcPr>
            <w:tcW w:w="540" w:type="dxa"/>
            <w:tcBorders>
              <w:top w:val="nil"/>
              <w:left w:val="nil"/>
              <w:bottom w:val="single" w:sz="4" w:space="0" w:color="000000"/>
              <w:right w:val="nil"/>
            </w:tcBorders>
            <w:noWrap/>
            <w:tcMar>
              <w:top w:w="0" w:type="dxa"/>
              <w:left w:w="40" w:type="dxa"/>
              <w:bottom w:w="0" w:type="dxa"/>
              <w:right w:w="40" w:type="dxa"/>
            </w:tcMar>
          </w:tcPr>
          <w:p w14:paraId="6164D44D" w14:textId="77777777" w:rsidR="001F6B18" w:rsidRDefault="001F6B18" w:rsidP="001F6B18">
            <w:pPr>
              <w:pStyle w:val="Normal0"/>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tcPr>
          <w:p w14:paraId="74317525" w14:textId="77777777"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50,991</w:t>
            </w:r>
          </w:p>
        </w:tc>
        <w:tc>
          <w:tcPr>
            <w:tcW w:w="1650" w:type="dxa"/>
            <w:tcBorders>
              <w:top w:val="nil"/>
              <w:left w:val="nil"/>
              <w:bottom w:val="single" w:sz="4" w:space="0" w:color="000000"/>
              <w:right w:val="nil"/>
            </w:tcBorders>
            <w:noWrap/>
            <w:tcMar>
              <w:top w:w="0" w:type="dxa"/>
              <w:left w:w="40" w:type="dxa"/>
              <w:bottom w:w="0" w:type="dxa"/>
              <w:right w:w="40" w:type="dxa"/>
            </w:tcMar>
          </w:tcPr>
          <w:p w14:paraId="28681137" w14:textId="4F864E68"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w:t>
            </w:r>
            <w:r w:rsidR="002668D2">
              <w:rPr>
                <w:rFonts w:eastAsia="Calibri" w:cs="Calibri"/>
                <w:color w:val="000000"/>
                <w:sz w:val="18"/>
                <w:bdr w:val="nil"/>
              </w:rPr>
              <w:t>5,950</w:t>
            </w:r>
          </w:p>
        </w:tc>
      </w:tr>
    </w:tbl>
    <w:p w14:paraId="4FBE86C1" w14:textId="77777777" w:rsidR="001F6B18" w:rsidRDefault="0027723F" w:rsidP="001F6B18">
      <w:pPr>
        <w:pStyle w:val="BSnote0"/>
        <w:pBdr>
          <w:top w:val="nil"/>
          <w:left w:val="nil"/>
          <w:bottom w:val="nil"/>
          <w:right w:val="nil"/>
          <w:between w:val="nil"/>
          <w:bar w:val="nil"/>
        </w:pBdr>
        <w:rPr>
          <w:bdr w:val="nil"/>
        </w:rPr>
      </w:pPr>
      <w:r>
        <w:rPr>
          <w:bdr w:val="nil"/>
        </w:rPr>
        <w:t>Note:</w:t>
      </w:r>
    </w:p>
    <w:p w14:paraId="5B447F31" w14:textId="43421D8B" w:rsidR="001F6B18" w:rsidRDefault="00286745" w:rsidP="009832FC">
      <w:pPr>
        <w:pStyle w:val="BSnoteslist1"/>
        <w:numPr>
          <w:ilvl w:val="0"/>
          <w:numId w:val="15"/>
        </w:numPr>
        <w:pBdr>
          <w:top w:val="nil"/>
          <w:left w:val="nil"/>
          <w:bottom w:val="nil"/>
          <w:right w:val="nil"/>
          <w:between w:val="nil"/>
          <w:bar w:val="nil"/>
        </w:pBdr>
        <w:jc w:val="both"/>
        <w:rPr>
          <w:bdr w:val="nil"/>
        </w:rPr>
      </w:pPr>
      <w:r>
        <w:rPr>
          <w:bdr w:val="nil"/>
        </w:rPr>
        <w:t>The increase in total cost is impacted by the full year effect of a change in the funding flow for cross border health receipts, which are now required to be transacted through the Directorate resulting in an increase in total expenses and total revenue</w:t>
      </w:r>
      <w:r w:rsidR="0027723F">
        <w:rPr>
          <w:bdr w:val="nil"/>
        </w:rPr>
        <w:t>.</w:t>
      </w:r>
    </w:p>
    <w:p w14:paraId="6C7CC70D" w14:textId="77777777" w:rsidR="001F6B18" w:rsidRDefault="0027723F" w:rsidP="001F6B18">
      <w:pPr>
        <w:pStyle w:val="Heading4"/>
        <w:pBdr>
          <w:top w:val="nil"/>
          <w:left w:val="nil"/>
          <w:bottom w:val="nil"/>
          <w:right w:val="nil"/>
          <w:between w:val="nil"/>
          <w:bar w:val="nil"/>
        </w:pBdr>
        <w:rPr>
          <w:bCs w:val="0"/>
          <w:bdr w:val="nil"/>
        </w:rPr>
      </w:pPr>
      <w:r>
        <w:rPr>
          <w:bCs w:val="0"/>
          <w:bdr w:val="nil"/>
        </w:rPr>
        <w:t xml:space="preserve">Output 1.2: </w:t>
      </w:r>
      <w:r w:rsidRPr="00446921">
        <w:rPr>
          <w:bCs w:val="0"/>
          <w:bdr w:val="nil"/>
        </w:rPr>
        <w:t>Healthy Communities</w:t>
      </w:r>
    </w:p>
    <w:p w14:paraId="09ED1DDC" w14:textId="77777777" w:rsidR="001F6B18" w:rsidRDefault="0027723F" w:rsidP="001F6B18">
      <w:pPr>
        <w:pStyle w:val="Normal40"/>
        <w:pBdr>
          <w:top w:val="nil"/>
          <w:left w:val="nil"/>
          <w:bottom w:val="nil"/>
          <w:right w:val="nil"/>
          <w:between w:val="nil"/>
          <w:bar w:val="nil"/>
        </w:pBdr>
        <w:jc w:val="both"/>
        <w:rPr>
          <w:bdr w:val="nil"/>
        </w:rPr>
      </w:pPr>
      <w:r>
        <w:rPr>
          <w:bdr w:val="nil"/>
        </w:rPr>
        <w:t xml:space="preserve">The Directorate seeks to improve the health of the ACT population through evidence-based promotion of healthy lifestyles and interventions to address the range of risk and protective factors that determine the health of our community. This includes influencing the social and environmental conditions that impact on population and individual health, comprising improved food and drink environments in schools, workplaces, food outlets and sporting clubs, monitoring of recreational and drinking water quality, food safety, communicable diseases control and general environmental health. </w:t>
      </w:r>
    </w:p>
    <w:p w14:paraId="689F3632" w14:textId="77777777" w:rsidR="001F6B18" w:rsidRDefault="0027723F" w:rsidP="001F6B18">
      <w:pPr>
        <w:pStyle w:val="BSbullet1"/>
        <w:keepNext/>
        <w:keepLines/>
        <w:numPr>
          <w:ilvl w:val="0"/>
          <w:numId w:val="0"/>
        </w:numPr>
        <w:pBdr>
          <w:top w:val="nil"/>
          <w:left w:val="nil"/>
          <w:bottom w:val="nil"/>
          <w:right w:val="nil"/>
          <w:between w:val="nil"/>
          <w:bar w:val="nil"/>
        </w:pBdr>
        <w:tabs>
          <w:tab w:val="left" w:pos="720"/>
        </w:tabs>
        <w:rPr>
          <w:b/>
          <w:bdr w:val="nil"/>
        </w:rPr>
      </w:pPr>
      <w:r>
        <w:rPr>
          <w:b/>
          <w:bdr w:val="nil"/>
        </w:rPr>
        <w:t xml:space="preserve">Table 12: Output 1.2:  </w:t>
      </w:r>
      <w:r w:rsidRPr="00446921">
        <w:rPr>
          <w:b/>
          <w:bdr w:val="nil"/>
        </w:rPr>
        <w:t>Healthy Communities</w:t>
      </w:r>
    </w:p>
    <w:tbl>
      <w:tblPr>
        <w:tblW w:w="9060" w:type="dxa"/>
        <w:tblLayout w:type="fixed"/>
        <w:tblLook w:val="0600" w:firstRow="0" w:lastRow="0" w:firstColumn="0" w:lastColumn="0" w:noHBand="1" w:noVBand="1"/>
      </w:tblPr>
      <w:tblGrid>
        <w:gridCol w:w="4695"/>
        <w:gridCol w:w="540"/>
        <w:gridCol w:w="2175"/>
        <w:gridCol w:w="1650"/>
      </w:tblGrid>
      <w:tr w:rsidR="00496618" w14:paraId="7024A530" w14:textId="77777777" w:rsidTr="001F6B18">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tcPr>
          <w:p w14:paraId="3EEEFBA0"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cBorders>
            <w:noWrap/>
            <w:tcMar>
              <w:top w:w="0" w:type="dxa"/>
              <w:left w:w="40" w:type="dxa"/>
              <w:bottom w:w="0" w:type="dxa"/>
              <w:right w:w="40" w:type="dxa"/>
            </w:tcMar>
          </w:tcPr>
          <w:p w14:paraId="7137EC55"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09727676"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073750D5"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496618" w14:paraId="1B594306" w14:textId="77777777" w:rsidTr="001F6B18">
        <w:trPr>
          <w:trHeight w:val="240"/>
        </w:trPr>
        <w:tc>
          <w:tcPr>
            <w:tcW w:w="4695" w:type="dxa"/>
            <w:noWrap/>
            <w:tcMar>
              <w:top w:w="0" w:type="dxa"/>
              <w:left w:w="40" w:type="dxa"/>
              <w:bottom w:w="0" w:type="dxa"/>
              <w:right w:w="40" w:type="dxa"/>
            </w:tcMar>
          </w:tcPr>
          <w:p w14:paraId="48E209EA"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noWrap/>
            <w:tcMar>
              <w:top w:w="0" w:type="dxa"/>
              <w:left w:w="40" w:type="dxa"/>
              <w:bottom w:w="0" w:type="dxa"/>
              <w:right w:w="40" w:type="dxa"/>
            </w:tcMar>
          </w:tcPr>
          <w:p w14:paraId="22A32A01"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Mar>
              <w:top w:w="0" w:type="dxa"/>
              <w:left w:w="40" w:type="dxa"/>
              <w:bottom w:w="0" w:type="dxa"/>
              <w:right w:w="40" w:type="dxa"/>
            </w:tcMar>
            <w:hideMark/>
          </w:tcPr>
          <w:p w14:paraId="688F3397" w14:textId="749B2775" w:rsidR="001F6B18" w:rsidRDefault="004A2C91"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 xml:space="preserve">Interim </w:t>
            </w:r>
            <w:r w:rsidR="0027723F">
              <w:rPr>
                <w:rFonts w:eastAsia="Calibri" w:cs="Calibri"/>
                <w:b/>
                <w:color w:val="000000"/>
                <w:sz w:val="18"/>
                <w:bdr w:val="nil"/>
              </w:rPr>
              <w:t>Outcome</w:t>
            </w:r>
          </w:p>
        </w:tc>
        <w:tc>
          <w:tcPr>
            <w:tcW w:w="1650" w:type="dxa"/>
            <w:noWrap/>
            <w:tcMar>
              <w:top w:w="0" w:type="dxa"/>
              <w:left w:w="40" w:type="dxa"/>
              <w:bottom w:w="0" w:type="dxa"/>
              <w:right w:w="40" w:type="dxa"/>
            </w:tcMar>
            <w:hideMark/>
          </w:tcPr>
          <w:p w14:paraId="58BB0FC8"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496618" w14:paraId="642DEFD0" w14:textId="77777777" w:rsidTr="001F6B18">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4A6D0F13"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54E83A32"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6C0D7863"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5BD06134"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496618" w14:paraId="691A208B" w14:textId="77777777" w:rsidTr="001F6B18">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5155FC4B" w14:textId="77777777" w:rsidR="001F6B18" w:rsidRPr="0038545F" w:rsidRDefault="0027723F" w:rsidP="001F6B18">
            <w:pPr>
              <w:pStyle w:val="Normal0"/>
              <w:pBdr>
                <w:top w:val="nil"/>
                <w:left w:val="nil"/>
                <w:bottom w:val="nil"/>
                <w:right w:val="nil"/>
                <w:between w:val="nil"/>
                <w:bar w:val="nil"/>
              </w:pBdr>
              <w:spacing w:before="0" w:after="0"/>
              <w:rPr>
                <w:rFonts w:eastAsia="Calibri" w:cs="Calibri"/>
                <w:color w:val="000000"/>
                <w:sz w:val="18"/>
                <w:bdr w:val="nil"/>
              </w:rPr>
            </w:pPr>
            <w:r w:rsidRPr="0038545F">
              <w:rPr>
                <w:rFonts w:eastAsia="Calibri" w:cs="Calibri"/>
                <w:color w:val="000000"/>
                <w:sz w:val="18"/>
                <w:bdr w:val="nil"/>
              </w:rPr>
              <w:t>Total Cost</w:t>
            </w:r>
            <w:r w:rsidRPr="00EF556B">
              <w:rPr>
                <w:rFonts w:eastAsia="Calibri" w:cs="Calibri"/>
                <w:color w:val="000000"/>
                <w:sz w:val="18"/>
                <w:bdr w:val="nil"/>
                <w:vertAlign w:val="superscript"/>
              </w:rPr>
              <w:t>1</w:t>
            </w:r>
          </w:p>
        </w:tc>
        <w:tc>
          <w:tcPr>
            <w:tcW w:w="540" w:type="dxa"/>
            <w:tcBorders>
              <w:top w:val="single" w:sz="4" w:space="0" w:color="000000"/>
              <w:left w:val="nil"/>
              <w:bottom w:val="nil"/>
              <w:right w:val="nil"/>
            </w:tcBorders>
            <w:noWrap/>
            <w:tcMar>
              <w:top w:w="0" w:type="dxa"/>
              <w:left w:w="40" w:type="dxa"/>
              <w:bottom w:w="0" w:type="dxa"/>
              <w:right w:w="40" w:type="dxa"/>
            </w:tcMar>
          </w:tcPr>
          <w:p w14:paraId="6ABC9B24" w14:textId="77777777" w:rsidR="001F6B18" w:rsidRDefault="001F6B18" w:rsidP="001F6B18">
            <w:pPr>
              <w:pStyle w:val="Normal0"/>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tcPr>
          <w:p w14:paraId="6098A25F" w14:textId="77777777"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117,793</w:t>
            </w:r>
          </w:p>
        </w:tc>
        <w:tc>
          <w:tcPr>
            <w:tcW w:w="1650" w:type="dxa"/>
            <w:tcBorders>
              <w:top w:val="single" w:sz="4" w:space="0" w:color="000000"/>
              <w:left w:val="nil"/>
              <w:bottom w:val="nil"/>
              <w:right w:val="nil"/>
            </w:tcBorders>
            <w:noWrap/>
            <w:tcMar>
              <w:top w:w="0" w:type="dxa"/>
              <w:left w:w="40" w:type="dxa"/>
              <w:bottom w:w="0" w:type="dxa"/>
              <w:right w:w="40" w:type="dxa"/>
            </w:tcMar>
          </w:tcPr>
          <w:p w14:paraId="60CE6589" w14:textId="7CEC21B0" w:rsidR="001F6B18" w:rsidRDefault="0027723F" w:rsidP="002668D2">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w:t>
            </w:r>
            <w:r w:rsidR="002668D2">
              <w:rPr>
                <w:rFonts w:eastAsia="Calibri" w:cs="Calibri"/>
                <w:color w:val="000000"/>
                <w:sz w:val="18"/>
                <w:bdr w:val="nil"/>
              </w:rPr>
              <w:t>32,793</w:t>
            </w:r>
          </w:p>
        </w:tc>
      </w:tr>
      <w:tr w:rsidR="00496618" w14:paraId="2C7E5C07" w14:textId="77777777" w:rsidTr="001F6B18">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hideMark/>
          </w:tcPr>
          <w:p w14:paraId="2A5F644A" w14:textId="77777777" w:rsidR="001F6B18" w:rsidRPr="0038545F" w:rsidRDefault="0027723F" w:rsidP="001F6B18">
            <w:pPr>
              <w:pStyle w:val="Normal0"/>
              <w:pBdr>
                <w:top w:val="nil"/>
                <w:left w:val="nil"/>
                <w:bottom w:val="nil"/>
                <w:right w:val="nil"/>
                <w:between w:val="nil"/>
                <w:bar w:val="nil"/>
              </w:pBdr>
              <w:spacing w:before="0" w:after="0"/>
              <w:rPr>
                <w:rFonts w:eastAsia="Calibri" w:cs="Calibri"/>
                <w:color w:val="000000"/>
                <w:sz w:val="18"/>
                <w:bdr w:val="nil"/>
              </w:rPr>
            </w:pPr>
            <w:r w:rsidRPr="0038545F">
              <w:rPr>
                <w:rFonts w:eastAsia="Calibri" w:cs="Calibri"/>
                <w:color w:val="000000"/>
                <w:sz w:val="18"/>
                <w:bdr w:val="nil"/>
              </w:rPr>
              <w:t>Controlled Recurrent Payments</w:t>
            </w:r>
          </w:p>
        </w:tc>
        <w:tc>
          <w:tcPr>
            <w:tcW w:w="540" w:type="dxa"/>
            <w:tcBorders>
              <w:top w:val="nil"/>
              <w:left w:val="nil"/>
              <w:bottom w:val="single" w:sz="4" w:space="0" w:color="000000"/>
              <w:right w:val="nil"/>
            </w:tcBorders>
            <w:noWrap/>
            <w:tcMar>
              <w:top w:w="0" w:type="dxa"/>
              <w:left w:w="40" w:type="dxa"/>
              <w:bottom w:w="0" w:type="dxa"/>
              <w:right w:w="40" w:type="dxa"/>
            </w:tcMar>
          </w:tcPr>
          <w:p w14:paraId="28974506" w14:textId="77777777" w:rsidR="001F6B18" w:rsidRDefault="001F6B18" w:rsidP="001F6B18">
            <w:pPr>
              <w:pStyle w:val="Normal0"/>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tcPr>
          <w:p w14:paraId="4E3FBE5C" w14:textId="77777777"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72,330</w:t>
            </w:r>
          </w:p>
        </w:tc>
        <w:tc>
          <w:tcPr>
            <w:tcW w:w="1650" w:type="dxa"/>
            <w:tcBorders>
              <w:top w:val="nil"/>
              <w:left w:val="nil"/>
              <w:bottom w:val="single" w:sz="4" w:space="0" w:color="000000"/>
              <w:right w:val="nil"/>
            </w:tcBorders>
            <w:noWrap/>
            <w:tcMar>
              <w:top w:w="0" w:type="dxa"/>
              <w:left w:w="40" w:type="dxa"/>
              <w:bottom w:w="0" w:type="dxa"/>
              <w:right w:w="40" w:type="dxa"/>
            </w:tcMar>
          </w:tcPr>
          <w:p w14:paraId="7E76BEB0" w14:textId="03EF433A" w:rsidR="001F6B18" w:rsidRDefault="002668D2"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81,578</w:t>
            </w:r>
          </w:p>
        </w:tc>
      </w:tr>
    </w:tbl>
    <w:p w14:paraId="069D3636" w14:textId="77777777" w:rsidR="001F6B18" w:rsidRDefault="0027723F" w:rsidP="001F6B18">
      <w:pPr>
        <w:pStyle w:val="BSnote0"/>
        <w:pBdr>
          <w:top w:val="nil"/>
          <w:left w:val="nil"/>
          <w:bottom w:val="nil"/>
          <w:right w:val="nil"/>
          <w:between w:val="nil"/>
          <w:bar w:val="nil"/>
        </w:pBdr>
        <w:rPr>
          <w:bdr w:val="nil"/>
        </w:rPr>
      </w:pPr>
      <w:r>
        <w:rPr>
          <w:bdr w:val="nil"/>
        </w:rPr>
        <w:t>Note:</w:t>
      </w:r>
    </w:p>
    <w:p w14:paraId="58357BE6" w14:textId="5A7425E0" w:rsidR="001F6B18" w:rsidRDefault="00286745" w:rsidP="009832FC">
      <w:pPr>
        <w:pStyle w:val="BSnoteslist1"/>
        <w:numPr>
          <w:ilvl w:val="0"/>
          <w:numId w:val="16"/>
        </w:numPr>
        <w:pBdr>
          <w:top w:val="nil"/>
          <w:left w:val="nil"/>
          <w:bottom w:val="nil"/>
          <w:right w:val="nil"/>
          <w:between w:val="nil"/>
          <w:bar w:val="nil"/>
        </w:pBdr>
        <w:jc w:val="both"/>
        <w:rPr>
          <w:bdr w:val="nil"/>
        </w:rPr>
      </w:pPr>
      <w:r>
        <w:rPr>
          <w:bdr w:val="nil"/>
        </w:rPr>
        <w:t>The increase in total cost is impacted by the full year effect of a change in the funding flow for cross border health receipts, which are now required to be transacted through the Directorate resulting in an increase in total expenses and total revenue</w:t>
      </w:r>
      <w:r w:rsidR="0027723F">
        <w:rPr>
          <w:bdr w:val="nil"/>
        </w:rPr>
        <w:t>.</w:t>
      </w:r>
    </w:p>
    <w:p w14:paraId="064C9B47" w14:textId="77777777" w:rsidR="001F6B18" w:rsidRDefault="0027723F" w:rsidP="001F6B18">
      <w:pPr>
        <w:pStyle w:val="Heading4"/>
        <w:keepNext w:val="0"/>
        <w:pBdr>
          <w:top w:val="nil"/>
          <w:left w:val="nil"/>
          <w:bottom w:val="nil"/>
          <w:right w:val="nil"/>
          <w:between w:val="nil"/>
          <w:bar w:val="nil"/>
        </w:pBdr>
        <w:rPr>
          <w:bCs w:val="0"/>
          <w:bdr w:val="nil"/>
        </w:rPr>
      </w:pPr>
      <w:r>
        <w:rPr>
          <w:bCs w:val="0"/>
          <w:bdr w:val="nil"/>
        </w:rPr>
        <w:t xml:space="preserve">Output 1.3: </w:t>
      </w:r>
      <w:r w:rsidRPr="00446921">
        <w:rPr>
          <w:bCs w:val="0"/>
          <w:bdr w:val="nil"/>
        </w:rPr>
        <w:t>Mentally Healthy Communities</w:t>
      </w:r>
    </w:p>
    <w:p w14:paraId="43EDABF7" w14:textId="34DDEE0C" w:rsidR="001F6B18" w:rsidRDefault="0027723F" w:rsidP="001F6B18">
      <w:pPr>
        <w:pStyle w:val="Normal4"/>
        <w:pBdr>
          <w:top w:val="nil"/>
          <w:left w:val="nil"/>
          <w:bottom w:val="nil"/>
          <w:right w:val="nil"/>
          <w:between w:val="nil"/>
          <w:bar w:val="nil"/>
        </w:pBdr>
        <w:jc w:val="both"/>
        <w:rPr>
          <w:bdr w:val="nil"/>
        </w:rPr>
      </w:pPr>
      <w:r>
        <w:rPr>
          <w:bdr w:val="nil"/>
        </w:rPr>
        <w:t xml:space="preserve">The Directorate supports an integrated mental health system that allows people with access to appropriate treatment, care or support in a timely manner. The Directorate collaborates with stakeholders on strategic policy and service system planning, to ensure funding is targeted to provide safe, high quality programs and services that offer seamless transition through stepped care and interventions as needed.  This comprehensive response includes:  </w:t>
      </w:r>
    </w:p>
    <w:p w14:paraId="0FEAECEA" w14:textId="77777777" w:rsidR="001F6B18" w:rsidRDefault="0027723F" w:rsidP="001F6B18">
      <w:pPr>
        <w:pStyle w:val="BSbullet1"/>
        <w:pBdr>
          <w:top w:val="nil"/>
          <w:left w:val="nil"/>
          <w:bottom w:val="nil"/>
          <w:right w:val="nil"/>
          <w:between w:val="nil"/>
          <w:bar w:val="nil"/>
        </w:pBdr>
        <w:jc w:val="both"/>
        <w:rPr>
          <w:bdr w:val="nil"/>
        </w:rPr>
      </w:pPr>
      <w:r>
        <w:rPr>
          <w:bdr w:val="nil"/>
        </w:rPr>
        <w:t>leadership through the Office for Mental Health and Wellbeing to a whole of government approach to sustainable, effective and coordinated sector innovation;</w:t>
      </w:r>
    </w:p>
    <w:p w14:paraId="428F79BD" w14:textId="77777777" w:rsidR="001F6B18" w:rsidRDefault="0027723F" w:rsidP="001F6B18">
      <w:pPr>
        <w:pStyle w:val="BSbullet1"/>
        <w:pBdr>
          <w:top w:val="nil"/>
          <w:left w:val="nil"/>
          <w:bottom w:val="nil"/>
          <w:right w:val="nil"/>
          <w:between w:val="nil"/>
          <w:bar w:val="nil"/>
        </w:pBdr>
        <w:jc w:val="both"/>
        <w:rPr>
          <w:bdr w:val="nil"/>
        </w:rPr>
      </w:pPr>
      <w:r>
        <w:rPr>
          <w:bdr w:val="nil"/>
        </w:rPr>
        <w:t>promotion of mental health and social wellbeing for the community;</w:t>
      </w:r>
    </w:p>
    <w:p w14:paraId="153E325C" w14:textId="77777777" w:rsidR="001F6B18" w:rsidRDefault="0027723F" w:rsidP="001F6B18">
      <w:pPr>
        <w:pStyle w:val="BSbullet1"/>
        <w:pBdr>
          <w:top w:val="nil"/>
          <w:left w:val="nil"/>
          <w:bottom w:val="nil"/>
          <w:right w:val="nil"/>
          <w:between w:val="nil"/>
          <w:bar w:val="nil"/>
        </w:pBdr>
        <w:jc w:val="both"/>
        <w:rPr>
          <w:bdr w:val="nil"/>
        </w:rPr>
      </w:pPr>
      <w:r>
        <w:rPr>
          <w:bdr w:val="nil"/>
        </w:rPr>
        <w:t>raising awareness of mental health, suicide and mental illness across the community to reduce stigma and discrimination, while at the individual level, encouraging people to seek help when needed;</w:t>
      </w:r>
    </w:p>
    <w:p w14:paraId="0E1EC014" w14:textId="77777777" w:rsidR="001F6B18" w:rsidRDefault="0027723F" w:rsidP="001F6B18">
      <w:pPr>
        <w:pStyle w:val="BSbullet1"/>
        <w:pBdr>
          <w:top w:val="nil"/>
          <w:left w:val="nil"/>
          <w:bottom w:val="nil"/>
          <w:right w:val="nil"/>
          <w:between w:val="nil"/>
          <w:bar w:val="nil"/>
        </w:pBdr>
        <w:jc w:val="both"/>
        <w:rPr>
          <w:bdr w:val="nil"/>
        </w:rPr>
      </w:pPr>
      <w:r>
        <w:rPr>
          <w:bdr w:val="nil"/>
        </w:rPr>
        <w:t>prevention of suicide and attempted suicide;</w:t>
      </w:r>
    </w:p>
    <w:p w14:paraId="4CBB6BC6" w14:textId="77777777" w:rsidR="001F6B18" w:rsidRDefault="0027723F" w:rsidP="001F6B18">
      <w:pPr>
        <w:pStyle w:val="BSbullet1"/>
        <w:pBdr>
          <w:top w:val="nil"/>
          <w:left w:val="nil"/>
          <w:bottom w:val="nil"/>
          <w:right w:val="nil"/>
          <w:between w:val="nil"/>
          <w:bar w:val="nil"/>
        </w:pBdr>
        <w:jc w:val="both"/>
        <w:rPr>
          <w:bdr w:val="nil"/>
        </w:rPr>
      </w:pPr>
      <w:r>
        <w:rPr>
          <w:bdr w:val="nil"/>
        </w:rPr>
        <w:lastRenderedPageBreak/>
        <w:t>early intervention to increase resilience and reduce the impact of mental health issues;</w:t>
      </w:r>
    </w:p>
    <w:p w14:paraId="4D2260B9" w14:textId="77777777" w:rsidR="001F6B18" w:rsidRDefault="0027723F" w:rsidP="001F6B18">
      <w:pPr>
        <w:pStyle w:val="BSbullet1"/>
        <w:pBdr>
          <w:top w:val="nil"/>
          <w:left w:val="nil"/>
          <w:bottom w:val="nil"/>
          <w:right w:val="nil"/>
          <w:between w:val="nil"/>
          <w:bar w:val="nil"/>
        </w:pBdr>
        <w:jc w:val="both"/>
        <w:rPr>
          <w:bdr w:val="nil"/>
        </w:rPr>
      </w:pPr>
      <w:r>
        <w:rPr>
          <w:bdr w:val="nil"/>
        </w:rPr>
        <w:t>accessible and responsive primary, secondary and tertiary mental health services to meet the needs of people with mental health concerns, including severe mental illness; and</w:t>
      </w:r>
    </w:p>
    <w:p w14:paraId="3AE57239" w14:textId="77777777" w:rsidR="001F6B18" w:rsidRDefault="0027723F" w:rsidP="001F6B18">
      <w:pPr>
        <w:pStyle w:val="BSbullet1"/>
        <w:pBdr>
          <w:top w:val="nil"/>
          <w:left w:val="nil"/>
          <w:bottom w:val="nil"/>
          <w:right w:val="nil"/>
          <w:between w:val="nil"/>
          <w:bar w:val="nil"/>
        </w:pBdr>
        <w:jc w:val="both"/>
        <w:rPr>
          <w:bdr w:val="nil"/>
        </w:rPr>
      </w:pPr>
      <w:r w:rsidRPr="00277FBA">
        <w:rPr>
          <w:bdr w:val="nil"/>
        </w:rPr>
        <w:t>evaluation and research to support ongoing development and improvement of the programs and services available.</w:t>
      </w:r>
    </w:p>
    <w:p w14:paraId="0F5BC675" w14:textId="77777777" w:rsidR="001F6B18" w:rsidRPr="00277FBA" w:rsidRDefault="0027723F" w:rsidP="001F6B18">
      <w:pPr>
        <w:pStyle w:val="BSbullet1"/>
        <w:numPr>
          <w:ilvl w:val="0"/>
          <w:numId w:val="0"/>
        </w:numPr>
        <w:pBdr>
          <w:top w:val="nil"/>
          <w:left w:val="nil"/>
          <w:bottom w:val="nil"/>
          <w:right w:val="nil"/>
          <w:between w:val="nil"/>
          <w:bar w:val="nil"/>
        </w:pBdr>
        <w:jc w:val="both"/>
        <w:rPr>
          <w:bdr w:val="nil"/>
        </w:rPr>
      </w:pPr>
      <w:r w:rsidRPr="00277FBA">
        <w:rPr>
          <w:b/>
          <w:bdr w:val="nil"/>
        </w:rPr>
        <w:t>Table 13: Output 1.3:  Mentally Healthy Communities</w:t>
      </w:r>
    </w:p>
    <w:tbl>
      <w:tblPr>
        <w:tblW w:w="9060" w:type="dxa"/>
        <w:tblLayout w:type="fixed"/>
        <w:tblLook w:val="0600" w:firstRow="0" w:lastRow="0" w:firstColumn="0" w:lastColumn="0" w:noHBand="1" w:noVBand="1"/>
      </w:tblPr>
      <w:tblGrid>
        <w:gridCol w:w="4695"/>
        <w:gridCol w:w="540"/>
        <w:gridCol w:w="2175"/>
        <w:gridCol w:w="1650"/>
      </w:tblGrid>
      <w:tr w:rsidR="00496618" w14:paraId="650CC2B7" w14:textId="77777777" w:rsidTr="001F6B18">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tcPr>
          <w:p w14:paraId="4ED9307F"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cBorders>
            <w:noWrap/>
            <w:tcMar>
              <w:top w:w="0" w:type="dxa"/>
              <w:left w:w="40" w:type="dxa"/>
              <w:bottom w:w="0" w:type="dxa"/>
              <w:right w:w="40" w:type="dxa"/>
            </w:tcMar>
          </w:tcPr>
          <w:p w14:paraId="7D26689A"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4587CE70"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06076726"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496618" w14:paraId="7BD33976" w14:textId="77777777" w:rsidTr="001F6B18">
        <w:trPr>
          <w:trHeight w:val="240"/>
        </w:trPr>
        <w:tc>
          <w:tcPr>
            <w:tcW w:w="4695" w:type="dxa"/>
            <w:noWrap/>
            <w:tcMar>
              <w:top w:w="0" w:type="dxa"/>
              <w:left w:w="40" w:type="dxa"/>
              <w:bottom w:w="0" w:type="dxa"/>
              <w:right w:w="40" w:type="dxa"/>
            </w:tcMar>
          </w:tcPr>
          <w:p w14:paraId="3596E33D"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noWrap/>
            <w:tcMar>
              <w:top w:w="0" w:type="dxa"/>
              <w:left w:w="40" w:type="dxa"/>
              <w:bottom w:w="0" w:type="dxa"/>
              <w:right w:w="40" w:type="dxa"/>
            </w:tcMar>
          </w:tcPr>
          <w:p w14:paraId="78985F31"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Mar>
              <w:top w:w="0" w:type="dxa"/>
              <w:left w:w="40" w:type="dxa"/>
              <w:bottom w:w="0" w:type="dxa"/>
              <w:right w:w="40" w:type="dxa"/>
            </w:tcMar>
            <w:hideMark/>
          </w:tcPr>
          <w:p w14:paraId="0888D84F" w14:textId="5AA7F9F3" w:rsidR="001F6B18" w:rsidRDefault="004A2C91"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 xml:space="preserve">Interim </w:t>
            </w:r>
            <w:r w:rsidR="0027723F">
              <w:rPr>
                <w:rFonts w:eastAsia="Calibri" w:cs="Calibri"/>
                <w:b/>
                <w:color w:val="000000"/>
                <w:sz w:val="18"/>
                <w:bdr w:val="nil"/>
              </w:rPr>
              <w:t>Outcome</w:t>
            </w:r>
          </w:p>
        </w:tc>
        <w:tc>
          <w:tcPr>
            <w:tcW w:w="1650" w:type="dxa"/>
            <w:noWrap/>
            <w:tcMar>
              <w:top w:w="0" w:type="dxa"/>
              <w:left w:w="40" w:type="dxa"/>
              <w:bottom w:w="0" w:type="dxa"/>
              <w:right w:w="40" w:type="dxa"/>
            </w:tcMar>
            <w:hideMark/>
          </w:tcPr>
          <w:p w14:paraId="04DF0BC5"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496618" w14:paraId="50B29C81" w14:textId="77777777" w:rsidTr="001F6B18">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71506D35"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357A8882"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38D3BF9D"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2E6AC274"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496618" w14:paraId="02825015" w14:textId="77777777" w:rsidTr="001F6B18">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6F2ADBD3" w14:textId="77777777" w:rsidR="001F6B18" w:rsidRPr="0038545F" w:rsidRDefault="0027723F" w:rsidP="001F6B18">
            <w:pPr>
              <w:pStyle w:val="Normal0"/>
              <w:pBdr>
                <w:top w:val="nil"/>
                <w:left w:val="nil"/>
                <w:bottom w:val="nil"/>
                <w:right w:val="nil"/>
                <w:between w:val="nil"/>
                <w:bar w:val="nil"/>
              </w:pBdr>
              <w:spacing w:before="0" w:after="0"/>
              <w:rPr>
                <w:rFonts w:eastAsia="Calibri" w:cs="Calibri"/>
                <w:color w:val="000000"/>
                <w:sz w:val="18"/>
                <w:bdr w:val="nil"/>
              </w:rPr>
            </w:pPr>
            <w:r w:rsidRPr="0038545F">
              <w:rPr>
                <w:rFonts w:eastAsia="Calibri" w:cs="Calibri"/>
                <w:color w:val="000000"/>
                <w:sz w:val="18"/>
                <w:bdr w:val="nil"/>
              </w:rPr>
              <w:t>Total Cost</w:t>
            </w:r>
            <w:r w:rsidRPr="00EF556B">
              <w:rPr>
                <w:rFonts w:eastAsia="Calibri" w:cs="Calibri"/>
                <w:color w:val="000000"/>
                <w:sz w:val="18"/>
                <w:bdr w:val="nil"/>
                <w:vertAlign w:val="superscript"/>
              </w:rPr>
              <w:t>1</w:t>
            </w:r>
          </w:p>
        </w:tc>
        <w:tc>
          <w:tcPr>
            <w:tcW w:w="540" w:type="dxa"/>
            <w:tcBorders>
              <w:top w:val="single" w:sz="4" w:space="0" w:color="000000"/>
              <w:left w:val="nil"/>
              <w:bottom w:val="nil"/>
              <w:right w:val="nil"/>
            </w:tcBorders>
            <w:noWrap/>
            <w:tcMar>
              <w:top w:w="0" w:type="dxa"/>
              <w:left w:w="40" w:type="dxa"/>
              <w:bottom w:w="0" w:type="dxa"/>
              <w:right w:w="40" w:type="dxa"/>
            </w:tcMar>
          </w:tcPr>
          <w:p w14:paraId="5A401B1F" w14:textId="77777777" w:rsidR="001F6B18" w:rsidRDefault="001F6B18" w:rsidP="001F6B18">
            <w:pPr>
              <w:pStyle w:val="Normal0"/>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tcPr>
          <w:p w14:paraId="685D5CA2" w14:textId="77777777"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81,023</w:t>
            </w:r>
          </w:p>
        </w:tc>
        <w:tc>
          <w:tcPr>
            <w:tcW w:w="1650" w:type="dxa"/>
            <w:tcBorders>
              <w:top w:val="single" w:sz="4" w:space="0" w:color="000000"/>
              <w:left w:val="nil"/>
              <w:bottom w:val="nil"/>
              <w:right w:val="nil"/>
            </w:tcBorders>
            <w:noWrap/>
            <w:tcMar>
              <w:top w:w="0" w:type="dxa"/>
              <w:left w:w="40" w:type="dxa"/>
              <w:bottom w:w="0" w:type="dxa"/>
              <w:right w:w="40" w:type="dxa"/>
            </w:tcMar>
          </w:tcPr>
          <w:p w14:paraId="60B7B407" w14:textId="3289BCFB" w:rsidR="001F6B18" w:rsidRDefault="002668D2"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96,263</w:t>
            </w:r>
          </w:p>
        </w:tc>
      </w:tr>
      <w:tr w:rsidR="00496618" w14:paraId="0C03A30F" w14:textId="77777777" w:rsidTr="001F6B18">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hideMark/>
          </w:tcPr>
          <w:p w14:paraId="5C46D971" w14:textId="77777777" w:rsidR="001F6B18" w:rsidRPr="0038545F" w:rsidRDefault="0027723F" w:rsidP="001F6B18">
            <w:pPr>
              <w:pStyle w:val="Normal0"/>
              <w:pBdr>
                <w:top w:val="nil"/>
                <w:left w:val="nil"/>
                <w:bottom w:val="nil"/>
                <w:right w:val="nil"/>
                <w:between w:val="nil"/>
                <w:bar w:val="nil"/>
              </w:pBdr>
              <w:spacing w:before="0" w:after="0"/>
              <w:rPr>
                <w:rFonts w:eastAsia="Calibri" w:cs="Calibri"/>
                <w:color w:val="000000"/>
                <w:sz w:val="18"/>
                <w:bdr w:val="nil"/>
              </w:rPr>
            </w:pPr>
            <w:r w:rsidRPr="0038545F">
              <w:rPr>
                <w:rFonts w:eastAsia="Calibri" w:cs="Calibri"/>
                <w:color w:val="000000"/>
                <w:sz w:val="18"/>
                <w:bdr w:val="nil"/>
              </w:rPr>
              <w:t>Controlled Recurrent Payments</w:t>
            </w:r>
          </w:p>
        </w:tc>
        <w:tc>
          <w:tcPr>
            <w:tcW w:w="540" w:type="dxa"/>
            <w:tcBorders>
              <w:top w:val="nil"/>
              <w:left w:val="nil"/>
              <w:bottom w:val="single" w:sz="4" w:space="0" w:color="000000"/>
              <w:right w:val="nil"/>
            </w:tcBorders>
            <w:noWrap/>
            <w:tcMar>
              <w:top w:w="0" w:type="dxa"/>
              <w:left w:w="40" w:type="dxa"/>
              <w:bottom w:w="0" w:type="dxa"/>
              <w:right w:w="40" w:type="dxa"/>
            </w:tcMar>
          </w:tcPr>
          <w:p w14:paraId="2510BD84" w14:textId="77777777" w:rsidR="001F6B18" w:rsidRDefault="001F6B18" w:rsidP="001F6B18">
            <w:pPr>
              <w:pStyle w:val="Normal0"/>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tcPr>
          <w:p w14:paraId="0E4325EE" w14:textId="77777777"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49,762</w:t>
            </w:r>
          </w:p>
        </w:tc>
        <w:tc>
          <w:tcPr>
            <w:tcW w:w="1650" w:type="dxa"/>
            <w:tcBorders>
              <w:top w:val="nil"/>
              <w:left w:val="nil"/>
              <w:bottom w:val="single" w:sz="4" w:space="0" w:color="000000"/>
              <w:right w:val="nil"/>
            </w:tcBorders>
            <w:noWrap/>
            <w:tcMar>
              <w:top w:w="0" w:type="dxa"/>
              <w:left w:w="40" w:type="dxa"/>
              <w:bottom w:w="0" w:type="dxa"/>
              <w:right w:w="40" w:type="dxa"/>
            </w:tcMar>
          </w:tcPr>
          <w:p w14:paraId="4112DF0C" w14:textId="7B430F17"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w:t>
            </w:r>
            <w:r w:rsidR="002668D2">
              <w:rPr>
                <w:rFonts w:eastAsia="Calibri" w:cs="Calibri"/>
                <w:color w:val="000000"/>
                <w:sz w:val="18"/>
                <w:bdr w:val="nil"/>
              </w:rPr>
              <w:t>6,553</w:t>
            </w:r>
          </w:p>
        </w:tc>
      </w:tr>
    </w:tbl>
    <w:p w14:paraId="029325CF" w14:textId="77777777" w:rsidR="001F6B18" w:rsidRDefault="0027723F" w:rsidP="001F6B18">
      <w:pPr>
        <w:pStyle w:val="BSnote0"/>
        <w:pBdr>
          <w:top w:val="nil"/>
          <w:left w:val="nil"/>
          <w:bottom w:val="nil"/>
          <w:right w:val="nil"/>
          <w:between w:val="nil"/>
          <w:bar w:val="nil"/>
        </w:pBdr>
        <w:rPr>
          <w:bdr w:val="nil"/>
        </w:rPr>
      </w:pPr>
      <w:r>
        <w:rPr>
          <w:bdr w:val="nil"/>
        </w:rPr>
        <w:t>Note:</w:t>
      </w:r>
    </w:p>
    <w:p w14:paraId="621E21E1" w14:textId="41021CDF" w:rsidR="001F6B18" w:rsidRDefault="00286745" w:rsidP="009832FC">
      <w:pPr>
        <w:pStyle w:val="BSnoteslist1"/>
        <w:numPr>
          <w:ilvl w:val="0"/>
          <w:numId w:val="17"/>
        </w:numPr>
        <w:pBdr>
          <w:top w:val="nil"/>
          <w:left w:val="nil"/>
          <w:bottom w:val="nil"/>
          <w:right w:val="nil"/>
          <w:between w:val="nil"/>
          <w:bar w:val="nil"/>
        </w:pBdr>
        <w:jc w:val="both"/>
        <w:rPr>
          <w:bdr w:val="nil"/>
        </w:rPr>
      </w:pPr>
      <w:r>
        <w:rPr>
          <w:bdr w:val="nil"/>
        </w:rPr>
        <w:t>The increase in total cost is impacted by the full year effect of a change in the funding flow for cross border health receipts, which are now required to be transacted through the Directorate resulting in an increase in total expenses and total revenue</w:t>
      </w:r>
      <w:r w:rsidR="0027723F">
        <w:rPr>
          <w:bdr w:val="nil"/>
        </w:rPr>
        <w:t>.</w:t>
      </w:r>
    </w:p>
    <w:p w14:paraId="50C01114" w14:textId="77777777" w:rsidR="001F6B18" w:rsidRDefault="0027723F" w:rsidP="001F6B18">
      <w:pPr>
        <w:pStyle w:val="Heading4"/>
        <w:pBdr>
          <w:top w:val="nil"/>
          <w:left w:val="nil"/>
          <w:bottom w:val="nil"/>
          <w:right w:val="nil"/>
          <w:between w:val="nil"/>
          <w:bar w:val="nil"/>
        </w:pBdr>
        <w:rPr>
          <w:bCs w:val="0"/>
          <w:bdr w:val="nil"/>
        </w:rPr>
      </w:pPr>
      <w:r>
        <w:rPr>
          <w:bCs w:val="0"/>
          <w:bdr w:val="nil"/>
        </w:rPr>
        <w:t xml:space="preserve">Output 1.4: </w:t>
      </w:r>
      <w:r w:rsidRPr="00446921">
        <w:rPr>
          <w:bCs w:val="0"/>
          <w:bdr w:val="nil"/>
        </w:rPr>
        <w:t>Continuous Improvement of the ACT Public Health System</w:t>
      </w:r>
    </w:p>
    <w:p w14:paraId="735C172F" w14:textId="77777777" w:rsidR="001F6B18" w:rsidRDefault="0027723F" w:rsidP="001F6B18">
      <w:pPr>
        <w:pStyle w:val="Normal4"/>
        <w:pBdr>
          <w:top w:val="nil"/>
          <w:left w:val="nil"/>
          <w:bottom w:val="nil"/>
          <w:right w:val="nil"/>
          <w:between w:val="nil"/>
          <w:bar w:val="nil"/>
        </w:pBdr>
        <w:jc w:val="both"/>
        <w:rPr>
          <w:bdr w:val="nil"/>
        </w:rPr>
      </w:pPr>
      <w:r>
        <w:rPr>
          <w:bdr w:val="nil"/>
        </w:rPr>
        <w:t xml:space="preserve">The Directorate provides strategic leadership and direction for the health system through development and administration of policies and legislation. </w:t>
      </w:r>
    </w:p>
    <w:p w14:paraId="2EF26DFF" w14:textId="77777777" w:rsidR="001F6B18" w:rsidRDefault="0027723F" w:rsidP="001F6B18">
      <w:pPr>
        <w:pStyle w:val="Normal4"/>
        <w:pBdr>
          <w:top w:val="nil"/>
          <w:left w:val="nil"/>
          <w:bottom w:val="nil"/>
          <w:right w:val="nil"/>
          <w:between w:val="nil"/>
          <w:bar w:val="nil"/>
        </w:pBdr>
        <w:jc w:val="both"/>
        <w:rPr>
          <w:bdr w:val="nil"/>
        </w:rPr>
      </w:pPr>
      <w:r>
        <w:rPr>
          <w:bdr w:val="nil"/>
        </w:rPr>
        <w:t>This includes:</w:t>
      </w:r>
    </w:p>
    <w:p w14:paraId="2572964C" w14:textId="77777777" w:rsidR="001F6B18" w:rsidRDefault="0027723F" w:rsidP="001F6B18">
      <w:pPr>
        <w:pStyle w:val="BSbullet1"/>
        <w:pBdr>
          <w:top w:val="nil"/>
          <w:left w:val="nil"/>
          <w:bottom w:val="nil"/>
          <w:right w:val="nil"/>
          <w:between w:val="nil"/>
          <w:bar w:val="nil"/>
        </w:pBdr>
        <w:jc w:val="both"/>
        <w:rPr>
          <w:bdr w:val="nil"/>
        </w:rPr>
      </w:pPr>
      <w:r>
        <w:rPr>
          <w:bdr w:val="nil"/>
        </w:rPr>
        <w:t>developing Territory-wide plans for health services, workforce and major capital investment;</w:t>
      </w:r>
    </w:p>
    <w:p w14:paraId="37FCA01A" w14:textId="77777777" w:rsidR="001F6B18" w:rsidRDefault="0027723F" w:rsidP="001F6B18">
      <w:pPr>
        <w:pStyle w:val="BSbullet1"/>
        <w:pBdr>
          <w:top w:val="nil"/>
          <w:left w:val="nil"/>
          <w:bottom w:val="nil"/>
          <w:right w:val="nil"/>
          <w:between w:val="nil"/>
          <w:bar w:val="nil"/>
        </w:pBdr>
        <w:jc w:val="both"/>
        <w:rPr>
          <w:bdr w:val="nil"/>
        </w:rPr>
      </w:pPr>
      <w:r>
        <w:rPr>
          <w:bdr w:val="nil"/>
        </w:rPr>
        <w:t>driving service improvement and innovation through a collaborative policy cycle;</w:t>
      </w:r>
    </w:p>
    <w:p w14:paraId="7196CBA7" w14:textId="77777777" w:rsidR="001F6B18" w:rsidRDefault="0027723F" w:rsidP="001F6B18">
      <w:pPr>
        <w:pStyle w:val="BSbullet1"/>
        <w:pBdr>
          <w:top w:val="nil"/>
          <w:left w:val="nil"/>
          <w:bottom w:val="nil"/>
          <w:right w:val="nil"/>
          <w:between w:val="nil"/>
          <w:bar w:val="nil"/>
        </w:pBdr>
        <w:jc w:val="both"/>
        <w:rPr>
          <w:bdr w:val="nil"/>
        </w:rPr>
      </w:pPr>
      <w:r>
        <w:rPr>
          <w:bdr w:val="nil"/>
        </w:rPr>
        <w:t>providing responsive policy advice to government reflecting the changing nature of the health sector;</w:t>
      </w:r>
    </w:p>
    <w:p w14:paraId="410FA713" w14:textId="77777777" w:rsidR="001F6B18" w:rsidRDefault="0027723F" w:rsidP="001F6B18">
      <w:pPr>
        <w:pStyle w:val="BSbullet1"/>
        <w:pBdr>
          <w:top w:val="nil"/>
          <w:left w:val="nil"/>
          <w:bottom w:val="nil"/>
          <w:right w:val="nil"/>
          <w:between w:val="nil"/>
          <w:bar w:val="nil"/>
        </w:pBdr>
        <w:jc w:val="both"/>
        <w:rPr>
          <w:bdr w:val="nil"/>
        </w:rPr>
      </w:pPr>
      <w:r>
        <w:rPr>
          <w:bdr w:val="nil"/>
        </w:rPr>
        <w:t>supporting delivery of high quality health services by building and maintaining intergovernmental partnerships; and</w:t>
      </w:r>
    </w:p>
    <w:p w14:paraId="108962D7" w14:textId="77777777" w:rsidR="001F6B18" w:rsidRPr="00277FBA" w:rsidRDefault="0027723F" w:rsidP="001F6B18">
      <w:pPr>
        <w:pStyle w:val="BSbullet1"/>
        <w:pBdr>
          <w:top w:val="nil"/>
          <w:left w:val="nil"/>
          <w:bottom w:val="nil"/>
          <w:right w:val="nil"/>
          <w:between w:val="nil"/>
          <w:bar w:val="nil"/>
        </w:pBdr>
        <w:jc w:val="both"/>
        <w:rPr>
          <w:bdr w:val="nil"/>
        </w:rPr>
      </w:pPr>
      <w:r>
        <w:rPr>
          <w:bdr w:val="nil"/>
        </w:rPr>
        <w:t>conducting research programs that translate research evidence into improved healthcare.</w:t>
      </w:r>
    </w:p>
    <w:p w14:paraId="2D5A8D9F" w14:textId="77777777" w:rsidR="001F6B18" w:rsidRPr="00B86090" w:rsidRDefault="0027723F" w:rsidP="001F6B18">
      <w:pPr>
        <w:pBdr>
          <w:top w:val="nil"/>
          <w:left w:val="nil"/>
          <w:bottom w:val="nil"/>
          <w:right w:val="nil"/>
          <w:between w:val="nil"/>
          <w:bar w:val="nil"/>
        </w:pBdr>
        <w:rPr>
          <w:b/>
          <w:bdr w:val="nil"/>
        </w:rPr>
      </w:pPr>
      <w:r w:rsidRPr="00B86090">
        <w:rPr>
          <w:b/>
          <w:bdr w:val="nil"/>
        </w:rPr>
        <w:t xml:space="preserve">Table </w:t>
      </w:r>
      <w:r>
        <w:rPr>
          <w:b/>
          <w:bdr w:val="nil"/>
        </w:rPr>
        <w:t>14</w:t>
      </w:r>
      <w:r w:rsidRPr="00B86090">
        <w:rPr>
          <w:b/>
          <w:bdr w:val="nil"/>
        </w:rPr>
        <w:t>:</w:t>
      </w:r>
      <w:r>
        <w:rPr>
          <w:b/>
          <w:bdr w:val="nil"/>
        </w:rPr>
        <w:t xml:space="preserve"> </w:t>
      </w:r>
      <w:r w:rsidRPr="00B86090">
        <w:rPr>
          <w:b/>
          <w:bdr w:val="nil"/>
        </w:rPr>
        <w:t xml:space="preserve">Output 1.4:  </w:t>
      </w:r>
      <w:r w:rsidRPr="00446921">
        <w:rPr>
          <w:b/>
          <w:bdr w:val="nil"/>
        </w:rPr>
        <w:t>Continuous Improvement of the ACT Public Health System</w:t>
      </w:r>
    </w:p>
    <w:tbl>
      <w:tblPr>
        <w:tblW w:w="9060" w:type="dxa"/>
        <w:tblLayout w:type="fixed"/>
        <w:tblLook w:val="0600" w:firstRow="0" w:lastRow="0" w:firstColumn="0" w:lastColumn="0" w:noHBand="1" w:noVBand="1"/>
      </w:tblPr>
      <w:tblGrid>
        <w:gridCol w:w="4695"/>
        <w:gridCol w:w="540"/>
        <w:gridCol w:w="2175"/>
        <w:gridCol w:w="1650"/>
      </w:tblGrid>
      <w:tr w:rsidR="00496618" w14:paraId="108E85EE" w14:textId="77777777" w:rsidTr="001F6B18">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tcPr>
          <w:p w14:paraId="05F7CE1B"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cBorders>
            <w:noWrap/>
            <w:tcMar>
              <w:top w:w="0" w:type="dxa"/>
              <w:left w:w="40" w:type="dxa"/>
              <w:bottom w:w="0" w:type="dxa"/>
              <w:right w:w="40" w:type="dxa"/>
            </w:tcMar>
          </w:tcPr>
          <w:p w14:paraId="0EAA8969"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3F6647B1"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51D91885"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496618" w14:paraId="615819D5" w14:textId="77777777" w:rsidTr="001F6B18">
        <w:trPr>
          <w:trHeight w:val="240"/>
        </w:trPr>
        <w:tc>
          <w:tcPr>
            <w:tcW w:w="4695" w:type="dxa"/>
            <w:noWrap/>
            <w:tcMar>
              <w:top w:w="0" w:type="dxa"/>
              <w:left w:w="40" w:type="dxa"/>
              <w:bottom w:w="0" w:type="dxa"/>
              <w:right w:w="40" w:type="dxa"/>
            </w:tcMar>
          </w:tcPr>
          <w:p w14:paraId="46B4A63F"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noWrap/>
            <w:tcMar>
              <w:top w:w="0" w:type="dxa"/>
              <w:left w:w="40" w:type="dxa"/>
              <w:bottom w:w="0" w:type="dxa"/>
              <w:right w:w="40" w:type="dxa"/>
            </w:tcMar>
          </w:tcPr>
          <w:p w14:paraId="1B5A8DDD" w14:textId="77777777" w:rsidR="001F6B18" w:rsidRDefault="001F6B18" w:rsidP="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Mar>
              <w:top w:w="0" w:type="dxa"/>
              <w:left w:w="40" w:type="dxa"/>
              <w:bottom w:w="0" w:type="dxa"/>
              <w:right w:w="40" w:type="dxa"/>
            </w:tcMar>
            <w:hideMark/>
          </w:tcPr>
          <w:p w14:paraId="7C011BFE" w14:textId="6437D4C8" w:rsidR="001F6B18" w:rsidRDefault="004A2C91"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 xml:space="preserve">Interim </w:t>
            </w:r>
            <w:r w:rsidR="0027723F">
              <w:rPr>
                <w:rFonts w:eastAsia="Calibri" w:cs="Calibri"/>
                <w:b/>
                <w:color w:val="000000"/>
                <w:sz w:val="18"/>
                <w:bdr w:val="nil"/>
              </w:rPr>
              <w:t>Outcome</w:t>
            </w:r>
          </w:p>
        </w:tc>
        <w:tc>
          <w:tcPr>
            <w:tcW w:w="1650" w:type="dxa"/>
            <w:noWrap/>
            <w:tcMar>
              <w:top w:w="0" w:type="dxa"/>
              <w:left w:w="40" w:type="dxa"/>
              <w:bottom w:w="0" w:type="dxa"/>
              <w:right w:w="40" w:type="dxa"/>
            </w:tcMar>
            <w:hideMark/>
          </w:tcPr>
          <w:p w14:paraId="519BCEC4" w14:textId="77777777" w:rsidR="001F6B18" w:rsidRDefault="0027723F" w:rsidP="001F6B18">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496618" w14:paraId="64ED98B7" w14:textId="77777777" w:rsidTr="001F6B18">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0BE3D80C" w14:textId="77777777" w:rsidR="001F6B18" w:rsidRDefault="001F6B18">
            <w:pPr>
              <w:pStyle w:val="Normal0"/>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3EE40BC4" w14:textId="77777777" w:rsidR="001F6B18" w:rsidRDefault="001F6B18">
            <w:pPr>
              <w:pStyle w:val="Normal0"/>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4DA43C03" w14:textId="77777777" w:rsidR="001F6B18" w:rsidRDefault="0027723F">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309F28D1" w14:textId="77777777" w:rsidR="001F6B18" w:rsidRDefault="0027723F">
            <w:pPr>
              <w:pStyle w:val="Normal0"/>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496618" w14:paraId="2DA9DEA1" w14:textId="77777777" w:rsidTr="001F6B18">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0A088691" w14:textId="77777777" w:rsidR="001F6B18" w:rsidRPr="0038545F" w:rsidRDefault="0027723F" w:rsidP="001F6B18">
            <w:pPr>
              <w:pStyle w:val="Normal0"/>
              <w:pBdr>
                <w:top w:val="nil"/>
                <w:left w:val="nil"/>
                <w:bottom w:val="nil"/>
                <w:right w:val="nil"/>
                <w:between w:val="nil"/>
                <w:bar w:val="nil"/>
              </w:pBdr>
              <w:spacing w:before="0" w:after="0"/>
              <w:rPr>
                <w:rFonts w:eastAsia="Calibri" w:cs="Calibri"/>
                <w:color w:val="000000"/>
                <w:sz w:val="18"/>
                <w:bdr w:val="nil"/>
              </w:rPr>
            </w:pPr>
            <w:r w:rsidRPr="0038545F">
              <w:rPr>
                <w:rFonts w:eastAsia="Calibri" w:cs="Calibri"/>
                <w:color w:val="000000"/>
                <w:sz w:val="18"/>
                <w:bdr w:val="nil"/>
              </w:rPr>
              <w:t>Total Cost</w:t>
            </w:r>
            <w:r w:rsidRPr="00EF556B">
              <w:rPr>
                <w:rFonts w:eastAsia="Calibri" w:cs="Calibri"/>
                <w:color w:val="000000"/>
                <w:sz w:val="18"/>
                <w:bdr w:val="nil"/>
                <w:vertAlign w:val="superscript"/>
              </w:rPr>
              <w:t>1</w:t>
            </w:r>
          </w:p>
        </w:tc>
        <w:tc>
          <w:tcPr>
            <w:tcW w:w="540" w:type="dxa"/>
            <w:tcBorders>
              <w:top w:val="single" w:sz="4" w:space="0" w:color="000000"/>
              <w:left w:val="nil"/>
              <w:bottom w:val="nil"/>
              <w:right w:val="nil"/>
            </w:tcBorders>
            <w:noWrap/>
            <w:tcMar>
              <w:top w:w="0" w:type="dxa"/>
              <w:left w:w="40" w:type="dxa"/>
              <w:bottom w:w="0" w:type="dxa"/>
              <w:right w:w="40" w:type="dxa"/>
            </w:tcMar>
          </w:tcPr>
          <w:p w14:paraId="041F133D" w14:textId="77777777" w:rsidR="001F6B18" w:rsidRDefault="001F6B18" w:rsidP="001F6B18">
            <w:pPr>
              <w:pStyle w:val="Normal0"/>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tcPr>
          <w:p w14:paraId="3731C53B" w14:textId="77777777"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111,013</w:t>
            </w:r>
          </w:p>
        </w:tc>
        <w:tc>
          <w:tcPr>
            <w:tcW w:w="1650" w:type="dxa"/>
            <w:tcBorders>
              <w:top w:val="single" w:sz="4" w:space="0" w:color="000000"/>
              <w:left w:val="nil"/>
              <w:bottom w:val="nil"/>
              <w:right w:val="nil"/>
            </w:tcBorders>
            <w:noWrap/>
            <w:tcMar>
              <w:top w:w="0" w:type="dxa"/>
              <w:left w:w="40" w:type="dxa"/>
              <w:bottom w:w="0" w:type="dxa"/>
              <w:right w:w="40" w:type="dxa"/>
            </w:tcMar>
          </w:tcPr>
          <w:p w14:paraId="3872F83C" w14:textId="5FE0B54D" w:rsidR="001F6B18" w:rsidRDefault="0027723F" w:rsidP="002668D2">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w:t>
            </w:r>
            <w:r w:rsidR="002668D2">
              <w:rPr>
                <w:rFonts w:eastAsia="Calibri" w:cs="Calibri"/>
                <w:color w:val="000000"/>
                <w:sz w:val="18"/>
                <w:bdr w:val="nil"/>
              </w:rPr>
              <w:t>22,926</w:t>
            </w:r>
          </w:p>
        </w:tc>
      </w:tr>
      <w:tr w:rsidR="00496618" w14:paraId="00C72F26" w14:textId="77777777" w:rsidTr="001F6B18">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hideMark/>
          </w:tcPr>
          <w:p w14:paraId="68CE8F3E" w14:textId="77777777" w:rsidR="001F6B18" w:rsidRPr="0038545F" w:rsidRDefault="0027723F" w:rsidP="001F6B18">
            <w:pPr>
              <w:pStyle w:val="Normal0"/>
              <w:pBdr>
                <w:top w:val="nil"/>
                <w:left w:val="nil"/>
                <w:bottom w:val="nil"/>
                <w:right w:val="nil"/>
                <w:between w:val="nil"/>
                <w:bar w:val="nil"/>
              </w:pBdr>
              <w:spacing w:before="0" w:after="0"/>
              <w:rPr>
                <w:rFonts w:eastAsia="Calibri" w:cs="Calibri"/>
                <w:color w:val="000000"/>
                <w:sz w:val="18"/>
                <w:bdr w:val="nil"/>
              </w:rPr>
            </w:pPr>
            <w:r w:rsidRPr="0038545F">
              <w:rPr>
                <w:rFonts w:eastAsia="Calibri" w:cs="Calibri"/>
                <w:color w:val="000000"/>
                <w:sz w:val="18"/>
                <w:bdr w:val="nil"/>
              </w:rPr>
              <w:t>Controlled Recurrent Payments</w:t>
            </w:r>
          </w:p>
        </w:tc>
        <w:tc>
          <w:tcPr>
            <w:tcW w:w="540" w:type="dxa"/>
            <w:tcBorders>
              <w:top w:val="nil"/>
              <w:left w:val="nil"/>
              <w:bottom w:val="single" w:sz="4" w:space="0" w:color="000000"/>
              <w:right w:val="nil"/>
            </w:tcBorders>
            <w:noWrap/>
            <w:tcMar>
              <w:top w:w="0" w:type="dxa"/>
              <w:left w:w="40" w:type="dxa"/>
              <w:bottom w:w="0" w:type="dxa"/>
              <w:right w:w="40" w:type="dxa"/>
            </w:tcMar>
          </w:tcPr>
          <w:p w14:paraId="575A25AC" w14:textId="77777777" w:rsidR="001F6B18" w:rsidRDefault="001F6B18" w:rsidP="001F6B18">
            <w:pPr>
              <w:pStyle w:val="Normal0"/>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tcPr>
          <w:p w14:paraId="386423C2" w14:textId="77777777" w:rsidR="001F6B18" w:rsidRDefault="0027723F"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76,017</w:t>
            </w:r>
          </w:p>
        </w:tc>
        <w:tc>
          <w:tcPr>
            <w:tcW w:w="1650" w:type="dxa"/>
            <w:tcBorders>
              <w:top w:val="nil"/>
              <w:left w:val="nil"/>
              <w:bottom w:val="single" w:sz="4" w:space="0" w:color="000000"/>
              <w:right w:val="nil"/>
            </w:tcBorders>
            <w:noWrap/>
            <w:tcMar>
              <w:top w:w="0" w:type="dxa"/>
              <w:left w:w="40" w:type="dxa"/>
              <w:bottom w:w="0" w:type="dxa"/>
              <w:right w:w="40" w:type="dxa"/>
            </w:tcMar>
          </w:tcPr>
          <w:p w14:paraId="74BC8F02" w14:textId="46982BF1" w:rsidR="001F6B18" w:rsidRDefault="002668D2" w:rsidP="001F6B18">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80,442</w:t>
            </w:r>
          </w:p>
        </w:tc>
      </w:tr>
    </w:tbl>
    <w:p w14:paraId="74687C2C" w14:textId="77777777" w:rsidR="001F6B18" w:rsidRDefault="0027723F" w:rsidP="001F6B18">
      <w:pPr>
        <w:pStyle w:val="BSnote0"/>
        <w:pBdr>
          <w:top w:val="nil"/>
          <w:left w:val="nil"/>
          <w:bottom w:val="nil"/>
          <w:right w:val="nil"/>
          <w:between w:val="nil"/>
          <w:bar w:val="nil"/>
        </w:pBdr>
        <w:rPr>
          <w:bdr w:val="nil"/>
        </w:rPr>
      </w:pPr>
      <w:r>
        <w:rPr>
          <w:bdr w:val="nil"/>
        </w:rPr>
        <w:t>Note:</w:t>
      </w:r>
    </w:p>
    <w:p w14:paraId="6770AD1A" w14:textId="091A810A" w:rsidR="001F6B18" w:rsidRDefault="00286745" w:rsidP="009832FC">
      <w:pPr>
        <w:pStyle w:val="BSnoteslist1"/>
        <w:numPr>
          <w:ilvl w:val="0"/>
          <w:numId w:val="18"/>
        </w:numPr>
        <w:pBdr>
          <w:top w:val="nil"/>
          <w:left w:val="nil"/>
          <w:bottom w:val="nil"/>
          <w:right w:val="nil"/>
          <w:between w:val="nil"/>
          <w:bar w:val="nil"/>
        </w:pBdr>
        <w:jc w:val="both"/>
        <w:rPr>
          <w:bdr w:val="nil"/>
        </w:rPr>
      </w:pPr>
      <w:r>
        <w:rPr>
          <w:bdr w:val="nil"/>
        </w:rPr>
        <w:t>The increase in total cost is impacted by the full year effect of a change in the funding flow for cross border health receipts, which are now required to be transacted through the Directorate resulting in an increase in total expenses and total revenue</w:t>
      </w:r>
      <w:r w:rsidR="0027723F">
        <w:rPr>
          <w:bdr w:val="nil"/>
        </w:rPr>
        <w:t>.</w:t>
      </w:r>
    </w:p>
    <w:p w14:paraId="6AC2CBA2" w14:textId="77777777" w:rsidR="001F6B18" w:rsidRDefault="0027723F" w:rsidP="001F6B18">
      <w:pPr>
        <w:pStyle w:val="Heading2"/>
        <w:pageBreakBefore/>
        <w:pBdr>
          <w:top w:val="nil"/>
          <w:left w:val="nil"/>
          <w:bottom w:val="nil"/>
          <w:right w:val="nil"/>
          <w:between w:val="nil"/>
          <w:bar w:val="nil"/>
        </w:pBdr>
        <w:rPr>
          <w:bdr w:val="nil"/>
        </w:rPr>
      </w:pPr>
      <w:bookmarkStart w:id="25" w:name="_Toc452467800"/>
      <w:bookmarkStart w:id="26" w:name="_Toc83910741"/>
      <w:r>
        <w:rPr>
          <w:bdr w:val="nil"/>
        </w:rPr>
        <w:lastRenderedPageBreak/>
        <w:t>Accountability Indicators</w:t>
      </w:r>
      <w:bookmarkEnd w:id="25"/>
      <w:bookmarkEnd w:id="26"/>
    </w:p>
    <w:p w14:paraId="4E0AEBD4" w14:textId="77777777" w:rsidR="001F6B18" w:rsidRDefault="0027723F" w:rsidP="001F6B18">
      <w:pPr>
        <w:pBdr>
          <w:top w:val="nil"/>
          <w:left w:val="nil"/>
          <w:bottom w:val="nil"/>
          <w:right w:val="nil"/>
          <w:between w:val="nil"/>
          <w:bar w:val="nil"/>
        </w:pBdr>
        <w:jc w:val="both"/>
        <w:rPr>
          <w:sz w:val="22"/>
          <w:bdr w:val="nil"/>
        </w:rPr>
      </w:pPr>
      <w:r>
        <w:rPr>
          <w:bdr w:val="nil"/>
        </w:rPr>
        <w:t xml:space="preserve">Due </w:t>
      </w:r>
      <w:r w:rsidRPr="0050674A">
        <w:rPr>
          <w:bdr w:val="nil"/>
        </w:rPr>
        <w:t xml:space="preserve">to the release of the 2021-22 Budget on 6 October 2021, the 2020-21 accountability indicators below refer to the interim outcome included in the draft 2020-21 Statement of Performance, which was unaudited at the time of </w:t>
      </w:r>
      <w:r>
        <w:rPr>
          <w:bdr w:val="nil"/>
        </w:rPr>
        <w:t>preparing</w:t>
      </w:r>
      <w:r w:rsidRPr="0050674A">
        <w:rPr>
          <w:bdr w:val="nil"/>
        </w:rPr>
        <w:t xml:space="preserve"> these budget statements</w:t>
      </w:r>
      <w:r>
        <w:rPr>
          <w:bdr w:val="nil"/>
        </w:rPr>
        <w:t>.</w:t>
      </w:r>
    </w:p>
    <w:p w14:paraId="14060606" w14:textId="77777777" w:rsidR="001F6B18" w:rsidRDefault="0027723F" w:rsidP="001F6B18">
      <w:pPr>
        <w:pBdr>
          <w:top w:val="nil"/>
          <w:left w:val="nil"/>
          <w:bottom w:val="nil"/>
          <w:right w:val="nil"/>
          <w:between w:val="nil"/>
          <w:bar w:val="nil"/>
        </w:pBdr>
        <w:jc w:val="both"/>
        <w:rPr>
          <w:bdr w:val="nil"/>
        </w:rPr>
      </w:pPr>
      <w:r>
        <w:rPr>
          <w:bdr w:val="nil"/>
        </w:rPr>
        <w:t>Contextual information on each output class can be found in the ‘Output Classes’ section of this budget statement.</w:t>
      </w:r>
    </w:p>
    <w:p w14:paraId="4621DE22" w14:textId="77777777" w:rsidR="001F6B18" w:rsidRPr="00E33D44" w:rsidRDefault="0027723F" w:rsidP="008E3537">
      <w:pPr>
        <w:pStyle w:val="Heading3"/>
        <w:rPr>
          <w:bdr w:val="nil"/>
        </w:rPr>
      </w:pPr>
      <w:r>
        <w:rPr>
          <w:bdr w:val="nil"/>
        </w:rPr>
        <w:t>Output Clas</w:t>
      </w:r>
      <w:r w:rsidRPr="00E33D44">
        <w:rPr>
          <w:bdr w:val="nil"/>
        </w:rPr>
        <w:t>s 1: ACT Health Directorate</w:t>
      </w:r>
    </w:p>
    <w:p w14:paraId="1C53A2E8" w14:textId="77777777" w:rsidR="001F6B18" w:rsidRDefault="0027723F" w:rsidP="001F6B18">
      <w:pPr>
        <w:pStyle w:val="Heading4"/>
        <w:pBdr>
          <w:top w:val="nil"/>
          <w:left w:val="nil"/>
          <w:bottom w:val="nil"/>
          <w:right w:val="nil"/>
          <w:between w:val="nil"/>
          <w:bar w:val="nil"/>
        </w:pBdr>
        <w:rPr>
          <w:bCs w:val="0"/>
          <w:bdr w:val="nil"/>
        </w:rPr>
      </w:pPr>
      <w:r w:rsidRPr="00E33D44">
        <w:rPr>
          <w:bCs w:val="0"/>
          <w:bdr w:val="nil"/>
        </w:rPr>
        <w:t>Output 1.1: Improved Hospital Services</w:t>
      </w:r>
    </w:p>
    <w:p w14:paraId="4F9D6EFA" w14:textId="77777777" w:rsidR="001F6B18" w:rsidRPr="00117443" w:rsidRDefault="0027723F" w:rsidP="001F6B18">
      <w:pPr>
        <w:keepNext/>
        <w:pBdr>
          <w:top w:val="nil"/>
          <w:left w:val="nil"/>
          <w:bottom w:val="nil"/>
          <w:right w:val="nil"/>
          <w:between w:val="nil"/>
          <w:bar w:val="nil"/>
        </w:pBdr>
        <w:spacing w:before="240"/>
        <w:rPr>
          <w:b/>
          <w:bCs/>
          <w:strike/>
          <w:color w:val="000000"/>
          <w:sz w:val="16"/>
          <w:szCs w:val="16"/>
          <w:bdr w:val="nil"/>
        </w:rPr>
      </w:pPr>
      <w:r w:rsidRPr="00117443">
        <w:rPr>
          <w:b/>
          <w:bCs/>
          <w:color w:val="000000"/>
          <w:sz w:val="22"/>
          <w:szCs w:val="18"/>
          <w:bdr w:val="nil"/>
        </w:rPr>
        <w:t xml:space="preserve">Table </w:t>
      </w:r>
      <w:r>
        <w:rPr>
          <w:b/>
          <w:bCs/>
          <w:color w:val="000000"/>
          <w:sz w:val="22"/>
          <w:szCs w:val="18"/>
          <w:bdr w:val="nil"/>
        </w:rPr>
        <w:t>15</w:t>
      </w:r>
      <w:r w:rsidRPr="00117443">
        <w:rPr>
          <w:b/>
          <w:bCs/>
          <w:noProof/>
          <w:color w:val="000000"/>
          <w:sz w:val="22"/>
          <w:szCs w:val="18"/>
          <w:bdr w:val="nil"/>
        </w:rPr>
        <w:t>:</w:t>
      </w:r>
      <w:r w:rsidRPr="00117443">
        <w:rPr>
          <w:b/>
          <w:bCs/>
          <w:color w:val="000000"/>
          <w:sz w:val="22"/>
          <w:szCs w:val="18"/>
          <w:bdr w:val="nil"/>
        </w:rPr>
        <w:t xml:space="preserve"> Accountability Indicators</w:t>
      </w:r>
      <w:r w:rsidRPr="00117443">
        <w:rPr>
          <w:b/>
          <w:bCs/>
          <w:noProof/>
          <w:color w:val="000000"/>
          <w:sz w:val="22"/>
          <w:szCs w:val="18"/>
          <w:bdr w:val="nil"/>
        </w:rPr>
        <w:t xml:space="preserve"> Output 1.1</w:t>
      </w:r>
    </w:p>
    <w:tbl>
      <w:tblPr>
        <w:tblW w:w="9100" w:type="dxa"/>
        <w:tblInd w:w="108" w:type="dxa"/>
        <w:tblBorders>
          <w:top w:val="single" w:sz="12" w:space="0" w:color="000000"/>
          <w:bottom w:val="single" w:sz="12" w:space="0" w:color="000000"/>
        </w:tblBorders>
        <w:tblLook w:val="04A0" w:firstRow="1" w:lastRow="0" w:firstColumn="1" w:lastColumn="0" w:noHBand="0" w:noVBand="1"/>
      </w:tblPr>
      <w:tblGrid>
        <w:gridCol w:w="5278"/>
        <w:gridCol w:w="1274"/>
        <w:gridCol w:w="1274"/>
        <w:gridCol w:w="1274"/>
      </w:tblGrid>
      <w:tr w:rsidR="00496618" w14:paraId="44EEF496" w14:textId="77777777" w:rsidTr="001F6B18">
        <w:trPr>
          <w:tblHeader/>
        </w:trPr>
        <w:tc>
          <w:tcPr>
            <w:tcW w:w="2900" w:type="pct"/>
            <w:tcBorders>
              <w:top w:val="single" w:sz="12" w:space="0" w:color="000000"/>
              <w:left w:val="nil"/>
              <w:bottom w:val="single" w:sz="12" w:space="0" w:color="000000"/>
              <w:right w:val="nil"/>
            </w:tcBorders>
          </w:tcPr>
          <w:p w14:paraId="65B75EB6" w14:textId="77777777" w:rsidR="001F6B18" w:rsidRPr="00117443" w:rsidRDefault="001F6B18" w:rsidP="001F6B18">
            <w:pPr>
              <w:pBdr>
                <w:top w:val="nil"/>
                <w:left w:val="nil"/>
                <w:bottom w:val="nil"/>
                <w:right w:val="nil"/>
                <w:between w:val="nil"/>
                <w:bar w:val="nil"/>
              </w:pBdr>
              <w:spacing w:before="0" w:after="0" w:line="256" w:lineRule="auto"/>
              <w:ind w:left="227" w:hanging="227"/>
              <w:rPr>
                <w:bCs/>
                <w:sz w:val="20"/>
                <w:bdr w:val="nil"/>
                <w:lang w:eastAsia="en-AU"/>
              </w:rPr>
            </w:pPr>
          </w:p>
        </w:tc>
        <w:tc>
          <w:tcPr>
            <w:tcW w:w="700" w:type="pct"/>
            <w:tcBorders>
              <w:top w:val="single" w:sz="12" w:space="0" w:color="000000"/>
              <w:left w:val="nil"/>
              <w:bottom w:val="single" w:sz="12" w:space="0" w:color="000000"/>
              <w:right w:val="nil"/>
            </w:tcBorders>
            <w:hideMark/>
          </w:tcPr>
          <w:p w14:paraId="46B9498D" w14:textId="77777777" w:rsidR="001F6B18" w:rsidRPr="00C30EE6" w:rsidRDefault="0027723F" w:rsidP="001F6B18">
            <w:pPr>
              <w:pStyle w:val="BStableheading1"/>
              <w:keepNext/>
              <w:keepLines/>
              <w:framePr w:wrap="around"/>
              <w:pBdr>
                <w:top w:val="nil"/>
                <w:left w:val="nil"/>
                <w:bottom w:val="nil"/>
                <w:right w:val="nil"/>
                <w:between w:val="nil"/>
                <w:bar w:val="nil"/>
              </w:pBdr>
              <w:rPr>
                <w:bdr w:val="nil"/>
              </w:rPr>
            </w:pPr>
            <w:r>
              <w:rPr>
                <w:bdr w:val="nil"/>
              </w:rPr>
              <w:t>2020-21 Targets</w:t>
            </w:r>
          </w:p>
        </w:tc>
        <w:tc>
          <w:tcPr>
            <w:tcW w:w="700" w:type="pct"/>
            <w:tcBorders>
              <w:top w:val="single" w:sz="12" w:space="0" w:color="000000"/>
              <w:left w:val="nil"/>
              <w:bottom w:val="single" w:sz="12" w:space="0" w:color="000000"/>
              <w:right w:val="nil"/>
            </w:tcBorders>
            <w:hideMark/>
          </w:tcPr>
          <w:p w14:paraId="4D479378" w14:textId="77777777" w:rsidR="001F6B18" w:rsidRDefault="0027723F" w:rsidP="001F6B18">
            <w:pPr>
              <w:pStyle w:val="BStableheading1"/>
              <w:keepNext/>
              <w:keepLines/>
              <w:framePr w:wrap="around"/>
              <w:pBdr>
                <w:top w:val="nil"/>
                <w:left w:val="nil"/>
                <w:bottom w:val="nil"/>
                <w:right w:val="nil"/>
                <w:between w:val="nil"/>
                <w:bar w:val="nil"/>
              </w:pBdr>
              <w:rPr>
                <w:bdr w:val="nil"/>
              </w:rPr>
            </w:pPr>
            <w:r>
              <w:rPr>
                <w:bdr w:val="nil"/>
              </w:rPr>
              <w:t xml:space="preserve">2020-21 </w:t>
            </w:r>
          </w:p>
          <w:p w14:paraId="4DF135FD" w14:textId="77777777" w:rsidR="001F6B18" w:rsidRDefault="0027723F" w:rsidP="001F6B18">
            <w:pPr>
              <w:pStyle w:val="BStableheading1"/>
              <w:keepNext/>
              <w:keepLines/>
              <w:framePr w:wrap="around"/>
              <w:pBdr>
                <w:top w:val="nil"/>
                <w:left w:val="nil"/>
                <w:bottom w:val="nil"/>
                <w:right w:val="nil"/>
                <w:between w:val="nil"/>
                <w:bar w:val="nil"/>
              </w:pBdr>
              <w:rPr>
                <w:bdr w:val="nil"/>
              </w:rPr>
            </w:pPr>
            <w:r>
              <w:rPr>
                <w:bdr w:val="nil"/>
              </w:rPr>
              <w:t>Interim</w:t>
            </w:r>
          </w:p>
          <w:p w14:paraId="39B10B1E" w14:textId="77777777" w:rsidR="001F6B18" w:rsidRPr="00C30EE6" w:rsidRDefault="0027723F" w:rsidP="001F6B18">
            <w:pPr>
              <w:pStyle w:val="BStableheading1"/>
              <w:keepNext/>
              <w:keepLines/>
              <w:framePr w:wrap="around"/>
              <w:pBdr>
                <w:top w:val="nil"/>
                <w:left w:val="nil"/>
                <w:bottom w:val="nil"/>
                <w:right w:val="nil"/>
                <w:between w:val="nil"/>
                <w:bar w:val="nil"/>
              </w:pBdr>
              <w:rPr>
                <w:bdr w:val="nil"/>
              </w:rPr>
            </w:pPr>
            <w:r>
              <w:rPr>
                <w:bdr w:val="nil"/>
              </w:rPr>
              <w:t>Outcome</w:t>
            </w:r>
          </w:p>
        </w:tc>
        <w:tc>
          <w:tcPr>
            <w:tcW w:w="700" w:type="pct"/>
            <w:tcBorders>
              <w:top w:val="single" w:sz="12" w:space="0" w:color="000000"/>
              <w:left w:val="nil"/>
              <w:bottom w:val="single" w:sz="12" w:space="0" w:color="000000"/>
              <w:right w:val="nil"/>
            </w:tcBorders>
            <w:hideMark/>
          </w:tcPr>
          <w:p w14:paraId="5804606E" w14:textId="77777777" w:rsidR="001F6B18" w:rsidRDefault="0027723F" w:rsidP="001F6B18">
            <w:pPr>
              <w:pStyle w:val="BStableheading1"/>
              <w:keepNext/>
              <w:keepLines/>
              <w:framePr w:wrap="around"/>
              <w:pBdr>
                <w:top w:val="nil"/>
                <w:left w:val="nil"/>
                <w:bottom w:val="nil"/>
                <w:right w:val="nil"/>
                <w:between w:val="nil"/>
                <w:bar w:val="nil"/>
              </w:pBdr>
              <w:rPr>
                <w:bdr w:val="nil"/>
              </w:rPr>
            </w:pPr>
            <w:r>
              <w:rPr>
                <w:bdr w:val="nil"/>
              </w:rPr>
              <w:t>2021-22</w:t>
            </w:r>
          </w:p>
          <w:p w14:paraId="3AF43055" w14:textId="77777777" w:rsidR="001F6B18" w:rsidRPr="00C30EE6" w:rsidRDefault="0027723F" w:rsidP="001F6B18">
            <w:pPr>
              <w:pStyle w:val="BStableheading1"/>
              <w:keepNext/>
              <w:keepLines/>
              <w:framePr w:wrap="around"/>
              <w:pBdr>
                <w:top w:val="nil"/>
                <w:left w:val="nil"/>
                <w:bottom w:val="nil"/>
                <w:right w:val="nil"/>
                <w:between w:val="nil"/>
                <w:bar w:val="nil"/>
              </w:pBdr>
              <w:rPr>
                <w:bdr w:val="nil"/>
              </w:rPr>
            </w:pPr>
            <w:r>
              <w:rPr>
                <w:bdr w:val="nil"/>
              </w:rPr>
              <w:t xml:space="preserve">Targets </w:t>
            </w:r>
          </w:p>
        </w:tc>
      </w:tr>
      <w:tr w:rsidR="00496618" w14:paraId="0FF90E11" w14:textId="77777777" w:rsidTr="001F6B18">
        <w:trPr>
          <w:trHeight w:val="283"/>
        </w:trPr>
        <w:tc>
          <w:tcPr>
            <w:tcW w:w="2900" w:type="pct"/>
            <w:tcBorders>
              <w:top w:val="nil"/>
              <w:left w:val="nil"/>
              <w:bottom w:val="nil"/>
              <w:right w:val="nil"/>
            </w:tcBorders>
            <w:hideMark/>
          </w:tcPr>
          <w:p w14:paraId="1E29F1D1" w14:textId="77777777" w:rsidR="001F6B18" w:rsidRPr="00117443" w:rsidRDefault="0027723F" w:rsidP="009832FC">
            <w:pPr>
              <w:numPr>
                <w:ilvl w:val="0"/>
                <w:numId w:val="19"/>
              </w:numPr>
              <w:pBdr>
                <w:top w:val="nil"/>
                <w:left w:val="nil"/>
                <w:bottom w:val="nil"/>
                <w:right w:val="nil"/>
                <w:between w:val="nil"/>
                <w:bar w:val="nil"/>
              </w:pBdr>
              <w:spacing w:before="0" w:after="0" w:line="256" w:lineRule="auto"/>
              <w:rPr>
                <w:sz w:val="20"/>
                <w:bdr w:val="nil"/>
                <w:lang w:eastAsia="en-AU"/>
              </w:rPr>
            </w:pPr>
            <w:r w:rsidRPr="00117443">
              <w:rPr>
                <w:sz w:val="20"/>
                <w:bdr w:val="nil"/>
                <w:lang w:eastAsia="en-AU"/>
              </w:rPr>
              <w:t>Percentage of all Emergency Department presentations treated within clinically appropriate timeframes</w:t>
            </w:r>
            <w:r w:rsidRPr="001B36CC">
              <w:rPr>
                <w:sz w:val="20"/>
                <w:bdr w:val="nil"/>
                <w:vertAlign w:val="superscript"/>
                <w:lang w:eastAsia="en-AU"/>
              </w:rPr>
              <w:t>1</w:t>
            </w:r>
          </w:p>
        </w:tc>
        <w:tc>
          <w:tcPr>
            <w:tcW w:w="700" w:type="pct"/>
            <w:tcBorders>
              <w:top w:val="nil"/>
              <w:left w:val="nil"/>
              <w:bottom w:val="nil"/>
              <w:right w:val="nil"/>
            </w:tcBorders>
            <w:hideMark/>
          </w:tcPr>
          <w:p w14:paraId="4A2E91CD"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70%</w:t>
            </w:r>
          </w:p>
        </w:tc>
        <w:tc>
          <w:tcPr>
            <w:tcW w:w="700" w:type="pct"/>
            <w:tcBorders>
              <w:top w:val="nil"/>
              <w:left w:val="nil"/>
              <w:bottom w:val="nil"/>
              <w:right w:val="nil"/>
            </w:tcBorders>
            <w:hideMark/>
          </w:tcPr>
          <w:p w14:paraId="779C4C1F"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48%</w:t>
            </w:r>
          </w:p>
        </w:tc>
        <w:tc>
          <w:tcPr>
            <w:tcW w:w="700" w:type="pct"/>
            <w:tcBorders>
              <w:top w:val="nil"/>
              <w:left w:val="nil"/>
              <w:bottom w:val="nil"/>
              <w:right w:val="nil"/>
            </w:tcBorders>
            <w:hideMark/>
          </w:tcPr>
          <w:p w14:paraId="42213B9F"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sidRPr="00E6003B">
              <w:rPr>
                <w:sz w:val="20"/>
                <w:bdr w:val="nil"/>
              </w:rPr>
              <w:t>70%</w:t>
            </w:r>
          </w:p>
        </w:tc>
      </w:tr>
      <w:tr w:rsidR="00496618" w14:paraId="4529D3BA" w14:textId="77777777" w:rsidTr="001F6B18">
        <w:trPr>
          <w:trHeight w:val="283"/>
        </w:trPr>
        <w:tc>
          <w:tcPr>
            <w:tcW w:w="2900" w:type="pct"/>
            <w:tcBorders>
              <w:top w:val="nil"/>
              <w:left w:val="nil"/>
              <w:bottom w:val="nil"/>
              <w:right w:val="nil"/>
            </w:tcBorders>
            <w:hideMark/>
          </w:tcPr>
          <w:p w14:paraId="609D6AB4" w14:textId="77777777" w:rsidR="001F6B18" w:rsidRPr="00117443" w:rsidRDefault="0027723F" w:rsidP="009832FC">
            <w:pPr>
              <w:numPr>
                <w:ilvl w:val="0"/>
                <w:numId w:val="19"/>
              </w:numPr>
              <w:pBdr>
                <w:top w:val="nil"/>
                <w:left w:val="nil"/>
                <w:bottom w:val="nil"/>
                <w:right w:val="nil"/>
                <w:between w:val="nil"/>
                <w:bar w:val="nil"/>
              </w:pBdr>
              <w:spacing w:before="0" w:after="0" w:line="256" w:lineRule="auto"/>
              <w:rPr>
                <w:sz w:val="20"/>
                <w:bdr w:val="nil"/>
              </w:rPr>
            </w:pPr>
            <w:r w:rsidRPr="00117443">
              <w:rPr>
                <w:sz w:val="20"/>
                <w:bdr w:val="nil"/>
                <w:lang w:eastAsia="en-AU"/>
              </w:rPr>
              <w:t>Percentage of Category 1 elective surgery patients admitted for surgery within clinically recommended timeframes</w:t>
            </w:r>
          </w:p>
        </w:tc>
        <w:tc>
          <w:tcPr>
            <w:tcW w:w="700" w:type="pct"/>
            <w:tcBorders>
              <w:top w:val="nil"/>
              <w:left w:val="nil"/>
              <w:bottom w:val="nil"/>
              <w:right w:val="nil"/>
            </w:tcBorders>
            <w:hideMark/>
          </w:tcPr>
          <w:p w14:paraId="12137501"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100%</w:t>
            </w:r>
          </w:p>
        </w:tc>
        <w:tc>
          <w:tcPr>
            <w:tcW w:w="700" w:type="pct"/>
            <w:tcBorders>
              <w:top w:val="nil"/>
              <w:left w:val="nil"/>
              <w:bottom w:val="nil"/>
              <w:right w:val="nil"/>
            </w:tcBorders>
            <w:hideMark/>
          </w:tcPr>
          <w:p w14:paraId="0F7C5346"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98%</w:t>
            </w:r>
          </w:p>
        </w:tc>
        <w:tc>
          <w:tcPr>
            <w:tcW w:w="700" w:type="pct"/>
            <w:tcBorders>
              <w:top w:val="nil"/>
              <w:left w:val="nil"/>
              <w:bottom w:val="nil"/>
              <w:right w:val="nil"/>
            </w:tcBorders>
            <w:hideMark/>
          </w:tcPr>
          <w:p w14:paraId="2F9368D7"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sidRPr="00E6003B">
              <w:rPr>
                <w:sz w:val="20"/>
                <w:bdr w:val="nil"/>
              </w:rPr>
              <w:t>100%</w:t>
            </w:r>
          </w:p>
        </w:tc>
      </w:tr>
      <w:tr w:rsidR="00496618" w14:paraId="19099498" w14:textId="77777777" w:rsidTr="001F6B18">
        <w:trPr>
          <w:trHeight w:val="283"/>
        </w:trPr>
        <w:tc>
          <w:tcPr>
            <w:tcW w:w="2900" w:type="pct"/>
            <w:tcBorders>
              <w:top w:val="nil"/>
              <w:left w:val="nil"/>
              <w:bottom w:val="nil"/>
              <w:right w:val="nil"/>
            </w:tcBorders>
            <w:hideMark/>
          </w:tcPr>
          <w:p w14:paraId="70AC5551" w14:textId="77777777" w:rsidR="001F6B18" w:rsidRPr="00117443" w:rsidRDefault="0027723F" w:rsidP="009832FC">
            <w:pPr>
              <w:numPr>
                <w:ilvl w:val="0"/>
                <w:numId w:val="19"/>
              </w:numPr>
              <w:pBdr>
                <w:top w:val="nil"/>
                <w:left w:val="nil"/>
                <w:bottom w:val="nil"/>
                <w:right w:val="nil"/>
                <w:between w:val="nil"/>
                <w:bar w:val="nil"/>
              </w:pBdr>
              <w:spacing w:before="0" w:after="0" w:line="256" w:lineRule="auto"/>
              <w:rPr>
                <w:sz w:val="20"/>
                <w:bdr w:val="nil"/>
              </w:rPr>
            </w:pPr>
            <w:r w:rsidRPr="00117443">
              <w:rPr>
                <w:sz w:val="20"/>
                <w:bdr w:val="nil"/>
                <w:lang w:eastAsia="en-AU"/>
              </w:rPr>
              <w:t>Percentage of Category 2 elective surgery patients admitted for surgery within clinically recommended timeframes</w:t>
            </w:r>
            <w:r w:rsidRPr="001B36CC">
              <w:rPr>
                <w:sz w:val="20"/>
                <w:bdr w:val="nil"/>
                <w:vertAlign w:val="superscript"/>
                <w:lang w:eastAsia="en-AU"/>
              </w:rPr>
              <w:t>2</w:t>
            </w:r>
          </w:p>
        </w:tc>
        <w:tc>
          <w:tcPr>
            <w:tcW w:w="700" w:type="pct"/>
            <w:tcBorders>
              <w:top w:val="nil"/>
              <w:left w:val="nil"/>
              <w:bottom w:val="nil"/>
              <w:right w:val="nil"/>
            </w:tcBorders>
            <w:hideMark/>
          </w:tcPr>
          <w:p w14:paraId="1E5200F6"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80%</w:t>
            </w:r>
          </w:p>
        </w:tc>
        <w:tc>
          <w:tcPr>
            <w:tcW w:w="700" w:type="pct"/>
            <w:tcBorders>
              <w:top w:val="nil"/>
              <w:left w:val="nil"/>
              <w:bottom w:val="nil"/>
              <w:right w:val="nil"/>
            </w:tcBorders>
            <w:hideMark/>
          </w:tcPr>
          <w:p w14:paraId="4AFB8CA6"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63%</w:t>
            </w:r>
          </w:p>
        </w:tc>
        <w:tc>
          <w:tcPr>
            <w:tcW w:w="700" w:type="pct"/>
            <w:tcBorders>
              <w:top w:val="nil"/>
              <w:left w:val="nil"/>
              <w:bottom w:val="nil"/>
              <w:right w:val="nil"/>
            </w:tcBorders>
            <w:hideMark/>
          </w:tcPr>
          <w:p w14:paraId="2F4F8762"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80</w:t>
            </w:r>
            <w:r w:rsidRPr="00E6003B">
              <w:rPr>
                <w:sz w:val="20"/>
                <w:bdr w:val="nil"/>
              </w:rPr>
              <w:t>%</w:t>
            </w:r>
          </w:p>
        </w:tc>
      </w:tr>
      <w:tr w:rsidR="00496618" w14:paraId="3AD7E382" w14:textId="77777777" w:rsidTr="001F6B18">
        <w:trPr>
          <w:trHeight w:val="283"/>
        </w:trPr>
        <w:tc>
          <w:tcPr>
            <w:tcW w:w="2900" w:type="pct"/>
            <w:tcBorders>
              <w:top w:val="nil"/>
              <w:left w:val="nil"/>
              <w:bottom w:val="single" w:sz="4" w:space="0" w:color="auto"/>
              <w:right w:val="nil"/>
            </w:tcBorders>
            <w:hideMark/>
          </w:tcPr>
          <w:p w14:paraId="1F964477" w14:textId="77777777" w:rsidR="001F6B18" w:rsidRPr="00117443" w:rsidRDefault="0027723F" w:rsidP="009832FC">
            <w:pPr>
              <w:numPr>
                <w:ilvl w:val="0"/>
                <w:numId w:val="19"/>
              </w:numPr>
              <w:pBdr>
                <w:top w:val="nil"/>
                <w:left w:val="nil"/>
                <w:bottom w:val="nil"/>
                <w:right w:val="nil"/>
                <w:between w:val="nil"/>
                <w:bar w:val="nil"/>
              </w:pBdr>
              <w:spacing w:before="0" w:after="0" w:line="256" w:lineRule="auto"/>
              <w:rPr>
                <w:sz w:val="20"/>
                <w:bdr w:val="nil"/>
              </w:rPr>
            </w:pPr>
            <w:r w:rsidRPr="00117443">
              <w:rPr>
                <w:sz w:val="20"/>
                <w:bdr w:val="nil"/>
                <w:lang w:eastAsia="en-AU"/>
              </w:rPr>
              <w:t>Percentage of Category 3 elective surgery patients admitted for surgery within clinically recommended timeframes</w:t>
            </w:r>
            <w:r>
              <w:rPr>
                <w:sz w:val="20"/>
                <w:bdr w:val="nil"/>
                <w:vertAlign w:val="superscript"/>
                <w:lang w:eastAsia="en-AU"/>
              </w:rPr>
              <w:t>2</w:t>
            </w:r>
          </w:p>
        </w:tc>
        <w:tc>
          <w:tcPr>
            <w:tcW w:w="700" w:type="pct"/>
            <w:tcBorders>
              <w:top w:val="nil"/>
              <w:left w:val="nil"/>
              <w:bottom w:val="single" w:sz="4" w:space="0" w:color="auto"/>
              <w:right w:val="nil"/>
            </w:tcBorders>
            <w:hideMark/>
          </w:tcPr>
          <w:p w14:paraId="62CD5A60"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93%</w:t>
            </w:r>
          </w:p>
        </w:tc>
        <w:tc>
          <w:tcPr>
            <w:tcW w:w="700" w:type="pct"/>
            <w:tcBorders>
              <w:top w:val="nil"/>
              <w:left w:val="nil"/>
              <w:bottom w:val="single" w:sz="4" w:space="0" w:color="auto"/>
              <w:right w:val="nil"/>
            </w:tcBorders>
            <w:hideMark/>
          </w:tcPr>
          <w:p w14:paraId="7B110A36"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73%</w:t>
            </w:r>
          </w:p>
        </w:tc>
        <w:tc>
          <w:tcPr>
            <w:tcW w:w="700" w:type="pct"/>
            <w:tcBorders>
              <w:top w:val="nil"/>
              <w:left w:val="nil"/>
              <w:bottom w:val="single" w:sz="4" w:space="0" w:color="auto"/>
              <w:right w:val="nil"/>
            </w:tcBorders>
            <w:hideMark/>
          </w:tcPr>
          <w:p w14:paraId="57C1A4B0"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sidRPr="00E6003B">
              <w:rPr>
                <w:sz w:val="20"/>
                <w:bdr w:val="nil"/>
              </w:rPr>
              <w:t>9</w:t>
            </w:r>
            <w:r>
              <w:rPr>
                <w:sz w:val="20"/>
                <w:bdr w:val="nil"/>
              </w:rPr>
              <w:t>3</w:t>
            </w:r>
            <w:r w:rsidRPr="00E6003B">
              <w:rPr>
                <w:sz w:val="20"/>
                <w:bdr w:val="nil"/>
              </w:rPr>
              <w:t>%</w:t>
            </w:r>
          </w:p>
        </w:tc>
      </w:tr>
    </w:tbl>
    <w:p w14:paraId="073FB777" w14:textId="77777777" w:rsidR="001F6B18" w:rsidRPr="00CC126B" w:rsidRDefault="0027723F" w:rsidP="001F6B18">
      <w:pPr>
        <w:pStyle w:val="BSnote2"/>
        <w:pBdr>
          <w:top w:val="nil"/>
          <w:left w:val="nil"/>
          <w:bottom w:val="nil"/>
          <w:right w:val="nil"/>
          <w:between w:val="nil"/>
          <w:bar w:val="nil"/>
        </w:pBdr>
        <w:rPr>
          <w:szCs w:val="18"/>
          <w:bdr w:val="nil"/>
          <w:lang w:eastAsia="en-US"/>
        </w:rPr>
      </w:pPr>
      <w:bookmarkStart w:id="27" w:name="_Toc452127432"/>
      <w:bookmarkStart w:id="28" w:name="_Toc434844187"/>
      <w:r w:rsidRPr="00CC126B">
        <w:rPr>
          <w:szCs w:val="18"/>
          <w:bdr w:val="nil"/>
        </w:rPr>
        <w:t>Notes:</w:t>
      </w:r>
    </w:p>
    <w:p w14:paraId="326DFD6A" w14:textId="6213B2A2" w:rsidR="001F6B18" w:rsidRDefault="0027723F" w:rsidP="009832FC">
      <w:pPr>
        <w:pStyle w:val="ListParagraph"/>
        <w:numPr>
          <w:ilvl w:val="0"/>
          <w:numId w:val="20"/>
        </w:numPr>
        <w:pBdr>
          <w:top w:val="nil"/>
          <w:left w:val="nil"/>
          <w:bottom w:val="nil"/>
          <w:right w:val="nil"/>
          <w:between w:val="nil"/>
          <w:bar w:val="nil"/>
        </w:pBdr>
        <w:spacing w:before="0"/>
        <w:ind w:left="284" w:hanging="284"/>
        <w:jc w:val="both"/>
        <w:rPr>
          <w:rFonts w:eastAsia="SimSun" w:cs="Calibri"/>
          <w:bCs/>
          <w:sz w:val="18"/>
          <w:szCs w:val="18"/>
          <w:bdr w:val="nil"/>
          <w:lang w:eastAsia="en-AU"/>
        </w:rPr>
      </w:pPr>
      <w:r w:rsidRPr="00A40708">
        <w:rPr>
          <w:rFonts w:eastAsia="SimSun" w:cs="Calibri"/>
          <w:bCs/>
          <w:sz w:val="18"/>
          <w:szCs w:val="18"/>
          <w:bdr w:val="nil"/>
          <w:lang w:eastAsia="en-AU"/>
        </w:rPr>
        <w:t xml:space="preserve">Percentage of patients who are treated within </w:t>
      </w:r>
      <w:r w:rsidR="008F2187">
        <w:rPr>
          <w:rFonts w:eastAsia="SimSun" w:cs="Calibri"/>
          <w:bCs/>
          <w:sz w:val="18"/>
          <w:szCs w:val="18"/>
          <w:bdr w:val="nil"/>
          <w:lang w:eastAsia="en-AU"/>
        </w:rPr>
        <w:t xml:space="preserve">the Australasian Triage Scale </w:t>
      </w:r>
      <w:r w:rsidRPr="00A40708">
        <w:rPr>
          <w:rFonts w:eastAsia="SimSun" w:cs="Calibri"/>
          <w:bCs/>
          <w:sz w:val="18"/>
          <w:szCs w:val="18"/>
          <w:bdr w:val="nil"/>
          <w:lang w:eastAsia="en-AU"/>
        </w:rPr>
        <w:t xml:space="preserve">waiting times </w:t>
      </w:r>
      <w:r w:rsidR="008F2187">
        <w:rPr>
          <w:rFonts w:eastAsia="SimSun" w:cs="Calibri"/>
          <w:bCs/>
          <w:sz w:val="18"/>
          <w:szCs w:val="18"/>
          <w:bdr w:val="nil"/>
          <w:lang w:eastAsia="en-AU"/>
        </w:rPr>
        <w:t xml:space="preserve">as recommended by the Australasian College of Emergency Medicine </w:t>
      </w:r>
      <w:r w:rsidRPr="00A40708">
        <w:rPr>
          <w:rFonts w:eastAsia="SimSun" w:cs="Calibri"/>
          <w:bCs/>
          <w:sz w:val="18"/>
          <w:szCs w:val="18"/>
          <w:bdr w:val="nil"/>
          <w:lang w:eastAsia="en-AU"/>
        </w:rPr>
        <w:t xml:space="preserve">(Category 1 – immediate/within 2 minutes; Category 2 – within 10 minutes; Category 3 – within 30 minutes; Category 4 – within 60 minutes; Category 5 – within 120 minutes). </w:t>
      </w:r>
    </w:p>
    <w:p w14:paraId="409F934A" w14:textId="3D3F45B4" w:rsidR="001F6B18" w:rsidRDefault="0027723F" w:rsidP="009832FC">
      <w:pPr>
        <w:numPr>
          <w:ilvl w:val="0"/>
          <w:numId w:val="20"/>
        </w:numPr>
        <w:pBdr>
          <w:top w:val="nil"/>
          <w:left w:val="nil"/>
          <w:bottom w:val="nil"/>
          <w:right w:val="nil"/>
          <w:between w:val="nil"/>
          <w:bar w:val="nil"/>
        </w:pBdr>
        <w:tabs>
          <w:tab w:val="left" w:pos="283"/>
          <w:tab w:val="left" w:pos="567"/>
        </w:tabs>
        <w:suppressAutoHyphens/>
        <w:autoSpaceDE w:val="0"/>
        <w:autoSpaceDN w:val="0"/>
        <w:adjustRightInd w:val="0"/>
        <w:spacing w:before="0" w:after="0"/>
        <w:ind w:left="284" w:hanging="284"/>
        <w:jc w:val="both"/>
        <w:rPr>
          <w:rFonts w:eastAsia="SimSun" w:cs="Calibri"/>
          <w:bCs/>
          <w:sz w:val="18"/>
          <w:szCs w:val="18"/>
          <w:bdr w:val="nil"/>
          <w:lang w:eastAsia="en-AU"/>
        </w:rPr>
      </w:pPr>
      <w:r w:rsidRPr="00C82C44">
        <w:rPr>
          <w:rFonts w:eastAsia="SimSun" w:cs="Calibri"/>
          <w:bCs/>
          <w:sz w:val="18"/>
          <w:szCs w:val="18"/>
          <w:bdr w:val="nil"/>
          <w:lang w:eastAsia="en-AU"/>
        </w:rPr>
        <w:t xml:space="preserve">Admission within 30 days is </w:t>
      </w:r>
      <w:r w:rsidR="008F2187">
        <w:rPr>
          <w:rFonts w:eastAsia="SimSun" w:cs="Calibri"/>
          <w:bCs/>
          <w:sz w:val="18"/>
          <w:szCs w:val="18"/>
          <w:bdr w:val="nil"/>
          <w:lang w:eastAsia="en-AU"/>
        </w:rPr>
        <w:t xml:space="preserve">clinically recommended </w:t>
      </w:r>
      <w:r w:rsidRPr="00C82C44">
        <w:rPr>
          <w:rFonts w:eastAsia="SimSun" w:cs="Calibri"/>
          <w:bCs/>
          <w:sz w:val="18"/>
          <w:szCs w:val="18"/>
          <w:bdr w:val="nil"/>
          <w:lang w:eastAsia="en-AU"/>
        </w:rPr>
        <w:t>for Category 1 (urgent) elective surgery patients.</w:t>
      </w:r>
    </w:p>
    <w:p w14:paraId="44E2582C" w14:textId="6FE67079" w:rsidR="001F6B18" w:rsidRDefault="0027723F" w:rsidP="009832FC">
      <w:pPr>
        <w:pStyle w:val="ListParagraph"/>
        <w:numPr>
          <w:ilvl w:val="0"/>
          <w:numId w:val="20"/>
        </w:numPr>
        <w:pBdr>
          <w:top w:val="nil"/>
          <w:left w:val="nil"/>
          <w:bottom w:val="nil"/>
          <w:right w:val="nil"/>
          <w:between w:val="nil"/>
          <w:bar w:val="nil"/>
        </w:pBdr>
        <w:tabs>
          <w:tab w:val="left" w:pos="283"/>
          <w:tab w:val="left" w:pos="567"/>
        </w:tabs>
        <w:suppressAutoHyphens/>
        <w:autoSpaceDE w:val="0"/>
        <w:autoSpaceDN w:val="0"/>
        <w:adjustRightInd w:val="0"/>
        <w:spacing w:before="0"/>
        <w:jc w:val="both"/>
        <w:rPr>
          <w:rFonts w:eastAsia="SimSun" w:cs="Calibri"/>
          <w:bCs/>
          <w:sz w:val="18"/>
          <w:szCs w:val="18"/>
          <w:bdr w:val="nil"/>
          <w:lang w:eastAsia="en-AU"/>
        </w:rPr>
      </w:pPr>
      <w:r w:rsidRPr="00A40708">
        <w:rPr>
          <w:rFonts w:eastAsia="SimSun" w:cs="Calibri"/>
          <w:bCs/>
          <w:sz w:val="18"/>
          <w:szCs w:val="18"/>
          <w:bdr w:val="nil"/>
          <w:lang w:eastAsia="en-AU"/>
        </w:rPr>
        <w:t xml:space="preserve">Admission within 90 days is </w:t>
      </w:r>
      <w:r w:rsidR="008F2187">
        <w:rPr>
          <w:rFonts w:eastAsia="SimSun" w:cs="Calibri"/>
          <w:bCs/>
          <w:sz w:val="18"/>
          <w:szCs w:val="18"/>
          <w:bdr w:val="nil"/>
          <w:lang w:eastAsia="en-AU"/>
        </w:rPr>
        <w:t xml:space="preserve">clinically recommended </w:t>
      </w:r>
      <w:r w:rsidRPr="00A40708">
        <w:rPr>
          <w:rFonts w:eastAsia="SimSun" w:cs="Calibri"/>
          <w:bCs/>
          <w:sz w:val="18"/>
          <w:szCs w:val="18"/>
          <w:bdr w:val="nil"/>
          <w:lang w:eastAsia="en-AU"/>
        </w:rPr>
        <w:t>for Category 2 (semi-urgent) elective surgery patients.</w:t>
      </w:r>
    </w:p>
    <w:p w14:paraId="3A5D651B" w14:textId="206E27AE" w:rsidR="001F6B18" w:rsidRDefault="0027723F" w:rsidP="009832FC">
      <w:pPr>
        <w:pStyle w:val="ListParagraph"/>
        <w:numPr>
          <w:ilvl w:val="0"/>
          <w:numId w:val="20"/>
        </w:numPr>
        <w:pBdr>
          <w:top w:val="nil"/>
          <w:left w:val="nil"/>
          <w:bottom w:val="nil"/>
          <w:right w:val="nil"/>
          <w:between w:val="nil"/>
          <w:bar w:val="nil"/>
        </w:pBdr>
        <w:tabs>
          <w:tab w:val="left" w:pos="283"/>
          <w:tab w:val="left" w:pos="567"/>
        </w:tabs>
        <w:suppressAutoHyphens/>
        <w:autoSpaceDE w:val="0"/>
        <w:autoSpaceDN w:val="0"/>
        <w:adjustRightInd w:val="0"/>
        <w:spacing w:before="0"/>
        <w:jc w:val="both"/>
        <w:rPr>
          <w:rFonts w:eastAsia="SimSun" w:cs="Calibri"/>
          <w:bCs/>
          <w:sz w:val="18"/>
          <w:szCs w:val="18"/>
          <w:bdr w:val="nil"/>
          <w:lang w:eastAsia="en-AU"/>
        </w:rPr>
      </w:pPr>
      <w:r w:rsidRPr="00A40708">
        <w:rPr>
          <w:rFonts w:eastAsia="SimSun" w:cs="Calibri"/>
          <w:bCs/>
          <w:sz w:val="18"/>
          <w:szCs w:val="18"/>
          <w:bdr w:val="nil"/>
          <w:lang w:eastAsia="en-AU"/>
        </w:rPr>
        <w:t xml:space="preserve">Admission within 365 days is </w:t>
      </w:r>
      <w:r w:rsidR="008F2187">
        <w:rPr>
          <w:rFonts w:eastAsia="SimSun" w:cs="Calibri"/>
          <w:bCs/>
          <w:sz w:val="18"/>
          <w:szCs w:val="18"/>
          <w:bdr w:val="nil"/>
          <w:lang w:eastAsia="en-AU"/>
        </w:rPr>
        <w:t xml:space="preserve">clinically recommended </w:t>
      </w:r>
      <w:r w:rsidRPr="00A40708">
        <w:rPr>
          <w:rFonts w:eastAsia="SimSun" w:cs="Calibri"/>
          <w:bCs/>
          <w:sz w:val="18"/>
          <w:szCs w:val="18"/>
          <w:bdr w:val="nil"/>
          <w:lang w:eastAsia="en-AU"/>
        </w:rPr>
        <w:t>for Category 3 (non-urgent) elective surgery patients.</w:t>
      </w:r>
    </w:p>
    <w:p w14:paraId="10665B6F" w14:textId="77777777" w:rsidR="001F6B18" w:rsidRPr="00CC126B" w:rsidRDefault="0027723F" w:rsidP="001F6B18">
      <w:pPr>
        <w:pStyle w:val="BSnote2"/>
        <w:pBdr>
          <w:top w:val="nil"/>
          <w:left w:val="nil"/>
          <w:bottom w:val="nil"/>
          <w:right w:val="nil"/>
          <w:between w:val="nil"/>
          <w:bar w:val="nil"/>
        </w:pBdr>
        <w:rPr>
          <w:szCs w:val="18"/>
          <w:bdr w:val="nil"/>
          <w:lang w:eastAsia="en-US"/>
        </w:rPr>
      </w:pPr>
      <w:r>
        <w:rPr>
          <w:szCs w:val="18"/>
          <w:bdr w:val="nil"/>
        </w:rPr>
        <w:t>Variances between the 2020-21 Target and Interim Outcome</w:t>
      </w:r>
      <w:r w:rsidRPr="00CC126B">
        <w:rPr>
          <w:szCs w:val="18"/>
          <w:bdr w:val="nil"/>
        </w:rPr>
        <w:t>:</w:t>
      </w:r>
    </w:p>
    <w:p w14:paraId="41CE67F2" w14:textId="58D510EE" w:rsidR="001F6B18" w:rsidRDefault="0027723F" w:rsidP="009832FC">
      <w:pPr>
        <w:pStyle w:val="ListParagraph"/>
        <w:numPr>
          <w:ilvl w:val="0"/>
          <w:numId w:val="21"/>
        </w:numPr>
        <w:pBdr>
          <w:top w:val="nil"/>
          <w:left w:val="nil"/>
          <w:bottom w:val="nil"/>
          <w:right w:val="nil"/>
          <w:between w:val="nil"/>
          <w:bar w:val="nil"/>
        </w:pBdr>
        <w:tabs>
          <w:tab w:val="left" w:pos="283"/>
          <w:tab w:val="left" w:pos="567"/>
        </w:tabs>
        <w:suppressAutoHyphens/>
        <w:autoSpaceDE w:val="0"/>
        <w:autoSpaceDN w:val="0"/>
        <w:adjustRightInd w:val="0"/>
        <w:spacing w:before="0"/>
        <w:ind w:left="284" w:hanging="284"/>
        <w:jc w:val="both"/>
        <w:rPr>
          <w:rFonts w:eastAsia="SimSun" w:cs="Calibri"/>
          <w:bCs/>
          <w:sz w:val="18"/>
          <w:szCs w:val="18"/>
          <w:bdr w:val="nil"/>
          <w:lang w:eastAsia="en-AU"/>
        </w:rPr>
      </w:pPr>
      <w:r w:rsidRPr="001B36CC">
        <w:rPr>
          <w:rFonts w:eastAsia="SimSun" w:cs="Calibri"/>
          <w:bCs/>
          <w:sz w:val="18"/>
          <w:szCs w:val="18"/>
          <w:bdr w:val="nil"/>
          <w:lang w:eastAsia="en-AU"/>
        </w:rPr>
        <w:t>ACT Emergency Departments continue to experience increases in presentations which exceed the rate of population growth.  The reasons for this growth are a rapidly aging ACT population and increasing prevalence of chronic diseases.  The complexity of these presentations requires extensive Emergency Department resources which requires longer times in emergency department for treatment.  Higher demand and longer treatment times will result in longer waiting times.</w:t>
      </w:r>
    </w:p>
    <w:p w14:paraId="267698B7" w14:textId="7BB43A14" w:rsidR="001F6B18" w:rsidRPr="001B36CC" w:rsidRDefault="0027723F" w:rsidP="009832FC">
      <w:pPr>
        <w:pStyle w:val="ListParagraph"/>
        <w:numPr>
          <w:ilvl w:val="0"/>
          <w:numId w:val="21"/>
        </w:numPr>
        <w:pBdr>
          <w:top w:val="nil"/>
          <w:left w:val="nil"/>
          <w:bottom w:val="nil"/>
          <w:right w:val="nil"/>
          <w:between w:val="nil"/>
          <w:bar w:val="nil"/>
        </w:pBdr>
        <w:tabs>
          <w:tab w:val="left" w:pos="283"/>
          <w:tab w:val="left" w:pos="567"/>
        </w:tabs>
        <w:suppressAutoHyphens/>
        <w:autoSpaceDE w:val="0"/>
        <w:autoSpaceDN w:val="0"/>
        <w:adjustRightInd w:val="0"/>
        <w:spacing w:before="0"/>
        <w:ind w:left="284" w:hanging="284"/>
        <w:jc w:val="both"/>
        <w:rPr>
          <w:rFonts w:eastAsia="SimSun" w:cs="Calibri"/>
          <w:bCs/>
          <w:sz w:val="18"/>
          <w:szCs w:val="18"/>
          <w:bdr w:val="nil"/>
          <w:lang w:eastAsia="en-AU"/>
        </w:rPr>
      </w:pPr>
      <w:r w:rsidRPr="00520FE5">
        <w:rPr>
          <w:rFonts w:eastAsia="SimSun" w:cs="Calibri"/>
          <w:bCs/>
          <w:sz w:val="18"/>
          <w:szCs w:val="18"/>
          <w:bdr w:val="nil"/>
          <w:lang w:eastAsia="en-AU"/>
        </w:rPr>
        <w:t>The suspensions to non-essential elective surgeries in March 2020 due to the COVID-19 response led to many Category 2</w:t>
      </w:r>
      <w:r>
        <w:rPr>
          <w:rFonts w:eastAsia="SimSun" w:cs="Calibri"/>
          <w:bCs/>
          <w:sz w:val="18"/>
          <w:szCs w:val="18"/>
          <w:bdr w:val="nil"/>
          <w:lang w:eastAsia="en-AU"/>
        </w:rPr>
        <w:t xml:space="preserve"> and 3</w:t>
      </w:r>
      <w:r w:rsidRPr="00520FE5">
        <w:rPr>
          <w:rFonts w:eastAsia="SimSun" w:cs="Calibri"/>
          <w:bCs/>
          <w:sz w:val="18"/>
          <w:szCs w:val="18"/>
          <w:bdr w:val="nil"/>
          <w:lang w:eastAsia="en-AU"/>
        </w:rPr>
        <w:t xml:space="preserve"> patients becoming overdue for surgery.  There were </w:t>
      </w:r>
      <w:r w:rsidRPr="00F57807">
        <w:rPr>
          <w:rFonts w:eastAsia="SimSun" w:cs="Calibri"/>
          <w:bCs/>
          <w:sz w:val="18"/>
          <w:szCs w:val="18"/>
          <w:bdr w:val="nil"/>
          <w:lang w:eastAsia="en-AU"/>
        </w:rPr>
        <w:t>over 1,500 overdue</w:t>
      </w:r>
      <w:r w:rsidRPr="00520FE5">
        <w:rPr>
          <w:rFonts w:eastAsia="SimSun" w:cs="Calibri"/>
          <w:bCs/>
          <w:sz w:val="18"/>
          <w:szCs w:val="18"/>
          <w:bdr w:val="nil"/>
          <w:lang w:eastAsia="en-AU"/>
        </w:rPr>
        <w:t xml:space="preserve"> patients at 30 June 2020</w:t>
      </w:r>
      <w:r>
        <w:rPr>
          <w:rFonts w:eastAsia="SimSun" w:cs="Calibri"/>
          <w:bCs/>
          <w:sz w:val="18"/>
          <w:szCs w:val="18"/>
          <w:bdr w:val="nil"/>
          <w:lang w:eastAsia="en-AU"/>
        </w:rPr>
        <w:t>,</w:t>
      </w:r>
      <w:r w:rsidRPr="00520FE5">
        <w:rPr>
          <w:rFonts w:eastAsia="SimSun" w:cs="Calibri"/>
          <w:bCs/>
          <w:sz w:val="18"/>
          <w:szCs w:val="18"/>
          <w:bdr w:val="nil"/>
          <w:lang w:eastAsia="en-AU"/>
        </w:rPr>
        <w:t xml:space="preserve"> representing 25</w:t>
      </w:r>
      <w:r>
        <w:rPr>
          <w:rFonts w:eastAsia="SimSun" w:cs="Calibri"/>
          <w:bCs/>
          <w:sz w:val="18"/>
          <w:szCs w:val="18"/>
          <w:bdr w:val="nil"/>
          <w:lang w:eastAsia="en-AU"/>
        </w:rPr>
        <w:t xml:space="preserve"> percent</w:t>
      </w:r>
      <w:r w:rsidRPr="00520FE5">
        <w:rPr>
          <w:rFonts w:eastAsia="SimSun" w:cs="Calibri"/>
          <w:bCs/>
          <w:sz w:val="18"/>
          <w:szCs w:val="18"/>
          <w:bdr w:val="nil"/>
          <w:lang w:eastAsia="en-AU"/>
        </w:rPr>
        <w:t xml:space="preserve"> of the waitlist, being mainly Category 2 and 3 listed patients. As more overdue Category 2 </w:t>
      </w:r>
      <w:r>
        <w:rPr>
          <w:rFonts w:eastAsia="SimSun" w:cs="Calibri"/>
          <w:bCs/>
          <w:sz w:val="18"/>
          <w:szCs w:val="18"/>
          <w:bdr w:val="nil"/>
          <w:lang w:eastAsia="en-AU"/>
        </w:rPr>
        <w:t xml:space="preserve">and 3 </w:t>
      </w:r>
      <w:r w:rsidRPr="00520FE5">
        <w:rPr>
          <w:rFonts w:eastAsia="SimSun" w:cs="Calibri"/>
          <w:bCs/>
          <w:sz w:val="18"/>
          <w:szCs w:val="18"/>
          <w:bdr w:val="nil"/>
          <w:lang w:eastAsia="en-AU"/>
        </w:rPr>
        <w:t xml:space="preserve">patients received their surgery </w:t>
      </w:r>
      <w:r>
        <w:rPr>
          <w:rFonts w:eastAsia="SimSun" w:cs="Calibri"/>
          <w:bCs/>
          <w:sz w:val="18"/>
          <w:szCs w:val="18"/>
          <w:bdr w:val="nil"/>
          <w:lang w:eastAsia="en-AU"/>
        </w:rPr>
        <w:t>(</w:t>
      </w:r>
      <w:r w:rsidRPr="00520FE5">
        <w:rPr>
          <w:rFonts w:eastAsia="SimSun" w:cs="Calibri"/>
          <w:bCs/>
          <w:sz w:val="18"/>
          <w:szCs w:val="18"/>
          <w:bdr w:val="nil"/>
          <w:lang w:eastAsia="en-AU"/>
        </w:rPr>
        <w:t>as part of the elective surgery recovery initiative in 2020-21</w:t>
      </w:r>
      <w:r>
        <w:rPr>
          <w:rFonts w:eastAsia="SimSun" w:cs="Calibri"/>
          <w:bCs/>
          <w:sz w:val="18"/>
          <w:szCs w:val="18"/>
          <w:bdr w:val="nil"/>
          <w:lang w:eastAsia="en-AU"/>
        </w:rPr>
        <w:t>,</w:t>
      </w:r>
      <w:r w:rsidRPr="00520FE5">
        <w:rPr>
          <w:rFonts w:eastAsia="SimSun" w:cs="Calibri"/>
          <w:bCs/>
          <w:sz w:val="18"/>
          <w:szCs w:val="18"/>
          <w:bdr w:val="nil"/>
          <w:lang w:eastAsia="en-AU"/>
        </w:rPr>
        <w:t xml:space="preserve"> due to its focus on overdue patients</w:t>
      </w:r>
      <w:r>
        <w:rPr>
          <w:rFonts w:eastAsia="SimSun" w:cs="Calibri"/>
          <w:bCs/>
          <w:sz w:val="18"/>
          <w:szCs w:val="18"/>
          <w:bdr w:val="nil"/>
          <w:lang w:eastAsia="en-AU"/>
        </w:rPr>
        <w:t>)</w:t>
      </w:r>
      <w:r w:rsidRPr="00520FE5">
        <w:rPr>
          <w:rFonts w:eastAsia="SimSun" w:cs="Calibri"/>
          <w:bCs/>
          <w:sz w:val="18"/>
          <w:szCs w:val="18"/>
          <w:bdr w:val="nil"/>
          <w:lang w:eastAsia="en-AU"/>
        </w:rPr>
        <w:t>, the percentage of patients treated on time remained below target.</w:t>
      </w:r>
    </w:p>
    <w:p w14:paraId="2ECD6A3D" w14:textId="77777777" w:rsidR="001F6B18" w:rsidRDefault="001F6B18" w:rsidP="001F6B18">
      <w:pPr>
        <w:pStyle w:val="BSnoteslist2"/>
        <w:widowControl w:val="0"/>
        <w:numPr>
          <w:ilvl w:val="0"/>
          <w:numId w:val="0"/>
        </w:numPr>
        <w:pBdr>
          <w:top w:val="nil"/>
          <w:left w:val="nil"/>
          <w:bottom w:val="nil"/>
          <w:right w:val="nil"/>
          <w:between w:val="nil"/>
          <w:bar w:val="nil"/>
        </w:pBdr>
        <w:ind w:left="786" w:hanging="360"/>
        <w:rPr>
          <w:bdr w:val="nil"/>
        </w:rPr>
      </w:pPr>
    </w:p>
    <w:p w14:paraId="1971841F" w14:textId="77777777" w:rsidR="001F6B18" w:rsidRDefault="0027723F" w:rsidP="001F6B18">
      <w:pPr>
        <w:pStyle w:val="Heading4"/>
        <w:pBdr>
          <w:top w:val="nil"/>
          <w:left w:val="nil"/>
          <w:bottom w:val="nil"/>
          <w:right w:val="nil"/>
          <w:between w:val="nil"/>
          <w:bar w:val="nil"/>
        </w:pBdr>
        <w:rPr>
          <w:bCs w:val="0"/>
          <w:bdr w:val="nil"/>
        </w:rPr>
      </w:pPr>
      <w:r>
        <w:rPr>
          <w:bCs w:val="0"/>
          <w:bdr w:val="nil"/>
        </w:rPr>
        <w:lastRenderedPageBreak/>
        <w:t xml:space="preserve">Output 1.2: </w:t>
      </w:r>
      <w:r w:rsidRPr="00E33D44">
        <w:rPr>
          <w:bCs w:val="0"/>
          <w:bdr w:val="nil"/>
        </w:rPr>
        <w:t>Healthy Communities</w:t>
      </w:r>
    </w:p>
    <w:bookmarkEnd w:id="27"/>
    <w:bookmarkEnd w:id="28"/>
    <w:p w14:paraId="32E66A8F" w14:textId="77777777" w:rsidR="001F6B18" w:rsidRPr="00117443" w:rsidRDefault="0027723F" w:rsidP="001F6B18">
      <w:pPr>
        <w:keepNext/>
        <w:pBdr>
          <w:top w:val="nil"/>
          <w:left w:val="nil"/>
          <w:bottom w:val="nil"/>
          <w:right w:val="nil"/>
          <w:between w:val="nil"/>
          <w:bar w:val="nil"/>
        </w:pBdr>
        <w:spacing w:before="240"/>
        <w:rPr>
          <w:b/>
          <w:bCs/>
          <w:noProof/>
          <w:color w:val="000000"/>
          <w:sz w:val="22"/>
          <w:szCs w:val="18"/>
          <w:bdr w:val="nil"/>
        </w:rPr>
      </w:pPr>
      <w:r w:rsidRPr="00117443">
        <w:rPr>
          <w:b/>
          <w:bCs/>
          <w:color w:val="000000"/>
          <w:sz w:val="22"/>
          <w:szCs w:val="18"/>
          <w:bdr w:val="nil"/>
        </w:rPr>
        <w:t xml:space="preserve">Table </w:t>
      </w:r>
      <w:r>
        <w:rPr>
          <w:b/>
          <w:bCs/>
          <w:color w:val="000000"/>
          <w:sz w:val="22"/>
          <w:szCs w:val="18"/>
          <w:bdr w:val="nil"/>
        </w:rPr>
        <w:t>16</w:t>
      </w:r>
      <w:r w:rsidRPr="00117443">
        <w:rPr>
          <w:b/>
          <w:bCs/>
          <w:noProof/>
          <w:color w:val="000000"/>
          <w:sz w:val="22"/>
          <w:szCs w:val="18"/>
          <w:bdr w:val="nil"/>
        </w:rPr>
        <w:t>:</w:t>
      </w:r>
      <w:r w:rsidRPr="00117443">
        <w:rPr>
          <w:b/>
          <w:bCs/>
          <w:color w:val="000000"/>
          <w:sz w:val="22"/>
          <w:szCs w:val="18"/>
          <w:bdr w:val="nil"/>
        </w:rPr>
        <w:t xml:space="preserve"> Accountability Indicators</w:t>
      </w:r>
      <w:r w:rsidRPr="00117443">
        <w:rPr>
          <w:b/>
          <w:bCs/>
          <w:noProof/>
          <w:color w:val="000000"/>
          <w:sz w:val="22"/>
          <w:szCs w:val="18"/>
          <w:bdr w:val="nil"/>
        </w:rPr>
        <w:t xml:space="preserve"> Output 1.2</w:t>
      </w:r>
    </w:p>
    <w:tbl>
      <w:tblPr>
        <w:tblW w:w="9100" w:type="dxa"/>
        <w:tblInd w:w="108" w:type="dxa"/>
        <w:tblBorders>
          <w:top w:val="single" w:sz="12" w:space="0" w:color="000000"/>
          <w:bottom w:val="single" w:sz="12" w:space="0" w:color="000000"/>
        </w:tblBorders>
        <w:tblLook w:val="04A0" w:firstRow="1" w:lastRow="0" w:firstColumn="1" w:lastColumn="0" w:noHBand="0" w:noVBand="1"/>
      </w:tblPr>
      <w:tblGrid>
        <w:gridCol w:w="5171"/>
        <w:gridCol w:w="1310"/>
        <w:gridCol w:w="1310"/>
        <w:gridCol w:w="1309"/>
      </w:tblGrid>
      <w:tr w:rsidR="00496618" w14:paraId="360F1307" w14:textId="77777777" w:rsidTr="001F6B18">
        <w:trPr>
          <w:tblHeader/>
        </w:trPr>
        <w:tc>
          <w:tcPr>
            <w:tcW w:w="2841" w:type="pct"/>
            <w:tcBorders>
              <w:top w:val="single" w:sz="12" w:space="0" w:color="000000"/>
              <w:left w:val="nil"/>
              <w:bottom w:val="single" w:sz="12" w:space="0" w:color="000000"/>
              <w:right w:val="nil"/>
            </w:tcBorders>
          </w:tcPr>
          <w:p w14:paraId="4C92CCDC" w14:textId="77777777" w:rsidR="001F6B18" w:rsidRPr="00117443" w:rsidRDefault="001F6B18" w:rsidP="001F6B18">
            <w:pPr>
              <w:pBdr>
                <w:top w:val="nil"/>
                <w:left w:val="nil"/>
                <w:bottom w:val="nil"/>
                <w:right w:val="nil"/>
                <w:between w:val="nil"/>
                <w:bar w:val="nil"/>
              </w:pBdr>
              <w:spacing w:before="0" w:after="0" w:line="256" w:lineRule="auto"/>
              <w:ind w:left="227" w:hanging="227"/>
              <w:rPr>
                <w:bCs/>
                <w:sz w:val="20"/>
                <w:bdr w:val="nil"/>
                <w:lang w:eastAsia="en-AU"/>
              </w:rPr>
            </w:pPr>
          </w:p>
        </w:tc>
        <w:tc>
          <w:tcPr>
            <w:tcW w:w="720" w:type="pct"/>
            <w:tcBorders>
              <w:top w:val="single" w:sz="12" w:space="0" w:color="000000"/>
              <w:left w:val="nil"/>
              <w:bottom w:val="single" w:sz="12" w:space="0" w:color="000000"/>
              <w:right w:val="nil"/>
            </w:tcBorders>
            <w:hideMark/>
          </w:tcPr>
          <w:p w14:paraId="36C9F6C1" w14:textId="77777777" w:rsidR="001F6B18" w:rsidRPr="00F950C9"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2020-21 Targets</w:t>
            </w:r>
          </w:p>
        </w:tc>
        <w:tc>
          <w:tcPr>
            <w:tcW w:w="720" w:type="pct"/>
            <w:tcBorders>
              <w:top w:val="single" w:sz="12" w:space="0" w:color="000000"/>
              <w:left w:val="nil"/>
              <w:bottom w:val="single" w:sz="12" w:space="0" w:color="000000"/>
              <w:right w:val="nil"/>
            </w:tcBorders>
            <w:hideMark/>
          </w:tcPr>
          <w:p w14:paraId="7D0C13FD" w14:textId="77777777" w:rsidR="001F6B18"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 xml:space="preserve">2020-21 </w:t>
            </w:r>
          </w:p>
          <w:p w14:paraId="5367D4DC" w14:textId="77777777" w:rsidR="001F6B18"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Interim</w:t>
            </w:r>
          </w:p>
          <w:p w14:paraId="515DD0D1" w14:textId="77777777" w:rsidR="001F6B18" w:rsidRPr="00F950C9"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Outcome</w:t>
            </w:r>
          </w:p>
        </w:tc>
        <w:tc>
          <w:tcPr>
            <w:tcW w:w="719" w:type="pct"/>
            <w:tcBorders>
              <w:top w:val="single" w:sz="12" w:space="0" w:color="000000"/>
              <w:left w:val="nil"/>
              <w:bottom w:val="single" w:sz="12" w:space="0" w:color="000000"/>
              <w:right w:val="nil"/>
            </w:tcBorders>
            <w:hideMark/>
          </w:tcPr>
          <w:p w14:paraId="1720B40D" w14:textId="77777777" w:rsidR="001F6B18"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2021-22</w:t>
            </w:r>
          </w:p>
          <w:p w14:paraId="5CA80D32" w14:textId="77777777" w:rsidR="001F6B18" w:rsidRPr="00F950C9"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 xml:space="preserve">Targets </w:t>
            </w:r>
          </w:p>
        </w:tc>
      </w:tr>
      <w:tr w:rsidR="00496618" w14:paraId="6C427D67" w14:textId="77777777" w:rsidTr="001F6B18">
        <w:trPr>
          <w:trHeight w:val="283"/>
        </w:trPr>
        <w:tc>
          <w:tcPr>
            <w:tcW w:w="2841" w:type="pct"/>
            <w:tcBorders>
              <w:top w:val="nil"/>
              <w:left w:val="nil"/>
              <w:bottom w:val="nil"/>
              <w:right w:val="nil"/>
            </w:tcBorders>
            <w:hideMark/>
          </w:tcPr>
          <w:p w14:paraId="7B59C18A" w14:textId="77777777" w:rsidR="001F6B18" w:rsidRPr="00117443" w:rsidRDefault="0027723F" w:rsidP="009832FC">
            <w:pPr>
              <w:numPr>
                <w:ilvl w:val="0"/>
                <w:numId w:val="23"/>
              </w:numPr>
              <w:pBdr>
                <w:top w:val="nil"/>
                <w:left w:val="nil"/>
                <w:bottom w:val="nil"/>
                <w:right w:val="nil"/>
                <w:between w:val="nil"/>
                <w:bar w:val="nil"/>
              </w:pBdr>
              <w:spacing w:before="0" w:after="0" w:line="256" w:lineRule="auto"/>
              <w:rPr>
                <w:sz w:val="20"/>
                <w:bdr w:val="nil"/>
                <w:lang w:eastAsia="en-AU"/>
              </w:rPr>
            </w:pPr>
            <w:r w:rsidRPr="00117443">
              <w:rPr>
                <w:sz w:val="20"/>
                <w:bdr w:val="nil"/>
                <w:lang w:eastAsia="en-AU"/>
              </w:rPr>
              <w:t>Samples analysed</w:t>
            </w:r>
            <w:r w:rsidRPr="00142072">
              <w:rPr>
                <w:sz w:val="20"/>
                <w:bdr w:val="nil"/>
                <w:vertAlign w:val="superscript"/>
                <w:lang w:eastAsia="en-AU"/>
              </w:rPr>
              <w:t>1</w:t>
            </w:r>
          </w:p>
        </w:tc>
        <w:tc>
          <w:tcPr>
            <w:tcW w:w="720" w:type="pct"/>
            <w:tcBorders>
              <w:top w:val="nil"/>
              <w:left w:val="nil"/>
              <w:bottom w:val="nil"/>
              <w:right w:val="nil"/>
            </w:tcBorders>
            <w:hideMark/>
          </w:tcPr>
          <w:p w14:paraId="3D62CEB5"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12,500</w:t>
            </w:r>
          </w:p>
        </w:tc>
        <w:tc>
          <w:tcPr>
            <w:tcW w:w="720" w:type="pct"/>
            <w:tcBorders>
              <w:top w:val="nil"/>
              <w:left w:val="nil"/>
              <w:bottom w:val="nil"/>
              <w:right w:val="nil"/>
            </w:tcBorders>
            <w:hideMark/>
          </w:tcPr>
          <w:p w14:paraId="12A0CE19" w14:textId="77777777" w:rsidR="001F6B18" w:rsidRPr="0013080B" w:rsidRDefault="0027723F" w:rsidP="001F6B18">
            <w:pPr>
              <w:pBdr>
                <w:top w:val="nil"/>
                <w:left w:val="nil"/>
                <w:bottom w:val="nil"/>
                <w:right w:val="nil"/>
                <w:between w:val="nil"/>
                <w:bar w:val="nil"/>
              </w:pBdr>
              <w:spacing w:before="0" w:after="0" w:line="256" w:lineRule="auto"/>
              <w:ind w:left="227" w:hanging="227"/>
              <w:jc w:val="right"/>
              <w:rPr>
                <w:sz w:val="20"/>
                <w:bdr w:val="nil"/>
              </w:rPr>
            </w:pPr>
            <w:r w:rsidRPr="0013080B">
              <w:rPr>
                <w:sz w:val="20"/>
                <w:bdr w:val="nil"/>
              </w:rPr>
              <w:t>11,254</w:t>
            </w:r>
          </w:p>
        </w:tc>
        <w:tc>
          <w:tcPr>
            <w:tcW w:w="719" w:type="pct"/>
            <w:tcBorders>
              <w:top w:val="nil"/>
              <w:left w:val="nil"/>
              <w:bottom w:val="nil"/>
              <w:right w:val="nil"/>
            </w:tcBorders>
            <w:hideMark/>
          </w:tcPr>
          <w:p w14:paraId="3E0F4E7A" w14:textId="77777777" w:rsidR="001F6B18" w:rsidRPr="0013080B" w:rsidRDefault="0027723F" w:rsidP="001F6B18">
            <w:pPr>
              <w:pBdr>
                <w:top w:val="nil"/>
                <w:left w:val="nil"/>
                <w:bottom w:val="nil"/>
                <w:right w:val="nil"/>
                <w:between w:val="nil"/>
                <w:bar w:val="nil"/>
              </w:pBdr>
              <w:spacing w:before="0" w:after="0" w:line="256" w:lineRule="auto"/>
              <w:ind w:left="227" w:hanging="227"/>
              <w:jc w:val="right"/>
              <w:rPr>
                <w:sz w:val="20"/>
                <w:bdr w:val="nil"/>
              </w:rPr>
            </w:pPr>
            <w:r w:rsidRPr="0013080B">
              <w:rPr>
                <w:sz w:val="20"/>
                <w:bdr w:val="nil"/>
              </w:rPr>
              <w:t>12,500</w:t>
            </w:r>
          </w:p>
        </w:tc>
      </w:tr>
      <w:tr w:rsidR="00496618" w14:paraId="47F79A6A" w14:textId="77777777" w:rsidTr="001F6B18">
        <w:trPr>
          <w:trHeight w:val="283"/>
        </w:trPr>
        <w:tc>
          <w:tcPr>
            <w:tcW w:w="2841" w:type="pct"/>
            <w:tcBorders>
              <w:top w:val="nil"/>
              <w:left w:val="nil"/>
              <w:bottom w:val="nil"/>
              <w:right w:val="nil"/>
            </w:tcBorders>
            <w:hideMark/>
          </w:tcPr>
          <w:p w14:paraId="4DD1C583" w14:textId="77777777" w:rsidR="001F6B18" w:rsidRPr="00117443" w:rsidRDefault="0027723F" w:rsidP="009832FC">
            <w:pPr>
              <w:numPr>
                <w:ilvl w:val="0"/>
                <w:numId w:val="23"/>
              </w:numPr>
              <w:pBdr>
                <w:top w:val="nil"/>
                <w:left w:val="nil"/>
                <w:bottom w:val="nil"/>
                <w:right w:val="nil"/>
                <w:between w:val="nil"/>
                <w:bar w:val="nil"/>
              </w:pBdr>
              <w:spacing w:before="0" w:after="0" w:line="256" w:lineRule="auto"/>
              <w:rPr>
                <w:sz w:val="20"/>
                <w:bdr w:val="nil"/>
              </w:rPr>
            </w:pPr>
            <w:r w:rsidRPr="00117443">
              <w:rPr>
                <w:sz w:val="20"/>
                <w:bdr w:val="nil"/>
                <w:lang w:eastAsia="en-AU"/>
              </w:rPr>
              <w:t>Total number of inspections and proactive site visits of food business</w:t>
            </w:r>
            <w:r w:rsidRPr="00142072">
              <w:rPr>
                <w:sz w:val="20"/>
                <w:bdr w:val="nil"/>
                <w:vertAlign w:val="superscript"/>
                <w:lang w:eastAsia="en-AU"/>
              </w:rPr>
              <w:t>2</w:t>
            </w:r>
          </w:p>
        </w:tc>
        <w:tc>
          <w:tcPr>
            <w:tcW w:w="720" w:type="pct"/>
            <w:tcBorders>
              <w:top w:val="nil"/>
              <w:left w:val="nil"/>
              <w:bottom w:val="nil"/>
              <w:right w:val="nil"/>
            </w:tcBorders>
            <w:hideMark/>
          </w:tcPr>
          <w:p w14:paraId="03931E6A"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sidRPr="00117443">
              <w:rPr>
                <w:sz w:val="20"/>
                <w:bdr w:val="nil"/>
                <w:lang w:eastAsia="en-AU"/>
              </w:rPr>
              <w:t>2,500</w:t>
            </w:r>
          </w:p>
        </w:tc>
        <w:tc>
          <w:tcPr>
            <w:tcW w:w="720" w:type="pct"/>
            <w:tcBorders>
              <w:top w:val="nil"/>
              <w:left w:val="nil"/>
              <w:bottom w:val="nil"/>
              <w:right w:val="nil"/>
            </w:tcBorders>
            <w:hideMark/>
          </w:tcPr>
          <w:p w14:paraId="3E028A98" w14:textId="77777777" w:rsidR="001F6B18" w:rsidRPr="0013080B" w:rsidRDefault="0027723F" w:rsidP="001F6B18">
            <w:pPr>
              <w:pBdr>
                <w:top w:val="nil"/>
                <w:left w:val="nil"/>
                <w:bottom w:val="nil"/>
                <w:right w:val="nil"/>
                <w:between w:val="nil"/>
                <w:bar w:val="nil"/>
              </w:pBdr>
              <w:spacing w:before="0" w:after="0" w:line="256" w:lineRule="auto"/>
              <w:ind w:left="227" w:hanging="227"/>
              <w:jc w:val="right"/>
              <w:rPr>
                <w:sz w:val="20"/>
                <w:bdr w:val="nil"/>
              </w:rPr>
            </w:pPr>
            <w:r w:rsidRPr="0013080B">
              <w:rPr>
                <w:sz w:val="20"/>
                <w:bdr w:val="nil"/>
              </w:rPr>
              <w:t>3,659</w:t>
            </w:r>
          </w:p>
        </w:tc>
        <w:tc>
          <w:tcPr>
            <w:tcW w:w="719" w:type="pct"/>
            <w:tcBorders>
              <w:top w:val="nil"/>
              <w:left w:val="nil"/>
              <w:bottom w:val="nil"/>
              <w:right w:val="nil"/>
            </w:tcBorders>
            <w:hideMark/>
          </w:tcPr>
          <w:p w14:paraId="028BCB01" w14:textId="77777777" w:rsidR="001F6B18" w:rsidRPr="0013080B" w:rsidRDefault="0027723F" w:rsidP="001F6B18">
            <w:pPr>
              <w:pBdr>
                <w:top w:val="nil"/>
                <w:left w:val="nil"/>
                <w:bottom w:val="nil"/>
                <w:right w:val="nil"/>
                <w:between w:val="nil"/>
                <w:bar w:val="nil"/>
              </w:pBdr>
              <w:spacing w:before="0" w:after="0" w:line="256" w:lineRule="auto"/>
              <w:ind w:left="227" w:hanging="227"/>
              <w:jc w:val="right"/>
              <w:rPr>
                <w:sz w:val="20"/>
                <w:bdr w:val="nil"/>
              </w:rPr>
            </w:pPr>
            <w:r w:rsidRPr="0013080B">
              <w:rPr>
                <w:sz w:val="20"/>
                <w:bdr w:val="nil"/>
              </w:rPr>
              <w:t>2</w:t>
            </w:r>
            <w:r>
              <w:rPr>
                <w:sz w:val="20"/>
                <w:bdr w:val="nil"/>
              </w:rPr>
              <w:t>,</w:t>
            </w:r>
            <w:r w:rsidRPr="0013080B">
              <w:rPr>
                <w:sz w:val="20"/>
                <w:bdr w:val="nil"/>
              </w:rPr>
              <w:t>500</w:t>
            </w:r>
          </w:p>
        </w:tc>
      </w:tr>
      <w:tr w:rsidR="00496618" w14:paraId="138948B4" w14:textId="77777777" w:rsidTr="001F6B18">
        <w:trPr>
          <w:trHeight w:val="283"/>
        </w:trPr>
        <w:tc>
          <w:tcPr>
            <w:tcW w:w="2841" w:type="pct"/>
            <w:tcBorders>
              <w:top w:val="nil"/>
              <w:left w:val="nil"/>
              <w:bottom w:val="nil"/>
              <w:right w:val="nil"/>
            </w:tcBorders>
            <w:hideMark/>
          </w:tcPr>
          <w:p w14:paraId="00EB9F11" w14:textId="77777777" w:rsidR="001F6B18" w:rsidRPr="00117443" w:rsidRDefault="0027723F" w:rsidP="009832FC">
            <w:pPr>
              <w:numPr>
                <w:ilvl w:val="0"/>
                <w:numId w:val="23"/>
              </w:numPr>
              <w:pBdr>
                <w:top w:val="nil"/>
                <w:left w:val="nil"/>
                <w:bottom w:val="nil"/>
                <w:right w:val="nil"/>
                <w:between w:val="nil"/>
                <w:bar w:val="nil"/>
              </w:pBdr>
              <w:spacing w:before="0" w:after="0" w:line="256" w:lineRule="auto"/>
              <w:rPr>
                <w:sz w:val="20"/>
                <w:bdr w:val="nil"/>
              </w:rPr>
            </w:pPr>
            <w:r w:rsidRPr="00117443">
              <w:rPr>
                <w:sz w:val="20"/>
                <w:bdr w:val="nil"/>
                <w:lang w:eastAsia="en-AU"/>
              </w:rPr>
              <w:t>Immunisation coverage for the primary immunisation schedule measured at 1 year of age, in accordance with the Australian Immunisation Register</w:t>
            </w:r>
          </w:p>
        </w:tc>
        <w:tc>
          <w:tcPr>
            <w:tcW w:w="720" w:type="pct"/>
            <w:tcBorders>
              <w:top w:val="nil"/>
              <w:left w:val="nil"/>
              <w:bottom w:val="nil"/>
              <w:right w:val="nil"/>
            </w:tcBorders>
          </w:tcPr>
          <w:p w14:paraId="6A420F63" w14:textId="77777777" w:rsidR="001F6B18" w:rsidRPr="00117443" w:rsidRDefault="001F6B18" w:rsidP="001F6B18">
            <w:pPr>
              <w:pBdr>
                <w:top w:val="nil"/>
                <w:left w:val="nil"/>
                <w:bottom w:val="nil"/>
                <w:right w:val="nil"/>
                <w:between w:val="nil"/>
                <w:bar w:val="nil"/>
              </w:pBdr>
              <w:spacing w:before="0" w:after="0" w:line="256" w:lineRule="auto"/>
              <w:jc w:val="right"/>
              <w:rPr>
                <w:sz w:val="20"/>
                <w:bdr w:val="nil"/>
                <w:lang w:eastAsia="en-AU"/>
              </w:rPr>
            </w:pPr>
          </w:p>
          <w:p w14:paraId="03553C5C"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sidRPr="00117443">
              <w:rPr>
                <w:sz w:val="20"/>
                <w:bdr w:val="nil"/>
                <w:lang w:eastAsia="en-AU"/>
              </w:rPr>
              <w:t>95%</w:t>
            </w:r>
          </w:p>
        </w:tc>
        <w:tc>
          <w:tcPr>
            <w:tcW w:w="720" w:type="pct"/>
            <w:tcBorders>
              <w:top w:val="nil"/>
              <w:left w:val="nil"/>
              <w:bottom w:val="nil"/>
              <w:right w:val="nil"/>
            </w:tcBorders>
          </w:tcPr>
          <w:p w14:paraId="77F949DE" w14:textId="77777777" w:rsidR="001F6B18" w:rsidRPr="00117443" w:rsidRDefault="001F6B18" w:rsidP="001F6B18">
            <w:pPr>
              <w:pBdr>
                <w:top w:val="nil"/>
                <w:left w:val="nil"/>
                <w:bottom w:val="nil"/>
                <w:right w:val="nil"/>
                <w:between w:val="nil"/>
                <w:bar w:val="nil"/>
              </w:pBdr>
              <w:spacing w:before="0" w:after="0" w:line="256" w:lineRule="auto"/>
              <w:ind w:left="227" w:hanging="227"/>
              <w:jc w:val="right"/>
              <w:rPr>
                <w:sz w:val="20"/>
                <w:bdr w:val="nil"/>
              </w:rPr>
            </w:pPr>
          </w:p>
          <w:p w14:paraId="3193CF8D"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sidRPr="00117443">
              <w:rPr>
                <w:sz w:val="20"/>
                <w:bdr w:val="nil"/>
              </w:rPr>
              <w:t>9</w:t>
            </w:r>
            <w:r>
              <w:rPr>
                <w:sz w:val="20"/>
                <w:bdr w:val="nil"/>
              </w:rPr>
              <w:t>7</w:t>
            </w:r>
            <w:r w:rsidRPr="00117443">
              <w:rPr>
                <w:sz w:val="20"/>
                <w:bdr w:val="nil"/>
              </w:rPr>
              <w:t>%</w:t>
            </w:r>
          </w:p>
        </w:tc>
        <w:tc>
          <w:tcPr>
            <w:tcW w:w="719" w:type="pct"/>
            <w:tcBorders>
              <w:top w:val="nil"/>
              <w:left w:val="nil"/>
              <w:bottom w:val="nil"/>
              <w:right w:val="nil"/>
            </w:tcBorders>
          </w:tcPr>
          <w:p w14:paraId="0E8E0F0B" w14:textId="77777777" w:rsidR="001F6B18" w:rsidRPr="00117443" w:rsidRDefault="001F6B18" w:rsidP="001F6B18">
            <w:pPr>
              <w:pBdr>
                <w:top w:val="nil"/>
                <w:left w:val="nil"/>
                <w:bottom w:val="nil"/>
                <w:right w:val="nil"/>
                <w:between w:val="nil"/>
                <w:bar w:val="nil"/>
              </w:pBdr>
              <w:spacing w:before="0" w:after="0" w:line="256" w:lineRule="auto"/>
              <w:ind w:left="227" w:hanging="227"/>
              <w:jc w:val="right"/>
              <w:rPr>
                <w:sz w:val="20"/>
                <w:bdr w:val="nil"/>
              </w:rPr>
            </w:pPr>
          </w:p>
          <w:p w14:paraId="7AE3E306"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sidRPr="00117443">
              <w:rPr>
                <w:sz w:val="20"/>
                <w:bdr w:val="nil"/>
              </w:rPr>
              <w:t>9</w:t>
            </w:r>
            <w:r>
              <w:rPr>
                <w:sz w:val="20"/>
                <w:bdr w:val="nil"/>
              </w:rPr>
              <w:t>5</w:t>
            </w:r>
            <w:r w:rsidRPr="00117443">
              <w:rPr>
                <w:sz w:val="20"/>
                <w:bdr w:val="nil"/>
              </w:rPr>
              <w:t>%</w:t>
            </w:r>
          </w:p>
        </w:tc>
      </w:tr>
      <w:tr w:rsidR="00496618" w14:paraId="271815ED" w14:textId="77777777" w:rsidTr="001F6B18">
        <w:trPr>
          <w:trHeight w:val="283"/>
        </w:trPr>
        <w:tc>
          <w:tcPr>
            <w:tcW w:w="2841" w:type="pct"/>
            <w:tcBorders>
              <w:top w:val="nil"/>
              <w:left w:val="nil"/>
              <w:bottom w:val="nil"/>
              <w:right w:val="nil"/>
            </w:tcBorders>
            <w:hideMark/>
          </w:tcPr>
          <w:p w14:paraId="14B6EE0C" w14:textId="77777777" w:rsidR="001F6B18" w:rsidRPr="00117443" w:rsidRDefault="0027723F" w:rsidP="009832FC">
            <w:pPr>
              <w:numPr>
                <w:ilvl w:val="0"/>
                <w:numId w:val="23"/>
              </w:numPr>
              <w:pBdr>
                <w:top w:val="nil"/>
                <w:left w:val="nil"/>
                <w:bottom w:val="nil"/>
                <w:right w:val="nil"/>
                <w:between w:val="nil"/>
                <w:bar w:val="nil"/>
              </w:pBdr>
              <w:spacing w:before="0" w:after="0" w:line="256" w:lineRule="auto"/>
              <w:rPr>
                <w:sz w:val="20"/>
                <w:bdr w:val="nil"/>
              </w:rPr>
            </w:pPr>
            <w:r w:rsidRPr="00117443">
              <w:rPr>
                <w:sz w:val="20"/>
                <w:bdr w:val="nil"/>
                <w:lang w:eastAsia="en-AU"/>
              </w:rPr>
              <w:t>Immunisation rates for vaccines in the national schedule for the ACT Aboriginal and Torres Strait Islander population:</w:t>
            </w:r>
          </w:p>
        </w:tc>
        <w:tc>
          <w:tcPr>
            <w:tcW w:w="720" w:type="pct"/>
            <w:tcBorders>
              <w:top w:val="nil"/>
              <w:left w:val="nil"/>
              <w:bottom w:val="nil"/>
              <w:right w:val="nil"/>
            </w:tcBorders>
          </w:tcPr>
          <w:p w14:paraId="48D6EEDE" w14:textId="77777777" w:rsidR="001F6B18" w:rsidRPr="00117443" w:rsidRDefault="001F6B18" w:rsidP="001F6B18">
            <w:pPr>
              <w:pBdr>
                <w:top w:val="nil"/>
                <w:left w:val="nil"/>
                <w:bottom w:val="nil"/>
                <w:right w:val="nil"/>
                <w:between w:val="nil"/>
                <w:bar w:val="nil"/>
              </w:pBdr>
              <w:spacing w:before="0" w:after="0" w:line="256" w:lineRule="auto"/>
              <w:jc w:val="right"/>
              <w:rPr>
                <w:sz w:val="20"/>
                <w:bdr w:val="nil"/>
                <w:lang w:eastAsia="en-AU"/>
              </w:rPr>
            </w:pPr>
          </w:p>
        </w:tc>
        <w:tc>
          <w:tcPr>
            <w:tcW w:w="720" w:type="pct"/>
            <w:tcBorders>
              <w:top w:val="nil"/>
              <w:left w:val="nil"/>
              <w:bottom w:val="nil"/>
              <w:right w:val="nil"/>
            </w:tcBorders>
          </w:tcPr>
          <w:p w14:paraId="78969070" w14:textId="77777777" w:rsidR="001F6B18" w:rsidRPr="00117443" w:rsidRDefault="001F6B18" w:rsidP="001F6B18">
            <w:pPr>
              <w:pBdr>
                <w:top w:val="nil"/>
                <w:left w:val="nil"/>
                <w:bottom w:val="nil"/>
                <w:right w:val="nil"/>
                <w:between w:val="nil"/>
                <w:bar w:val="nil"/>
              </w:pBdr>
              <w:spacing w:before="0" w:after="0" w:line="256" w:lineRule="auto"/>
              <w:ind w:left="227" w:hanging="227"/>
              <w:jc w:val="right"/>
              <w:rPr>
                <w:sz w:val="20"/>
                <w:bdr w:val="nil"/>
              </w:rPr>
            </w:pPr>
          </w:p>
        </w:tc>
        <w:tc>
          <w:tcPr>
            <w:tcW w:w="719" w:type="pct"/>
            <w:tcBorders>
              <w:top w:val="nil"/>
              <w:left w:val="nil"/>
              <w:bottom w:val="nil"/>
              <w:right w:val="nil"/>
            </w:tcBorders>
          </w:tcPr>
          <w:p w14:paraId="43301811" w14:textId="77777777" w:rsidR="001F6B18" w:rsidRPr="00117443" w:rsidRDefault="001F6B18" w:rsidP="001F6B18">
            <w:pPr>
              <w:pBdr>
                <w:top w:val="nil"/>
                <w:left w:val="nil"/>
                <w:bottom w:val="nil"/>
                <w:right w:val="nil"/>
                <w:between w:val="nil"/>
                <w:bar w:val="nil"/>
              </w:pBdr>
              <w:spacing w:before="0" w:after="0" w:line="256" w:lineRule="auto"/>
              <w:ind w:left="227" w:hanging="227"/>
              <w:jc w:val="right"/>
              <w:rPr>
                <w:sz w:val="20"/>
                <w:bdr w:val="nil"/>
              </w:rPr>
            </w:pPr>
          </w:p>
        </w:tc>
      </w:tr>
      <w:tr w:rsidR="00496618" w14:paraId="244E74E4" w14:textId="77777777" w:rsidTr="001F6B18">
        <w:trPr>
          <w:trHeight w:val="283"/>
        </w:trPr>
        <w:tc>
          <w:tcPr>
            <w:tcW w:w="2841" w:type="pct"/>
            <w:tcBorders>
              <w:top w:val="nil"/>
              <w:left w:val="nil"/>
              <w:bottom w:val="nil"/>
              <w:right w:val="nil"/>
            </w:tcBorders>
            <w:hideMark/>
          </w:tcPr>
          <w:p w14:paraId="620DDF17" w14:textId="77777777" w:rsidR="001F6B18" w:rsidRPr="00117443" w:rsidRDefault="0027723F" w:rsidP="001F6B18">
            <w:pPr>
              <w:pBdr>
                <w:top w:val="nil"/>
                <w:left w:val="nil"/>
                <w:bottom w:val="nil"/>
                <w:right w:val="nil"/>
                <w:between w:val="nil"/>
                <w:bar w:val="nil"/>
              </w:pBdr>
              <w:spacing w:before="0" w:after="0" w:line="256" w:lineRule="auto"/>
              <w:ind w:left="360"/>
              <w:rPr>
                <w:sz w:val="20"/>
                <w:bdr w:val="nil"/>
              </w:rPr>
            </w:pPr>
            <w:r w:rsidRPr="00117443">
              <w:rPr>
                <w:sz w:val="20"/>
                <w:bdr w:val="nil"/>
                <w:lang w:eastAsia="en-AU"/>
              </w:rPr>
              <w:t xml:space="preserve">     i. 12 to 15 months</w:t>
            </w:r>
          </w:p>
        </w:tc>
        <w:tc>
          <w:tcPr>
            <w:tcW w:w="720" w:type="pct"/>
            <w:tcBorders>
              <w:top w:val="nil"/>
              <w:left w:val="nil"/>
              <w:bottom w:val="nil"/>
              <w:right w:val="nil"/>
            </w:tcBorders>
            <w:hideMark/>
          </w:tcPr>
          <w:p w14:paraId="493465D3"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95%</w:t>
            </w:r>
          </w:p>
        </w:tc>
        <w:tc>
          <w:tcPr>
            <w:tcW w:w="720" w:type="pct"/>
            <w:tcBorders>
              <w:top w:val="nil"/>
              <w:left w:val="nil"/>
              <w:bottom w:val="nil"/>
              <w:right w:val="nil"/>
            </w:tcBorders>
            <w:hideMark/>
          </w:tcPr>
          <w:p w14:paraId="7A331BC7"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96%</w:t>
            </w:r>
          </w:p>
        </w:tc>
        <w:tc>
          <w:tcPr>
            <w:tcW w:w="719" w:type="pct"/>
            <w:tcBorders>
              <w:top w:val="nil"/>
              <w:left w:val="nil"/>
              <w:bottom w:val="nil"/>
              <w:right w:val="nil"/>
            </w:tcBorders>
            <w:hideMark/>
          </w:tcPr>
          <w:p w14:paraId="15BD901D"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95%</w:t>
            </w:r>
          </w:p>
        </w:tc>
      </w:tr>
      <w:tr w:rsidR="00496618" w14:paraId="2568869D" w14:textId="77777777" w:rsidTr="001F6B18">
        <w:trPr>
          <w:trHeight w:val="283"/>
        </w:trPr>
        <w:tc>
          <w:tcPr>
            <w:tcW w:w="2841" w:type="pct"/>
            <w:tcBorders>
              <w:top w:val="nil"/>
              <w:left w:val="nil"/>
              <w:bottom w:val="nil"/>
              <w:right w:val="nil"/>
            </w:tcBorders>
            <w:hideMark/>
          </w:tcPr>
          <w:p w14:paraId="70E705D3" w14:textId="77777777" w:rsidR="001F6B18" w:rsidRPr="00117443" w:rsidRDefault="0027723F" w:rsidP="001F6B18">
            <w:pPr>
              <w:pBdr>
                <w:top w:val="nil"/>
                <w:left w:val="nil"/>
                <w:bottom w:val="nil"/>
                <w:right w:val="nil"/>
                <w:between w:val="nil"/>
                <w:bar w:val="nil"/>
              </w:pBdr>
              <w:spacing w:before="0" w:after="0" w:line="256" w:lineRule="auto"/>
              <w:ind w:left="360"/>
              <w:rPr>
                <w:sz w:val="20"/>
                <w:bdr w:val="nil"/>
              </w:rPr>
            </w:pPr>
            <w:r w:rsidRPr="00117443">
              <w:rPr>
                <w:sz w:val="20"/>
                <w:bdr w:val="nil"/>
                <w:lang w:eastAsia="en-AU"/>
              </w:rPr>
              <w:t xml:space="preserve">     ii. 24 to 27 months</w:t>
            </w:r>
          </w:p>
        </w:tc>
        <w:tc>
          <w:tcPr>
            <w:tcW w:w="720" w:type="pct"/>
            <w:tcBorders>
              <w:top w:val="nil"/>
              <w:left w:val="nil"/>
              <w:bottom w:val="nil"/>
              <w:right w:val="nil"/>
            </w:tcBorders>
            <w:hideMark/>
          </w:tcPr>
          <w:p w14:paraId="69D755ED"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95%</w:t>
            </w:r>
          </w:p>
        </w:tc>
        <w:tc>
          <w:tcPr>
            <w:tcW w:w="720" w:type="pct"/>
            <w:tcBorders>
              <w:top w:val="nil"/>
              <w:left w:val="nil"/>
              <w:bottom w:val="nil"/>
              <w:right w:val="nil"/>
            </w:tcBorders>
            <w:hideMark/>
          </w:tcPr>
          <w:p w14:paraId="0508630E"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92%</w:t>
            </w:r>
          </w:p>
        </w:tc>
        <w:tc>
          <w:tcPr>
            <w:tcW w:w="719" w:type="pct"/>
            <w:tcBorders>
              <w:top w:val="nil"/>
              <w:left w:val="nil"/>
              <w:bottom w:val="nil"/>
              <w:right w:val="nil"/>
            </w:tcBorders>
            <w:hideMark/>
          </w:tcPr>
          <w:p w14:paraId="2DCCD087"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95%</w:t>
            </w:r>
          </w:p>
        </w:tc>
      </w:tr>
      <w:tr w:rsidR="00496618" w14:paraId="0A8CFC08" w14:textId="77777777" w:rsidTr="001F6B18">
        <w:trPr>
          <w:trHeight w:val="283"/>
        </w:trPr>
        <w:tc>
          <w:tcPr>
            <w:tcW w:w="2841" w:type="pct"/>
            <w:tcBorders>
              <w:top w:val="nil"/>
              <w:left w:val="nil"/>
              <w:bottom w:val="nil"/>
              <w:right w:val="nil"/>
            </w:tcBorders>
            <w:hideMark/>
          </w:tcPr>
          <w:p w14:paraId="3600F806" w14:textId="77777777" w:rsidR="001F6B18" w:rsidRPr="00117443" w:rsidRDefault="0027723F" w:rsidP="001F6B18">
            <w:pPr>
              <w:pBdr>
                <w:top w:val="nil"/>
                <w:left w:val="nil"/>
                <w:bottom w:val="nil"/>
                <w:right w:val="nil"/>
                <w:between w:val="nil"/>
                <w:bar w:val="nil"/>
              </w:pBdr>
              <w:spacing w:before="0" w:after="0" w:line="256" w:lineRule="auto"/>
              <w:ind w:left="360"/>
              <w:rPr>
                <w:sz w:val="20"/>
                <w:bdr w:val="nil"/>
              </w:rPr>
            </w:pPr>
            <w:r w:rsidRPr="00117443">
              <w:rPr>
                <w:sz w:val="20"/>
                <w:bdr w:val="nil"/>
                <w:lang w:eastAsia="en-AU"/>
              </w:rPr>
              <w:t xml:space="preserve">     iii. 60 to 63 months</w:t>
            </w:r>
            <w:r w:rsidRPr="00142072">
              <w:rPr>
                <w:sz w:val="20"/>
                <w:bdr w:val="nil"/>
                <w:vertAlign w:val="superscript"/>
                <w:lang w:eastAsia="en-AU"/>
              </w:rPr>
              <w:t>3</w:t>
            </w:r>
          </w:p>
        </w:tc>
        <w:tc>
          <w:tcPr>
            <w:tcW w:w="720" w:type="pct"/>
            <w:tcBorders>
              <w:top w:val="nil"/>
              <w:left w:val="nil"/>
              <w:bottom w:val="nil"/>
              <w:right w:val="nil"/>
            </w:tcBorders>
            <w:hideMark/>
          </w:tcPr>
          <w:p w14:paraId="5E37C07D"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95%</w:t>
            </w:r>
          </w:p>
        </w:tc>
        <w:tc>
          <w:tcPr>
            <w:tcW w:w="720" w:type="pct"/>
            <w:tcBorders>
              <w:top w:val="nil"/>
              <w:left w:val="nil"/>
              <w:bottom w:val="nil"/>
              <w:right w:val="nil"/>
            </w:tcBorders>
            <w:hideMark/>
          </w:tcPr>
          <w:p w14:paraId="1BE07219"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100%</w:t>
            </w:r>
          </w:p>
        </w:tc>
        <w:tc>
          <w:tcPr>
            <w:tcW w:w="719" w:type="pct"/>
            <w:tcBorders>
              <w:top w:val="nil"/>
              <w:left w:val="nil"/>
              <w:bottom w:val="nil"/>
              <w:right w:val="nil"/>
            </w:tcBorders>
            <w:hideMark/>
          </w:tcPr>
          <w:p w14:paraId="0C85F823"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95%</w:t>
            </w:r>
          </w:p>
        </w:tc>
      </w:tr>
      <w:tr w:rsidR="00496618" w14:paraId="2038FB34" w14:textId="77777777" w:rsidTr="001F6B18">
        <w:trPr>
          <w:trHeight w:val="283"/>
        </w:trPr>
        <w:tc>
          <w:tcPr>
            <w:tcW w:w="2841" w:type="pct"/>
            <w:tcBorders>
              <w:top w:val="nil"/>
              <w:left w:val="nil"/>
              <w:bottom w:val="nil"/>
              <w:right w:val="nil"/>
            </w:tcBorders>
            <w:hideMark/>
          </w:tcPr>
          <w:p w14:paraId="5DAD83EA" w14:textId="77777777" w:rsidR="001F6B18" w:rsidRPr="00117443" w:rsidRDefault="0027723F" w:rsidP="001F6B18">
            <w:pPr>
              <w:pBdr>
                <w:top w:val="nil"/>
                <w:left w:val="nil"/>
                <w:bottom w:val="nil"/>
                <w:right w:val="nil"/>
                <w:between w:val="nil"/>
                <w:bar w:val="nil"/>
              </w:pBdr>
              <w:spacing w:before="0" w:after="0" w:line="256" w:lineRule="auto"/>
              <w:ind w:left="360"/>
              <w:rPr>
                <w:sz w:val="20"/>
                <w:bdr w:val="nil"/>
              </w:rPr>
            </w:pPr>
            <w:r w:rsidRPr="00117443">
              <w:rPr>
                <w:sz w:val="20"/>
                <w:bdr w:val="nil"/>
                <w:lang w:eastAsia="en-AU"/>
              </w:rPr>
              <w:t xml:space="preserve">     iv. All</w:t>
            </w:r>
          </w:p>
        </w:tc>
        <w:tc>
          <w:tcPr>
            <w:tcW w:w="720" w:type="pct"/>
            <w:tcBorders>
              <w:top w:val="nil"/>
              <w:left w:val="nil"/>
              <w:bottom w:val="nil"/>
              <w:right w:val="nil"/>
            </w:tcBorders>
            <w:hideMark/>
          </w:tcPr>
          <w:p w14:paraId="64AA8D02"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95%</w:t>
            </w:r>
          </w:p>
        </w:tc>
        <w:tc>
          <w:tcPr>
            <w:tcW w:w="720" w:type="pct"/>
            <w:tcBorders>
              <w:top w:val="nil"/>
              <w:left w:val="nil"/>
              <w:bottom w:val="nil"/>
              <w:right w:val="nil"/>
            </w:tcBorders>
            <w:hideMark/>
          </w:tcPr>
          <w:p w14:paraId="7DF0803B"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96%</w:t>
            </w:r>
          </w:p>
        </w:tc>
        <w:tc>
          <w:tcPr>
            <w:tcW w:w="719" w:type="pct"/>
            <w:tcBorders>
              <w:top w:val="nil"/>
              <w:left w:val="nil"/>
              <w:bottom w:val="nil"/>
              <w:right w:val="nil"/>
            </w:tcBorders>
            <w:hideMark/>
          </w:tcPr>
          <w:p w14:paraId="0E7456F7"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95%</w:t>
            </w:r>
          </w:p>
        </w:tc>
      </w:tr>
      <w:tr w:rsidR="00496618" w14:paraId="4524CB96" w14:textId="77777777" w:rsidTr="001F6B18">
        <w:trPr>
          <w:trHeight w:val="283"/>
        </w:trPr>
        <w:tc>
          <w:tcPr>
            <w:tcW w:w="2841" w:type="pct"/>
            <w:tcBorders>
              <w:top w:val="nil"/>
              <w:left w:val="nil"/>
              <w:bottom w:val="nil"/>
              <w:right w:val="nil"/>
            </w:tcBorders>
          </w:tcPr>
          <w:p w14:paraId="4509B994" w14:textId="2BBEB2B3" w:rsidR="001F6B18" w:rsidRPr="00117443" w:rsidRDefault="0027723F" w:rsidP="009832FC">
            <w:pPr>
              <w:numPr>
                <w:ilvl w:val="0"/>
                <w:numId w:val="23"/>
              </w:numPr>
              <w:pBdr>
                <w:top w:val="nil"/>
                <w:left w:val="nil"/>
                <w:bottom w:val="nil"/>
                <w:right w:val="nil"/>
                <w:between w:val="nil"/>
                <w:bar w:val="nil"/>
              </w:pBdr>
              <w:spacing w:before="0" w:after="0" w:line="254" w:lineRule="auto"/>
              <w:rPr>
                <w:sz w:val="20"/>
                <w:bdr w:val="nil"/>
                <w:lang w:eastAsia="en-AU"/>
              </w:rPr>
            </w:pPr>
            <w:r>
              <w:rPr>
                <w:sz w:val="20"/>
                <w:bdr w:val="nil"/>
                <w:lang w:eastAsia="en-AU"/>
              </w:rPr>
              <w:t>Number of businesses making a pledge as part of the Healthier Choices Canberra Initiative</w:t>
            </w:r>
          </w:p>
        </w:tc>
        <w:tc>
          <w:tcPr>
            <w:tcW w:w="720" w:type="pct"/>
            <w:tcBorders>
              <w:top w:val="nil"/>
              <w:left w:val="nil"/>
              <w:bottom w:val="nil"/>
              <w:right w:val="nil"/>
            </w:tcBorders>
          </w:tcPr>
          <w:p w14:paraId="21214BBE" w14:textId="77777777" w:rsidR="001F6B18"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n/a</w:t>
            </w:r>
          </w:p>
        </w:tc>
        <w:tc>
          <w:tcPr>
            <w:tcW w:w="720" w:type="pct"/>
            <w:tcBorders>
              <w:top w:val="nil"/>
              <w:left w:val="nil"/>
              <w:bottom w:val="nil"/>
              <w:right w:val="nil"/>
            </w:tcBorders>
          </w:tcPr>
          <w:p w14:paraId="15637DDC" w14:textId="77777777" w:rsidR="001F6B18"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n/a</w:t>
            </w:r>
          </w:p>
        </w:tc>
        <w:tc>
          <w:tcPr>
            <w:tcW w:w="719" w:type="pct"/>
            <w:tcBorders>
              <w:top w:val="nil"/>
              <w:left w:val="nil"/>
              <w:bottom w:val="nil"/>
              <w:right w:val="nil"/>
            </w:tcBorders>
          </w:tcPr>
          <w:p w14:paraId="24E01F7D" w14:textId="77777777" w:rsidR="001F6B18"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60</w:t>
            </w:r>
          </w:p>
        </w:tc>
      </w:tr>
      <w:tr w:rsidR="00496618" w14:paraId="5F44FD11" w14:textId="77777777" w:rsidTr="001F6B18">
        <w:trPr>
          <w:trHeight w:val="283"/>
        </w:trPr>
        <w:tc>
          <w:tcPr>
            <w:tcW w:w="2841" w:type="pct"/>
            <w:tcBorders>
              <w:top w:val="nil"/>
              <w:left w:val="nil"/>
              <w:bottom w:val="single" w:sz="4" w:space="0" w:color="auto"/>
              <w:right w:val="nil"/>
            </w:tcBorders>
            <w:hideMark/>
          </w:tcPr>
          <w:p w14:paraId="2FA316C7" w14:textId="77777777" w:rsidR="001F6B18" w:rsidRPr="00117443" w:rsidRDefault="0027723F" w:rsidP="009832FC">
            <w:pPr>
              <w:numPr>
                <w:ilvl w:val="0"/>
                <w:numId w:val="23"/>
              </w:numPr>
              <w:pBdr>
                <w:top w:val="nil"/>
                <w:left w:val="nil"/>
                <w:bottom w:val="nil"/>
                <w:right w:val="nil"/>
                <w:between w:val="nil"/>
                <w:bar w:val="nil"/>
              </w:pBdr>
              <w:spacing w:before="0" w:after="0" w:line="256" w:lineRule="auto"/>
              <w:rPr>
                <w:sz w:val="20"/>
                <w:bdr w:val="nil"/>
              </w:rPr>
            </w:pPr>
            <w:r w:rsidRPr="005A2D91">
              <w:rPr>
                <w:sz w:val="20"/>
                <w:bdr w:val="nil"/>
                <w:lang w:eastAsia="en-AU"/>
              </w:rPr>
              <w:t>Number of businesses signed up to provide and promote healthier food choices as part of the Healthier Choices Canberra initiative</w:t>
            </w:r>
            <w:r w:rsidRPr="00142072">
              <w:rPr>
                <w:sz w:val="20"/>
                <w:bdr w:val="nil"/>
                <w:vertAlign w:val="superscript"/>
                <w:lang w:eastAsia="en-AU"/>
              </w:rPr>
              <w:t>4</w:t>
            </w:r>
          </w:p>
        </w:tc>
        <w:tc>
          <w:tcPr>
            <w:tcW w:w="720" w:type="pct"/>
            <w:tcBorders>
              <w:top w:val="nil"/>
              <w:left w:val="nil"/>
              <w:bottom w:val="single" w:sz="4" w:space="0" w:color="auto"/>
              <w:right w:val="nil"/>
            </w:tcBorders>
          </w:tcPr>
          <w:p w14:paraId="1EADAF9B"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120</w:t>
            </w:r>
          </w:p>
        </w:tc>
        <w:tc>
          <w:tcPr>
            <w:tcW w:w="720" w:type="pct"/>
            <w:tcBorders>
              <w:top w:val="nil"/>
              <w:left w:val="nil"/>
              <w:bottom w:val="single" w:sz="4" w:space="0" w:color="auto"/>
              <w:right w:val="nil"/>
            </w:tcBorders>
          </w:tcPr>
          <w:p w14:paraId="08368296"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111</w:t>
            </w:r>
          </w:p>
        </w:tc>
        <w:tc>
          <w:tcPr>
            <w:tcW w:w="719" w:type="pct"/>
            <w:tcBorders>
              <w:top w:val="nil"/>
              <w:left w:val="nil"/>
              <w:bottom w:val="single" w:sz="4" w:space="0" w:color="auto"/>
              <w:right w:val="nil"/>
            </w:tcBorders>
          </w:tcPr>
          <w:p w14:paraId="2E3C6D97"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n/a</w:t>
            </w:r>
          </w:p>
        </w:tc>
      </w:tr>
    </w:tbl>
    <w:p w14:paraId="74AD4C64" w14:textId="77777777" w:rsidR="001F6B18" w:rsidRPr="008D3095" w:rsidRDefault="0027723F" w:rsidP="001F6B18">
      <w:pPr>
        <w:pStyle w:val="BSnote2"/>
        <w:pBdr>
          <w:top w:val="nil"/>
          <w:left w:val="nil"/>
          <w:bottom w:val="nil"/>
          <w:right w:val="nil"/>
          <w:between w:val="nil"/>
          <w:bar w:val="nil"/>
        </w:pBdr>
        <w:rPr>
          <w:szCs w:val="18"/>
          <w:bdr w:val="nil"/>
          <w:lang w:eastAsia="en-US"/>
        </w:rPr>
      </w:pPr>
      <w:r w:rsidRPr="008D3095">
        <w:rPr>
          <w:szCs w:val="18"/>
          <w:bdr w:val="nil"/>
        </w:rPr>
        <w:t>Notes:</w:t>
      </w:r>
    </w:p>
    <w:p w14:paraId="375882A7" w14:textId="77777777" w:rsidR="001F6B18" w:rsidRPr="003A28B0" w:rsidRDefault="0027723F" w:rsidP="009832FC">
      <w:pPr>
        <w:numPr>
          <w:ilvl w:val="0"/>
          <w:numId w:val="26"/>
        </w:numPr>
        <w:pBdr>
          <w:top w:val="nil"/>
          <w:left w:val="nil"/>
          <w:bottom w:val="nil"/>
          <w:right w:val="nil"/>
          <w:between w:val="nil"/>
          <w:bar w:val="nil"/>
        </w:pBdr>
        <w:tabs>
          <w:tab w:val="left" w:pos="283"/>
          <w:tab w:val="left" w:pos="567"/>
        </w:tabs>
        <w:suppressAutoHyphens/>
        <w:autoSpaceDE w:val="0"/>
        <w:autoSpaceDN w:val="0"/>
        <w:adjustRightInd w:val="0"/>
        <w:spacing w:before="0" w:after="0"/>
        <w:ind w:left="284" w:hanging="284"/>
        <w:jc w:val="both"/>
        <w:rPr>
          <w:rFonts w:eastAsia="SimSun" w:cs="Calibri"/>
          <w:bCs/>
          <w:sz w:val="18"/>
          <w:szCs w:val="18"/>
          <w:bdr w:val="nil"/>
          <w:lang w:eastAsia="en-AU"/>
        </w:rPr>
      </w:pPr>
      <w:r w:rsidRPr="00B92CDD">
        <w:rPr>
          <w:rFonts w:eastAsia="SimSun" w:cs="Calibri"/>
          <w:bCs/>
          <w:sz w:val="18"/>
          <w:szCs w:val="18"/>
          <w:bdr w:val="nil"/>
          <w:lang w:eastAsia="en-AU"/>
        </w:rPr>
        <w:t>Number of samples analysed during the period by the ACT Government Analytical Laboratory.</w:t>
      </w:r>
    </w:p>
    <w:p w14:paraId="599910EA" w14:textId="77777777" w:rsidR="001F6B18" w:rsidRPr="003A28B0" w:rsidRDefault="0027723F" w:rsidP="009832FC">
      <w:pPr>
        <w:numPr>
          <w:ilvl w:val="0"/>
          <w:numId w:val="26"/>
        </w:numPr>
        <w:pBdr>
          <w:top w:val="nil"/>
          <w:left w:val="nil"/>
          <w:bottom w:val="nil"/>
          <w:right w:val="nil"/>
          <w:between w:val="nil"/>
          <w:bar w:val="nil"/>
        </w:pBdr>
        <w:tabs>
          <w:tab w:val="left" w:pos="283"/>
          <w:tab w:val="left" w:pos="567"/>
        </w:tabs>
        <w:suppressAutoHyphens/>
        <w:autoSpaceDE w:val="0"/>
        <w:autoSpaceDN w:val="0"/>
        <w:adjustRightInd w:val="0"/>
        <w:spacing w:before="0" w:after="0"/>
        <w:ind w:left="284" w:hanging="284"/>
        <w:jc w:val="both"/>
        <w:rPr>
          <w:rFonts w:eastAsia="SimSun" w:cs="Calibri"/>
          <w:bCs/>
          <w:sz w:val="18"/>
          <w:szCs w:val="18"/>
          <w:bdr w:val="nil"/>
          <w:lang w:eastAsia="en-AU"/>
        </w:rPr>
      </w:pPr>
      <w:r w:rsidRPr="00B92CDD">
        <w:rPr>
          <w:rFonts w:eastAsia="SimSun" w:cs="Calibri"/>
          <w:bCs/>
          <w:sz w:val="18"/>
          <w:szCs w:val="18"/>
          <w:bdr w:val="nil"/>
          <w:lang w:eastAsia="en-AU"/>
        </w:rPr>
        <w:t xml:space="preserve">Total number of inspections where compliance has been assessed according to the </w:t>
      </w:r>
      <w:r w:rsidRPr="002A2A55">
        <w:rPr>
          <w:rFonts w:eastAsia="SimSun" w:cs="Calibri"/>
          <w:bCs/>
          <w:i/>
          <w:iCs/>
          <w:sz w:val="18"/>
          <w:szCs w:val="18"/>
          <w:bdr w:val="nil"/>
          <w:lang w:eastAsia="en-AU"/>
        </w:rPr>
        <w:t>ACT Food Act 2001</w:t>
      </w:r>
      <w:r w:rsidRPr="00B92CDD">
        <w:rPr>
          <w:rFonts w:eastAsia="SimSun" w:cs="Calibri"/>
          <w:bCs/>
          <w:sz w:val="18"/>
          <w:szCs w:val="18"/>
          <w:bdr w:val="nil"/>
          <w:lang w:eastAsia="en-AU"/>
        </w:rPr>
        <w:t xml:space="preserve"> and the Food Standards code, and proactive site visits of food businesses conducted by the Health Protection Service. </w:t>
      </w:r>
    </w:p>
    <w:p w14:paraId="602ACF73" w14:textId="77777777" w:rsidR="001F6B18" w:rsidRPr="00B92CDD" w:rsidRDefault="0027723F" w:rsidP="009832FC">
      <w:pPr>
        <w:numPr>
          <w:ilvl w:val="0"/>
          <w:numId w:val="26"/>
        </w:numPr>
        <w:pBdr>
          <w:top w:val="nil"/>
          <w:left w:val="nil"/>
          <w:bottom w:val="nil"/>
          <w:right w:val="nil"/>
          <w:between w:val="nil"/>
          <w:bar w:val="nil"/>
        </w:pBdr>
        <w:tabs>
          <w:tab w:val="left" w:pos="283"/>
          <w:tab w:val="left" w:pos="567"/>
        </w:tabs>
        <w:suppressAutoHyphens/>
        <w:autoSpaceDE w:val="0"/>
        <w:autoSpaceDN w:val="0"/>
        <w:adjustRightInd w:val="0"/>
        <w:spacing w:before="0" w:after="0"/>
        <w:ind w:left="284" w:hanging="284"/>
        <w:jc w:val="both"/>
        <w:rPr>
          <w:rFonts w:eastAsia="SimSun" w:cs="Calibri"/>
          <w:bCs/>
          <w:sz w:val="18"/>
          <w:szCs w:val="18"/>
          <w:bdr w:val="nil"/>
          <w:lang w:eastAsia="en-AU"/>
        </w:rPr>
      </w:pPr>
      <w:r w:rsidRPr="00B92CDD">
        <w:rPr>
          <w:rFonts w:eastAsia="SimSun" w:cs="Calibri"/>
          <w:bCs/>
          <w:sz w:val="18"/>
          <w:szCs w:val="18"/>
          <w:bdr w:val="nil"/>
          <w:lang w:eastAsia="en-AU"/>
        </w:rPr>
        <w:t>Percentage of all 12-month-old children in the ACT who have been fully immunised in accordance with the Australian Childhood Immunisation Register.</w:t>
      </w:r>
    </w:p>
    <w:p w14:paraId="656564F0" w14:textId="77777777" w:rsidR="001F6B18" w:rsidRPr="00B92CDD" w:rsidRDefault="0027723F" w:rsidP="009832FC">
      <w:pPr>
        <w:numPr>
          <w:ilvl w:val="0"/>
          <w:numId w:val="26"/>
        </w:numPr>
        <w:pBdr>
          <w:top w:val="nil"/>
          <w:left w:val="nil"/>
          <w:bottom w:val="nil"/>
          <w:right w:val="nil"/>
          <w:between w:val="nil"/>
          <w:bar w:val="nil"/>
        </w:pBdr>
        <w:tabs>
          <w:tab w:val="left" w:pos="283"/>
          <w:tab w:val="left" w:pos="567"/>
        </w:tabs>
        <w:suppressAutoHyphens/>
        <w:autoSpaceDE w:val="0"/>
        <w:autoSpaceDN w:val="0"/>
        <w:adjustRightInd w:val="0"/>
        <w:spacing w:before="0" w:after="0"/>
        <w:ind w:left="284" w:hanging="284"/>
        <w:jc w:val="both"/>
        <w:rPr>
          <w:rFonts w:eastAsia="SimSun" w:cs="Calibri"/>
          <w:bCs/>
          <w:sz w:val="18"/>
          <w:szCs w:val="18"/>
          <w:bdr w:val="nil"/>
          <w:lang w:eastAsia="en-AU"/>
        </w:rPr>
      </w:pPr>
      <w:r w:rsidRPr="00B92CDD">
        <w:rPr>
          <w:rFonts w:eastAsia="SimSun" w:cs="Calibri"/>
          <w:bCs/>
          <w:sz w:val="18"/>
          <w:szCs w:val="18"/>
          <w:bdr w:val="nil"/>
          <w:lang w:eastAsia="en-AU"/>
        </w:rPr>
        <w:t xml:space="preserve">Percentage of ACT Aboriginal and Torres Strait Islander children - 12 to 15 months, 24 to 27 months, 60 to 63 months and all children who have been fully immunised in accordance with the Australian Childhood Immunisation Register. </w:t>
      </w:r>
    </w:p>
    <w:p w14:paraId="7DDE362F" w14:textId="116F23A9" w:rsidR="001F6B18" w:rsidRPr="00B92CDD" w:rsidRDefault="0027723F" w:rsidP="009832FC">
      <w:pPr>
        <w:numPr>
          <w:ilvl w:val="0"/>
          <w:numId w:val="26"/>
        </w:numPr>
        <w:pBdr>
          <w:top w:val="nil"/>
          <w:left w:val="nil"/>
          <w:bottom w:val="nil"/>
          <w:right w:val="nil"/>
          <w:between w:val="nil"/>
          <w:bar w:val="nil"/>
        </w:pBdr>
        <w:tabs>
          <w:tab w:val="left" w:pos="283"/>
          <w:tab w:val="left" w:pos="567"/>
        </w:tabs>
        <w:suppressAutoHyphens/>
        <w:autoSpaceDE w:val="0"/>
        <w:autoSpaceDN w:val="0"/>
        <w:adjustRightInd w:val="0"/>
        <w:spacing w:before="0" w:after="0"/>
        <w:ind w:left="284" w:hanging="284"/>
        <w:jc w:val="both"/>
        <w:rPr>
          <w:rFonts w:eastAsia="SimSun" w:cs="Calibri"/>
          <w:bCs/>
          <w:sz w:val="18"/>
          <w:szCs w:val="18"/>
          <w:bdr w:val="nil"/>
          <w:lang w:eastAsia="en-AU"/>
        </w:rPr>
      </w:pPr>
      <w:r w:rsidRPr="00B92CDD">
        <w:rPr>
          <w:rFonts w:eastAsia="SimSun" w:cs="Calibri"/>
          <w:bCs/>
          <w:sz w:val="18"/>
          <w:szCs w:val="18"/>
          <w:bdr w:val="nil"/>
          <w:lang w:eastAsia="en-AU"/>
        </w:rPr>
        <w:t>This measure is replacing accountability indicator 1.2.f in 2021-22.</w:t>
      </w:r>
      <w:r w:rsidR="00E85E76">
        <w:rPr>
          <w:rFonts w:eastAsia="SimSun" w:cs="Calibri"/>
          <w:bCs/>
          <w:sz w:val="18"/>
          <w:szCs w:val="18"/>
          <w:bdr w:val="nil"/>
          <w:lang w:eastAsia="en-AU"/>
        </w:rPr>
        <w:t xml:space="preserve"> </w:t>
      </w:r>
      <w:r w:rsidRPr="00B92CDD">
        <w:rPr>
          <w:rFonts w:eastAsia="SimSun" w:cs="Calibri"/>
          <w:bCs/>
          <w:sz w:val="18"/>
          <w:szCs w:val="18"/>
          <w:bdr w:val="nil"/>
          <w:lang w:eastAsia="en-AU"/>
        </w:rPr>
        <w:t xml:space="preserve"> It measures the cumulative number of businesses who have signed-up to make a pledge as part of up to the </w:t>
      </w:r>
      <w:r w:rsidRPr="000A6A2F">
        <w:rPr>
          <w:rFonts w:eastAsia="SimSun" w:cs="Calibri"/>
          <w:bCs/>
          <w:i/>
          <w:iCs/>
          <w:sz w:val="18"/>
          <w:szCs w:val="18"/>
          <w:bdr w:val="nil"/>
          <w:lang w:eastAsia="en-AU"/>
        </w:rPr>
        <w:t>Healthier Choices Canberra</w:t>
      </w:r>
      <w:r w:rsidRPr="00B92CDD">
        <w:rPr>
          <w:rFonts w:eastAsia="SimSun" w:cs="Calibri"/>
          <w:bCs/>
          <w:sz w:val="18"/>
          <w:szCs w:val="18"/>
          <w:bdr w:val="nil"/>
          <w:lang w:eastAsia="en-AU"/>
        </w:rPr>
        <w:t xml:space="preserve"> Initiative. </w:t>
      </w:r>
      <w:r w:rsidR="00E85E76">
        <w:rPr>
          <w:rFonts w:eastAsia="SimSun" w:cs="Calibri"/>
          <w:bCs/>
          <w:sz w:val="18"/>
          <w:szCs w:val="18"/>
          <w:bdr w:val="nil"/>
          <w:lang w:eastAsia="en-AU"/>
        </w:rPr>
        <w:t xml:space="preserve"> </w:t>
      </w:r>
      <w:r w:rsidRPr="00B92CDD">
        <w:rPr>
          <w:rFonts w:eastAsia="SimSun" w:cs="Calibri"/>
          <w:bCs/>
          <w:sz w:val="18"/>
          <w:szCs w:val="18"/>
          <w:bdr w:val="nil"/>
          <w:lang w:eastAsia="en-AU"/>
        </w:rPr>
        <w:t xml:space="preserve">Participation in </w:t>
      </w:r>
      <w:r w:rsidR="000A6A2F">
        <w:rPr>
          <w:rFonts w:eastAsia="SimSun" w:cs="Calibri"/>
          <w:bCs/>
          <w:sz w:val="18"/>
          <w:szCs w:val="18"/>
          <w:bdr w:val="nil"/>
          <w:lang w:eastAsia="en-AU"/>
        </w:rPr>
        <w:t xml:space="preserve">this program </w:t>
      </w:r>
      <w:r w:rsidRPr="00B92CDD">
        <w:rPr>
          <w:rFonts w:eastAsia="SimSun" w:cs="Calibri"/>
          <w:bCs/>
          <w:sz w:val="18"/>
          <w:szCs w:val="18"/>
          <w:bdr w:val="nil"/>
          <w:lang w:eastAsia="en-AU"/>
        </w:rPr>
        <w:t>is voluntary and businesses can select to sign-up to the initiative and leave in the same financial year.  At the end of 2019</w:t>
      </w:r>
      <w:r w:rsidR="002A2A55">
        <w:rPr>
          <w:rFonts w:eastAsia="SimSun" w:cs="Calibri"/>
          <w:bCs/>
          <w:sz w:val="18"/>
          <w:szCs w:val="18"/>
          <w:bdr w:val="nil"/>
          <w:lang w:eastAsia="en-AU"/>
        </w:rPr>
        <w:noBreakHyphen/>
      </w:r>
      <w:r w:rsidRPr="00B92CDD">
        <w:rPr>
          <w:rFonts w:eastAsia="SimSun" w:cs="Calibri"/>
          <w:bCs/>
          <w:sz w:val="18"/>
          <w:szCs w:val="18"/>
          <w:bdr w:val="nil"/>
          <w:lang w:eastAsia="en-AU"/>
        </w:rPr>
        <w:t xml:space="preserve">20 there were 104 businesses signed-up.  </w:t>
      </w:r>
    </w:p>
    <w:p w14:paraId="50D19199" w14:textId="77777777" w:rsidR="001F6B18" w:rsidRPr="00B92CDD" w:rsidRDefault="0027723F" w:rsidP="009832FC">
      <w:pPr>
        <w:numPr>
          <w:ilvl w:val="0"/>
          <w:numId w:val="26"/>
        </w:numPr>
        <w:pBdr>
          <w:top w:val="nil"/>
          <w:left w:val="nil"/>
          <w:bottom w:val="nil"/>
          <w:right w:val="nil"/>
          <w:between w:val="nil"/>
          <w:bar w:val="nil"/>
        </w:pBdr>
        <w:tabs>
          <w:tab w:val="left" w:pos="283"/>
          <w:tab w:val="left" w:pos="567"/>
        </w:tabs>
        <w:suppressAutoHyphens/>
        <w:autoSpaceDE w:val="0"/>
        <w:autoSpaceDN w:val="0"/>
        <w:adjustRightInd w:val="0"/>
        <w:spacing w:before="0" w:after="0"/>
        <w:ind w:left="284" w:hanging="284"/>
        <w:jc w:val="both"/>
        <w:rPr>
          <w:rFonts w:eastAsia="SimSun" w:cs="Calibri"/>
          <w:bCs/>
          <w:sz w:val="18"/>
          <w:szCs w:val="18"/>
          <w:bdr w:val="nil"/>
          <w:lang w:eastAsia="en-AU"/>
        </w:rPr>
      </w:pPr>
      <w:r w:rsidRPr="00B92CDD">
        <w:rPr>
          <w:rFonts w:eastAsia="SimSun" w:cs="Calibri"/>
          <w:bCs/>
          <w:sz w:val="18"/>
          <w:szCs w:val="18"/>
          <w:bdr w:val="nil"/>
          <w:lang w:eastAsia="en-AU"/>
        </w:rPr>
        <w:t>This measure is being replaced by accountability indicator 1.2.e in 2021-22.</w:t>
      </w:r>
    </w:p>
    <w:p w14:paraId="247D0B0B" w14:textId="77777777" w:rsidR="001F6B18" w:rsidRPr="00CC126B" w:rsidRDefault="0027723F" w:rsidP="001F6B18">
      <w:pPr>
        <w:pStyle w:val="BSnote2"/>
        <w:pBdr>
          <w:top w:val="nil"/>
          <w:left w:val="nil"/>
          <w:bottom w:val="nil"/>
          <w:right w:val="nil"/>
          <w:between w:val="nil"/>
          <w:bar w:val="nil"/>
        </w:pBdr>
        <w:rPr>
          <w:szCs w:val="18"/>
          <w:bdr w:val="nil"/>
          <w:lang w:eastAsia="en-US"/>
        </w:rPr>
      </w:pPr>
      <w:r>
        <w:rPr>
          <w:szCs w:val="18"/>
          <w:bdr w:val="nil"/>
        </w:rPr>
        <w:t>Variances between the 2020-21 Target and Interim Outcome</w:t>
      </w:r>
      <w:r w:rsidRPr="00CC126B">
        <w:rPr>
          <w:szCs w:val="18"/>
          <w:bdr w:val="nil"/>
        </w:rPr>
        <w:t>:</w:t>
      </w:r>
    </w:p>
    <w:p w14:paraId="6C1D6BCD" w14:textId="0356FEE8" w:rsidR="001F6B18" w:rsidRDefault="0027723F" w:rsidP="009832FC">
      <w:pPr>
        <w:pStyle w:val="ListParagraph"/>
        <w:numPr>
          <w:ilvl w:val="0"/>
          <w:numId w:val="24"/>
        </w:numPr>
        <w:pBdr>
          <w:top w:val="nil"/>
          <w:left w:val="nil"/>
          <w:bottom w:val="nil"/>
          <w:right w:val="nil"/>
          <w:between w:val="nil"/>
          <w:bar w:val="nil"/>
        </w:pBdr>
        <w:tabs>
          <w:tab w:val="left" w:pos="283"/>
          <w:tab w:val="left" w:pos="567"/>
        </w:tabs>
        <w:suppressAutoHyphens/>
        <w:autoSpaceDE w:val="0"/>
        <w:autoSpaceDN w:val="0"/>
        <w:adjustRightInd w:val="0"/>
        <w:spacing w:before="0"/>
        <w:ind w:left="284" w:hanging="284"/>
        <w:jc w:val="both"/>
        <w:rPr>
          <w:rFonts w:eastAsia="SimSun" w:cs="Calibri"/>
          <w:bCs/>
          <w:sz w:val="18"/>
          <w:szCs w:val="18"/>
          <w:bdr w:val="nil"/>
          <w:lang w:eastAsia="en-AU"/>
        </w:rPr>
      </w:pPr>
      <w:r w:rsidRPr="00142072">
        <w:rPr>
          <w:rFonts w:eastAsia="SimSun" w:cs="Calibri"/>
          <w:bCs/>
          <w:sz w:val="18"/>
          <w:szCs w:val="18"/>
          <w:bdr w:val="nil"/>
          <w:lang w:eastAsia="en-AU"/>
        </w:rPr>
        <w:t xml:space="preserve">The </w:t>
      </w:r>
      <w:r>
        <w:rPr>
          <w:rFonts w:eastAsia="SimSun" w:cs="Calibri"/>
          <w:bCs/>
          <w:sz w:val="18"/>
          <w:szCs w:val="18"/>
          <w:bdr w:val="nil"/>
          <w:lang w:eastAsia="en-AU"/>
        </w:rPr>
        <w:t xml:space="preserve">variance </w:t>
      </w:r>
      <w:r w:rsidRPr="00142072">
        <w:rPr>
          <w:rFonts w:eastAsia="SimSun" w:cs="Calibri"/>
          <w:bCs/>
          <w:sz w:val="18"/>
          <w:szCs w:val="18"/>
          <w:bdr w:val="nil"/>
          <w:lang w:eastAsia="en-AU"/>
        </w:rPr>
        <w:t xml:space="preserve">is mainly due to reductions in operations by third parties utilising the laboratory’s services, an assessment of the underpinning drivers would be speculative. </w:t>
      </w:r>
      <w:r w:rsidR="00E85E76">
        <w:rPr>
          <w:rFonts w:eastAsia="SimSun" w:cs="Calibri"/>
          <w:bCs/>
          <w:sz w:val="18"/>
          <w:szCs w:val="18"/>
          <w:bdr w:val="nil"/>
          <w:lang w:eastAsia="en-AU"/>
        </w:rPr>
        <w:t xml:space="preserve"> </w:t>
      </w:r>
      <w:r w:rsidRPr="00142072">
        <w:rPr>
          <w:rFonts w:eastAsia="SimSun" w:cs="Calibri"/>
          <w:bCs/>
          <w:sz w:val="18"/>
          <w:szCs w:val="18"/>
          <w:bdr w:val="nil"/>
          <w:lang w:eastAsia="en-AU"/>
        </w:rPr>
        <w:t>It should be noted that although samples analysed is down, the number of tests completed is still high as a large number of samples require multiple tests.</w:t>
      </w:r>
    </w:p>
    <w:p w14:paraId="3FBD8A43" w14:textId="77777777" w:rsidR="001F6B18" w:rsidRPr="00142072" w:rsidRDefault="0027723F" w:rsidP="009832FC">
      <w:pPr>
        <w:pStyle w:val="ListParagraph"/>
        <w:numPr>
          <w:ilvl w:val="0"/>
          <w:numId w:val="24"/>
        </w:numPr>
        <w:pBdr>
          <w:top w:val="nil"/>
          <w:left w:val="nil"/>
          <w:bottom w:val="nil"/>
          <w:right w:val="nil"/>
          <w:between w:val="nil"/>
          <w:bar w:val="nil"/>
        </w:pBdr>
        <w:tabs>
          <w:tab w:val="left" w:pos="283"/>
          <w:tab w:val="left" w:pos="567"/>
        </w:tabs>
        <w:suppressAutoHyphens/>
        <w:autoSpaceDE w:val="0"/>
        <w:autoSpaceDN w:val="0"/>
        <w:adjustRightInd w:val="0"/>
        <w:spacing w:before="0"/>
        <w:ind w:left="284" w:hanging="284"/>
        <w:jc w:val="both"/>
        <w:rPr>
          <w:rFonts w:eastAsia="SimSun" w:cs="Calibri"/>
          <w:bCs/>
          <w:sz w:val="18"/>
          <w:szCs w:val="18"/>
          <w:bdr w:val="nil"/>
          <w:lang w:eastAsia="en-AU"/>
        </w:rPr>
      </w:pPr>
      <w:r w:rsidRPr="003A28B0">
        <w:rPr>
          <w:rFonts w:cs="Calibri"/>
          <w:bCs/>
          <w:sz w:val="18"/>
          <w:szCs w:val="18"/>
          <w:bdr w:val="nil"/>
        </w:rPr>
        <w:t xml:space="preserve">The </w:t>
      </w:r>
      <w:r>
        <w:rPr>
          <w:rFonts w:cs="Calibri"/>
          <w:bCs/>
          <w:sz w:val="18"/>
          <w:szCs w:val="18"/>
          <w:bdr w:val="nil"/>
        </w:rPr>
        <w:t xml:space="preserve">variance </w:t>
      </w:r>
      <w:r w:rsidRPr="003A28B0">
        <w:rPr>
          <w:rFonts w:cs="Calibri"/>
          <w:bCs/>
          <w:sz w:val="18"/>
          <w:szCs w:val="18"/>
          <w:bdr w:val="nil"/>
        </w:rPr>
        <w:t xml:space="preserve">is due to changes to administrative procedures, the implementation of a new food inspection database and complementary workforce management system.  Site visits from March 2020 aimed to inform businesses of directives under the </w:t>
      </w:r>
      <w:r w:rsidRPr="000A6A2F">
        <w:rPr>
          <w:rFonts w:cs="Calibri"/>
          <w:bCs/>
          <w:i/>
          <w:iCs/>
          <w:sz w:val="18"/>
          <w:szCs w:val="18"/>
          <w:bdr w:val="nil"/>
        </w:rPr>
        <w:t>Public Health Act 1997</w:t>
      </w:r>
      <w:r w:rsidRPr="003A28B0">
        <w:rPr>
          <w:rFonts w:cs="Calibri"/>
          <w:bCs/>
          <w:sz w:val="18"/>
          <w:szCs w:val="18"/>
          <w:bdr w:val="nil"/>
        </w:rPr>
        <w:t xml:space="preserve"> relating to the current public health emergency, and to ensure their compliance.</w:t>
      </w:r>
    </w:p>
    <w:p w14:paraId="656E10AB" w14:textId="77777777" w:rsidR="001F6B18" w:rsidRPr="00142072" w:rsidRDefault="0027723F" w:rsidP="009832FC">
      <w:pPr>
        <w:pStyle w:val="ListParagraph"/>
        <w:numPr>
          <w:ilvl w:val="0"/>
          <w:numId w:val="24"/>
        </w:numPr>
        <w:pBdr>
          <w:top w:val="nil"/>
          <w:left w:val="nil"/>
          <w:bottom w:val="nil"/>
          <w:right w:val="nil"/>
          <w:between w:val="nil"/>
          <w:bar w:val="nil"/>
        </w:pBdr>
        <w:tabs>
          <w:tab w:val="left" w:pos="283"/>
          <w:tab w:val="left" w:pos="567"/>
        </w:tabs>
        <w:suppressAutoHyphens/>
        <w:autoSpaceDE w:val="0"/>
        <w:autoSpaceDN w:val="0"/>
        <w:adjustRightInd w:val="0"/>
        <w:spacing w:before="0"/>
        <w:ind w:left="284" w:hanging="284"/>
        <w:jc w:val="both"/>
        <w:rPr>
          <w:rFonts w:eastAsia="SimSun" w:cs="Calibri"/>
          <w:bCs/>
          <w:sz w:val="18"/>
          <w:szCs w:val="18"/>
          <w:bdr w:val="nil"/>
          <w:lang w:eastAsia="en-AU"/>
        </w:rPr>
      </w:pPr>
      <w:r>
        <w:rPr>
          <w:rFonts w:cs="Calibri"/>
          <w:bCs/>
          <w:sz w:val="18"/>
          <w:szCs w:val="18"/>
          <w:bdr w:val="nil"/>
        </w:rPr>
        <w:t>The variance</w:t>
      </w:r>
      <w:r w:rsidRPr="00412C2F">
        <w:rPr>
          <w:rFonts w:cs="Calibri"/>
          <w:bCs/>
          <w:sz w:val="18"/>
          <w:szCs w:val="18"/>
          <w:bdr w:val="nil"/>
        </w:rPr>
        <w:t xml:space="preserve"> is due to work by the Health Protection Service to maintain and increase immunisation rates for Aboriginal and Torres Strait Islander children. This includes follow-up of children reported as overdue for immunisations, promotional resources and information and ongoing collaboration with stakeholders and the Aboriginal and Torres Strait Islander community.</w:t>
      </w:r>
    </w:p>
    <w:p w14:paraId="4A825247" w14:textId="3B7DB06C" w:rsidR="001F6B18" w:rsidRPr="00142072" w:rsidRDefault="0027723F" w:rsidP="009832FC">
      <w:pPr>
        <w:pStyle w:val="ListParagraph"/>
        <w:numPr>
          <w:ilvl w:val="0"/>
          <w:numId w:val="24"/>
        </w:numPr>
        <w:pBdr>
          <w:top w:val="nil"/>
          <w:left w:val="nil"/>
          <w:bottom w:val="nil"/>
          <w:right w:val="nil"/>
          <w:between w:val="nil"/>
          <w:bar w:val="nil"/>
        </w:pBdr>
        <w:tabs>
          <w:tab w:val="left" w:pos="283"/>
          <w:tab w:val="left" w:pos="567"/>
        </w:tabs>
        <w:suppressAutoHyphens/>
        <w:autoSpaceDE w:val="0"/>
        <w:autoSpaceDN w:val="0"/>
        <w:adjustRightInd w:val="0"/>
        <w:spacing w:before="0"/>
        <w:ind w:left="284" w:hanging="284"/>
        <w:jc w:val="both"/>
        <w:rPr>
          <w:rFonts w:eastAsia="SimSun" w:cs="Calibri"/>
          <w:bCs/>
          <w:sz w:val="18"/>
          <w:szCs w:val="18"/>
          <w:bdr w:val="nil"/>
          <w:lang w:eastAsia="en-AU"/>
        </w:rPr>
      </w:pPr>
      <w:r w:rsidRPr="00412C2F">
        <w:rPr>
          <w:rFonts w:cs="Calibri"/>
          <w:bCs/>
          <w:sz w:val="18"/>
          <w:szCs w:val="18"/>
          <w:bdr w:val="nil"/>
        </w:rPr>
        <w:t xml:space="preserve">The </w:t>
      </w:r>
      <w:r>
        <w:rPr>
          <w:rFonts w:cs="Calibri"/>
          <w:bCs/>
          <w:sz w:val="18"/>
          <w:szCs w:val="18"/>
          <w:bdr w:val="nil"/>
        </w:rPr>
        <w:t xml:space="preserve">variance </w:t>
      </w:r>
      <w:r w:rsidRPr="00412C2F">
        <w:rPr>
          <w:rFonts w:cs="Calibri"/>
          <w:bCs/>
          <w:sz w:val="18"/>
          <w:szCs w:val="18"/>
          <w:bdr w:val="nil"/>
        </w:rPr>
        <w:t>was due to a change in focus</w:t>
      </w:r>
      <w:r>
        <w:rPr>
          <w:rFonts w:cs="Calibri"/>
          <w:bCs/>
          <w:sz w:val="18"/>
          <w:szCs w:val="18"/>
          <w:bdr w:val="nil"/>
        </w:rPr>
        <w:t xml:space="preserve">. </w:t>
      </w:r>
      <w:r w:rsidR="00E85E76">
        <w:rPr>
          <w:rFonts w:cs="Calibri"/>
          <w:bCs/>
          <w:sz w:val="18"/>
          <w:szCs w:val="18"/>
          <w:bdr w:val="nil"/>
        </w:rPr>
        <w:t xml:space="preserve"> </w:t>
      </w:r>
      <w:r>
        <w:rPr>
          <w:rFonts w:cs="Calibri"/>
          <w:bCs/>
          <w:sz w:val="18"/>
          <w:szCs w:val="18"/>
          <w:bdr w:val="nil"/>
        </w:rPr>
        <w:t>A</w:t>
      </w:r>
      <w:r w:rsidRPr="00412C2F">
        <w:rPr>
          <w:rFonts w:cs="Calibri"/>
          <w:bCs/>
          <w:sz w:val="18"/>
          <w:szCs w:val="18"/>
          <w:bdr w:val="nil"/>
        </w:rPr>
        <w:t xml:space="preserve"> key priority in the 2020 calendar year was to support existing businesses already on the program who were significantly impacted by COVID-19.  The focus was to maintain engagement with existing businesses and support them during a period where they had to either close completely or pivot to takeaway service only and then reopen with restricted dining numbers and new COVID</w:t>
      </w:r>
      <w:r>
        <w:rPr>
          <w:rFonts w:cs="Calibri"/>
          <w:bCs/>
          <w:sz w:val="18"/>
          <w:szCs w:val="18"/>
          <w:bdr w:val="nil"/>
        </w:rPr>
        <w:t>-19</w:t>
      </w:r>
      <w:r w:rsidRPr="00412C2F">
        <w:rPr>
          <w:rFonts w:cs="Calibri"/>
          <w:bCs/>
          <w:sz w:val="18"/>
          <w:szCs w:val="18"/>
          <w:bdr w:val="nil"/>
        </w:rPr>
        <w:t xml:space="preserve"> safe measures in place</w:t>
      </w:r>
      <w:r>
        <w:rPr>
          <w:rFonts w:cs="Calibri"/>
          <w:bCs/>
          <w:sz w:val="18"/>
          <w:szCs w:val="18"/>
          <w:bdr w:val="nil"/>
        </w:rPr>
        <w:t>.</w:t>
      </w:r>
    </w:p>
    <w:p w14:paraId="049B45B0" w14:textId="77777777" w:rsidR="001F6B18" w:rsidRDefault="001F6B18" w:rsidP="001F6B18">
      <w:pPr>
        <w:pStyle w:val="Bodytext0"/>
        <w:pBdr>
          <w:top w:val="nil"/>
          <w:left w:val="nil"/>
          <w:bottom w:val="nil"/>
          <w:right w:val="nil"/>
          <w:between w:val="nil"/>
          <w:bar w:val="nil"/>
        </w:pBdr>
        <w:spacing w:after="0" w:line="240" w:lineRule="auto"/>
        <w:jc w:val="both"/>
        <w:rPr>
          <w:rFonts w:ascii="Calibri" w:hAnsi="Calibri" w:cs="Calibri"/>
          <w:bCs/>
          <w:color w:val="auto"/>
          <w:sz w:val="18"/>
          <w:szCs w:val="18"/>
          <w:bdr w:val="nil"/>
          <w:lang w:val="en-AU"/>
        </w:rPr>
      </w:pPr>
    </w:p>
    <w:p w14:paraId="53CD26E3" w14:textId="77777777" w:rsidR="001F6B18" w:rsidRDefault="0027723F" w:rsidP="001F6B18">
      <w:pPr>
        <w:pStyle w:val="Heading4"/>
        <w:pBdr>
          <w:top w:val="nil"/>
          <w:left w:val="nil"/>
          <w:bottom w:val="nil"/>
          <w:right w:val="nil"/>
          <w:between w:val="nil"/>
          <w:bar w:val="nil"/>
        </w:pBdr>
        <w:rPr>
          <w:bCs w:val="0"/>
          <w:bdr w:val="nil"/>
        </w:rPr>
      </w:pPr>
      <w:r>
        <w:rPr>
          <w:bCs w:val="0"/>
          <w:bdr w:val="nil"/>
        </w:rPr>
        <w:lastRenderedPageBreak/>
        <w:t xml:space="preserve">Output 1.3: </w:t>
      </w:r>
      <w:r w:rsidRPr="00E33D44">
        <w:rPr>
          <w:bCs w:val="0"/>
          <w:bdr w:val="nil"/>
        </w:rPr>
        <w:t>Mentally Healthy Communities</w:t>
      </w:r>
    </w:p>
    <w:p w14:paraId="0059A3EB" w14:textId="77777777" w:rsidR="001F6B18" w:rsidRPr="00117443" w:rsidRDefault="0027723F" w:rsidP="001F6B18">
      <w:pPr>
        <w:keepNext/>
        <w:pBdr>
          <w:top w:val="nil"/>
          <w:left w:val="nil"/>
          <w:bottom w:val="nil"/>
          <w:right w:val="nil"/>
          <w:between w:val="nil"/>
          <w:bar w:val="nil"/>
        </w:pBdr>
        <w:spacing w:before="240"/>
        <w:rPr>
          <w:b/>
          <w:bCs/>
          <w:noProof/>
          <w:color w:val="000000"/>
          <w:sz w:val="22"/>
          <w:szCs w:val="18"/>
          <w:bdr w:val="nil"/>
        </w:rPr>
      </w:pPr>
      <w:r w:rsidRPr="00117443">
        <w:rPr>
          <w:b/>
          <w:bCs/>
          <w:color w:val="000000"/>
          <w:sz w:val="22"/>
          <w:szCs w:val="18"/>
          <w:bdr w:val="nil"/>
        </w:rPr>
        <w:t xml:space="preserve">Table </w:t>
      </w:r>
      <w:r>
        <w:rPr>
          <w:b/>
          <w:bCs/>
          <w:color w:val="000000"/>
          <w:sz w:val="22"/>
          <w:szCs w:val="18"/>
          <w:bdr w:val="nil"/>
        </w:rPr>
        <w:t>17</w:t>
      </w:r>
      <w:r w:rsidRPr="00117443">
        <w:rPr>
          <w:b/>
          <w:bCs/>
          <w:noProof/>
          <w:color w:val="000000"/>
          <w:sz w:val="22"/>
          <w:szCs w:val="18"/>
          <w:bdr w:val="nil"/>
        </w:rPr>
        <w:t>:</w:t>
      </w:r>
      <w:r w:rsidRPr="00117443">
        <w:rPr>
          <w:b/>
          <w:bCs/>
          <w:color w:val="000000"/>
          <w:sz w:val="22"/>
          <w:szCs w:val="18"/>
          <w:bdr w:val="nil"/>
        </w:rPr>
        <w:t xml:space="preserve"> Accountability Indicators</w:t>
      </w:r>
      <w:r w:rsidRPr="00117443">
        <w:rPr>
          <w:b/>
          <w:bCs/>
          <w:noProof/>
          <w:color w:val="000000"/>
          <w:sz w:val="22"/>
          <w:szCs w:val="18"/>
          <w:bdr w:val="nil"/>
        </w:rPr>
        <w:t xml:space="preserve"> Output 1.3</w:t>
      </w:r>
    </w:p>
    <w:tbl>
      <w:tblPr>
        <w:tblW w:w="9100" w:type="dxa"/>
        <w:tblInd w:w="108" w:type="dxa"/>
        <w:tblBorders>
          <w:top w:val="single" w:sz="12" w:space="0" w:color="000000"/>
          <w:bottom w:val="single" w:sz="12" w:space="0" w:color="000000"/>
        </w:tblBorders>
        <w:tblLook w:val="04A0" w:firstRow="1" w:lastRow="0" w:firstColumn="1" w:lastColumn="0" w:noHBand="0" w:noVBand="1"/>
      </w:tblPr>
      <w:tblGrid>
        <w:gridCol w:w="5173"/>
        <w:gridCol w:w="1309"/>
        <w:gridCol w:w="1309"/>
        <w:gridCol w:w="1309"/>
      </w:tblGrid>
      <w:tr w:rsidR="00496618" w14:paraId="04C658A8" w14:textId="77777777" w:rsidTr="001F6B18">
        <w:trPr>
          <w:tblHeader/>
        </w:trPr>
        <w:tc>
          <w:tcPr>
            <w:tcW w:w="2842" w:type="pct"/>
            <w:tcBorders>
              <w:top w:val="single" w:sz="12" w:space="0" w:color="000000"/>
              <w:left w:val="nil"/>
              <w:bottom w:val="single" w:sz="12" w:space="0" w:color="000000"/>
              <w:right w:val="nil"/>
            </w:tcBorders>
          </w:tcPr>
          <w:p w14:paraId="09F20C7F" w14:textId="77777777" w:rsidR="001F6B18" w:rsidRPr="006B3809" w:rsidRDefault="001F6B18" w:rsidP="001F6B18">
            <w:pPr>
              <w:pBdr>
                <w:top w:val="nil"/>
                <w:left w:val="nil"/>
                <w:bottom w:val="nil"/>
                <w:right w:val="nil"/>
                <w:between w:val="nil"/>
                <w:bar w:val="nil"/>
              </w:pBdr>
              <w:spacing w:before="0" w:after="0" w:line="256" w:lineRule="auto"/>
              <w:ind w:left="227" w:hanging="227"/>
              <w:rPr>
                <w:b/>
                <w:sz w:val="20"/>
                <w:bdr w:val="nil"/>
                <w:lang w:eastAsia="en-AU"/>
              </w:rPr>
            </w:pPr>
          </w:p>
        </w:tc>
        <w:tc>
          <w:tcPr>
            <w:tcW w:w="719" w:type="pct"/>
            <w:tcBorders>
              <w:top w:val="single" w:sz="12" w:space="0" w:color="000000"/>
              <w:left w:val="nil"/>
              <w:bottom w:val="single" w:sz="12" w:space="0" w:color="000000"/>
              <w:right w:val="nil"/>
            </w:tcBorders>
            <w:hideMark/>
          </w:tcPr>
          <w:p w14:paraId="25D6185D" w14:textId="77777777" w:rsidR="001F6B18" w:rsidRPr="006B3809" w:rsidRDefault="0027723F" w:rsidP="001F6B18">
            <w:pPr>
              <w:pStyle w:val="BStableheading11"/>
              <w:framePr w:wrap="auto" w:vAnchor="margin" w:yAlign="inline"/>
              <w:pBdr>
                <w:top w:val="nil"/>
                <w:left w:val="nil"/>
                <w:bottom w:val="nil"/>
                <w:right w:val="nil"/>
                <w:between w:val="nil"/>
                <w:bar w:val="nil"/>
              </w:pBdr>
              <w:rPr>
                <w:bdr w:val="nil"/>
              </w:rPr>
            </w:pPr>
            <w:r>
              <w:rPr>
                <w:bdr w:val="nil"/>
              </w:rPr>
              <w:t>2020-21 Targets</w:t>
            </w:r>
          </w:p>
        </w:tc>
        <w:tc>
          <w:tcPr>
            <w:tcW w:w="719" w:type="pct"/>
            <w:tcBorders>
              <w:top w:val="single" w:sz="12" w:space="0" w:color="000000"/>
              <w:left w:val="nil"/>
              <w:bottom w:val="single" w:sz="12" w:space="0" w:color="000000"/>
              <w:right w:val="nil"/>
            </w:tcBorders>
            <w:hideMark/>
          </w:tcPr>
          <w:p w14:paraId="217180CB" w14:textId="77777777" w:rsidR="001F6B18"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 xml:space="preserve">2020-21 </w:t>
            </w:r>
          </w:p>
          <w:p w14:paraId="1A66AE3F" w14:textId="77777777" w:rsidR="001F6B18"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Interim</w:t>
            </w:r>
          </w:p>
          <w:p w14:paraId="70377572" w14:textId="77777777" w:rsidR="001F6B18" w:rsidRPr="006B3809" w:rsidRDefault="0027723F" w:rsidP="001F6B18">
            <w:pPr>
              <w:pStyle w:val="BStableheading11"/>
              <w:framePr w:wrap="auto" w:vAnchor="margin" w:yAlign="inline"/>
              <w:pBdr>
                <w:top w:val="nil"/>
                <w:left w:val="nil"/>
                <w:bottom w:val="nil"/>
                <w:right w:val="nil"/>
                <w:between w:val="nil"/>
                <w:bar w:val="nil"/>
              </w:pBdr>
              <w:rPr>
                <w:bdr w:val="nil"/>
              </w:rPr>
            </w:pPr>
            <w:r>
              <w:rPr>
                <w:bdr w:val="nil"/>
              </w:rPr>
              <w:t>Outcome</w:t>
            </w:r>
          </w:p>
        </w:tc>
        <w:tc>
          <w:tcPr>
            <w:tcW w:w="719" w:type="pct"/>
            <w:tcBorders>
              <w:top w:val="single" w:sz="12" w:space="0" w:color="000000"/>
              <w:left w:val="nil"/>
              <w:bottom w:val="single" w:sz="12" w:space="0" w:color="000000"/>
              <w:right w:val="nil"/>
            </w:tcBorders>
            <w:hideMark/>
          </w:tcPr>
          <w:p w14:paraId="1AA194B5" w14:textId="77777777" w:rsidR="001F6B18"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2021-22</w:t>
            </w:r>
          </w:p>
          <w:p w14:paraId="43D2B068" w14:textId="77777777" w:rsidR="001F6B18" w:rsidRPr="006B3809" w:rsidRDefault="0027723F" w:rsidP="001F6B18">
            <w:pPr>
              <w:pStyle w:val="BStableheading11"/>
              <w:framePr w:wrap="auto" w:vAnchor="margin" w:yAlign="inline"/>
              <w:pBdr>
                <w:top w:val="nil"/>
                <w:left w:val="nil"/>
                <w:bottom w:val="nil"/>
                <w:right w:val="nil"/>
                <w:between w:val="nil"/>
                <w:bar w:val="nil"/>
              </w:pBdr>
              <w:rPr>
                <w:bdr w:val="nil"/>
              </w:rPr>
            </w:pPr>
            <w:r>
              <w:rPr>
                <w:bdr w:val="nil"/>
              </w:rPr>
              <w:t xml:space="preserve">Targets </w:t>
            </w:r>
          </w:p>
        </w:tc>
      </w:tr>
      <w:tr w:rsidR="00496618" w14:paraId="0729D0DB" w14:textId="77777777" w:rsidTr="001F6B18">
        <w:trPr>
          <w:trHeight w:val="283"/>
        </w:trPr>
        <w:tc>
          <w:tcPr>
            <w:tcW w:w="2842" w:type="pct"/>
            <w:tcBorders>
              <w:top w:val="single" w:sz="12" w:space="0" w:color="000000"/>
              <w:left w:val="nil"/>
              <w:bottom w:val="nil"/>
              <w:right w:val="nil"/>
            </w:tcBorders>
            <w:hideMark/>
          </w:tcPr>
          <w:p w14:paraId="4843D476" w14:textId="77777777" w:rsidR="001F6B18" w:rsidRPr="00117443" w:rsidRDefault="0027723F" w:rsidP="009832FC">
            <w:pPr>
              <w:numPr>
                <w:ilvl w:val="0"/>
                <w:numId w:val="25"/>
              </w:numPr>
              <w:pBdr>
                <w:top w:val="nil"/>
                <w:left w:val="nil"/>
                <w:bottom w:val="nil"/>
                <w:right w:val="nil"/>
                <w:between w:val="nil"/>
                <w:bar w:val="nil"/>
              </w:pBdr>
              <w:spacing w:before="0" w:after="0" w:line="256" w:lineRule="auto"/>
              <w:rPr>
                <w:sz w:val="20"/>
                <w:bdr w:val="nil"/>
                <w:lang w:eastAsia="en-AU"/>
              </w:rPr>
            </w:pPr>
            <w:r w:rsidRPr="00117443">
              <w:rPr>
                <w:sz w:val="20"/>
                <w:bdr w:val="nil"/>
                <w:lang w:eastAsia="en-AU"/>
              </w:rPr>
              <w:t>Percentage of mental health clients with outcome measures completed</w:t>
            </w:r>
            <w:r w:rsidRPr="003D15D7">
              <w:rPr>
                <w:sz w:val="20"/>
                <w:bdr w:val="nil"/>
                <w:vertAlign w:val="superscript"/>
                <w:lang w:eastAsia="en-AU"/>
              </w:rPr>
              <w:t>1</w:t>
            </w:r>
          </w:p>
        </w:tc>
        <w:tc>
          <w:tcPr>
            <w:tcW w:w="719" w:type="pct"/>
            <w:tcBorders>
              <w:top w:val="single" w:sz="12" w:space="0" w:color="000000"/>
              <w:left w:val="nil"/>
              <w:bottom w:val="nil"/>
              <w:right w:val="nil"/>
            </w:tcBorders>
            <w:hideMark/>
          </w:tcPr>
          <w:p w14:paraId="6D3A8BE1"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65%</w:t>
            </w:r>
          </w:p>
        </w:tc>
        <w:tc>
          <w:tcPr>
            <w:tcW w:w="719" w:type="pct"/>
            <w:tcBorders>
              <w:top w:val="single" w:sz="12" w:space="0" w:color="000000"/>
              <w:left w:val="nil"/>
              <w:bottom w:val="nil"/>
              <w:right w:val="nil"/>
            </w:tcBorders>
            <w:hideMark/>
          </w:tcPr>
          <w:p w14:paraId="7A152ED8"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78%</w:t>
            </w:r>
          </w:p>
        </w:tc>
        <w:tc>
          <w:tcPr>
            <w:tcW w:w="719" w:type="pct"/>
            <w:tcBorders>
              <w:top w:val="single" w:sz="12" w:space="0" w:color="000000"/>
              <w:left w:val="nil"/>
              <w:bottom w:val="nil"/>
              <w:right w:val="nil"/>
            </w:tcBorders>
            <w:hideMark/>
          </w:tcPr>
          <w:p w14:paraId="19B31B44"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65%</w:t>
            </w:r>
          </w:p>
        </w:tc>
      </w:tr>
      <w:tr w:rsidR="00496618" w14:paraId="637D04C6" w14:textId="77777777" w:rsidTr="001F6B18">
        <w:trPr>
          <w:trHeight w:val="283"/>
        </w:trPr>
        <w:tc>
          <w:tcPr>
            <w:tcW w:w="2842" w:type="pct"/>
            <w:tcBorders>
              <w:top w:val="nil"/>
              <w:left w:val="nil"/>
              <w:bottom w:val="single" w:sz="2" w:space="0" w:color="auto"/>
              <w:right w:val="nil"/>
            </w:tcBorders>
            <w:hideMark/>
          </w:tcPr>
          <w:p w14:paraId="6A3E0A2B" w14:textId="77777777" w:rsidR="001F6B18" w:rsidRPr="006B3809" w:rsidRDefault="0027723F" w:rsidP="009832FC">
            <w:pPr>
              <w:numPr>
                <w:ilvl w:val="0"/>
                <w:numId w:val="25"/>
              </w:numPr>
              <w:pBdr>
                <w:top w:val="nil"/>
                <w:left w:val="nil"/>
                <w:bottom w:val="nil"/>
                <w:right w:val="nil"/>
                <w:between w:val="nil"/>
                <w:bar w:val="nil"/>
              </w:pBdr>
              <w:spacing w:before="0" w:after="0" w:line="256" w:lineRule="auto"/>
              <w:rPr>
                <w:sz w:val="20"/>
                <w:bdr w:val="nil"/>
              </w:rPr>
            </w:pPr>
            <w:r w:rsidRPr="00117443">
              <w:rPr>
                <w:sz w:val="20"/>
                <w:bdr w:val="nil"/>
                <w:lang w:eastAsia="en-AU"/>
              </w:rPr>
              <w:t>Annual progress report on the implementation of the Office for Mental Health and Wellbeing Workplan 2019</w:t>
            </w:r>
            <w:r>
              <w:rPr>
                <w:sz w:val="20"/>
                <w:bdr w:val="nil"/>
                <w:lang w:eastAsia="en-AU"/>
              </w:rPr>
              <w:noBreakHyphen/>
            </w:r>
            <w:r w:rsidRPr="00117443">
              <w:rPr>
                <w:sz w:val="20"/>
                <w:bdr w:val="nil"/>
                <w:lang w:eastAsia="en-AU"/>
              </w:rPr>
              <w:t>2021 published</w:t>
            </w:r>
          </w:p>
          <w:p w14:paraId="6918FEB1" w14:textId="77777777" w:rsidR="001F6B18" w:rsidRPr="00117443" w:rsidRDefault="001F6B18" w:rsidP="001F6B18">
            <w:pPr>
              <w:pBdr>
                <w:top w:val="nil"/>
                <w:left w:val="nil"/>
                <w:bottom w:val="nil"/>
                <w:right w:val="nil"/>
                <w:between w:val="nil"/>
                <w:bar w:val="nil"/>
              </w:pBdr>
              <w:spacing w:before="0" w:after="0" w:line="256" w:lineRule="auto"/>
              <w:ind w:left="360"/>
              <w:rPr>
                <w:sz w:val="20"/>
                <w:bdr w:val="nil"/>
              </w:rPr>
            </w:pPr>
          </w:p>
        </w:tc>
        <w:tc>
          <w:tcPr>
            <w:tcW w:w="719" w:type="pct"/>
            <w:tcBorders>
              <w:top w:val="nil"/>
              <w:left w:val="nil"/>
              <w:bottom w:val="single" w:sz="2" w:space="0" w:color="auto"/>
              <w:right w:val="nil"/>
            </w:tcBorders>
            <w:hideMark/>
          </w:tcPr>
          <w:p w14:paraId="7EEFBBCA"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1</w:t>
            </w:r>
          </w:p>
        </w:tc>
        <w:tc>
          <w:tcPr>
            <w:tcW w:w="719" w:type="pct"/>
            <w:tcBorders>
              <w:top w:val="nil"/>
              <w:left w:val="nil"/>
              <w:bottom w:val="single" w:sz="2" w:space="0" w:color="auto"/>
              <w:right w:val="nil"/>
            </w:tcBorders>
            <w:hideMark/>
          </w:tcPr>
          <w:p w14:paraId="4E043F60"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1</w:t>
            </w:r>
          </w:p>
        </w:tc>
        <w:tc>
          <w:tcPr>
            <w:tcW w:w="719" w:type="pct"/>
            <w:tcBorders>
              <w:top w:val="nil"/>
              <w:left w:val="nil"/>
              <w:bottom w:val="single" w:sz="2" w:space="0" w:color="auto"/>
              <w:right w:val="nil"/>
            </w:tcBorders>
            <w:hideMark/>
          </w:tcPr>
          <w:p w14:paraId="14001D9E"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sidRPr="00117443">
              <w:rPr>
                <w:sz w:val="20"/>
                <w:bdr w:val="nil"/>
              </w:rPr>
              <w:t>1</w:t>
            </w:r>
          </w:p>
        </w:tc>
      </w:tr>
    </w:tbl>
    <w:p w14:paraId="4E2CF99E" w14:textId="77777777" w:rsidR="001F6B18" w:rsidRDefault="0027723F" w:rsidP="001F6B18">
      <w:pPr>
        <w:pStyle w:val="BSnote2"/>
        <w:pBdr>
          <w:top w:val="nil"/>
          <w:left w:val="nil"/>
          <w:bottom w:val="nil"/>
          <w:right w:val="nil"/>
          <w:between w:val="nil"/>
          <w:bar w:val="nil"/>
        </w:pBdr>
        <w:rPr>
          <w:bdr w:val="nil"/>
          <w:lang w:eastAsia="en-US"/>
        </w:rPr>
      </w:pPr>
      <w:r>
        <w:rPr>
          <w:bdr w:val="nil"/>
        </w:rPr>
        <w:t>Notes:</w:t>
      </w:r>
    </w:p>
    <w:p w14:paraId="2E710C80" w14:textId="6FB7BC4B" w:rsidR="001F6B18" w:rsidRDefault="0027723F" w:rsidP="00D12F0F">
      <w:pPr>
        <w:numPr>
          <w:ilvl w:val="0"/>
          <w:numId w:val="33"/>
        </w:numPr>
        <w:pBdr>
          <w:top w:val="nil"/>
          <w:left w:val="nil"/>
          <w:bottom w:val="nil"/>
          <w:right w:val="nil"/>
          <w:between w:val="nil"/>
          <w:bar w:val="nil"/>
        </w:pBdr>
        <w:tabs>
          <w:tab w:val="left" w:pos="283"/>
          <w:tab w:val="left" w:pos="567"/>
        </w:tabs>
        <w:suppressAutoHyphens/>
        <w:autoSpaceDE w:val="0"/>
        <w:autoSpaceDN w:val="0"/>
        <w:adjustRightInd w:val="0"/>
        <w:spacing w:before="0" w:after="0"/>
        <w:jc w:val="both"/>
        <w:rPr>
          <w:rFonts w:eastAsia="SimSun" w:cs="Calibri"/>
          <w:bCs/>
          <w:sz w:val="18"/>
          <w:szCs w:val="18"/>
          <w:bdr w:val="nil"/>
          <w:lang w:eastAsia="en-AU"/>
        </w:rPr>
      </w:pPr>
      <w:r w:rsidRPr="00C82C44">
        <w:rPr>
          <w:rFonts w:eastAsia="SimSun" w:cs="Calibri"/>
          <w:bCs/>
          <w:sz w:val="18"/>
          <w:szCs w:val="18"/>
          <w:bdr w:val="nil"/>
          <w:lang w:eastAsia="en-AU"/>
        </w:rPr>
        <w:t xml:space="preserve">Proportion of eligible mental health registered clients receiving ongoing mental health care having clinical outcome measures completed. Service settings included are inpatient, community and residential care. </w:t>
      </w:r>
      <w:r w:rsidR="00E85E76">
        <w:rPr>
          <w:rFonts w:eastAsia="SimSun" w:cs="Calibri"/>
          <w:bCs/>
          <w:sz w:val="18"/>
          <w:szCs w:val="18"/>
          <w:bdr w:val="nil"/>
          <w:lang w:eastAsia="en-AU"/>
        </w:rPr>
        <w:t xml:space="preserve"> </w:t>
      </w:r>
      <w:r w:rsidRPr="00C82C44">
        <w:rPr>
          <w:rFonts w:eastAsia="SimSun" w:cs="Calibri"/>
          <w:bCs/>
          <w:sz w:val="18"/>
          <w:szCs w:val="18"/>
          <w:bdr w:val="nil"/>
          <w:lang w:eastAsia="en-AU"/>
        </w:rPr>
        <w:t>All age groups included. Eligible clients are people receiving mental health services on an ongoing basis, have a case manager assigned and are in contact with mental health services in the re</w:t>
      </w:r>
      <w:r>
        <w:rPr>
          <w:rFonts w:eastAsia="SimSun" w:cs="Calibri"/>
          <w:bCs/>
          <w:sz w:val="18"/>
          <w:szCs w:val="18"/>
          <w:bdr w:val="nil"/>
          <w:lang w:eastAsia="en-AU"/>
        </w:rPr>
        <w:t xml:space="preserve">porting </w:t>
      </w:r>
      <w:r w:rsidRPr="00C82C44">
        <w:rPr>
          <w:rFonts w:eastAsia="SimSun" w:cs="Calibri"/>
          <w:bCs/>
          <w:sz w:val="18"/>
          <w:szCs w:val="18"/>
          <w:bdr w:val="nil"/>
          <w:lang w:eastAsia="en-AU"/>
        </w:rPr>
        <w:t>period.</w:t>
      </w:r>
      <w:r>
        <w:rPr>
          <w:rFonts w:eastAsia="SimSun" w:cs="Calibri"/>
          <w:bCs/>
          <w:sz w:val="18"/>
          <w:szCs w:val="18"/>
          <w:bdr w:val="nil"/>
          <w:lang w:eastAsia="en-AU"/>
        </w:rPr>
        <w:t xml:space="preserve"> </w:t>
      </w:r>
    </w:p>
    <w:p w14:paraId="41F945C5" w14:textId="20BD4529" w:rsidR="001F6B18" w:rsidRDefault="0027723F" w:rsidP="00D12F0F">
      <w:pPr>
        <w:numPr>
          <w:ilvl w:val="0"/>
          <w:numId w:val="33"/>
        </w:numPr>
        <w:pBdr>
          <w:top w:val="nil"/>
          <w:left w:val="nil"/>
          <w:bottom w:val="nil"/>
          <w:right w:val="nil"/>
          <w:between w:val="nil"/>
          <w:bar w:val="nil"/>
        </w:pBdr>
        <w:tabs>
          <w:tab w:val="left" w:pos="283"/>
          <w:tab w:val="left" w:pos="567"/>
        </w:tabs>
        <w:suppressAutoHyphens/>
        <w:autoSpaceDE w:val="0"/>
        <w:autoSpaceDN w:val="0"/>
        <w:adjustRightInd w:val="0"/>
        <w:spacing w:before="0"/>
        <w:ind w:left="284" w:hanging="284"/>
        <w:jc w:val="both"/>
        <w:rPr>
          <w:rFonts w:eastAsia="SimSun" w:cs="Calibri"/>
          <w:bCs/>
          <w:sz w:val="18"/>
          <w:szCs w:val="18"/>
          <w:bdr w:val="nil"/>
          <w:lang w:eastAsia="en-AU"/>
        </w:rPr>
      </w:pPr>
      <w:r w:rsidRPr="00C82C44">
        <w:rPr>
          <w:rFonts w:eastAsia="SimSun" w:cs="Calibri"/>
          <w:bCs/>
          <w:sz w:val="18"/>
          <w:szCs w:val="18"/>
          <w:bdr w:val="nil"/>
          <w:lang w:eastAsia="en-AU"/>
        </w:rPr>
        <w:t>The annual progress report on the implementation of the office for Mental Health and Wellbeing Workplan is completed as a standalone component of Directorate’s Annual Report.</w:t>
      </w:r>
    </w:p>
    <w:p w14:paraId="1168CCCC" w14:textId="77777777" w:rsidR="001F6B18" w:rsidRPr="00CC126B" w:rsidRDefault="0027723F" w:rsidP="001F6B18">
      <w:pPr>
        <w:pStyle w:val="BSnote2"/>
        <w:pBdr>
          <w:top w:val="nil"/>
          <w:left w:val="nil"/>
          <w:bottom w:val="nil"/>
          <w:right w:val="nil"/>
          <w:between w:val="nil"/>
          <w:bar w:val="nil"/>
        </w:pBdr>
        <w:spacing w:before="0"/>
        <w:rPr>
          <w:szCs w:val="18"/>
          <w:bdr w:val="nil"/>
          <w:lang w:eastAsia="en-US"/>
        </w:rPr>
      </w:pPr>
      <w:r>
        <w:rPr>
          <w:szCs w:val="18"/>
          <w:bdr w:val="nil"/>
        </w:rPr>
        <w:t>Variances between the 2020-21 Target and Interim Outcome</w:t>
      </w:r>
      <w:r w:rsidRPr="00CC126B">
        <w:rPr>
          <w:szCs w:val="18"/>
          <w:bdr w:val="nil"/>
        </w:rPr>
        <w:t>:</w:t>
      </w:r>
    </w:p>
    <w:p w14:paraId="7C855691" w14:textId="77777777" w:rsidR="001F6B18" w:rsidRPr="001B5041" w:rsidRDefault="0027723F" w:rsidP="009832FC">
      <w:pPr>
        <w:pStyle w:val="ListParagraph"/>
        <w:numPr>
          <w:ilvl w:val="0"/>
          <w:numId w:val="27"/>
        </w:numPr>
        <w:pBdr>
          <w:top w:val="nil"/>
          <w:left w:val="nil"/>
          <w:bottom w:val="nil"/>
          <w:right w:val="nil"/>
          <w:between w:val="nil"/>
          <w:bar w:val="nil"/>
        </w:pBdr>
        <w:tabs>
          <w:tab w:val="left" w:pos="283"/>
          <w:tab w:val="left" w:pos="567"/>
        </w:tabs>
        <w:suppressAutoHyphens/>
        <w:autoSpaceDE w:val="0"/>
        <w:autoSpaceDN w:val="0"/>
        <w:adjustRightInd w:val="0"/>
        <w:spacing w:before="0"/>
        <w:ind w:left="284" w:hanging="284"/>
        <w:jc w:val="both"/>
        <w:rPr>
          <w:rFonts w:eastAsia="SimSun" w:cs="Calibri"/>
          <w:bCs/>
          <w:sz w:val="18"/>
          <w:szCs w:val="18"/>
          <w:bdr w:val="nil"/>
          <w:lang w:eastAsia="en-AU"/>
        </w:rPr>
      </w:pPr>
      <w:r w:rsidRPr="001B5041">
        <w:rPr>
          <w:rFonts w:eastAsia="SimSun" w:cs="Calibri"/>
          <w:bCs/>
          <w:sz w:val="18"/>
          <w:szCs w:val="18"/>
          <w:bdr w:val="nil"/>
          <w:lang w:eastAsia="en-AU"/>
        </w:rPr>
        <w:t>The over achievement is due to a sustained effort to complete outcome measures for eligible consumers.</w:t>
      </w:r>
    </w:p>
    <w:p w14:paraId="7E151BCB" w14:textId="77777777" w:rsidR="001F6B18" w:rsidRDefault="0027723F" w:rsidP="001F6B18">
      <w:pPr>
        <w:pStyle w:val="Heading4"/>
        <w:pBdr>
          <w:top w:val="nil"/>
          <w:left w:val="nil"/>
          <w:bottom w:val="nil"/>
          <w:right w:val="nil"/>
          <w:between w:val="nil"/>
          <w:bar w:val="nil"/>
        </w:pBdr>
        <w:rPr>
          <w:bCs w:val="0"/>
          <w:bdr w:val="nil"/>
        </w:rPr>
      </w:pPr>
      <w:r>
        <w:rPr>
          <w:bCs w:val="0"/>
          <w:bdr w:val="nil"/>
        </w:rPr>
        <w:t xml:space="preserve">Output 1.4: </w:t>
      </w:r>
      <w:r w:rsidRPr="00E33D44">
        <w:rPr>
          <w:bCs w:val="0"/>
          <w:bdr w:val="nil"/>
        </w:rPr>
        <w:t>Continuous Improvement of the ACT Public Health System</w:t>
      </w:r>
    </w:p>
    <w:p w14:paraId="0AD82599" w14:textId="77777777" w:rsidR="001F6B18" w:rsidRPr="00117443" w:rsidRDefault="0027723F" w:rsidP="001F6B18">
      <w:pPr>
        <w:keepNext/>
        <w:pBdr>
          <w:top w:val="nil"/>
          <w:left w:val="nil"/>
          <w:bottom w:val="nil"/>
          <w:right w:val="nil"/>
          <w:between w:val="nil"/>
          <w:bar w:val="nil"/>
        </w:pBdr>
        <w:spacing w:before="240"/>
        <w:rPr>
          <w:b/>
          <w:bCs/>
          <w:noProof/>
          <w:color w:val="000000"/>
          <w:sz w:val="22"/>
          <w:szCs w:val="18"/>
          <w:bdr w:val="nil"/>
        </w:rPr>
      </w:pPr>
      <w:r w:rsidRPr="00117443">
        <w:rPr>
          <w:b/>
          <w:bCs/>
          <w:color w:val="000000"/>
          <w:sz w:val="22"/>
          <w:szCs w:val="18"/>
          <w:bdr w:val="nil"/>
        </w:rPr>
        <w:t xml:space="preserve">Table </w:t>
      </w:r>
      <w:r>
        <w:rPr>
          <w:b/>
          <w:bCs/>
          <w:color w:val="000000"/>
          <w:sz w:val="22"/>
          <w:szCs w:val="18"/>
          <w:bdr w:val="nil"/>
        </w:rPr>
        <w:t>18</w:t>
      </w:r>
      <w:r w:rsidRPr="00117443">
        <w:rPr>
          <w:b/>
          <w:bCs/>
          <w:noProof/>
          <w:color w:val="000000"/>
          <w:sz w:val="22"/>
          <w:szCs w:val="18"/>
          <w:bdr w:val="nil"/>
        </w:rPr>
        <w:t>:</w:t>
      </w:r>
      <w:r w:rsidRPr="00117443">
        <w:rPr>
          <w:b/>
          <w:bCs/>
          <w:color w:val="000000"/>
          <w:sz w:val="22"/>
          <w:szCs w:val="18"/>
          <w:bdr w:val="nil"/>
        </w:rPr>
        <w:t xml:space="preserve"> Accountability Indicators</w:t>
      </w:r>
      <w:r w:rsidRPr="00117443">
        <w:rPr>
          <w:b/>
          <w:bCs/>
          <w:noProof/>
          <w:color w:val="000000"/>
          <w:sz w:val="22"/>
          <w:szCs w:val="18"/>
          <w:bdr w:val="nil"/>
        </w:rPr>
        <w:t xml:space="preserve"> Output 1.4</w:t>
      </w:r>
    </w:p>
    <w:tbl>
      <w:tblPr>
        <w:tblW w:w="9100" w:type="dxa"/>
        <w:tblInd w:w="108" w:type="dxa"/>
        <w:tblBorders>
          <w:top w:val="single" w:sz="12" w:space="0" w:color="000000"/>
          <w:bottom w:val="single" w:sz="12" w:space="0" w:color="000000"/>
        </w:tblBorders>
        <w:tblLook w:val="04A0" w:firstRow="1" w:lastRow="0" w:firstColumn="1" w:lastColumn="0" w:noHBand="0" w:noVBand="1"/>
      </w:tblPr>
      <w:tblGrid>
        <w:gridCol w:w="5257"/>
        <w:gridCol w:w="1281"/>
        <w:gridCol w:w="1281"/>
        <w:gridCol w:w="1281"/>
      </w:tblGrid>
      <w:tr w:rsidR="00496618" w14:paraId="1A943C16" w14:textId="77777777" w:rsidTr="001F6B18">
        <w:trPr>
          <w:tblHeader/>
        </w:trPr>
        <w:tc>
          <w:tcPr>
            <w:tcW w:w="2888" w:type="pct"/>
            <w:tcBorders>
              <w:top w:val="single" w:sz="12" w:space="0" w:color="000000"/>
              <w:left w:val="nil"/>
              <w:bottom w:val="single" w:sz="12" w:space="0" w:color="000000"/>
              <w:right w:val="nil"/>
            </w:tcBorders>
          </w:tcPr>
          <w:p w14:paraId="212712F6" w14:textId="77777777" w:rsidR="001F6B18" w:rsidRPr="00117443" w:rsidRDefault="001F6B18" w:rsidP="001F6B18">
            <w:pPr>
              <w:pBdr>
                <w:top w:val="nil"/>
                <w:left w:val="nil"/>
                <w:bottom w:val="nil"/>
                <w:right w:val="nil"/>
                <w:between w:val="nil"/>
                <w:bar w:val="nil"/>
              </w:pBdr>
              <w:spacing w:before="0" w:after="0" w:line="256" w:lineRule="auto"/>
              <w:ind w:left="227" w:hanging="227"/>
              <w:rPr>
                <w:bCs/>
                <w:sz w:val="20"/>
                <w:bdr w:val="nil"/>
                <w:lang w:eastAsia="en-AU"/>
              </w:rPr>
            </w:pPr>
          </w:p>
        </w:tc>
        <w:tc>
          <w:tcPr>
            <w:tcW w:w="704" w:type="pct"/>
            <w:tcBorders>
              <w:top w:val="single" w:sz="12" w:space="0" w:color="000000"/>
              <w:left w:val="nil"/>
              <w:bottom w:val="single" w:sz="12" w:space="0" w:color="000000"/>
              <w:right w:val="nil"/>
            </w:tcBorders>
            <w:hideMark/>
          </w:tcPr>
          <w:p w14:paraId="730F1991" w14:textId="77777777" w:rsidR="001F6B18" w:rsidRPr="006B3809" w:rsidRDefault="0027723F" w:rsidP="001F6B18">
            <w:pPr>
              <w:pStyle w:val="BStableheading11"/>
              <w:framePr w:wrap="auto" w:vAnchor="margin" w:yAlign="inline"/>
              <w:pBdr>
                <w:top w:val="nil"/>
                <w:left w:val="nil"/>
                <w:bottom w:val="nil"/>
                <w:right w:val="nil"/>
                <w:between w:val="nil"/>
                <w:bar w:val="nil"/>
              </w:pBdr>
              <w:rPr>
                <w:bdr w:val="nil"/>
              </w:rPr>
            </w:pPr>
            <w:r>
              <w:rPr>
                <w:bdr w:val="nil"/>
              </w:rPr>
              <w:t>2020-21 Targets</w:t>
            </w:r>
          </w:p>
        </w:tc>
        <w:tc>
          <w:tcPr>
            <w:tcW w:w="704" w:type="pct"/>
            <w:tcBorders>
              <w:top w:val="single" w:sz="12" w:space="0" w:color="000000"/>
              <w:left w:val="nil"/>
              <w:bottom w:val="single" w:sz="12" w:space="0" w:color="000000"/>
              <w:right w:val="nil"/>
            </w:tcBorders>
            <w:hideMark/>
          </w:tcPr>
          <w:p w14:paraId="2554C457" w14:textId="77777777" w:rsidR="001F6B18"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 xml:space="preserve">2020-21 </w:t>
            </w:r>
          </w:p>
          <w:p w14:paraId="3FFD1067" w14:textId="77777777" w:rsidR="001F6B18"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Interim</w:t>
            </w:r>
          </w:p>
          <w:p w14:paraId="6A6B0E3E" w14:textId="77777777" w:rsidR="001F6B18" w:rsidRPr="006B3809" w:rsidRDefault="0027723F" w:rsidP="001F6B18">
            <w:pPr>
              <w:pStyle w:val="BStableheading11"/>
              <w:framePr w:wrap="auto" w:vAnchor="margin" w:yAlign="inline"/>
              <w:pBdr>
                <w:top w:val="nil"/>
                <w:left w:val="nil"/>
                <w:bottom w:val="nil"/>
                <w:right w:val="nil"/>
                <w:between w:val="nil"/>
                <w:bar w:val="nil"/>
              </w:pBdr>
              <w:rPr>
                <w:bdr w:val="nil"/>
              </w:rPr>
            </w:pPr>
            <w:r>
              <w:rPr>
                <w:bdr w:val="nil"/>
              </w:rPr>
              <w:t>Outcome</w:t>
            </w:r>
          </w:p>
        </w:tc>
        <w:tc>
          <w:tcPr>
            <w:tcW w:w="704" w:type="pct"/>
            <w:tcBorders>
              <w:top w:val="single" w:sz="12" w:space="0" w:color="000000"/>
              <w:left w:val="nil"/>
              <w:bottom w:val="single" w:sz="12" w:space="0" w:color="000000"/>
              <w:right w:val="nil"/>
            </w:tcBorders>
            <w:hideMark/>
          </w:tcPr>
          <w:p w14:paraId="280E3DA9" w14:textId="77777777" w:rsidR="001F6B18" w:rsidRDefault="0027723F" w:rsidP="001F6B18">
            <w:pPr>
              <w:pStyle w:val="BStableheading1"/>
              <w:keepNext/>
              <w:keepLines/>
              <w:framePr w:wrap="auto" w:vAnchor="margin" w:yAlign="inline"/>
              <w:pBdr>
                <w:top w:val="nil"/>
                <w:left w:val="nil"/>
                <w:bottom w:val="nil"/>
                <w:right w:val="nil"/>
                <w:between w:val="nil"/>
                <w:bar w:val="nil"/>
              </w:pBdr>
              <w:rPr>
                <w:bdr w:val="nil"/>
              </w:rPr>
            </w:pPr>
            <w:r>
              <w:rPr>
                <w:bdr w:val="nil"/>
              </w:rPr>
              <w:t>2021-22</w:t>
            </w:r>
          </w:p>
          <w:p w14:paraId="45604DC4" w14:textId="77777777" w:rsidR="001F6B18" w:rsidRPr="006B3809" w:rsidRDefault="0027723F" w:rsidP="001F6B18">
            <w:pPr>
              <w:pStyle w:val="BStableheading11"/>
              <w:framePr w:wrap="auto" w:vAnchor="margin" w:yAlign="inline"/>
              <w:pBdr>
                <w:top w:val="nil"/>
                <w:left w:val="nil"/>
                <w:bottom w:val="nil"/>
                <w:right w:val="nil"/>
                <w:between w:val="nil"/>
                <w:bar w:val="nil"/>
              </w:pBdr>
              <w:rPr>
                <w:bdr w:val="nil"/>
              </w:rPr>
            </w:pPr>
            <w:r>
              <w:rPr>
                <w:bdr w:val="nil"/>
              </w:rPr>
              <w:t xml:space="preserve">Targets </w:t>
            </w:r>
          </w:p>
        </w:tc>
      </w:tr>
      <w:tr w:rsidR="00496618" w14:paraId="014F62A8" w14:textId="77777777" w:rsidTr="001F6B18">
        <w:trPr>
          <w:trHeight w:val="283"/>
        </w:trPr>
        <w:tc>
          <w:tcPr>
            <w:tcW w:w="2888" w:type="pct"/>
            <w:tcBorders>
              <w:top w:val="nil"/>
              <w:left w:val="nil"/>
              <w:bottom w:val="nil"/>
              <w:right w:val="nil"/>
            </w:tcBorders>
            <w:hideMark/>
          </w:tcPr>
          <w:p w14:paraId="43D1D057" w14:textId="77777777" w:rsidR="001F6B18" w:rsidRPr="00117443" w:rsidRDefault="0027723F" w:rsidP="009832FC">
            <w:pPr>
              <w:numPr>
                <w:ilvl w:val="0"/>
                <w:numId w:val="28"/>
              </w:numPr>
              <w:pBdr>
                <w:top w:val="nil"/>
                <w:left w:val="nil"/>
                <w:bottom w:val="nil"/>
                <w:right w:val="nil"/>
                <w:between w:val="nil"/>
                <w:bar w:val="nil"/>
              </w:pBdr>
              <w:spacing w:before="0" w:after="0" w:line="256" w:lineRule="auto"/>
              <w:rPr>
                <w:sz w:val="20"/>
                <w:bdr w:val="nil"/>
                <w:lang w:eastAsia="en-AU"/>
              </w:rPr>
            </w:pPr>
            <w:r w:rsidRPr="00117443">
              <w:rPr>
                <w:sz w:val="20"/>
                <w:bdr w:val="nil"/>
                <w:lang w:eastAsia="en-AU"/>
              </w:rPr>
              <w:t>Biannual Report of progress in implementing the recommendations arising from the Independent Review into the Workplace Culture of ACT Public Health Services tabled in the Legislative Assembly</w:t>
            </w:r>
          </w:p>
        </w:tc>
        <w:tc>
          <w:tcPr>
            <w:tcW w:w="704" w:type="pct"/>
            <w:tcBorders>
              <w:top w:val="nil"/>
              <w:left w:val="nil"/>
              <w:bottom w:val="nil"/>
              <w:right w:val="nil"/>
            </w:tcBorders>
            <w:hideMark/>
          </w:tcPr>
          <w:p w14:paraId="633263DC"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2</w:t>
            </w:r>
          </w:p>
        </w:tc>
        <w:tc>
          <w:tcPr>
            <w:tcW w:w="704" w:type="pct"/>
            <w:tcBorders>
              <w:top w:val="nil"/>
              <w:left w:val="nil"/>
              <w:bottom w:val="nil"/>
              <w:right w:val="nil"/>
            </w:tcBorders>
            <w:hideMark/>
          </w:tcPr>
          <w:p w14:paraId="1F2DC8FD"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2</w:t>
            </w:r>
          </w:p>
        </w:tc>
        <w:tc>
          <w:tcPr>
            <w:tcW w:w="704" w:type="pct"/>
            <w:tcBorders>
              <w:top w:val="nil"/>
              <w:left w:val="nil"/>
              <w:bottom w:val="nil"/>
              <w:right w:val="nil"/>
            </w:tcBorders>
            <w:hideMark/>
          </w:tcPr>
          <w:p w14:paraId="3A845220" w14:textId="77777777" w:rsidR="001F6B18" w:rsidRPr="00117443" w:rsidRDefault="0027723F" w:rsidP="001F6B18">
            <w:pPr>
              <w:pBdr>
                <w:top w:val="nil"/>
                <w:left w:val="nil"/>
                <w:bottom w:val="nil"/>
                <w:right w:val="nil"/>
                <w:between w:val="nil"/>
                <w:bar w:val="nil"/>
              </w:pBdr>
              <w:spacing w:before="0" w:after="0" w:line="256" w:lineRule="auto"/>
              <w:ind w:left="227" w:hanging="227"/>
              <w:jc w:val="right"/>
              <w:rPr>
                <w:sz w:val="20"/>
                <w:bdr w:val="nil"/>
              </w:rPr>
            </w:pPr>
            <w:r>
              <w:rPr>
                <w:sz w:val="20"/>
                <w:bdr w:val="nil"/>
              </w:rPr>
              <w:t>2</w:t>
            </w:r>
          </w:p>
        </w:tc>
      </w:tr>
      <w:tr w:rsidR="00496618" w14:paraId="6F6A2271" w14:textId="77777777" w:rsidTr="001F6B18">
        <w:trPr>
          <w:trHeight w:val="283"/>
        </w:trPr>
        <w:tc>
          <w:tcPr>
            <w:tcW w:w="2888" w:type="pct"/>
            <w:tcBorders>
              <w:top w:val="nil"/>
              <w:left w:val="nil"/>
              <w:bottom w:val="single" w:sz="2" w:space="0" w:color="auto"/>
              <w:right w:val="nil"/>
            </w:tcBorders>
            <w:hideMark/>
          </w:tcPr>
          <w:p w14:paraId="5D887004" w14:textId="77777777" w:rsidR="001F6B18" w:rsidRPr="00117443" w:rsidRDefault="0027723F" w:rsidP="009832FC">
            <w:pPr>
              <w:numPr>
                <w:ilvl w:val="0"/>
                <w:numId w:val="28"/>
              </w:numPr>
              <w:pBdr>
                <w:top w:val="nil"/>
                <w:left w:val="nil"/>
                <w:bottom w:val="nil"/>
                <w:right w:val="nil"/>
                <w:between w:val="nil"/>
                <w:bar w:val="nil"/>
              </w:pBdr>
              <w:spacing w:before="0" w:after="0" w:line="256" w:lineRule="auto"/>
              <w:rPr>
                <w:sz w:val="20"/>
                <w:bdr w:val="nil"/>
              </w:rPr>
            </w:pPr>
            <w:r w:rsidRPr="00117443">
              <w:rPr>
                <w:sz w:val="20"/>
                <w:bdr w:val="nil"/>
                <w:lang w:eastAsia="en-AU"/>
              </w:rPr>
              <w:t>ACT Public Health Services Quarterly Performance Report</w:t>
            </w:r>
          </w:p>
        </w:tc>
        <w:tc>
          <w:tcPr>
            <w:tcW w:w="704" w:type="pct"/>
            <w:tcBorders>
              <w:top w:val="nil"/>
              <w:left w:val="nil"/>
              <w:bottom w:val="single" w:sz="2" w:space="0" w:color="auto"/>
              <w:right w:val="nil"/>
            </w:tcBorders>
            <w:hideMark/>
          </w:tcPr>
          <w:p w14:paraId="563E3101"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4</w:t>
            </w:r>
          </w:p>
        </w:tc>
        <w:tc>
          <w:tcPr>
            <w:tcW w:w="704" w:type="pct"/>
            <w:tcBorders>
              <w:top w:val="nil"/>
              <w:left w:val="nil"/>
              <w:bottom w:val="single" w:sz="2" w:space="0" w:color="auto"/>
              <w:right w:val="nil"/>
            </w:tcBorders>
            <w:hideMark/>
          </w:tcPr>
          <w:p w14:paraId="2AEAD9B8"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4</w:t>
            </w:r>
          </w:p>
        </w:tc>
        <w:tc>
          <w:tcPr>
            <w:tcW w:w="704" w:type="pct"/>
            <w:tcBorders>
              <w:top w:val="nil"/>
              <w:left w:val="nil"/>
              <w:bottom w:val="single" w:sz="2" w:space="0" w:color="auto"/>
              <w:right w:val="nil"/>
            </w:tcBorders>
            <w:hideMark/>
          </w:tcPr>
          <w:p w14:paraId="0EAF1FF8" w14:textId="77777777" w:rsidR="001F6B18" w:rsidRPr="00117443" w:rsidRDefault="0027723F" w:rsidP="001F6B18">
            <w:pPr>
              <w:pBdr>
                <w:top w:val="nil"/>
                <w:left w:val="nil"/>
                <w:bottom w:val="nil"/>
                <w:right w:val="nil"/>
                <w:between w:val="nil"/>
                <w:bar w:val="nil"/>
              </w:pBdr>
              <w:spacing w:before="0" w:after="0" w:line="256" w:lineRule="auto"/>
              <w:jc w:val="right"/>
              <w:rPr>
                <w:sz w:val="20"/>
                <w:bdr w:val="nil"/>
                <w:lang w:eastAsia="en-AU"/>
              </w:rPr>
            </w:pPr>
            <w:r>
              <w:rPr>
                <w:sz w:val="20"/>
                <w:bdr w:val="nil"/>
                <w:lang w:eastAsia="en-AU"/>
              </w:rPr>
              <w:t>4</w:t>
            </w:r>
          </w:p>
        </w:tc>
      </w:tr>
    </w:tbl>
    <w:p w14:paraId="55B82F7A" w14:textId="77777777" w:rsidR="001F6B18" w:rsidRPr="00CC126B" w:rsidRDefault="0027723F" w:rsidP="001F6B18">
      <w:pPr>
        <w:pStyle w:val="BSnote2"/>
        <w:pBdr>
          <w:top w:val="nil"/>
          <w:left w:val="nil"/>
          <w:bottom w:val="nil"/>
          <w:right w:val="nil"/>
          <w:between w:val="nil"/>
          <w:bar w:val="nil"/>
        </w:pBdr>
        <w:rPr>
          <w:szCs w:val="18"/>
          <w:bdr w:val="nil"/>
          <w:lang w:eastAsia="en-US"/>
        </w:rPr>
      </w:pPr>
      <w:r w:rsidRPr="00CC126B">
        <w:rPr>
          <w:szCs w:val="18"/>
          <w:bdr w:val="nil"/>
        </w:rPr>
        <w:t>Notes:</w:t>
      </w:r>
    </w:p>
    <w:p w14:paraId="160240DA" w14:textId="77777777" w:rsidR="001F6B18" w:rsidRPr="00C82C44" w:rsidRDefault="0027723F" w:rsidP="009832FC">
      <w:pPr>
        <w:numPr>
          <w:ilvl w:val="0"/>
          <w:numId w:val="29"/>
        </w:numPr>
        <w:pBdr>
          <w:top w:val="nil"/>
          <w:left w:val="nil"/>
          <w:bottom w:val="nil"/>
          <w:right w:val="nil"/>
          <w:between w:val="nil"/>
          <w:bar w:val="nil"/>
        </w:pBdr>
        <w:tabs>
          <w:tab w:val="left" w:pos="283"/>
          <w:tab w:val="left" w:pos="567"/>
        </w:tabs>
        <w:suppressAutoHyphens/>
        <w:autoSpaceDE w:val="0"/>
        <w:autoSpaceDN w:val="0"/>
        <w:adjustRightInd w:val="0"/>
        <w:spacing w:before="0" w:after="0"/>
        <w:ind w:left="284" w:hanging="284"/>
        <w:jc w:val="both"/>
        <w:rPr>
          <w:rFonts w:eastAsia="SimSun" w:cs="Calibri"/>
          <w:bCs/>
          <w:sz w:val="18"/>
          <w:szCs w:val="18"/>
          <w:bdr w:val="nil"/>
          <w:lang w:eastAsia="en-AU"/>
        </w:rPr>
      </w:pPr>
      <w:r w:rsidRPr="00C82C44">
        <w:rPr>
          <w:rFonts w:eastAsia="SimSun" w:cs="Calibri"/>
          <w:bCs/>
          <w:sz w:val="18"/>
          <w:szCs w:val="18"/>
          <w:bdr w:val="nil"/>
          <w:lang w:eastAsia="en-AU"/>
        </w:rPr>
        <w:t>The Biannual Report of progress on implementing the recommendations arising from the Independent Review into the Workplace Culture of ACT Public Health Services tabled in the Legislative Assembly.</w:t>
      </w:r>
    </w:p>
    <w:p w14:paraId="6F7EA364" w14:textId="77777777" w:rsidR="001F6B18" w:rsidRPr="00C82C44" w:rsidRDefault="0027723F" w:rsidP="009832FC">
      <w:pPr>
        <w:numPr>
          <w:ilvl w:val="0"/>
          <w:numId w:val="29"/>
        </w:numPr>
        <w:pBdr>
          <w:top w:val="nil"/>
          <w:left w:val="nil"/>
          <w:bottom w:val="nil"/>
          <w:right w:val="nil"/>
          <w:between w:val="nil"/>
          <w:bar w:val="nil"/>
        </w:pBdr>
        <w:tabs>
          <w:tab w:val="left" w:pos="283"/>
          <w:tab w:val="left" w:pos="567"/>
        </w:tabs>
        <w:suppressAutoHyphens/>
        <w:autoSpaceDE w:val="0"/>
        <w:autoSpaceDN w:val="0"/>
        <w:adjustRightInd w:val="0"/>
        <w:spacing w:before="0" w:after="0"/>
        <w:ind w:left="284" w:hanging="284"/>
        <w:jc w:val="both"/>
        <w:rPr>
          <w:rFonts w:eastAsia="SimSun" w:cs="Calibri"/>
          <w:bCs/>
          <w:sz w:val="18"/>
          <w:szCs w:val="18"/>
          <w:bdr w:val="nil"/>
          <w:lang w:eastAsia="en-AU"/>
        </w:rPr>
      </w:pPr>
      <w:r w:rsidRPr="00C82C44">
        <w:rPr>
          <w:rFonts w:eastAsia="SimSun" w:cs="Calibri"/>
          <w:bCs/>
          <w:sz w:val="18"/>
          <w:szCs w:val="18"/>
          <w:bdr w:val="nil"/>
          <w:lang w:eastAsia="en-AU"/>
        </w:rPr>
        <w:t>The number of ACT Public Health Service Quarterly Performance Reports published.</w:t>
      </w:r>
    </w:p>
    <w:p w14:paraId="684F1602" w14:textId="77777777" w:rsidR="001F6B18" w:rsidRDefault="001F6B18" w:rsidP="001F6B18">
      <w:pPr>
        <w:pStyle w:val="BSnoteslist2"/>
        <w:widowControl w:val="0"/>
        <w:numPr>
          <w:ilvl w:val="0"/>
          <w:numId w:val="0"/>
        </w:numPr>
        <w:pBdr>
          <w:top w:val="nil"/>
          <w:left w:val="nil"/>
          <w:bottom w:val="nil"/>
          <w:right w:val="nil"/>
          <w:between w:val="nil"/>
          <w:bar w:val="nil"/>
        </w:pBdr>
        <w:ind w:left="786" w:hanging="360"/>
        <w:rPr>
          <w:bdr w:val="nil"/>
        </w:rPr>
      </w:pPr>
    </w:p>
    <w:p w14:paraId="172B519B" w14:textId="77777777" w:rsidR="001F6B18" w:rsidRDefault="0027723F" w:rsidP="001F6B18">
      <w:pPr>
        <w:pStyle w:val="Heading2"/>
        <w:pageBreakBefore/>
        <w:pBdr>
          <w:top w:val="nil"/>
          <w:left w:val="nil"/>
          <w:bottom w:val="nil"/>
          <w:right w:val="nil"/>
          <w:between w:val="nil"/>
          <w:bar w:val="nil"/>
        </w:pBdr>
        <w:rPr>
          <w:bdr w:val="nil"/>
        </w:rPr>
      </w:pPr>
      <w:bookmarkStart w:id="29" w:name="_Toc452467801"/>
      <w:bookmarkStart w:id="30" w:name="_Toc83910742"/>
      <w:r>
        <w:rPr>
          <w:bdr w:val="nil"/>
        </w:rPr>
        <w:lastRenderedPageBreak/>
        <w:t>Changes to Appropriation</w:t>
      </w:r>
      <w:bookmarkEnd w:id="29"/>
      <w:bookmarkEnd w:id="30"/>
    </w:p>
    <w:p w14:paraId="73E67741" w14:textId="77777777" w:rsidR="001F6B18" w:rsidRPr="00F0682D" w:rsidRDefault="0027723F" w:rsidP="001F6B18">
      <w:pPr>
        <w:pStyle w:val="Caption"/>
        <w:pBdr>
          <w:top w:val="nil"/>
          <w:left w:val="nil"/>
          <w:bottom w:val="nil"/>
          <w:right w:val="nil"/>
          <w:between w:val="nil"/>
          <w:bar w:val="nil"/>
        </w:pBdr>
        <w:rPr>
          <w:bdr w:val="nil"/>
        </w:rPr>
      </w:pPr>
      <w:r w:rsidRPr="00F0682D">
        <w:rPr>
          <w:bdr w:val="nil"/>
        </w:rPr>
        <w:t xml:space="preserve">Table </w:t>
      </w:r>
      <w:r>
        <w:rPr>
          <w:bdr w:val="nil"/>
        </w:rPr>
        <w:t>19</w:t>
      </w:r>
      <w:r w:rsidRPr="00F0682D">
        <w:rPr>
          <w:bdr w:val="nil"/>
        </w:rPr>
        <w:t>: Changes to appropriation –</w:t>
      </w:r>
      <w:r w:rsidRPr="00F0682D">
        <w:rPr>
          <w:szCs w:val="20"/>
          <w:bdr w:val="nil"/>
        </w:rPr>
        <w:t xml:space="preserve"> </w:t>
      </w:r>
      <w:r w:rsidRPr="00F0682D">
        <w:rPr>
          <w:bdr w:val="nil"/>
        </w:rPr>
        <w:t>Controlled Recurrent Payments</w:t>
      </w:r>
    </w:p>
    <w:tbl>
      <w:tblPr>
        <w:tblStyle w:val="CDMRange1"/>
        <w:tblW w:w="9639" w:type="dxa"/>
        <w:tblLayout w:type="fixed"/>
        <w:tblLook w:val="0600" w:firstRow="0" w:lastRow="0" w:firstColumn="0" w:lastColumn="0" w:noHBand="1" w:noVBand="1"/>
      </w:tblPr>
      <w:tblGrid>
        <w:gridCol w:w="4800"/>
        <w:gridCol w:w="967"/>
        <w:gridCol w:w="968"/>
        <w:gridCol w:w="968"/>
        <w:gridCol w:w="968"/>
        <w:gridCol w:w="968"/>
      </w:tblGrid>
      <w:tr w:rsidR="00496618" w14:paraId="5B95BB05" w14:textId="77777777" w:rsidTr="0014646D">
        <w:trPr>
          <w:trHeight w:val="945"/>
        </w:trPr>
        <w:tc>
          <w:tcPr>
            <w:tcW w:w="4800" w:type="dxa"/>
            <w:tcBorders>
              <w:top w:val="single" w:sz="12" w:space="0" w:color="000000"/>
              <w:left w:val="nil"/>
              <w:bottom w:val="single" w:sz="12" w:space="0" w:color="000000"/>
              <w:right w:val="nil"/>
              <w:tl2br w:val="nil"/>
              <w:tr2bl w:val="nil"/>
            </w:tcBorders>
            <w:shd w:val="clear" w:color="auto" w:fill="auto"/>
            <w:tcMar>
              <w:left w:w="0" w:type="dxa"/>
              <w:right w:w="0" w:type="dxa"/>
            </w:tcMar>
            <w:vAlign w:val="bottom"/>
          </w:tcPr>
          <w:p w14:paraId="4034684B" w14:textId="77777777" w:rsidR="00496618" w:rsidRDefault="00496618">
            <w:pPr>
              <w:pStyle w:val="Normal1"/>
              <w:rPr>
                <w:rFonts w:ascii="Calibri" w:eastAsia="Calibri" w:hAnsi="Calibri" w:cs="Calibri"/>
                <w:color w:val="000000"/>
                <w:sz w:val="18"/>
              </w:rPr>
            </w:pPr>
          </w:p>
        </w:tc>
        <w:tc>
          <w:tcPr>
            <w:tcW w:w="967"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591D665"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36DAAFAB"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E91F7D4"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2021-22 Budget</w:t>
            </w:r>
          </w:p>
          <w:p w14:paraId="40DD6F82" w14:textId="77777777" w:rsidR="00496618" w:rsidRDefault="00496618">
            <w:pPr>
              <w:pStyle w:val="Normal1"/>
              <w:jc w:val="right"/>
              <w:rPr>
                <w:rFonts w:ascii="Calibri" w:eastAsia="Calibri" w:hAnsi="Calibri" w:cs="Calibri"/>
                <w:b/>
                <w:color w:val="000000"/>
                <w:sz w:val="18"/>
              </w:rPr>
            </w:pPr>
          </w:p>
          <w:p w14:paraId="0A0BB2DC"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DD95339"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2022-23 Estimate</w:t>
            </w:r>
          </w:p>
          <w:p w14:paraId="155A9F7B" w14:textId="77777777" w:rsidR="00496618" w:rsidRDefault="00496618">
            <w:pPr>
              <w:pStyle w:val="Normal1"/>
              <w:jc w:val="right"/>
              <w:rPr>
                <w:rFonts w:ascii="Calibri" w:eastAsia="Calibri" w:hAnsi="Calibri" w:cs="Calibri"/>
                <w:b/>
                <w:color w:val="000000"/>
                <w:sz w:val="18"/>
              </w:rPr>
            </w:pPr>
          </w:p>
          <w:p w14:paraId="50A4E934"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1936095"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2023-24 Estimate</w:t>
            </w:r>
          </w:p>
          <w:p w14:paraId="6DED1529" w14:textId="77777777" w:rsidR="00496618" w:rsidRDefault="00496618">
            <w:pPr>
              <w:pStyle w:val="Normal1"/>
              <w:jc w:val="right"/>
              <w:rPr>
                <w:rFonts w:ascii="Calibri" w:eastAsia="Calibri" w:hAnsi="Calibri" w:cs="Calibri"/>
                <w:b/>
                <w:color w:val="000000"/>
                <w:sz w:val="18"/>
              </w:rPr>
            </w:pPr>
          </w:p>
          <w:p w14:paraId="3B51A85A"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6B4523F"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2024-25 Estimate</w:t>
            </w:r>
          </w:p>
          <w:p w14:paraId="0EC414A7" w14:textId="77777777" w:rsidR="00496618" w:rsidRDefault="00496618">
            <w:pPr>
              <w:pStyle w:val="Normal1"/>
              <w:jc w:val="right"/>
              <w:rPr>
                <w:rFonts w:ascii="Calibri" w:eastAsia="Calibri" w:hAnsi="Calibri" w:cs="Calibri"/>
                <w:b/>
                <w:color w:val="000000"/>
                <w:sz w:val="18"/>
              </w:rPr>
            </w:pPr>
          </w:p>
          <w:p w14:paraId="13591560"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r>
      <w:tr w:rsidR="00496618" w14:paraId="0919674D"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single" w:sz="12" w:space="0" w:color="000000"/>
              <w:left w:val="nil"/>
              <w:bottom w:val="nil"/>
              <w:right w:val="nil"/>
              <w:tl2br w:val="nil"/>
              <w:tr2bl w:val="nil"/>
            </w:tcBorders>
            <w:shd w:val="clear" w:color="auto" w:fill="auto"/>
            <w:tcMar>
              <w:left w:w="0" w:type="dxa"/>
              <w:right w:w="0" w:type="dxa"/>
            </w:tcMar>
            <w:vAlign w:val="bottom"/>
          </w:tcPr>
          <w:p w14:paraId="1A34A308" w14:textId="77777777" w:rsidR="00496618" w:rsidRDefault="00496618">
            <w:pPr>
              <w:pStyle w:val="Normal1"/>
              <w:rPr>
                <w:rFonts w:ascii="Calibri" w:eastAsia="Calibri" w:hAnsi="Calibri" w:cs="Calibri"/>
                <w:color w:val="000000"/>
                <w:sz w:val="18"/>
              </w:rPr>
            </w:pPr>
          </w:p>
        </w:tc>
        <w:tc>
          <w:tcPr>
            <w:tcW w:w="967"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05F392E" w14:textId="77777777" w:rsidR="00496618" w:rsidRDefault="00496618">
            <w:pPr>
              <w:pStyle w:val="Normal1"/>
              <w:rPr>
                <w:rFonts w:ascii="Calibri" w:eastAsia="Calibri" w:hAnsi="Calibri" w:cs="Calibri"/>
                <w:color w:val="000000"/>
                <w:sz w:val="18"/>
              </w:rPr>
            </w:pPr>
          </w:p>
        </w:tc>
        <w:tc>
          <w:tcPr>
            <w:tcW w:w="96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0217A4C" w14:textId="77777777" w:rsidR="00496618" w:rsidRDefault="00496618">
            <w:pPr>
              <w:pStyle w:val="Normal1"/>
              <w:rPr>
                <w:rFonts w:ascii="Calibri" w:eastAsia="Calibri" w:hAnsi="Calibri" w:cs="Calibri"/>
                <w:color w:val="000000"/>
                <w:sz w:val="18"/>
              </w:rPr>
            </w:pPr>
          </w:p>
        </w:tc>
        <w:tc>
          <w:tcPr>
            <w:tcW w:w="96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F5D6E54" w14:textId="77777777" w:rsidR="00496618" w:rsidRDefault="00496618">
            <w:pPr>
              <w:pStyle w:val="Normal1"/>
              <w:rPr>
                <w:rFonts w:ascii="Calibri" w:eastAsia="Calibri" w:hAnsi="Calibri" w:cs="Calibri"/>
                <w:color w:val="000000"/>
                <w:sz w:val="18"/>
              </w:rPr>
            </w:pPr>
          </w:p>
        </w:tc>
        <w:tc>
          <w:tcPr>
            <w:tcW w:w="96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E5E799C" w14:textId="77777777" w:rsidR="00496618" w:rsidRDefault="00496618">
            <w:pPr>
              <w:pStyle w:val="Normal1"/>
              <w:rPr>
                <w:rFonts w:ascii="Calibri" w:eastAsia="Calibri" w:hAnsi="Calibri" w:cs="Calibri"/>
                <w:color w:val="000000"/>
                <w:sz w:val="18"/>
              </w:rPr>
            </w:pPr>
          </w:p>
        </w:tc>
        <w:tc>
          <w:tcPr>
            <w:tcW w:w="96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96C417F" w14:textId="77777777" w:rsidR="00496618" w:rsidRDefault="00496618">
            <w:pPr>
              <w:pStyle w:val="Normal1"/>
              <w:rPr>
                <w:rFonts w:ascii="Calibri" w:eastAsia="Calibri" w:hAnsi="Calibri" w:cs="Calibri"/>
                <w:color w:val="000000"/>
                <w:sz w:val="18"/>
              </w:rPr>
            </w:pPr>
          </w:p>
        </w:tc>
      </w:tr>
      <w:tr w:rsidR="00496618" w14:paraId="425C2067"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vAlign w:val="bottom"/>
          </w:tcPr>
          <w:p w14:paraId="5F049B30" w14:textId="77777777" w:rsidR="00496618" w:rsidRDefault="0027723F">
            <w:pPr>
              <w:pStyle w:val="Normal1"/>
              <w:rPr>
                <w:rFonts w:ascii="Calibri" w:eastAsia="Calibri" w:hAnsi="Calibri" w:cs="Calibri"/>
                <w:b/>
                <w:color w:val="000000"/>
                <w:sz w:val="18"/>
              </w:rPr>
            </w:pPr>
            <w:r>
              <w:rPr>
                <w:rFonts w:ascii="Calibri" w:eastAsia="Calibri" w:hAnsi="Calibri" w:cs="Calibri"/>
                <w:b/>
                <w:color w:val="000000"/>
                <w:sz w:val="18"/>
              </w:rPr>
              <w:t>2020-21 Budget</w:t>
            </w:r>
          </w:p>
        </w:tc>
        <w:tc>
          <w:tcPr>
            <w:tcW w:w="967" w:type="dxa"/>
            <w:tcBorders>
              <w:top w:val="nil"/>
              <w:left w:val="nil"/>
              <w:bottom w:val="nil"/>
              <w:right w:val="nil"/>
              <w:tl2br w:val="nil"/>
              <w:tr2bl w:val="nil"/>
            </w:tcBorders>
            <w:shd w:val="clear" w:color="auto" w:fill="auto"/>
            <w:noWrap/>
            <w:tcMar>
              <w:left w:w="101" w:type="dxa"/>
              <w:right w:w="101" w:type="dxa"/>
            </w:tcMar>
            <w:vAlign w:val="bottom"/>
          </w:tcPr>
          <w:p w14:paraId="4EC268D0"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263,923</w:t>
            </w:r>
          </w:p>
        </w:tc>
        <w:tc>
          <w:tcPr>
            <w:tcW w:w="968" w:type="dxa"/>
            <w:tcBorders>
              <w:top w:val="nil"/>
              <w:left w:val="nil"/>
              <w:bottom w:val="nil"/>
              <w:right w:val="nil"/>
              <w:tl2br w:val="nil"/>
              <w:tr2bl w:val="nil"/>
            </w:tcBorders>
            <w:shd w:val="clear" w:color="auto" w:fill="auto"/>
            <w:noWrap/>
            <w:tcMar>
              <w:left w:w="101" w:type="dxa"/>
              <w:right w:w="101" w:type="dxa"/>
            </w:tcMar>
            <w:vAlign w:val="bottom"/>
          </w:tcPr>
          <w:p w14:paraId="133BCE61"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240,612</w:t>
            </w:r>
          </w:p>
        </w:tc>
        <w:tc>
          <w:tcPr>
            <w:tcW w:w="968" w:type="dxa"/>
            <w:tcBorders>
              <w:top w:val="nil"/>
              <w:left w:val="nil"/>
              <w:bottom w:val="nil"/>
              <w:right w:val="nil"/>
              <w:tl2br w:val="nil"/>
              <w:tr2bl w:val="nil"/>
            </w:tcBorders>
            <w:shd w:val="clear" w:color="auto" w:fill="auto"/>
            <w:noWrap/>
            <w:tcMar>
              <w:left w:w="101" w:type="dxa"/>
              <w:right w:w="101" w:type="dxa"/>
            </w:tcMar>
            <w:vAlign w:val="bottom"/>
          </w:tcPr>
          <w:p w14:paraId="78691868"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239,357</w:t>
            </w:r>
          </w:p>
        </w:tc>
        <w:tc>
          <w:tcPr>
            <w:tcW w:w="968" w:type="dxa"/>
            <w:tcBorders>
              <w:top w:val="nil"/>
              <w:left w:val="nil"/>
              <w:bottom w:val="nil"/>
              <w:right w:val="nil"/>
              <w:tl2br w:val="nil"/>
              <w:tr2bl w:val="nil"/>
            </w:tcBorders>
            <w:shd w:val="clear" w:color="auto" w:fill="auto"/>
            <w:noWrap/>
            <w:tcMar>
              <w:left w:w="101" w:type="dxa"/>
              <w:right w:w="101" w:type="dxa"/>
            </w:tcMar>
            <w:vAlign w:val="bottom"/>
          </w:tcPr>
          <w:p w14:paraId="72DA3E52"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238,199</w:t>
            </w:r>
          </w:p>
        </w:tc>
        <w:tc>
          <w:tcPr>
            <w:tcW w:w="968" w:type="dxa"/>
            <w:tcBorders>
              <w:top w:val="nil"/>
              <w:left w:val="nil"/>
              <w:bottom w:val="nil"/>
              <w:right w:val="nil"/>
              <w:tl2br w:val="nil"/>
              <w:tr2bl w:val="nil"/>
            </w:tcBorders>
            <w:shd w:val="clear" w:color="auto" w:fill="auto"/>
            <w:noWrap/>
            <w:tcMar>
              <w:left w:w="101" w:type="dxa"/>
              <w:right w:w="101" w:type="dxa"/>
            </w:tcMar>
            <w:vAlign w:val="bottom"/>
          </w:tcPr>
          <w:p w14:paraId="3995C966"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237,228</w:t>
            </w:r>
          </w:p>
        </w:tc>
      </w:tr>
      <w:tr w:rsidR="00496618" w14:paraId="264CB964"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0" w:type="dxa"/>
              <w:right w:w="0" w:type="dxa"/>
            </w:tcMar>
            <w:vAlign w:val="bottom"/>
          </w:tcPr>
          <w:p w14:paraId="6F49F320" w14:textId="77777777" w:rsidR="00496618" w:rsidRDefault="00496618">
            <w:pPr>
              <w:pStyle w:val="Normal1"/>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0" w:type="dxa"/>
              <w:right w:w="0" w:type="dxa"/>
            </w:tcMar>
            <w:vAlign w:val="bottom"/>
          </w:tcPr>
          <w:p w14:paraId="030104E6" w14:textId="77777777" w:rsidR="00496618" w:rsidRDefault="00496618">
            <w:pPr>
              <w:pStyle w:val="Normal1"/>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59258FBE" w14:textId="77777777" w:rsidR="00496618" w:rsidRDefault="00496618">
            <w:pPr>
              <w:pStyle w:val="Normal1"/>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110861F7" w14:textId="77777777" w:rsidR="00496618" w:rsidRDefault="00496618">
            <w:pPr>
              <w:pStyle w:val="Normal1"/>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09A30777" w14:textId="77777777" w:rsidR="00496618" w:rsidRDefault="00496618">
            <w:pPr>
              <w:pStyle w:val="Normal1"/>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4E6225B0" w14:textId="77777777" w:rsidR="00496618" w:rsidRDefault="00496618">
            <w:pPr>
              <w:pStyle w:val="Normal1"/>
              <w:rPr>
                <w:rFonts w:ascii="Calibri" w:eastAsia="Calibri" w:hAnsi="Calibri" w:cs="Calibri"/>
                <w:color w:val="000000"/>
                <w:sz w:val="18"/>
              </w:rPr>
            </w:pPr>
          </w:p>
        </w:tc>
      </w:tr>
      <w:tr w:rsidR="00496618" w14:paraId="165E50BD"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vAlign w:val="bottom"/>
          </w:tcPr>
          <w:p w14:paraId="6870ECBE" w14:textId="77777777" w:rsidR="00496618" w:rsidRDefault="0027723F">
            <w:pPr>
              <w:pStyle w:val="Normal1"/>
              <w:rPr>
                <w:rFonts w:ascii="Calibri" w:eastAsia="Calibri" w:hAnsi="Calibri" w:cs="Calibri"/>
                <w:b/>
                <w:color w:val="000000"/>
                <w:sz w:val="18"/>
              </w:rPr>
            </w:pPr>
            <w:r>
              <w:rPr>
                <w:rFonts w:ascii="Calibri" w:eastAsia="Calibri" w:hAnsi="Calibri" w:cs="Calibri"/>
                <w:b/>
                <w:color w:val="000000"/>
                <w:sz w:val="18"/>
              </w:rPr>
              <w:t>2021-22 Budget Policy Decisions</w:t>
            </w:r>
          </w:p>
        </w:tc>
        <w:tc>
          <w:tcPr>
            <w:tcW w:w="967" w:type="dxa"/>
            <w:tcBorders>
              <w:top w:val="nil"/>
              <w:left w:val="nil"/>
              <w:bottom w:val="nil"/>
              <w:right w:val="nil"/>
              <w:tl2br w:val="nil"/>
              <w:tr2bl w:val="nil"/>
            </w:tcBorders>
            <w:shd w:val="clear" w:color="auto" w:fill="auto"/>
            <w:noWrap/>
            <w:tcMar>
              <w:left w:w="0" w:type="dxa"/>
              <w:right w:w="0" w:type="dxa"/>
            </w:tcMar>
            <w:vAlign w:val="bottom"/>
          </w:tcPr>
          <w:p w14:paraId="4F3736CC" w14:textId="77777777" w:rsidR="00496618" w:rsidRDefault="00496618">
            <w:pPr>
              <w:pStyle w:val="Normal1"/>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143E2108" w14:textId="77777777" w:rsidR="00496618" w:rsidRDefault="00496618">
            <w:pPr>
              <w:pStyle w:val="Normal1"/>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2E85D91E" w14:textId="77777777" w:rsidR="00496618" w:rsidRDefault="00496618">
            <w:pPr>
              <w:pStyle w:val="Normal1"/>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5FE729FD" w14:textId="77777777" w:rsidR="00496618" w:rsidRDefault="00496618">
            <w:pPr>
              <w:pStyle w:val="Normal1"/>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4242C3CC" w14:textId="77777777" w:rsidR="00496618" w:rsidRDefault="00496618">
            <w:pPr>
              <w:pStyle w:val="Normal1"/>
              <w:rPr>
                <w:rFonts w:ascii="Calibri" w:eastAsia="Calibri" w:hAnsi="Calibri" w:cs="Calibri"/>
                <w:color w:val="FFFFFF"/>
                <w:sz w:val="18"/>
              </w:rPr>
            </w:pPr>
          </w:p>
        </w:tc>
      </w:tr>
      <w:tr w:rsidR="00FA6C21" w14:paraId="04926AE5"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4800" w:type="dxa"/>
            <w:tcBorders>
              <w:top w:val="nil"/>
              <w:left w:val="nil"/>
              <w:bottom w:val="nil"/>
              <w:right w:val="nil"/>
              <w:tl2br w:val="nil"/>
              <w:tr2bl w:val="nil"/>
            </w:tcBorders>
            <w:shd w:val="clear" w:color="auto" w:fill="auto"/>
            <w:tcMar>
              <w:left w:w="101" w:type="dxa"/>
              <w:right w:w="101" w:type="dxa"/>
            </w:tcMar>
          </w:tcPr>
          <w:p w14:paraId="1E57F693" w14:textId="77777777" w:rsidR="00FA6C21" w:rsidRDefault="00FA6C21">
            <w:pPr>
              <w:pStyle w:val="Normal1"/>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2F9B1535"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6B8967BF"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115DEDE5"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5B7C260F"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44CCEC4F" w14:textId="77777777" w:rsidR="00FA6C21" w:rsidRDefault="00FA6C21">
            <w:pPr>
              <w:pStyle w:val="Normal1"/>
              <w:jc w:val="right"/>
              <w:rPr>
                <w:rFonts w:ascii="Calibri" w:eastAsia="Calibri" w:hAnsi="Calibri" w:cs="Calibri"/>
                <w:color w:val="000000"/>
                <w:sz w:val="18"/>
              </w:rPr>
            </w:pPr>
          </w:p>
        </w:tc>
      </w:tr>
      <w:tr w:rsidR="00FC38B2" w:rsidRPr="00FC38B2" w14:paraId="4453C57C" w14:textId="77777777" w:rsidTr="00DA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3134026E" w14:textId="1797CAFD" w:rsidR="00FC38B2" w:rsidRPr="00FC38B2" w:rsidRDefault="00FC38B2">
            <w:pPr>
              <w:pStyle w:val="Normal1"/>
              <w:rPr>
                <w:rFonts w:ascii="Calibri" w:eastAsia="Calibri" w:hAnsi="Calibri" w:cs="Calibri"/>
                <w:color w:val="000000"/>
                <w:sz w:val="18"/>
                <w:u w:val="single"/>
              </w:rPr>
            </w:pPr>
            <w:r w:rsidRPr="00FC38B2">
              <w:rPr>
                <w:rFonts w:ascii="Calibri" w:eastAsia="Calibri" w:hAnsi="Calibri" w:cs="Calibri"/>
                <w:color w:val="000000"/>
                <w:sz w:val="18"/>
                <w:u w:val="single"/>
              </w:rPr>
              <w:t>Better care in the community</w:t>
            </w:r>
          </w:p>
        </w:tc>
        <w:tc>
          <w:tcPr>
            <w:tcW w:w="967" w:type="dxa"/>
            <w:tcBorders>
              <w:top w:val="nil"/>
              <w:left w:val="nil"/>
              <w:bottom w:val="nil"/>
              <w:right w:val="nil"/>
              <w:tl2br w:val="nil"/>
              <w:tr2bl w:val="nil"/>
            </w:tcBorders>
            <w:shd w:val="clear" w:color="auto" w:fill="auto"/>
            <w:noWrap/>
            <w:tcMar>
              <w:left w:w="101" w:type="dxa"/>
              <w:right w:w="101" w:type="dxa"/>
            </w:tcMar>
          </w:tcPr>
          <w:p w14:paraId="334DF99F"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516E236D"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0951DE33"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24C5F696"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5991AAD6" w14:textId="77777777" w:rsidR="00FC38B2" w:rsidRPr="00FC38B2" w:rsidRDefault="00FC38B2">
            <w:pPr>
              <w:pStyle w:val="Normal1"/>
              <w:jc w:val="right"/>
              <w:rPr>
                <w:rFonts w:ascii="Calibri" w:eastAsia="Calibri" w:hAnsi="Calibri" w:cs="Calibri"/>
                <w:color w:val="000000"/>
                <w:sz w:val="18"/>
                <w:u w:val="single"/>
              </w:rPr>
            </w:pPr>
          </w:p>
        </w:tc>
      </w:tr>
      <w:tr w:rsidR="00FC38B2" w14:paraId="44DA84FB" w14:textId="77777777" w:rsidTr="00DA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1BED8D92" w14:textId="77777777" w:rsidR="00FC38B2" w:rsidRDefault="00FC38B2" w:rsidP="00FC38B2">
            <w:pPr>
              <w:pStyle w:val="Normal1"/>
              <w:rPr>
                <w:rFonts w:ascii="Calibri" w:eastAsia="Calibri" w:hAnsi="Calibri" w:cs="Calibri"/>
                <w:color w:val="000000"/>
                <w:sz w:val="18"/>
              </w:rPr>
            </w:pPr>
            <w:r w:rsidRPr="004A3FE6">
              <w:rPr>
                <w:rFonts w:ascii="Calibri" w:eastAsia="Calibri" w:hAnsi="Calibri" w:cs="Calibri"/>
                <w:color w:val="000000"/>
                <w:sz w:val="18"/>
              </w:rPr>
              <w:t>Aboriginal and Torres Strait Islander specific mental health services</w:t>
            </w:r>
          </w:p>
        </w:tc>
        <w:tc>
          <w:tcPr>
            <w:tcW w:w="967" w:type="dxa"/>
            <w:tcBorders>
              <w:top w:val="nil"/>
              <w:left w:val="nil"/>
              <w:bottom w:val="nil"/>
              <w:right w:val="nil"/>
              <w:tl2br w:val="nil"/>
              <w:tr2bl w:val="nil"/>
            </w:tcBorders>
            <w:shd w:val="clear" w:color="auto" w:fill="auto"/>
            <w:noWrap/>
            <w:tcMar>
              <w:left w:w="101" w:type="dxa"/>
              <w:right w:w="101" w:type="dxa"/>
            </w:tcMar>
          </w:tcPr>
          <w:p w14:paraId="035CD683"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B9E031C"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250</w:t>
            </w:r>
          </w:p>
        </w:tc>
        <w:tc>
          <w:tcPr>
            <w:tcW w:w="968" w:type="dxa"/>
            <w:tcBorders>
              <w:top w:val="nil"/>
              <w:left w:val="nil"/>
              <w:bottom w:val="nil"/>
              <w:right w:val="nil"/>
              <w:tl2br w:val="nil"/>
              <w:tr2bl w:val="nil"/>
            </w:tcBorders>
            <w:shd w:val="clear" w:color="auto" w:fill="auto"/>
            <w:noWrap/>
            <w:tcMar>
              <w:left w:w="101" w:type="dxa"/>
              <w:right w:w="101" w:type="dxa"/>
            </w:tcMar>
          </w:tcPr>
          <w:p w14:paraId="17EA0066"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524</w:t>
            </w:r>
          </w:p>
        </w:tc>
        <w:tc>
          <w:tcPr>
            <w:tcW w:w="968" w:type="dxa"/>
            <w:tcBorders>
              <w:top w:val="nil"/>
              <w:left w:val="nil"/>
              <w:bottom w:val="nil"/>
              <w:right w:val="nil"/>
              <w:tl2br w:val="nil"/>
              <w:tr2bl w:val="nil"/>
            </w:tcBorders>
            <w:shd w:val="clear" w:color="auto" w:fill="auto"/>
            <w:noWrap/>
            <w:tcMar>
              <w:left w:w="101" w:type="dxa"/>
              <w:right w:w="101" w:type="dxa"/>
            </w:tcMar>
          </w:tcPr>
          <w:p w14:paraId="071DF784"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537</w:t>
            </w:r>
          </w:p>
        </w:tc>
        <w:tc>
          <w:tcPr>
            <w:tcW w:w="968" w:type="dxa"/>
            <w:tcBorders>
              <w:top w:val="nil"/>
              <w:left w:val="nil"/>
              <w:bottom w:val="nil"/>
              <w:right w:val="nil"/>
              <w:tl2br w:val="nil"/>
              <w:tr2bl w:val="nil"/>
            </w:tcBorders>
            <w:shd w:val="clear" w:color="auto" w:fill="auto"/>
            <w:noWrap/>
            <w:tcMar>
              <w:left w:w="101" w:type="dxa"/>
              <w:right w:w="101" w:type="dxa"/>
            </w:tcMar>
          </w:tcPr>
          <w:p w14:paraId="23AD27BF"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651</w:t>
            </w:r>
          </w:p>
        </w:tc>
      </w:tr>
      <w:tr w:rsidR="00FC38B2" w14:paraId="5DC0B064" w14:textId="77777777" w:rsidTr="00744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800" w:type="dxa"/>
            <w:tcBorders>
              <w:top w:val="nil"/>
              <w:left w:val="nil"/>
              <w:bottom w:val="nil"/>
              <w:right w:val="nil"/>
              <w:tl2br w:val="nil"/>
              <w:tr2bl w:val="nil"/>
            </w:tcBorders>
            <w:shd w:val="clear" w:color="auto" w:fill="auto"/>
            <w:tcMar>
              <w:left w:w="101" w:type="dxa"/>
              <w:right w:w="101" w:type="dxa"/>
            </w:tcMar>
          </w:tcPr>
          <w:p w14:paraId="24F4AB35" w14:textId="77777777" w:rsidR="00FC38B2" w:rsidRDefault="00FC38B2" w:rsidP="00FC38B2">
            <w:pPr>
              <w:pStyle w:val="Normal1"/>
              <w:rPr>
                <w:rFonts w:ascii="Calibri" w:eastAsia="Calibri" w:hAnsi="Calibri" w:cs="Calibri"/>
                <w:color w:val="000000"/>
                <w:sz w:val="18"/>
              </w:rPr>
            </w:pPr>
            <w:r w:rsidRPr="004A3FE6">
              <w:rPr>
                <w:rFonts w:ascii="Calibri" w:eastAsia="Calibri" w:hAnsi="Calibri" w:cs="Calibri"/>
                <w:color w:val="000000"/>
                <w:sz w:val="18"/>
              </w:rPr>
              <w:t>Addressing unmet need in sexual health support for people with disability</w:t>
            </w:r>
          </w:p>
        </w:tc>
        <w:tc>
          <w:tcPr>
            <w:tcW w:w="967" w:type="dxa"/>
            <w:tcBorders>
              <w:top w:val="nil"/>
              <w:left w:val="nil"/>
              <w:bottom w:val="nil"/>
              <w:right w:val="nil"/>
              <w:tl2br w:val="nil"/>
              <w:tr2bl w:val="nil"/>
            </w:tcBorders>
            <w:shd w:val="clear" w:color="auto" w:fill="auto"/>
            <w:noWrap/>
            <w:tcMar>
              <w:left w:w="101" w:type="dxa"/>
              <w:right w:w="101" w:type="dxa"/>
            </w:tcMar>
          </w:tcPr>
          <w:p w14:paraId="5958E2C0"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41FFB911"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125</w:t>
            </w:r>
          </w:p>
        </w:tc>
        <w:tc>
          <w:tcPr>
            <w:tcW w:w="968" w:type="dxa"/>
            <w:tcBorders>
              <w:top w:val="nil"/>
              <w:left w:val="nil"/>
              <w:bottom w:val="nil"/>
              <w:right w:val="nil"/>
              <w:tl2br w:val="nil"/>
              <w:tr2bl w:val="nil"/>
            </w:tcBorders>
            <w:shd w:val="clear" w:color="auto" w:fill="auto"/>
            <w:noWrap/>
            <w:tcMar>
              <w:left w:w="101" w:type="dxa"/>
              <w:right w:w="101" w:type="dxa"/>
            </w:tcMar>
          </w:tcPr>
          <w:p w14:paraId="0A6B8870"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256</w:t>
            </w:r>
          </w:p>
        </w:tc>
        <w:tc>
          <w:tcPr>
            <w:tcW w:w="968" w:type="dxa"/>
            <w:tcBorders>
              <w:top w:val="nil"/>
              <w:left w:val="nil"/>
              <w:bottom w:val="nil"/>
              <w:right w:val="nil"/>
              <w:tl2br w:val="nil"/>
              <w:tr2bl w:val="nil"/>
            </w:tcBorders>
            <w:shd w:val="clear" w:color="auto" w:fill="auto"/>
            <w:noWrap/>
            <w:tcMar>
              <w:left w:w="101" w:type="dxa"/>
              <w:right w:w="101" w:type="dxa"/>
            </w:tcMar>
          </w:tcPr>
          <w:p w14:paraId="5A5DDA32"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263</w:t>
            </w:r>
          </w:p>
        </w:tc>
        <w:tc>
          <w:tcPr>
            <w:tcW w:w="968" w:type="dxa"/>
            <w:tcBorders>
              <w:top w:val="nil"/>
              <w:left w:val="nil"/>
              <w:bottom w:val="nil"/>
              <w:right w:val="nil"/>
              <w:tl2br w:val="nil"/>
              <w:tr2bl w:val="nil"/>
            </w:tcBorders>
            <w:shd w:val="clear" w:color="auto" w:fill="auto"/>
            <w:noWrap/>
            <w:tcMar>
              <w:left w:w="101" w:type="dxa"/>
              <w:right w:w="101" w:type="dxa"/>
            </w:tcMar>
          </w:tcPr>
          <w:p w14:paraId="5D88A221"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269</w:t>
            </w:r>
          </w:p>
        </w:tc>
      </w:tr>
      <w:tr w:rsidR="00FC38B2" w14:paraId="0FF0FEF8" w14:textId="77777777" w:rsidTr="00744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4800" w:type="dxa"/>
            <w:tcBorders>
              <w:top w:val="nil"/>
              <w:left w:val="nil"/>
              <w:bottom w:val="nil"/>
              <w:right w:val="nil"/>
              <w:tl2br w:val="nil"/>
              <w:tr2bl w:val="nil"/>
            </w:tcBorders>
            <w:shd w:val="clear" w:color="auto" w:fill="auto"/>
            <w:tcMar>
              <w:left w:w="101" w:type="dxa"/>
              <w:right w:w="101" w:type="dxa"/>
            </w:tcMar>
          </w:tcPr>
          <w:p w14:paraId="1127585E" w14:textId="04AE5971" w:rsidR="00FC38B2" w:rsidRDefault="00FC38B2" w:rsidP="00FC38B2">
            <w:pPr>
              <w:pStyle w:val="Normal1"/>
              <w:rPr>
                <w:rFonts w:ascii="Calibri" w:eastAsia="Calibri" w:hAnsi="Calibri" w:cs="Calibri"/>
                <w:color w:val="000000"/>
                <w:sz w:val="18"/>
              </w:rPr>
            </w:pPr>
            <w:r w:rsidRPr="00CD0792">
              <w:rPr>
                <w:rFonts w:ascii="Calibri" w:eastAsia="Calibri" w:hAnsi="Calibri" w:cs="Calibri"/>
                <w:color w:val="000000"/>
                <w:sz w:val="18"/>
              </w:rPr>
              <w:t xml:space="preserve">Continuing </w:t>
            </w:r>
            <w:r w:rsidR="00D177B8">
              <w:rPr>
                <w:rFonts w:ascii="Calibri" w:eastAsia="Calibri" w:hAnsi="Calibri" w:cs="Calibri"/>
                <w:color w:val="000000"/>
                <w:sz w:val="18"/>
              </w:rPr>
              <w:t xml:space="preserve">the </w:t>
            </w:r>
            <w:r w:rsidRPr="00CD0792">
              <w:rPr>
                <w:rFonts w:ascii="Calibri" w:eastAsia="Calibri" w:hAnsi="Calibri" w:cs="Calibri"/>
                <w:color w:val="000000"/>
                <w:sz w:val="18"/>
              </w:rPr>
              <w:t>Mental Health Detention Exit Community Outreach</w:t>
            </w:r>
            <w:r w:rsidR="00DA143A">
              <w:rPr>
                <w:rFonts w:ascii="Calibri" w:eastAsia="Calibri" w:hAnsi="Calibri" w:cs="Calibri"/>
                <w:color w:val="000000"/>
                <w:sz w:val="18"/>
              </w:rPr>
              <w:t xml:space="preserve"> program</w:t>
            </w:r>
          </w:p>
        </w:tc>
        <w:tc>
          <w:tcPr>
            <w:tcW w:w="967" w:type="dxa"/>
            <w:tcBorders>
              <w:top w:val="nil"/>
              <w:left w:val="nil"/>
              <w:bottom w:val="nil"/>
              <w:right w:val="nil"/>
              <w:tl2br w:val="nil"/>
              <w:tr2bl w:val="nil"/>
            </w:tcBorders>
            <w:shd w:val="clear" w:color="auto" w:fill="auto"/>
            <w:noWrap/>
            <w:tcMar>
              <w:left w:w="101" w:type="dxa"/>
              <w:right w:w="101" w:type="dxa"/>
            </w:tcMar>
          </w:tcPr>
          <w:p w14:paraId="2D75BE8E"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91C0E1A"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300</w:t>
            </w:r>
          </w:p>
        </w:tc>
        <w:tc>
          <w:tcPr>
            <w:tcW w:w="968" w:type="dxa"/>
            <w:tcBorders>
              <w:top w:val="nil"/>
              <w:left w:val="nil"/>
              <w:bottom w:val="nil"/>
              <w:right w:val="nil"/>
              <w:tl2br w:val="nil"/>
              <w:tr2bl w:val="nil"/>
            </w:tcBorders>
            <w:shd w:val="clear" w:color="auto" w:fill="auto"/>
            <w:noWrap/>
            <w:tcMar>
              <w:left w:w="101" w:type="dxa"/>
              <w:right w:w="101" w:type="dxa"/>
            </w:tcMar>
          </w:tcPr>
          <w:p w14:paraId="6455BDFB"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308</w:t>
            </w:r>
          </w:p>
        </w:tc>
        <w:tc>
          <w:tcPr>
            <w:tcW w:w="968" w:type="dxa"/>
            <w:tcBorders>
              <w:top w:val="nil"/>
              <w:left w:val="nil"/>
              <w:bottom w:val="nil"/>
              <w:right w:val="nil"/>
              <w:tl2br w:val="nil"/>
              <w:tr2bl w:val="nil"/>
            </w:tcBorders>
            <w:shd w:val="clear" w:color="auto" w:fill="auto"/>
            <w:noWrap/>
            <w:tcMar>
              <w:left w:w="101" w:type="dxa"/>
              <w:right w:w="101" w:type="dxa"/>
            </w:tcMar>
          </w:tcPr>
          <w:p w14:paraId="48662B69"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315</w:t>
            </w:r>
          </w:p>
        </w:tc>
        <w:tc>
          <w:tcPr>
            <w:tcW w:w="968" w:type="dxa"/>
            <w:tcBorders>
              <w:top w:val="nil"/>
              <w:left w:val="nil"/>
              <w:bottom w:val="nil"/>
              <w:right w:val="nil"/>
              <w:tl2br w:val="nil"/>
              <w:tr2bl w:val="nil"/>
            </w:tcBorders>
            <w:shd w:val="clear" w:color="auto" w:fill="auto"/>
            <w:noWrap/>
            <w:tcMar>
              <w:left w:w="101" w:type="dxa"/>
              <w:right w:w="101" w:type="dxa"/>
            </w:tcMar>
          </w:tcPr>
          <w:p w14:paraId="129C4432"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FC38B2" w14:paraId="1B0A8BDE" w14:textId="77777777" w:rsidTr="00744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4800" w:type="dxa"/>
            <w:tcBorders>
              <w:top w:val="nil"/>
              <w:left w:val="nil"/>
              <w:bottom w:val="nil"/>
              <w:right w:val="nil"/>
              <w:tl2br w:val="nil"/>
              <w:tr2bl w:val="nil"/>
            </w:tcBorders>
            <w:shd w:val="clear" w:color="auto" w:fill="auto"/>
            <w:tcMar>
              <w:left w:w="101" w:type="dxa"/>
              <w:right w:w="101" w:type="dxa"/>
            </w:tcMar>
          </w:tcPr>
          <w:p w14:paraId="12F8F862" w14:textId="77777777" w:rsidR="00FC38B2" w:rsidRDefault="00FC38B2" w:rsidP="00FC38B2">
            <w:pPr>
              <w:pStyle w:val="Normal1"/>
              <w:rPr>
                <w:rFonts w:ascii="Calibri" w:eastAsia="Calibri" w:hAnsi="Calibri" w:cs="Calibri"/>
                <w:color w:val="000000"/>
                <w:sz w:val="18"/>
              </w:rPr>
            </w:pPr>
            <w:r w:rsidRPr="004251DD">
              <w:rPr>
                <w:rFonts w:ascii="Calibri" w:eastAsia="Calibri" w:hAnsi="Calibri" w:cs="Calibri"/>
                <w:color w:val="000000"/>
                <w:sz w:val="18"/>
              </w:rPr>
              <w:t>Continuing the Mental Health Discharge Accommodation program</w:t>
            </w:r>
          </w:p>
        </w:tc>
        <w:tc>
          <w:tcPr>
            <w:tcW w:w="967" w:type="dxa"/>
            <w:tcBorders>
              <w:top w:val="nil"/>
              <w:left w:val="nil"/>
              <w:bottom w:val="nil"/>
              <w:right w:val="nil"/>
              <w:tl2br w:val="nil"/>
              <w:tr2bl w:val="nil"/>
            </w:tcBorders>
            <w:shd w:val="clear" w:color="auto" w:fill="auto"/>
            <w:noWrap/>
            <w:tcMar>
              <w:left w:w="101" w:type="dxa"/>
              <w:right w:w="101" w:type="dxa"/>
            </w:tcMar>
          </w:tcPr>
          <w:p w14:paraId="745D8E2E"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44247EF6"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1,000</w:t>
            </w:r>
          </w:p>
        </w:tc>
        <w:tc>
          <w:tcPr>
            <w:tcW w:w="968" w:type="dxa"/>
            <w:tcBorders>
              <w:top w:val="nil"/>
              <w:left w:val="nil"/>
              <w:bottom w:val="nil"/>
              <w:right w:val="nil"/>
              <w:tl2br w:val="nil"/>
              <w:tr2bl w:val="nil"/>
            </w:tcBorders>
            <w:shd w:val="clear" w:color="auto" w:fill="auto"/>
            <w:noWrap/>
            <w:tcMar>
              <w:left w:w="101" w:type="dxa"/>
              <w:right w:w="101" w:type="dxa"/>
            </w:tcMar>
          </w:tcPr>
          <w:p w14:paraId="47276DC5"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1,025</w:t>
            </w:r>
          </w:p>
        </w:tc>
        <w:tc>
          <w:tcPr>
            <w:tcW w:w="968" w:type="dxa"/>
            <w:tcBorders>
              <w:top w:val="nil"/>
              <w:left w:val="nil"/>
              <w:bottom w:val="nil"/>
              <w:right w:val="nil"/>
              <w:tl2br w:val="nil"/>
              <w:tr2bl w:val="nil"/>
            </w:tcBorders>
            <w:shd w:val="clear" w:color="auto" w:fill="auto"/>
            <w:noWrap/>
            <w:tcMar>
              <w:left w:w="101" w:type="dxa"/>
              <w:right w:w="101" w:type="dxa"/>
            </w:tcMar>
          </w:tcPr>
          <w:p w14:paraId="4EAB0691"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227C703"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FC38B2" w14:paraId="3DBBFC79" w14:textId="77777777" w:rsidTr="00FC3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800" w:type="dxa"/>
            <w:tcBorders>
              <w:top w:val="nil"/>
              <w:left w:val="nil"/>
              <w:bottom w:val="nil"/>
              <w:right w:val="nil"/>
              <w:tl2br w:val="nil"/>
              <w:tr2bl w:val="nil"/>
            </w:tcBorders>
            <w:shd w:val="clear" w:color="auto" w:fill="auto"/>
            <w:tcMar>
              <w:left w:w="101" w:type="dxa"/>
              <w:right w:w="101" w:type="dxa"/>
            </w:tcMar>
          </w:tcPr>
          <w:p w14:paraId="48E0E9F7" w14:textId="77777777" w:rsidR="00FC38B2" w:rsidRDefault="00FC38B2" w:rsidP="00FC38B2">
            <w:pPr>
              <w:pStyle w:val="Normal1"/>
              <w:rPr>
                <w:rFonts w:ascii="Calibri" w:eastAsia="Calibri" w:hAnsi="Calibri" w:cs="Calibri"/>
                <w:color w:val="000000"/>
                <w:sz w:val="18"/>
              </w:rPr>
            </w:pPr>
            <w:r w:rsidRPr="004A3FE6">
              <w:rPr>
                <w:rFonts w:ascii="Calibri" w:eastAsia="Calibri" w:hAnsi="Calibri" w:cs="Calibri"/>
                <w:color w:val="000000"/>
                <w:sz w:val="18"/>
              </w:rPr>
              <w:t>Implementation of the LGBTIQ+ Scoping Study recommendations</w:t>
            </w:r>
          </w:p>
        </w:tc>
        <w:tc>
          <w:tcPr>
            <w:tcW w:w="967" w:type="dxa"/>
            <w:tcBorders>
              <w:top w:val="nil"/>
              <w:left w:val="nil"/>
              <w:bottom w:val="nil"/>
              <w:right w:val="nil"/>
              <w:tl2br w:val="nil"/>
              <w:tr2bl w:val="nil"/>
            </w:tcBorders>
            <w:shd w:val="clear" w:color="auto" w:fill="auto"/>
            <w:noWrap/>
            <w:tcMar>
              <w:left w:w="101" w:type="dxa"/>
              <w:right w:w="101" w:type="dxa"/>
            </w:tcMar>
          </w:tcPr>
          <w:p w14:paraId="777C8C3B"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001CBC08"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360</w:t>
            </w:r>
          </w:p>
        </w:tc>
        <w:tc>
          <w:tcPr>
            <w:tcW w:w="968" w:type="dxa"/>
            <w:tcBorders>
              <w:top w:val="nil"/>
              <w:left w:val="nil"/>
              <w:bottom w:val="nil"/>
              <w:right w:val="nil"/>
              <w:tl2br w:val="nil"/>
              <w:tr2bl w:val="nil"/>
            </w:tcBorders>
            <w:shd w:val="clear" w:color="auto" w:fill="auto"/>
            <w:noWrap/>
            <w:tcMar>
              <w:left w:w="101" w:type="dxa"/>
              <w:right w:w="101" w:type="dxa"/>
            </w:tcMar>
          </w:tcPr>
          <w:p w14:paraId="6966377A"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16B227C"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5616A4C5"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A8582F" w14:paraId="363BF85C"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1FB5426B" w14:textId="596947AB" w:rsidR="00A8582F" w:rsidRDefault="00A8582F" w:rsidP="00D177B8">
            <w:pPr>
              <w:pStyle w:val="Normal1"/>
              <w:rPr>
                <w:rFonts w:ascii="Calibri" w:eastAsia="Calibri" w:hAnsi="Calibri" w:cs="Calibri"/>
                <w:color w:val="000000"/>
                <w:sz w:val="18"/>
              </w:rPr>
            </w:pPr>
            <w:r w:rsidRPr="00A8582F">
              <w:rPr>
                <w:rFonts w:ascii="Calibri" w:eastAsia="Calibri" w:hAnsi="Calibri" w:cs="Calibri"/>
                <w:color w:val="000000"/>
                <w:sz w:val="18"/>
              </w:rPr>
              <w:t xml:space="preserve">More support for </w:t>
            </w:r>
            <w:r w:rsidR="00DA143A">
              <w:rPr>
                <w:rFonts w:ascii="Calibri" w:eastAsia="Calibri" w:hAnsi="Calibri" w:cs="Calibri"/>
                <w:color w:val="000000"/>
                <w:sz w:val="18"/>
              </w:rPr>
              <w:t>c</w:t>
            </w:r>
            <w:r w:rsidRPr="00A8582F">
              <w:rPr>
                <w:rFonts w:ascii="Calibri" w:eastAsia="Calibri" w:hAnsi="Calibri" w:cs="Calibri"/>
                <w:color w:val="000000"/>
                <w:sz w:val="18"/>
              </w:rPr>
              <w:t xml:space="preserve">ommunity </w:t>
            </w:r>
            <w:r w:rsidR="00DA143A">
              <w:rPr>
                <w:rFonts w:ascii="Calibri" w:eastAsia="Calibri" w:hAnsi="Calibri" w:cs="Calibri"/>
                <w:color w:val="000000"/>
                <w:sz w:val="18"/>
              </w:rPr>
              <w:t>d</w:t>
            </w:r>
            <w:r w:rsidRPr="00A8582F">
              <w:rPr>
                <w:rFonts w:ascii="Calibri" w:eastAsia="Calibri" w:hAnsi="Calibri" w:cs="Calibri"/>
                <w:color w:val="000000"/>
                <w:sz w:val="18"/>
              </w:rPr>
              <w:t>elivered Mental Health</w:t>
            </w:r>
          </w:p>
        </w:tc>
        <w:tc>
          <w:tcPr>
            <w:tcW w:w="967" w:type="dxa"/>
            <w:tcBorders>
              <w:top w:val="nil"/>
              <w:left w:val="nil"/>
              <w:bottom w:val="nil"/>
              <w:right w:val="nil"/>
              <w:tl2br w:val="nil"/>
              <w:tr2bl w:val="nil"/>
            </w:tcBorders>
            <w:shd w:val="clear" w:color="auto" w:fill="auto"/>
            <w:noWrap/>
            <w:tcMar>
              <w:left w:w="101" w:type="dxa"/>
              <w:right w:w="101" w:type="dxa"/>
            </w:tcMar>
          </w:tcPr>
          <w:p w14:paraId="07C1BF31"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2ED076BF"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667</w:t>
            </w:r>
          </w:p>
        </w:tc>
        <w:tc>
          <w:tcPr>
            <w:tcW w:w="968" w:type="dxa"/>
            <w:tcBorders>
              <w:top w:val="nil"/>
              <w:left w:val="nil"/>
              <w:bottom w:val="nil"/>
              <w:right w:val="nil"/>
              <w:tl2br w:val="nil"/>
              <w:tr2bl w:val="nil"/>
            </w:tcBorders>
            <w:shd w:val="clear" w:color="auto" w:fill="auto"/>
            <w:noWrap/>
            <w:tcMar>
              <w:left w:w="101" w:type="dxa"/>
              <w:right w:w="101" w:type="dxa"/>
            </w:tcMar>
          </w:tcPr>
          <w:p w14:paraId="0E683CDB"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2,758</w:t>
            </w:r>
          </w:p>
        </w:tc>
        <w:tc>
          <w:tcPr>
            <w:tcW w:w="968" w:type="dxa"/>
            <w:tcBorders>
              <w:top w:val="nil"/>
              <w:left w:val="nil"/>
              <w:bottom w:val="nil"/>
              <w:right w:val="nil"/>
              <w:tl2br w:val="nil"/>
              <w:tr2bl w:val="nil"/>
            </w:tcBorders>
            <w:shd w:val="clear" w:color="auto" w:fill="auto"/>
            <w:noWrap/>
            <w:tcMar>
              <w:left w:w="101" w:type="dxa"/>
              <w:right w:w="101" w:type="dxa"/>
            </w:tcMar>
          </w:tcPr>
          <w:p w14:paraId="4FF34B44"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2,520</w:t>
            </w:r>
          </w:p>
        </w:tc>
        <w:tc>
          <w:tcPr>
            <w:tcW w:w="968" w:type="dxa"/>
            <w:tcBorders>
              <w:top w:val="nil"/>
              <w:left w:val="nil"/>
              <w:bottom w:val="nil"/>
              <w:right w:val="nil"/>
              <w:tl2br w:val="nil"/>
              <w:tr2bl w:val="nil"/>
            </w:tcBorders>
            <w:shd w:val="clear" w:color="auto" w:fill="auto"/>
            <w:noWrap/>
            <w:tcMar>
              <w:left w:w="101" w:type="dxa"/>
              <w:right w:w="101" w:type="dxa"/>
            </w:tcMar>
          </w:tcPr>
          <w:p w14:paraId="439B41E6"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2,581</w:t>
            </w:r>
          </w:p>
        </w:tc>
      </w:tr>
      <w:tr w:rsidR="00FC38B2" w14:paraId="50D9C291"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4800" w:type="dxa"/>
            <w:tcBorders>
              <w:top w:val="nil"/>
              <w:left w:val="nil"/>
              <w:bottom w:val="nil"/>
              <w:right w:val="nil"/>
              <w:tl2br w:val="nil"/>
              <w:tr2bl w:val="nil"/>
            </w:tcBorders>
            <w:shd w:val="clear" w:color="auto" w:fill="auto"/>
            <w:tcMar>
              <w:left w:w="101" w:type="dxa"/>
              <w:right w:w="101" w:type="dxa"/>
            </w:tcMar>
          </w:tcPr>
          <w:p w14:paraId="74D92FCD" w14:textId="77777777" w:rsidR="00FC38B2" w:rsidRDefault="00FC38B2">
            <w:pPr>
              <w:pStyle w:val="Normal1"/>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4B0BB652" w14:textId="77777777" w:rsidR="00FC38B2" w:rsidRDefault="00FC38B2">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1B5E4288" w14:textId="77777777" w:rsidR="00FC38B2" w:rsidRDefault="00FC38B2">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0A2B0D9D" w14:textId="77777777" w:rsidR="00FC38B2" w:rsidRDefault="00FC38B2">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30B5E7F9" w14:textId="77777777" w:rsidR="00FC38B2" w:rsidRDefault="00FC38B2">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4D910E2D" w14:textId="77777777" w:rsidR="00FC38B2" w:rsidRDefault="00FC38B2">
            <w:pPr>
              <w:pStyle w:val="Normal1"/>
              <w:jc w:val="right"/>
              <w:rPr>
                <w:rFonts w:ascii="Calibri" w:eastAsia="Calibri" w:hAnsi="Calibri" w:cs="Calibri"/>
                <w:color w:val="000000"/>
                <w:sz w:val="18"/>
              </w:rPr>
            </w:pPr>
          </w:p>
        </w:tc>
      </w:tr>
      <w:tr w:rsidR="00A8582F" w:rsidRPr="00A8582F" w14:paraId="609AA755" w14:textId="77777777" w:rsidTr="00DA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7F49CDA0" w14:textId="77777777" w:rsidR="00A8582F" w:rsidRPr="00A8582F" w:rsidRDefault="00A8582F" w:rsidP="00D177B8">
            <w:pPr>
              <w:pStyle w:val="Normal1"/>
              <w:rPr>
                <w:rFonts w:ascii="Calibri" w:eastAsia="Calibri" w:hAnsi="Calibri" w:cs="Calibri"/>
                <w:color w:val="000000"/>
                <w:sz w:val="18"/>
                <w:u w:val="single"/>
              </w:rPr>
            </w:pPr>
            <w:r w:rsidRPr="00A8582F">
              <w:rPr>
                <w:rFonts w:ascii="Calibri" w:eastAsia="Calibri" w:hAnsi="Calibri" w:cs="Calibri"/>
                <w:color w:val="000000"/>
                <w:sz w:val="18"/>
                <w:u w:val="single"/>
              </w:rPr>
              <w:t>Community sector partnerships</w:t>
            </w:r>
          </w:p>
        </w:tc>
        <w:tc>
          <w:tcPr>
            <w:tcW w:w="967" w:type="dxa"/>
            <w:tcBorders>
              <w:top w:val="nil"/>
              <w:left w:val="nil"/>
              <w:bottom w:val="nil"/>
              <w:right w:val="nil"/>
              <w:tl2br w:val="nil"/>
              <w:tr2bl w:val="nil"/>
            </w:tcBorders>
            <w:shd w:val="clear" w:color="auto" w:fill="auto"/>
            <w:noWrap/>
            <w:tcMar>
              <w:left w:w="101" w:type="dxa"/>
              <w:right w:w="101" w:type="dxa"/>
            </w:tcMar>
          </w:tcPr>
          <w:p w14:paraId="4D626B76" w14:textId="77777777" w:rsidR="00A8582F" w:rsidRPr="00A8582F" w:rsidRDefault="00A8582F" w:rsidP="00D177B8">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53C15CEA" w14:textId="77777777" w:rsidR="00A8582F" w:rsidRPr="00A8582F" w:rsidRDefault="00A8582F" w:rsidP="00D177B8">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3C166F0D" w14:textId="77777777" w:rsidR="00A8582F" w:rsidRPr="00A8582F" w:rsidRDefault="00A8582F" w:rsidP="00D177B8">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43AF0ABB" w14:textId="77777777" w:rsidR="00A8582F" w:rsidRPr="00A8582F" w:rsidRDefault="00A8582F" w:rsidP="00D177B8">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2D3B8CF0" w14:textId="77777777" w:rsidR="00A8582F" w:rsidRPr="00A8582F" w:rsidRDefault="00A8582F" w:rsidP="00D177B8">
            <w:pPr>
              <w:pStyle w:val="Normal1"/>
              <w:jc w:val="right"/>
              <w:rPr>
                <w:rFonts w:ascii="Calibri" w:eastAsia="Calibri" w:hAnsi="Calibri" w:cs="Calibri"/>
                <w:color w:val="000000"/>
                <w:sz w:val="18"/>
                <w:u w:val="single"/>
              </w:rPr>
            </w:pPr>
          </w:p>
        </w:tc>
      </w:tr>
      <w:tr w:rsidR="00A8582F" w14:paraId="5BDE31D3"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4800" w:type="dxa"/>
            <w:tcBorders>
              <w:top w:val="nil"/>
              <w:left w:val="nil"/>
              <w:bottom w:val="nil"/>
              <w:right w:val="nil"/>
              <w:tl2br w:val="nil"/>
              <w:tr2bl w:val="nil"/>
            </w:tcBorders>
            <w:shd w:val="clear" w:color="auto" w:fill="auto"/>
            <w:tcMar>
              <w:left w:w="101" w:type="dxa"/>
              <w:right w:w="101" w:type="dxa"/>
            </w:tcMar>
          </w:tcPr>
          <w:p w14:paraId="2812410C" w14:textId="77777777" w:rsidR="00A8582F" w:rsidRDefault="00A8582F" w:rsidP="00D177B8">
            <w:pPr>
              <w:pStyle w:val="Normal1"/>
              <w:rPr>
                <w:rFonts w:ascii="Calibri" w:eastAsia="Calibri" w:hAnsi="Calibri" w:cs="Calibri"/>
                <w:color w:val="000000"/>
                <w:sz w:val="18"/>
              </w:rPr>
            </w:pPr>
            <w:r w:rsidRPr="00C95A71">
              <w:rPr>
                <w:rFonts w:ascii="Calibri" w:eastAsia="Calibri" w:hAnsi="Calibri" w:cs="Calibri"/>
                <w:color w:val="000000"/>
                <w:sz w:val="18"/>
              </w:rPr>
              <w:t>More support for community sector organisations</w:t>
            </w:r>
          </w:p>
        </w:tc>
        <w:tc>
          <w:tcPr>
            <w:tcW w:w="967" w:type="dxa"/>
            <w:tcBorders>
              <w:top w:val="nil"/>
              <w:left w:val="nil"/>
              <w:bottom w:val="nil"/>
              <w:right w:val="nil"/>
              <w:tl2br w:val="nil"/>
              <w:tr2bl w:val="nil"/>
            </w:tcBorders>
            <w:shd w:val="clear" w:color="auto" w:fill="auto"/>
            <w:noWrap/>
            <w:tcMar>
              <w:left w:w="101" w:type="dxa"/>
              <w:right w:w="101" w:type="dxa"/>
            </w:tcMar>
          </w:tcPr>
          <w:p w14:paraId="5F5622AE"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067D4555"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398</w:t>
            </w:r>
          </w:p>
        </w:tc>
        <w:tc>
          <w:tcPr>
            <w:tcW w:w="968" w:type="dxa"/>
            <w:tcBorders>
              <w:top w:val="nil"/>
              <w:left w:val="nil"/>
              <w:bottom w:val="nil"/>
              <w:right w:val="nil"/>
              <w:tl2br w:val="nil"/>
              <w:tr2bl w:val="nil"/>
            </w:tcBorders>
            <w:shd w:val="clear" w:color="auto" w:fill="auto"/>
            <w:noWrap/>
            <w:tcMar>
              <w:left w:w="101" w:type="dxa"/>
              <w:right w:w="101" w:type="dxa"/>
            </w:tcMar>
          </w:tcPr>
          <w:p w14:paraId="0ED9725F"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402</w:t>
            </w:r>
          </w:p>
        </w:tc>
        <w:tc>
          <w:tcPr>
            <w:tcW w:w="968" w:type="dxa"/>
            <w:tcBorders>
              <w:top w:val="nil"/>
              <w:left w:val="nil"/>
              <w:bottom w:val="nil"/>
              <w:right w:val="nil"/>
              <w:tl2br w:val="nil"/>
              <w:tr2bl w:val="nil"/>
            </w:tcBorders>
            <w:shd w:val="clear" w:color="auto" w:fill="auto"/>
            <w:noWrap/>
            <w:tcMar>
              <w:left w:w="101" w:type="dxa"/>
              <w:right w:w="101" w:type="dxa"/>
            </w:tcMar>
          </w:tcPr>
          <w:p w14:paraId="47056B98"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405</w:t>
            </w:r>
          </w:p>
        </w:tc>
        <w:tc>
          <w:tcPr>
            <w:tcW w:w="968" w:type="dxa"/>
            <w:tcBorders>
              <w:top w:val="nil"/>
              <w:left w:val="nil"/>
              <w:bottom w:val="nil"/>
              <w:right w:val="nil"/>
              <w:tl2br w:val="nil"/>
              <w:tr2bl w:val="nil"/>
            </w:tcBorders>
            <w:shd w:val="clear" w:color="auto" w:fill="auto"/>
            <w:noWrap/>
            <w:tcMar>
              <w:left w:w="101" w:type="dxa"/>
              <w:right w:w="101" w:type="dxa"/>
            </w:tcMar>
          </w:tcPr>
          <w:p w14:paraId="35FD9231"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449</w:t>
            </w:r>
          </w:p>
        </w:tc>
      </w:tr>
      <w:tr w:rsidR="00A8582F" w14:paraId="69F6EECE"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4800" w:type="dxa"/>
            <w:tcBorders>
              <w:top w:val="nil"/>
              <w:left w:val="nil"/>
              <w:bottom w:val="nil"/>
              <w:right w:val="nil"/>
              <w:tl2br w:val="nil"/>
              <w:tr2bl w:val="nil"/>
            </w:tcBorders>
            <w:shd w:val="clear" w:color="auto" w:fill="auto"/>
            <w:tcMar>
              <w:left w:w="101" w:type="dxa"/>
              <w:right w:w="101" w:type="dxa"/>
            </w:tcMar>
          </w:tcPr>
          <w:p w14:paraId="31CEDFAC" w14:textId="77777777" w:rsidR="00A8582F" w:rsidRPr="00C95A71" w:rsidRDefault="00A8582F" w:rsidP="00D177B8">
            <w:pPr>
              <w:pStyle w:val="Normal1"/>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686794EF"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68C991A7"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17E5A50A"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5FF91D4A"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72E5839C" w14:textId="77777777" w:rsidR="00A8582F" w:rsidRDefault="00A8582F" w:rsidP="00D177B8">
            <w:pPr>
              <w:pStyle w:val="Normal1"/>
              <w:jc w:val="right"/>
              <w:rPr>
                <w:rFonts w:ascii="Calibri" w:eastAsia="Calibri" w:hAnsi="Calibri" w:cs="Calibri"/>
                <w:color w:val="000000"/>
                <w:sz w:val="18"/>
              </w:rPr>
            </w:pPr>
          </w:p>
        </w:tc>
      </w:tr>
      <w:tr w:rsidR="00A8582F" w:rsidRPr="00FA6C21" w14:paraId="50D1AAF4"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4800" w:type="dxa"/>
            <w:tcBorders>
              <w:top w:val="nil"/>
              <w:left w:val="nil"/>
              <w:bottom w:val="nil"/>
              <w:right w:val="nil"/>
              <w:tl2br w:val="nil"/>
              <w:tr2bl w:val="nil"/>
            </w:tcBorders>
            <w:shd w:val="clear" w:color="auto" w:fill="auto"/>
            <w:tcMar>
              <w:left w:w="101" w:type="dxa"/>
              <w:right w:w="101" w:type="dxa"/>
            </w:tcMar>
          </w:tcPr>
          <w:p w14:paraId="7BD8DD57" w14:textId="77777777" w:rsidR="00A8582F" w:rsidRPr="00FA6C21" w:rsidRDefault="00A8582F" w:rsidP="00D177B8">
            <w:pPr>
              <w:pStyle w:val="Normal1"/>
              <w:rPr>
                <w:rFonts w:ascii="Calibri" w:eastAsia="Calibri" w:hAnsi="Calibri" w:cs="Calibri"/>
                <w:color w:val="000000"/>
                <w:sz w:val="18"/>
                <w:u w:val="single"/>
              </w:rPr>
            </w:pPr>
            <w:r w:rsidRPr="00FA6C21">
              <w:rPr>
                <w:rFonts w:ascii="Calibri" w:eastAsia="Calibri" w:hAnsi="Calibri" w:cs="Calibri"/>
                <w:color w:val="000000"/>
                <w:sz w:val="18"/>
                <w:u w:val="single"/>
              </w:rPr>
              <w:t>COVID-19</w:t>
            </w:r>
            <w:r>
              <w:rPr>
                <w:rFonts w:ascii="Calibri" w:eastAsia="Calibri" w:hAnsi="Calibri" w:cs="Calibri"/>
                <w:color w:val="000000"/>
                <w:sz w:val="18"/>
                <w:u w:val="single"/>
              </w:rPr>
              <w:t xml:space="preserve"> Response</w:t>
            </w:r>
          </w:p>
        </w:tc>
        <w:tc>
          <w:tcPr>
            <w:tcW w:w="967" w:type="dxa"/>
            <w:tcBorders>
              <w:top w:val="nil"/>
              <w:left w:val="nil"/>
              <w:bottom w:val="nil"/>
              <w:right w:val="nil"/>
              <w:tl2br w:val="nil"/>
              <w:tr2bl w:val="nil"/>
            </w:tcBorders>
            <w:shd w:val="clear" w:color="auto" w:fill="auto"/>
            <w:noWrap/>
            <w:tcMar>
              <w:left w:w="101" w:type="dxa"/>
              <w:right w:w="101" w:type="dxa"/>
            </w:tcMar>
          </w:tcPr>
          <w:p w14:paraId="49B05E92" w14:textId="77777777" w:rsidR="00A8582F" w:rsidRPr="00FA6C21" w:rsidRDefault="00A8582F" w:rsidP="00D177B8">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0E28EC92" w14:textId="77777777" w:rsidR="00A8582F" w:rsidRPr="00FA6C21" w:rsidRDefault="00A8582F" w:rsidP="00D177B8">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5308553C" w14:textId="77777777" w:rsidR="00A8582F" w:rsidRPr="00FA6C21" w:rsidRDefault="00A8582F" w:rsidP="00D177B8">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01BAC17B" w14:textId="77777777" w:rsidR="00A8582F" w:rsidRPr="00FA6C21" w:rsidRDefault="00A8582F" w:rsidP="00D177B8">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749D47A0" w14:textId="77777777" w:rsidR="00A8582F" w:rsidRPr="00FA6C21" w:rsidRDefault="00A8582F" w:rsidP="00D177B8">
            <w:pPr>
              <w:pStyle w:val="Normal1"/>
              <w:jc w:val="right"/>
              <w:rPr>
                <w:rFonts w:ascii="Calibri" w:eastAsia="Calibri" w:hAnsi="Calibri" w:cs="Calibri"/>
                <w:color w:val="000000"/>
                <w:sz w:val="18"/>
                <w:u w:val="single"/>
              </w:rPr>
            </w:pPr>
          </w:p>
        </w:tc>
      </w:tr>
      <w:tr w:rsidR="00A8582F" w14:paraId="395EF3C8"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4800" w:type="dxa"/>
            <w:tcBorders>
              <w:top w:val="nil"/>
              <w:left w:val="nil"/>
              <w:bottom w:val="nil"/>
              <w:right w:val="nil"/>
              <w:tl2br w:val="nil"/>
              <w:tr2bl w:val="nil"/>
            </w:tcBorders>
            <w:shd w:val="clear" w:color="auto" w:fill="auto"/>
            <w:tcMar>
              <w:left w:w="101" w:type="dxa"/>
              <w:right w:w="101" w:type="dxa"/>
            </w:tcMar>
          </w:tcPr>
          <w:p w14:paraId="16983DB7" w14:textId="77777777" w:rsidR="00A8582F" w:rsidRDefault="00A8582F" w:rsidP="00D177B8">
            <w:pPr>
              <w:pStyle w:val="Normal1"/>
              <w:rPr>
                <w:rFonts w:ascii="Calibri" w:eastAsia="Calibri" w:hAnsi="Calibri" w:cs="Calibri"/>
                <w:color w:val="000000"/>
                <w:sz w:val="18"/>
              </w:rPr>
            </w:pPr>
            <w:r w:rsidRPr="00FC38B2">
              <w:rPr>
                <w:rFonts w:ascii="Calibri" w:eastAsia="Calibri" w:hAnsi="Calibri" w:cs="Calibri"/>
                <w:color w:val="000000"/>
                <w:sz w:val="18"/>
              </w:rPr>
              <w:t>Continuing the COVID-19 Public Health support package</w:t>
            </w:r>
          </w:p>
        </w:tc>
        <w:tc>
          <w:tcPr>
            <w:tcW w:w="967" w:type="dxa"/>
            <w:tcBorders>
              <w:top w:val="nil"/>
              <w:left w:val="nil"/>
              <w:bottom w:val="nil"/>
              <w:right w:val="nil"/>
              <w:tl2br w:val="nil"/>
              <w:tr2bl w:val="nil"/>
            </w:tcBorders>
            <w:shd w:val="clear" w:color="auto" w:fill="auto"/>
            <w:noWrap/>
            <w:tcMar>
              <w:left w:w="101" w:type="dxa"/>
              <w:right w:w="101" w:type="dxa"/>
            </w:tcMar>
          </w:tcPr>
          <w:p w14:paraId="69845E9C"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62E6B4E"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10,671</w:t>
            </w:r>
          </w:p>
        </w:tc>
        <w:tc>
          <w:tcPr>
            <w:tcW w:w="968" w:type="dxa"/>
            <w:tcBorders>
              <w:top w:val="nil"/>
              <w:left w:val="nil"/>
              <w:bottom w:val="nil"/>
              <w:right w:val="nil"/>
              <w:tl2br w:val="nil"/>
              <w:tr2bl w:val="nil"/>
            </w:tcBorders>
            <w:shd w:val="clear" w:color="auto" w:fill="auto"/>
            <w:noWrap/>
            <w:tcMar>
              <w:left w:w="101" w:type="dxa"/>
              <w:right w:w="101" w:type="dxa"/>
            </w:tcMar>
          </w:tcPr>
          <w:p w14:paraId="0DD740A4"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5D79AFD"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0B61935C"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A8582F" w14:paraId="374E76DD"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0ABB24D0" w14:textId="77777777" w:rsidR="00A8582F" w:rsidRDefault="00A8582F" w:rsidP="00D177B8">
            <w:pPr>
              <w:pStyle w:val="Normal1"/>
              <w:rPr>
                <w:rFonts w:ascii="Calibri" w:eastAsia="Calibri" w:hAnsi="Calibri" w:cs="Calibri"/>
                <w:color w:val="000000"/>
                <w:sz w:val="18"/>
              </w:rPr>
            </w:pPr>
            <w:r w:rsidRPr="00FC38B2">
              <w:rPr>
                <w:rFonts w:ascii="Calibri" w:eastAsia="Calibri" w:hAnsi="Calibri" w:cs="Calibri"/>
                <w:color w:val="000000"/>
                <w:sz w:val="18"/>
              </w:rPr>
              <w:t>Expanded COVID-19 Vaccination program</w:t>
            </w:r>
          </w:p>
        </w:tc>
        <w:tc>
          <w:tcPr>
            <w:tcW w:w="967" w:type="dxa"/>
            <w:tcBorders>
              <w:top w:val="nil"/>
              <w:left w:val="nil"/>
              <w:bottom w:val="nil"/>
              <w:right w:val="nil"/>
              <w:tl2br w:val="nil"/>
              <w:tr2bl w:val="nil"/>
            </w:tcBorders>
            <w:shd w:val="clear" w:color="auto" w:fill="auto"/>
            <w:noWrap/>
            <w:tcMar>
              <w:left w:w="101" w:type="dxa"/>
              <w:right w:w="101" w:type="dxa"/>
            </w:tcMar>
          </w:tcPr>
          <w:p w14:paraId="487FFB48"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70D7CA13"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5,513</w:t>
            </w:r>
          </w:p>
        </w:tc>
        <w:tc>
          <w:tcPr>
            <w:tcW w:w="968" w:type="dxa"/>
            <w:tcBorders>
              <w:top w:val="nil"/>
              <w:left w:val="nil"/>
              <w:bottom w:val="nil"/>
              <w:right w:val="nil"/>
              <w:tl2br w:val="nil"/>
              <w:tr2bl w:val="nil"/>
            </w:tcBorders>
            <w:shd w:val="clear" w:color="auto" w:fill="auto"/>
            <w:noWrap/>
            <w:tcMar>
              <w:left w:w="101" w:type="dxa"/>
              <w:right w:w="101" w:type="dxa"/>
            </w:tcMar>
          </w:tcPr>
          <w:p w14:paraId="217041B3"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A95412C"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7AF22A52"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A8582F" w14:paraId="19654F15"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4800" w:type="dxa"/>
            <w:tcBorders>
              <w:top w:val="nil"/>
              <w:left w:val="nil"/>
              <w:bottom w:val="nil"/>
              <w:right w:val="nil"/>
              <w:tl2br w:val="nil"/>
              <w:tr2bl w:val="nil"/>
            </w:tcBorders>
            <w:shd w:val="clear" w:color="auto" w:fill="auto"/>
            <w:tcMar>
              <w:left w:w="101" w:type="dxa"/>
              <w:right w:w="101" w:type="dxa"/>
            </w:tcMar>
          </w:tcPr>
          <w:p w14:paraId="5832C57D" w14:textId="77777777" w:rsidR="00A8582F" w:rsidRDefault="00A8582F" w:rsidP="00D177B8">
            <w:pPr>
              <w:pStyle w:val="Normal1"/>
              <w:rPr>
                <w:rFonts w:ascii="Calibri" w:eastAsia="Calibri" w:hAnsi="Calibri" w:cs="Calibri"/>
                <w:color w:val="000000"/>
                <w:sz w:val="18"/>
              </w:rPr>
            </w:pPr>
            <w:r w:rsidRPr="00FC38B2">
              <w:rPr>
                <w:rFonts w:ascii="Calibri" w:eastAsia="Calibri" w:hAnsi="Calibri" w:cs="Calibri"/>
                <w:color w:val="000000"/>
                <w:sz w:val="18"/>
              </w:rPr>
              <w:t>Mental health support package</w:t>
            </w:r>
          </w:p>
        </w:tc>
        <w:tc>
          <w:tcPr>
            <w:tcW w:w="967" w:type="dxa"/>
            <w:tcBorders>
              <w:top w:val="nil"/>
              <w:left w:val="nil"/>
              <w:bottom w:val="nil"/>
              <w:right w:val="nil"/>
              <w:tl2br w:val="nil"/>
              <w:tr2bl w:val="nil"/>
            </w:tcBorders>
            <w:shd w:val="clear" w:color="auto" w:fill="auto"/>
            <w:noWrap/>
            <w:tcMar>
              <w:left w:w="101" w:type="dxa"/>
              <w:right w:w="101" w:type="dxa"/>
            </w:tcMar>
          </w:tcPr>
          <w:p w14:paraId="2ECF3802"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5EA47845"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220</w:t>
            </w:r>
          </w:p>
        </w:tc>
        <w:tc>
          <w:tcPr>
            <w:tcW w:w="968" w:type="dxa"/>
            <w:tcBorders>
              <w:top w:val="nil"/>
              <w:left w:val="nil"/>
              <w:bottom w:val="nil"/>
              <w:right w:val="nil"/>
              <w:tl2br w:val="nil"/>
              <w:tr2bl w:val="nil"/>
            </w:tcBorders>
            <w:shd w:val="clear" w:color="auto" w:fill="auto"/>
            <w:noWrap/>
            <w:tcMar>
              <w:left w:w="101" w:type="dxa"/>
              <w:right w:w="101" w:type="dxa"/>
            </w:tcMar>
          </w:tcPr>
          <w:p w14:paraId="66A6DD35"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2A813AE8"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3ABDAB67"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A8582F" w14:paraId="68DB22BB"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4800" w:type="dxa"/>
            <w:tcBorders>
              <w:top w:val="nil"/>
              <w:left w:val="nil"/>
              <w:bottom w:val="nil"/>
              <w:right w:val="nil"/>
              <w:tl2br w:val="nil"/>
              <w:tr2bl w:val="nil"/>
            </w:tcBorders>
            <w:shd w:val="clear" w:color="auto" w:fill="auto"/>
            <w:tcMar>
              <w:left w:w="101" w:type="dxa"/>
              <w:right w:w="101" w:type="dxa"/>
            </w:tcMar>
          </w:tcPr>
          <w:p w14:paraId="5E97A91A" w14:textId="77777777" w:rsidR="00A8582F" w:rsidRDefault="00A8582F" w:rsidP="00D177B8">
            <w:pPr>
              <w:pStyle w:val="Normal1"/>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7B3F276E"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40D890C3"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4F364E99"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7172218A"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427DA2CB" w14:textId="77777777" w:rsidR="00A8582F" w:rsidRDefault="00A8582F" w:rsidP="00D177B8">
            <w:pPr>
              <w:pStyle w:val="Normal1"/>
              <w:jc w:val="right"/>
              <w:rPr>
                <w:rFonts w:ascii="Calibri" w:eastAsia="Calibri" w:hAnsi="Calibri" w:cs="Calibri"/>
                <w:color w:val="000000"/>
                <w:sz w:val="18"/>
              </w:rPr>
            </w:pPr>
          </w:p>
        </w:tc>
      </w:tr>
      <w:tr w:rsidR="00FC38B2" w:rsidRPr="00FC38B2" w14:paraId="3979FEB6" w14:textId="77777777" w:rsidTr="00DA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1C7B43A1" w14:textId="6A39F7D9" w:rsidR="00FC38B2" w:rsidRPr="00FC38B2" w:rsidRDefault="00FC38B2">
            <w:pPr>
              <w:pStyle w:val="Normal1"/>
              <w:rPr>
                <w:rFonts w:ascii="Calibri" w:eastAsia="Calibri" w:hAnsi="Calibri" w:cs="Calibri"/>
                <w:color w:val="000000"/>
                <w:sz w:val="18"/>
                <w:u w:val="single"/>
              </w:rPr>
            </w:pPr>
            <w:r w:rsidRPr="00FC38B2">
              <w:rPr>
                <w:rFonts w:ascii="Calibri" w:eastAsia="Calibri" w:hAnsi="Calibri" w:cs="Calibri"/>
                <w:color w:val="000000"/>
                <w:sz w:val="18"/>
                <w:u w:val="single"/>
              </w:rPr>
              <w:t>Improving our health system</w:t>
            </w:r>
          </w:p>
        </w:tc>
        <w:tc>
          <w:tcPr>
            <w:tcW w:w="967" w:type="dxa"/>
            <w:tcBorders>
              <w:top w:val="nil"/>
              <w:left w:val="nil"/>
              <w:bottom w:val="nil"/>
              <w:right w:val="nil"/>
              <w:tl2br w:val="nil"/>
              <w:tr2bl w:val="nil"/>
            </w:tcBorders>
            <w:shd w:val="clear" w:color="auto" w:fill="auto"/>
            <w:noWrap/>
            <w:tcMar>
              <w:left w:w="101" w:type="dxa"/>
              <w:right w:w="101" w:type="dxa"/>
            </w:tcMar>
          </w:tcPr>
          <w:p w14:paraId="3FDE462A"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4D368875"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401DCA1E"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51DFC407"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1070264C" w14:textId="77777777" w:rsidR="00FC38B2" w:rsidRPr="00FC38B2" w:rsidRDefault="00FC38B2">
            <w:pPr>
              <w:pStyle w:val="Normal1"/>
              <w:jc w:val="right"/>
              <w:rPr>
                <w:rFonts w:ascii="Calibri" w:eastAsia="Calibri" w:hAnsi="Calibri" w:cs="Calibri"/>
                <w:color w:val="000000"/>
                <w:sz w:val="18"/>
                <w:u w:val="single"/>
              </w:rPr>
            </w:pPr>
          </w:p>
        </w:tc>
      </w:tr>
      <w:tr w:rsidR="00FC38B2" w14:paraId="14C24C87" w14:textId="77777777" w:rsidTr="00FC3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37CF3C0F" w14:textId="7D36357F" w:rsidR="00FC38B2" w:rsidRDefault="00DA143A" w:rsidP="00FC38B2">
            <w:pPr>
              <w:pStyle w:val="Normal1"/>
              <w:rPr>
                <w:rFonts w:ascii="Calibri" w:eastAsia="Calibri" w:hAnsi="Calibri" w:cs="Calibri"/>
                <w:color w:val="000000"/>
                <w:sz w:val="18"/>
              </w:rPr>
            </w:pPr>
            <w:r>
              <w:rPr>
                <w:rFonts w:ascii="Calibri" w:eastAsia="Calibri" w:hAnsi="Calibri" w:cs="Calibri"/>
                <w:color w:val="000000"/>
                <w:sz w:val="18"/>
              </w:rPr>
              <w:t>A</w:t>
            </w:r>
            <w:r w:rsidR="00FC38B2" w:rsidRPr="004A3FE6">
              <w:rPr>
                <w:rFonts w:ascii="Calibri" w:eastAsia="Calibri" w:hAnsi="Calibri" w:cs="Calibri"/>
                <w:color w:val="000000"/>
                <w:sz w:val="18"/>
              </w:rPr>
              <w:t>ctivity based management</w:t>
            </w:r>
          </w:p>
        </w:tc>
        <w:tc>
          <w:tcPr>
            <w:tcW w:w="967" w:type="dxa"/>
            <w:tcBorders>
              <w:top w:val="nil"/>
              <w:left w:val="nil"/>
              <w:bottom w:val="nil"/>
              <w:right w:val="nil"/>
              <w:tl2br w:val="nil"/>
              <w:tr2bl w:val="nil"/>
            </w:tcBorders>
            <w:shd w:val="clear" w:color="auto" w:fill="auto"/>
            <w:noWrap/>
            <w:tcMar>
              <w:left w:w="101" w:type="dxa"/>
              <w:right w:w="101" w:type="dxa"/>
            </w:tcMar>
          </w:tcPr>
          <w:p w14:paraId="243FEA16"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43041147"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566</w:t>
            </w:r>
          </w:p>
        </w:tc>
        <w:tc>
          <w:tcPr>
            <w:tcW w:w="968" w:type="dxa"/>
            <w:tcBorders>
              <w:top w:val="nil"/>
              <w:left w:val="nil"/>
              <w:bottom w:val="nil"/>
              <w:right w:val="nil"/>
              <w:tl2br w:val="nil"/>
              <w:tr2bl w:val="nil"/>
            </w:tcBorders>
            <w:shd w:val="clear" w:color="auto" w:fill="auto"/>
            <w:noWrap/>
            <w:tcMar>
              <w:left w:w="101" w:type="dxa"/>
              <w:right w:w="101" w:type="dxa"/>
            </w:tcMar>
          </w:tcPr>
          <w:p w14:paraId="0E17AEFB"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566</w:t>
            </w:r>
          </w:p>
        </w:tc>
        <w:tc>
          <w:tcPr>
            <w:tcW w:w="968" w:type="dxa"/>
            <w:tcBorders>
              <w:top w:val="nil"/>
              <w:left w:val="nil"/>
              <w:bottom w:val="nil"/>
              <w:right w:val="nil"/>
              <w:tl2br w:val="nil"/>
              <w:tr2bl w:val="nil"/>
            </w:tcBorders>
            <w:shd w:val="clear" w:color="auto" w:fill="auto"/>
            <w:noWrap/>
            <w:tcMar>
              <w:left w:w="101" w:type="dxa"/>
              <w:right w:w="101" w:type="dxa"/>
            </w:tcMar>
          </w:tcPr>
          <w:p w14:paraId="3DA09306"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54351DBA"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A8582F" w14:paraId="1CD344CF"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04F3992E" w14:textId="77777777" w:rsidR="00A8582F" w:rsidRPr="00A8582F" w:rsidRDefault="00A8582F" w:rsidP="00D177B8">
            <w:pPr>
              <w:pStyle w:val="Normal1"/>
              <w:rPr>
                <w:rFonts w:ascii="Calibri" w:eastAsia="Calibri" w:hAnsi="Calibri" w:cs="Calibri"/>
                <w:color w:val="000000"/>
                <w:sz w:val="18"/>
              </w:rPr>
            </w:pPr>
            <w:r w:rsidRPr="00A8582F">
              <w:rPr>
                <w:rFonts w:ascii="Calibri" w:eastAsia="Calibri" w:hAnsi="Calibri" w:cs="Calibri"/>
                <w:color w:val="000000"/>
                <w:sz w:val="18"/>
              </w:rPr>
              <w:t>Implementing a patient navigation services</w:t>
            </w:r>
          </w:p>
        </w:tc>
        <w:tc>
          <w:tcPr>
            <w:tcW w:w="967" w:type="dxa"/>
            <w:tcBorders>
              <w:top w:val="nil"/>
              <w:left w:val="nil"/>
              <w:bottom w:val="nil"/>
              <w:right w:val="nil"/>
              <w:tl2br w:val="nil"/>
              <w:tr2bl w:val="nil"/>
            </w:tcBorders>
            <w:shd w:val="clear" w:color="auto" w:fill="auto"/>
            <w:noWrap/>
            <w:tcMar>
              <w:left w:w="101" w:type="dxa"/>
              <w:right w:w="101" w:type="dxa"/>
            </w:tcMar>
          </w:tcPr>
          <w:p w14:paraId="10482818" w14:textId="77777777" w:rsidR="00A8582F" w:rsidRPr="00A8582F" w:rsidRDefault="00A8582F" w:rsidP="00D177B8">
            <w:pPr>
              <w:pStyle w:val="Normal1"/>
              <w:jc w:val="right"/>
              <w:rPr>
                <w:rFonts w:ascii="Calibri" w:eastAsia="Calibri" w:hAnsi="Calibri" w:cs="Calibri"/>
                <w:color w:val="000000"/>
                <w:sz w:val="18"/>
              </w:rPr>
            </w:pPr>
            <w:r w:rsidRPr="00A8582F">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3B36E4E7" w14:textId="77777777" w:rsidR="00A8582F" w:rsidRPr="00A8582F" w:rsidRDefault="00A8582F" w:rsidP="00D177B8">
            <w:pPr>
              <w:pStyle w:val="Normal1"/>
              <w:jc w:val="right"/>
              <w:rPr>
                <w:rFonts w:ascii="Calibri" w:eastAsia="Calibri" w:hAnsi="Calibri" w:cs="Calibri"/>
                <w:color w:val="000000"/>
                <w:sz w:val="18"/>
              </w:rPr>
            </w:pPr>
            <w:r w:rsidRPr="00A8582F">
              <w:rPr>
                <w:rFonts w:ascii="Calibri" w:eastAsia="Calibri" w:hAnsi="Calibri" w:cs="Calibri"/>
                <w:color w:val="000000"/>
                <w:sz w:val="18"/>
              </w:rPr>
              <w:t>85</w:t>
            </w:r>
          </w:p>
        </w:tc>
        <w:tc>
          <w:tcPr>
            <w:tcW w:w="968" w:type="dxa"/>
            <w:tcBorders>
              <w:top w:val="nil"/>
              <w:left w:val="nil"/>
              <w:bottom w:val="nil"/>
              <w:right w:val="nil"/>
              <w:tl2br w:val="nil"/>
              <w:tr2bl w:val="nil"/>
            </w:tcBorders>
            <w:shd w:val="clear" w:color="auto" w:fill="auto"/>
            <w:noWrap/>
            <w:tcMar>
              <w:left w:w="101" w:type="dxa"/>
              <w:right w:w="101" w:type="dxa"/>
            </w:tcMar>
          </w:tcPr>
          <w:p w14:paraId="43F856FF" w14:textId="77777777" w:rsidR="00A8582F" w:rsidRPr="00A8582F" w:rsidRDefault="00A8582F" w:rsidP="00D177B8">
            <w:pPr>
              <w:pStyle w:val="Normal1"/>
              <w:jc w:val="right"/>
              <w:rPr>
                <w:rFonts w:ascii="Calibri" w:eastAsia="Calibri" w:hAnsi="Calibri" w:cs="Calibri"/>
                <w:color w:val="000000"/>
                <w:sz w:val="18"/>
              </w:rPr>
            </w:pPr>
            <w:r w:rsidRPr="00A8582F">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292E4FC0" w14:textId="77777777" w:rsidR="00A8582F" w:rsidRPr="00A8582F" w:rsidRDefault="00A8582F" w:rsidP="00D177B8">
            <w:pPr>
              <w:pStyle w:val="Normal1"/>
              <w:jc w:val="right"/>
              <w:rPr>
                <w:rFonts w:ascii="Calibri" w:eastAsia="Calibri" w:hAnsi="Calibri" w:cs="Calibri"/>
                <w:color w:val="000000"/>
                <w:sz w:val="18"/>
              </w:rPr>
            </w:pPr>
            <w:r w:rsidRPr="00A8582F">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70B64DCA" w14:textId="77777777" w:rsidR="00A8582F" w:rsidRDefault="00A8582F" w:rsidP="00D177B8">
            <w:pPr>
              <w:pStyle w:val="Normal1"/>
              <w:jc w:val="right"/>
              <w:rPr>
                <w:rFonts w:ascii="Calibri" w:eastAsia="Calibri" w:hAnsi="Calibri" w:cs="Calibri"/>
                <w:color w:val="000000"/>
                <w:sz w:val="18"/>
              </w:rPr>
            </w:pPr>
            <w:r w:rsidRPr="00A8582F">
              <w:rPr>
                <w:rFonts w:ascii="Calibri" w:eastAsia="Calibri" w:hAnsi="Calibri" w:cs="Calibri"/>
                <w:color w:val="000000"/>
                <w:sz w:val="18"/>
              </w:rPr>
              <w:t>0</w:t>
            </w:r>
          </w:p>
        </w:tc>
      </w:tr>
      <w:tr w:rsidR="00A8582F" w14:paraId="5D9306F4"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4800" w:type="dxa"/>
            <w:tcBorders>
              <w:top w:val="nil"/>
              <w:left w:val="nil"/>
              <w:bottom w:val="nil"/>
              <w:right w:val="nil"/>
              <w:tl2br w:val="nil"/>
              <w:tr2bl w:val="nil"/>
            </w:tcBorders>
            <w:shd w:val="clear" w:color="auto" w:fill="auto"/>
            <w:tcMar>
              <w:left w:w="101" w:type="dxa"/>
              <w:right w:w="101" w:type="dxa"/>
            </w:tcMar>
          </w:tcPr>
          <w:p w14:paraId="4D35EE31" w14:textId="77777777" w:rsidR="00A8582F" w:rsidRDefault="00A8582F" w:rsidP="00D177B8">
            <w:pPr>
              <w:pStyle w:val="Normal1"/>
              <w:rPr>
                <w:rFonts w:ascii="Calibri" w:eastAsia="Calibri" w:hAnsi="Calibri" w:cs="Calibri"/>
                <w:color w:val="000000"/>
                <w:sz w:val="18"/>
              </w:rPr>
            </w:pPr>
            <w:r w:rsidRPr="004A3FE6">
              <w:rPr>
                <w:rFonts w:ascii="Calibri" w:eastAsia="Calibri" w:hAnsi="Calibri" w:cs="Calibri"/>
                <w:color w:val="000000"/>
                <w:sz w:val="18"/>
              </w:rPr>
              <w:t>Introduction of nursing and midwifery ratios</w:t>
            </w:r>
          </w:p>
        </w:tc>
        <w:tc>
          <w:tcPr>
            <w:tcW w:w="967" w:type="dxa"/>
            <w:tcBorders>
              <w:top w:val="nil"/>
              <w:left w:val="nil"/>
              <w:bottom w:val="nil"/>
              <w:right w:val="nil"/>
              <w:tl2br w:val="nil"/>
              <w:tr2bl w:val="nil"/>
            </w:tcBorders>
            <w:shd w:val="clear" w:color="auto" w:fill="auto"/>
            <w:noWrap/>
            <w:tcMar>
              <w:left w:w="101" w:type="dxa"/>
              <w:right w:w="101" w:type="dxa"/>
            </w:tcMar>
          </w:tcPr>
          <w:p w14:paraId="28FFB847"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754D3389"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292</w:t>
            </w:r>
          </w:p>
        </w:tc>
        <w:tc>
          <w:tcPr>
            <w:tcW w:w="968" w:type="dxa"/>
            <w:tcBorders>
              <w:top w:val="nil"/>
              <w:left w:val="nil"/>
              <w:bottom w:val="nil"/>
              <w:right w:val="nil"/>
              <w:tl2br w:val="nil"/>
              <w:tr2bl w:val="nil"/>
            </w:tcBorders>
            <w:shd w:val="clear" w:color="auto" w:fill="auto"/>
            <w:noWrap/>
            <w:tcMar>
              <w:left w:w="101" w:type="dxa"/>
              <w:right w:w="101" w:type="dxa"/>
            </w:tcMar>
          </w:tcPr>
          <w:p w14:paraId="2DBF145E"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592</w:t>
            </w:r>
          </w:p>
        </w:tc>
        <w:tc>
          <w:tcPr>
            <w:tcW w:w="968" w:type="dxa"/>
            <w:tcBorders>
              <w:top w:val="nil"/>
              <w:left w:val="nil"/>
              <w:bottom w:val="nil"/>
              <w:right w:val="nil"/>
              <w:tl2br w:val="nil"/>
              <w:tr2bl w:val="nil"/>
            </w:tcBorders>
            <w:shd w:val="clear" w:color="auto" w:fill="auto"/>
            <w:noWrap/>
            <w:tcMar>
              <w:left w:w="101" w:type="dxa"/>
              <w:right w:w="101" w:type="dxa"/>
            </w:tcMar>
          </w:tcPr>
          <w:p w14:paraId="167D2EE5"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600</w:t>
            </w:r>
          </w:p>
        </w:tc>
        <w:tc>
          <w:tcPr>
            <w:tcW w:w="968" w:type="dxa"/>
            <w:tcBorders>
              <w:top w:val="nil"/>
              <w:left w:val="nil"/>
              <w:bottom w:val="nil"/>
              <w:right w:val="nil"/>
              <w:tl2br w:val="nil"/>
              <w:tr2bl w:val="nil"/>
            </w:tcBorders>
            <w:shd w:val="clear" w:color="auto" w:fill="auto"/>
            <w:noWrap/>
            <w:tcMar>
              <w:left w:w="101" w:type="dxa"/>
              <w:right w:w="101" w:type="dxa"/>
            </w:tcMar>
          </w:tcPr>
          <w:p w14:paraId="5B7CCB60"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608</w:t>
            </w:r>
          </w:p>
        </w:tc>
      </w:tr>
      <w:tr w:rsidR="00A8582F" w14:paraId="09B3EF3A"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2457370C" w14:textId="77777777" w:rsidR="00A8582F" w:rsidRDefault="00A8582F" w:rsidP="00D177B8">
            <w:pPr>
              <w:pStyle w:val="Normal1"/>
              <w:rPr>
                <w:rFonts w:ascii="Calibri" w:eastAsia="Calibri" w:hAnsi="Calibri" w:cs="Calibri"/>
                <w:color w:val="000000"/>
                <w:sz w:val="18"/>
              </w:rPr>
            </w:pPr>
            <w:r w:rsidRPr="00A8582F">
              <w:rPr>
                <w:rFonts w:ascii="Calibri" w:eastAsia="Calibri" w:hAnsi="Calibri" w:cs="Calibri"/>
                <w:color w:val="000000"/>
                <w:sz w:val="18"/>
              </w:rPr>
              <w:t>Reducing the impact of stroke</w:t>
            </w:r>
          </w:p>
        </w:tc>
        <w:tc>
          <w:tcPr>
            <w:tcW w:w="967" w:type="dxa"/>
            <w:tcBorders>
              <w:top w:val="nil"/>
              <w:left w:val="nil"/>
              <w:bottom w:val="nil"/>
              <w:right w:val="nil"/>
              <w:tl2br w:val="nil"/>
              <w:tr2bl w:val="nil"/>
            </w:tcBorders>
            <w:shd w:val="clear" w:color="auto" w:fill="auto"/>
            <w:noWrap/>
            <w:tcMar>
              <w:left w:w="101" w:type="dxa"/>
              <w:right w:w="101" w:type="dxa"/>
            </w:tcMar>
          </w:tcPr>
          <w:p w14:paraId="40E77D28"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0BB95169"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89</w:t>
            </w:r>
          </w:p>
        </w:tc>
        <w:tc>
          <w:tcPr>
            <w:tcW w:w="968" w:type="dxa"/>
            <w:tcBorders>
              <w:top w:val="nil"/>
              <w:left w:val="nil"/>
              <w:bottom w:val="nil"/>
              <w:right w:val="nil"/>
              <w:tl2br w:val="nil"/>
              <w:tr2bl w:val="nil"/>
            </w:tcBorders>
            <w:shd w:val="clear" w:color="auto" w:fill="auto"/>
            <w:noWrap/>
            <w:tcMar>
              <w:left w:w="101" w:type="dxa"/>
              <w:right w:w="101" w:type="dxa"/>
            </w:tcMar>
          </w:tcPr>
          <w:p w14:paraId="5F74CF82"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177</w:t>
            </w:r>
          </w:p>
        </w:tc>
        <w:tc>
          <w:tcPr>
            <w:tcW w:w="968" w:type="dxa"/>
            <w:tcBorders>
              <w:top w:val="nil"/>
              <w:left w:val="nil"/>
              <w:bottom w:val="nil"/>
              <w:right w:val="nil"/>
              <w:tl2br w:val="nil"/>
              <w:tr2bl w:val="nil"/>
            </w:tcBorders>
            <w:shd w:val="clear" w:color="auto" w:fill="auto"/>
            <w:noWrap/>
            <w:tcMar>
              <w:left w:w="101" w:type="dxa"/>
              <w:right w:w="101" w:type="dxa"/>
            </w:tcMar>
          </w:tcPr>
          <w:p w14:paraId="1F498811"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177</w:t>
            </w:r>
          </w:p>
        </w:tc>
        <w:tc>
          <w:tcPr>
            <w:tcW w:w="968" w:type="dxa"/>
            <w:tcBorders>
              <w:top w:val="nil"/>
              <w:left w:val="nil"/>
              <w:bottom w:val="nil"/>
              <w:right w:val="nil"/>
              <w:tl2br w:val="nil"/>
              <w:tr2bl w:val="nil"/>
            </w:tcBorders>
            <w:shd w:val="clear" w:color="auto" w:fill="auto"/>
            <w:noWrap/>
            <w:tcMar>
              <w:left w:w="101" w:type="dxa"/>
              <w:right w:w="101" w:type="dxa"/>
            </w:tcMar>
          </w:tcPr>
          <w:p w14:paraId="62F5C5D9"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177</w:t>
            </w:r>
          </w:p>
        </w:tc>
      </w:tr>
      <w:tr w:rsidR="00A8582F" w14:paraId="5114AC7C"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6F0C3CCF" w14:textId="17B91A90" w:rsidR="00A8582F" w:rsidRDefault="00A8582F" w:rsidP="00D177B8">
            <w:pPr>
              <w:pStyle w:val="Normal1"/>
              <w:rPr>
                <w:rFonts w:ascii="Calibri" w:eastAsia="Calibri" w:hAnsi="Calibri" w:cs="Calibri"/>
                <w:color w:val="000000"/>
                <w:sz w:val="18"/>
              </w:rPr>
            </w:pPr>
            <w:r w:rsidRPr="00CD0792">
              <w:rPr>
                <w:rFonts w:ascii="Calibri" w:eastAsia="Calibri" w:hAnsi="Calibri" w:cs="Calibri"/>
                <w:color w:val="000000"/>
                <w:sz w:val="18"/>
              </w:rPr>
              <w:t xml:space="preserve">Winnunga </w:t>
            </w:r>
            <w:r w:rsidR="00DA143A">
              <w:rPr>
                <w:rFonts w:ascii="Calibri" w:eastAsia="Calibri" w:hAnsi="Calibri" w:cs="Calibri"/>
                <w:color w:val="000000"/>
                <w:sz w:val="18"/>
              </w:rPr>
              <w:t>h</w:t>
            </w:r>
            <w:r w:rsidRPr="00CD0792">
              <w:rPr>
                <w:rFonts w:ascii="Calibri" w:eastAsia="Calibri" w:hAnsi="Calibri" w:cs="Calibri"/>
                <w:color w:val="000000"/>
                <w:sz w:val="18"/>
              </w:rPr>
              <w:t xml:space="preserve">ealth services for Aboriginal and Torres Strait Islander detainees at the </w:t>
            </w:r>
            <w:r w:rsidR="00F61006">
              <w:rPr>
                <w:rFonts w:ascii="Calibri" w:eastAsia="Calibri" w:hAnsi="Calibri" w:cs="Calibri"/>
                <w:color w:val="000000"/>
                <w:sz w:val="18"/>
              </w:rPr>
              <w:t>AMC</w:t>
            </w:r>
          </w:p>
        </w:tc>
        <w:tc>
          <w:tcPr>
            <w:tcW w:w="967" w:type="dxa"/>
            <w:tcBorders>
              <w:top w:val="nil"/>
              <w:left w:val="nil"/>
              <w:bottom w:val="nil"/>
              <w:right w:val="nil"/>
              <w:tl2br w:val="nil"/>
              <w:tr2bl w:val="nil"/>
            </w:tcBorders>
            <w:shd w:val="clear" w:color="auto" w:fill="auto"/>
            <w:noWrap/>
            <w:tcMar>
              <w:left w:w="101" w:type="dxa"/>
              <w:right w:w="101" w:type="dxa"/>
            </w:tcMar>
          </w:tcPr>
          <w:p w14:paraId="4385C7D0"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7E4F3EB7"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1,348</w:t>
            </w:r>
          </w:p>
        </w:tc>
        <w:tc>
          <w:tcPr>
            <w:tcW w:w="968" w:type="dxa"/>
            <w:tcBorders>
              <w:top w:val="nil"/>
              <w:left w:val="nil"/>
              <w:bottom w:val="nil"/>
              <w:right w:val="nil"/>
              <w:tl2br w:val="nil"/>
              <w:tr2bl w:val="nil"/>
            </w:tcBorders>
            <w:shd w:val="clear" w:color="auto" w:fill="auto"/>
            <w:noWrap/>
            <w:tcMar>
              <w:left w:w="101" w:type="dxa"/>
              <w:right w:w="101" w:type="dxa"/>
            </w:tcMar>
          </w:tcPr>
          <w:p w14:paraId="4125EF9C"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7661AB2"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531B1580"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FC38B2" w14:paraId="10A4FDD7"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4800" w:type="dxa"/>
            <w:tcBorders>
              <w:top w:val="nil"/>
              <w:left w:val="nil"/>
              <w:bottom w:val="nil"/>
              <w:right w:val="nil"/>
              <w:tl2br w:val="nil"/>
              <w:tr2bl w:val="nil"/>
            </w:tcBorders>
            <w:shd w:val="clear" w:color="auto" w:fill="auto"/>
            <w:tcMar>
              <w:left w:w="101" w:type="dxa"/>
              <w:right w:w="101" w:type="dxa"/>
            </w:tcMar>
          </w:tcPr>
          <w:p w14:paraId="57151266" w14:textId="77777777" w:rsidR="00FC38B2" w:rsidRDefault="00FC38B2">
            <w:pPr>
              <w:pStyle w:val="Normal1"/>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5E6FAC25" w14:textId="77777777" w:rsidR="00FC38B2" w:rsidRDefault="00FC38B2">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7D2BE027" w14:textId="77777777" w:rsidR="00FC38B2" w:rsidRDefault="00FC38B2">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17433AC5" w14:textId="77777777" w:rsidR="00FC38B2" w:rsidRDefault="00FC38B2">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09326220" w14:textId="77777777" w:rsidR="00FC38B2" w:rsidRDefault="00FC38B2">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6CEB0ED5" w14:textId="77777777" w:rsidR="00FC38B2" w:rsidRDefault="00FC38B2">
            <w:pPr>
              <w:pStyle w:val="Normal1"/>
              <w:jc w:val="right"/>
              <w:rPr>
                <w:rFonts w:ascii="Calibri" w:eastAsia="Calibri" w:hAnsi="Calibri" w:cs="Calibri"/>
                <w:color w:val="000000"/>
                <w:sz w:val="18"/>
              </w:rPr>
            </w:pPr>
          </w:p>
        </w:tc>
      </w:tr>
      <w:tr w:rsidR="00FC38B2" w:rsidRPr="00FC38B2" w14:paraId="15BA59E2" w14:textId="77777777" w:rsidTr="00D62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293F65B2" w14:textId="40B000A4" w:rsidR="00FC38B2" w:rsidRPr="00FC38B2" w:rsidRDefault="00FC38B2">
            <w:pPr>
              <w:pStyle w:val="Normal1"/>
              <w:rPr>
                <w:rFonts w:ascii="Calibri" w:eastAsia="Calibri" w:hAnsi="Calibri" w:cs="Calibri"/>
                <w:color w:val="000000"/>
                <w:sz w:val="18"/>
                <w:u w:val="single"/>
              </w:rPr>
            </w:pPr>
            <w:r w:rsidRPr="00FC38B2">
              <w:rPr>
                <w:rFonts w:ascii="Calibri" w:eastAsia="Calibri" w:hAnsi="Calibri" w:cs="Calibri"/>
                <w:color w:val="000000"/>
                <w:sz w:val="18"/>
                <w:u w:val="single"/>
              </w:rPr>
              <w:t>More alcohol and other drug services</w:t>
            </w:r>
          </w:p>
        </w:tc>
        <w:tc>
          <w:tcPr>
            <w:tcW w:w="967" w:type="dxa"/>
            <w:tcBorders>
              <w:top w:val="nil"/>
              <w:left w:val="nil"/>
              <w:bottom w:val="nil"/>
              <w:right w:val="nil"/>
              <w:tl2br w:val="nil"/>
              <w:tr2bl w:val="nil"/>
            </w:tcBorders>
            <w:shd w:val="clear" w:color="auto" w:fill="auto"/>
            <w:noWrap/>
            <w:tcMar>
              <w:left w:w="101" w:type="dxa"/>
              <w:right w:w="101" w:type="dxa"/>
            </w:tcMar>
          </w:tcPr>
          <w:p w14:paraId="002D13EB"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5C61BEF7"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2CE7E419"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57265731" w14:textId="77777777" w:rsidR="00FC38B2" w:rsidRPr="00FC38B2" w:rsidRDefault="00FC38B2">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74EBD0E8" w14:textId="77777777" w:rsidR="00FC38B2" w:rsidRPr="00FC38B2" w:rsidRDefault="00FC38B2">
            <w:pPr>
              <w:pStyle w:val="Normal1"/>
              <w:jc w:val="right"/>
              <w:rPr>
                <w:rFonts w:ascii="Calibri" w:eastAsia="Calibri" w:hAnsi="Calibri" w:cs="Calibri"/>
                <w:color w:val="000000"/>
                <w:sz w:val="18"/>
                <w:u w:val="single"/>
              </w:rPr>
            </w:pPr>
          </w:p>
        </w:tc>
      </w:tr>
      <w:tr w:rsidR="00A8582F" w14:paraId="5E3DD31E" w14:textId="77777777" w:rsidTr="00DA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7615AD30" w14:textId="77777777" w:rsidR="00A8582F" w:rsidRDefault="00A8582F" w:rsidP="00D177B8">
            <w:pPr>
              <w:pStyle w:val="Normal1"/>
              <w:rPr>
                <w:rFonts w:ascii="Calibri" w:eastAsia="Calibri" w:hAnsi="Calibri" w:cs="Calibri"/>
                <w:color w:val="000000"/>
                <w:sz w:val="18"/>
              </w:rPr>
            </w:pPr>
            <w:r w:rsidRPr="00C95A71">
              <w:rPr>
                <w:rFonts w:ascii="Calibri" w:eastAsia="Calibri" w:hAnsi="Calibri" w:cs="Calibri"/>
                <w:color w:val="000000"/>
                <w:sz w:val="18"/>
              </w:rPr>
              <w:t>Drug and Alcohol Court - more support</w:t>
            </w:r>
          </w:p>
        </w:tc>
        <w:tc>
          <w:tcPr>
            <w:tcW w:w="967" w:type="dxa"/>
            <w:tcBorders>
              <w:top w:val="nil"/>
              <w:left w:val="nil"/>
              <w:bottom w:val="nil"/>
              <w:right w:val="nil"/>
              <w:tl2br w:val="nil"/>
              <w:tr2bl w:val="nil"/>
            </w:tcBorders>
            <w:shd w:val="clear" w:color="auto" w:fill="auto"/>
            <w:noWrap/>
            <w:tcMar>
              <w:left w:w="101" w:type="dxa"/>
              <w:right w:w="101" w:type="dxa"/>
            </w:tcMar>
          </w:tcPr>
          <w:p w14:paraId="38A20CD0"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3BD26380"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1,395</w:t>
            </w:r>
          </w:p>
        </w:tc>
        <w:tc>
          <w:tcPr>
            <w:tcW w:w="968" w:type="dxa"/>
            <w:tcBorders>
              <w:top w:val="nil"/>
              <w:left w:val="nil"/>
              <w:bottom w:val="nil"/>
              <w:right w:val="nil"/>
              <w:tl2br w:val="nil"/>
              <w:tr2bl w:val="nil"/>
            </w:tcBorders>
            <w:shd w:val="clear" w:color="auto" w:fill="auto"/>
            <w:noWrap/>
            <w:tcMar>
              <w:left w:w="101" w:type="dxa"/>
              <w:right w:w="101" w:type="dxa"/>
            </w:tcMar>
          </w:tcPr>
          <w:p w14:paraId="113FFA79"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1,430</w:t>
            </w:r>
          </w:p>
        </w:tc>
        <w:tc>
          <w:tcPr>
            <w:tcW w:w="968" w:type="dxa"/>
            <w:tcBorders>
              <w:top w:val="nil"/>
              <w:left w:val="nil"/>
              <w:bottom w:val="nil"/>
              <w:right w:val="nil"/>
              <w:tl2br w:val="nil"/>
              <w:tr2bl w:val="nil"/>
            </w:tcBorders>
            <w:shd w:val="clear" w:color="auto" w:fill="auto"/>
            <w:noWrap/>
            <w:tcMar>
              <w:left w:w="101" w:type="dxa"/>
              <w:right w:w="101" w:type="dxa"/>
            </w:tcMar>
          </w:tcPr>
          <w:p w14:paraId="5E78A6AF"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559F604A"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FC38B2" w14:paraId="08B5A089" w14:textId="77777777" w:rsidTr="00FC3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4800" w:type="dxa"/>
            <w:tcBorders>
              <w:top w:val="nil"/>
              <w:left w:val="nil"/>
              <w:bottom w:val="nil"/>
              <w:right w:val="nil"/>
              <w:tl2br w:val="nil"/>
              <w:tr2bl w:val="nil"/>
            </w:tcBorders>
            <w:shd w:val="clear" w:color="auto" w:fill="auto"/>
            <w:tcMar>
              <w:left w:w="101" w:type="dxa"/>
              <w:right w:w="101" w:type="dxa"/>
            </w:tcMar>
          </w:tcPr>
          <w:p w14:paraId="0ABD4F2B" w14:textId="77777777" w:rsidR="00FC38B2" w:rsidRDefault="00FC38B2" w:rsidP="00FC38B2">
            <w:pPr>
              <w:pStyle w:val="Normal1"/>
              <w:rPr>
                <w:rFonts w:ascii="Calibri" w:eastAsia="Calibri" w:hAnsi="Calibri" w:cs="Calibri"/>
                <w:color w:val="000000"/>
                <w:sz w:val="18"/>
              </w:rPr>
            </w:pPr>
            <w:r>
              <w:rPr>
                <w:rFonts w:ascii="Calibri" w:eastAsia="Calibri" w:hAnsi="Calibri" w:cs="Calibri"/>
                <w:color w:val="000000"/>
                <w:sz w:val="18"/>
              </w:rPr>
              <w:t>Fixed-site pill testing pilot</w:t>
            </w:r>
          </w:p>
        </w:tc>
        <w:tc>
          <w:tcPr>
            <w:tcW w:w="967" w:type="dxa"/>
            <w:tcBorders>
              <w:top w:val="nil"/>
              <w:left w:val="nil"/>
              <w:bottom w:val="nil"/>
              <w:right w:val="nil"/>
              <w:tl2br w:val="nil"/>
              <w:tr2bl w:val="nil"/>
            </w:tcBorders>
            <w:shd w:val="clear" w:color="auto" w:fill="auto"/>
            <w:noWrap/>
            <w:tcMar>
              <w:left w:w="101" w:type="dxa"/>
              <w:right w:w="101" w:type="dxa"/>
            </w:tcMar>
          </w:tcPr>
          <w:p w14:paraId="1B92EE21"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EC622BB"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260</w:t>
            </w:r>
          </w:p>
        </w:tc>
        <w:tc>
          <w:tcPr>
            <w:tcW w:w="968" w:type="dxa"/>
            <w:tcBorders>
              <w:top w:val="nil"/>
              <w:left w:val="nil"/>
              <w:bottom w:val="nil"/>
              <w:right w:val="nil"/>
              <w:tl2br w:val="nil"/>
              <w:tr2bl w:val="nil"/>
            </w:tcBorders>
            <w:shd w:val="clear" w:color="auto" w:fill="auto"/>
            <w:noWrap/>
            <w:tcMar>
              <w:left w:w="101" w:type="dxa"/>
              <w:right w:w="101" w:type="dxa"/>
            </w:tcMar>
          </w:tcPr>
          <w:p w14:paraId="422F495C"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2B1E17C7"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3C830077" w14:textId="77777777" w:rsidR="00FC38B2" w:rsidRDefault="00FC38B2" w:rsidP="00FC38B2">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F61006" w14:paraId="5CEF545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800" w:type="dxa"/>
            <w:tcBorders>
              <w:top w:val="nil"/>
              <w:left w:val="nil"/>
              <w:bottom w:val="nil"/>
              <w:right w:val="nil"/>
              <w:tl2br w:val="nil"/>
              <w:tr2bl w:val="nil"/>
            </w:tcBorders>
            <w:shd w:val="clear" w:color="auto" w:fill="auto"/>
            <w:tcMar>
              <w:left w:w="101" w:type="dxa"/>
              <w:right w:w="101" w:type="dxa"/>
            </w:tcMar>
          </w:tcPr>
          <w:p w14:paraId="2B0C7A36" w14:textId="77777777" w:rsidR="00F61006" w:rsidRDefault="00F61006" w:rsidP="00EB585F">
            <w:pPr>
              <w:pStyle w:val="Normal1"/>
              <w:rPr>
                <w:rFonts w:ascii="Calibri" w:eastAsia="Calibri" w:hAnsi="Calibri" w:cs="Calibri"/>
                <w:color w:val="000000"/>
                <w:sz w:val="18"/>
              </w:rPr>
            </w:pPr>
            <w:r w:rsidRPr="00F61006">
              <w:rPr>
                <w:rFonts w:ascii="Calibri" w:eastAsia="Calibri" w:hAnsi="Calibri" w:cs="Calibri"/>
                <w:color w:val="000000"/>
                <w:sz w:val="18"/>
              </w:rPr>
              <w:t>Reducing harm from addiction and overdoses</w:t>
            </w:r>
          </w:p>
        </w:tc>
        <w:tc>
          <w:tcPr>
            <w:tcW w:w="967" w:type="dxa"/>
            <w:tcBorders>
              <w:top w:val="nil"/>
              <w:left w:val="nil"/>
              <w:bottom w:val="nil"/>
              <w:right w:val="nil"/>
              <w:tl2br w:val="nil"/>
              <w:tr2bl w:val="nil"/>
            </w:tcBorders>
            <w:shd w:val="clear" w:color="auto" w:fill="auto"/>
            <w:noWrap/>
            <w:tcMar>
              <w:left w:w="101" w:type="dxa"/>
              <w:right w:w="101" w:type="dxa"/>
            </w:tcMar>
          </w:tcPr>
          <w:p w14:paraId="18B94375" w14:textId="77777777" w:rsidR="00F61006" w:rsidRDefault="00F61006" w:rsidP="00EB585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65DB12E" w14:textId="77777777" w:rsidR="00F61006" w:rsidRDefault="00F61006" w:rsidP="00EB585F">
            <w:pPr>
              <w:pStyle w:val="Normal1"/>
              <w:jc w:val="right"/>
              <w:rPr>
                <w:rFonts w:ascii="Calibri" w:eastAsia="Calibri" w:hAnsi="Calibri" w:cs="Calibri"/>
                <w:color w:val="000000"/>
                <w:sz w:val="18"/>
              </w:rPr>
            </w:pPr>
            <w:r>
              <w:rPr>
                <w:rFonts w:ascii="Calibri" w:eastAsia="Calibri" w:hAnsi="Calibri" w:cs="Calibri"/>
                <w:color w:val="000000"/>
                <w:sz w:val="18"/>
              </w:rPr>
              <w:t>340</w:t>
            </w:r>
          </w:p>
        </w:tc>
        <w:tc>
          <w:tcPr>
            <w:tcW w:w="968" w:type="dxa"/>
            <w:tcBorders>
              <w:top w:val="nil"/>
              <w:left w:val="nil"/>
              <w:bottom w:val="nil"/>
              <w:right w:val="nil"/>
              <w:tl2br w:val="nil"/>
              <w:tr2bl w:val="nil"/>
            </w:tcBorders>
            <w:shd w:val="clear" w:color="auto" w:fill="auto"/>
            <w:noWrap/>
            <w:tcMar>
              <w:left w:w="101" w:type="dxa"/>
              <w:right w:w="101" w:type="dxa"/>
            </w:tcMar>
          </w:tcPr>
          <w:p w14:paraId="2362E4BD" w14:textId="77777777" w:rsidR="00F61006" w:rsidRDefault="00F61006" w:rsidP="00EB585F">
            <w:pPr>
              <w:pStyle w:val="Normal1"/>
              <w:jc w:val="right"/>
              <w:rPr>
                <w:rFonts w:ascii="Calibri" w:eastAsia="Calibri" w:hAnsi="Calibri" w:cs="Calibri"/>
                <w:color w:val="000000"/>
                <w:sz w:val="18"/>
              </w:rPr>
            </w:pPr>
            <w:r>
              <w:rPr>
                <w:rFonts w:ascii="Calibri" w:eastAsia="Calibri" w:hAnsi="Calibri" w:cs="Calibri"/>
                <w:color w:val="000000"/>
                <w:sz w:val="18"/>
              </w:rPr>
              <w:t>344</w:t>
            </w:r>
          </w:p>
        </w:tc>
        <w:tc>
          <w:tcPr>
            <w:tcW w:w="968" w:type="dxa"/>
            <w:tcBorders>
              <w:top w:val="nil"/>
              <w:left w:val="nil"/>
              <w:bottom w:val="nil"/>
              <w:right w:val="nil"/>
              <w:tl2br w:val="nil"/>
              <w:tr2bl w:val="nil"/>
            </w:tcBorders>
            <w:shd w:val="clear" w:color="auto" w:fill="auto"/>
            <w:noWrap/>
            <w:tcMar>
              <w:left w:w="101" w:type="dxa"/>
              <w:right w:w="101" w:type="dxa"/>
            </w:tcMar>
          </w:tcPr>
          <w:p w14:paraId="23EDF4E3" w14:textId="77777777" w:rsidR="00F61006" w:rsidRDefault="00F61006" w:rsidP="00EB585F">
            <w:pPr>
              <w:pStyle w:val="Normal1"/>
              <w:jc w:val="right"/>
              <w:rPr>
                <w:rFonts w:ascii="Calibri" w:eastAsia="Calibri" w:hAnsi="Calibri" w:cs="Calibri"/>
                <w:color w:val="000000"/>
                <w:sz w:val="18"/>
              </w:rPr>
            </w:pPr>
            <w:r>
              <w:rPr>
                <w:rFonts w:ascii="Calibri" w:eastAsia="Calibri" w:hAnsi="Calibri" w:cs="Calibri"/>
                <w:color w:val="000000"/>
                <w:sz w:val="18"/>
              </w:rPr>
              <w:t>147</w:t>
            </w:r>
          </w:p>
        </w:tc>
        <w:tc>
          <w:tcPr>
            <w:tcW w:w="968" w:type="dxa"/>
            <w:tcBorders>
              <w:top w:val="nil"/>
              <w:left w:val="nil"/>
              <w:bottom w:val="nil"/>
              <w:right w:val="nil"/>
              <w:tl2br w:val="nil"/>
              <w:tr2bl w:val="nil"/>
            </w:tcBorders>
            <w:shd w:val="clear" w:color="auto" w:fill="auto"/>
            <w:noWrap/>
            <w:tcMar>
              <w:left w:w="101" w:type="dxa"/>
              <w:right w:w="101" w:type="dxa"/>
            </w:tcMar>
          </w:tcPr>
          <w:p w14:paraId="7AD87437" w14:textId="77777777" w:rsidR="00F61006" w:rsidRDefault="00F61006" w:rsidP="00EB585F">
            <w:pPr>
              <w:pStyle w:val="Normal1"/>
              <w:jc w:val="right"/>
              <w:rPr>
                <w:rFonts w:ascii="Calibri" w:eastAsia="Calibri" w:hAnsi="Calibri" w:cs="Calibri"/>
                <w:color w:val="000000"/>
                <w:sz w:val="18"/>
              </w:rPr>
            </w:pPr>
            <w:r>
              <w:rPr>
                <w:rFonts w:ascii="Calibri" w:eastAsia="Calibri" w:hAnsi="Calibri" w:cs="Calibri"/>
                <w:color w:val="000000"/>
                <w:sz w:val="18"/>
              </w:rPr>
              <w:t>151</w:t>
            </w:r>
          </w:p>
        </w:tc>
      </w:tr>
      <w:tr w:rsidR="00F61006" w14:paraId="2D0B63E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155C6F15" w14:textId="77777777" w:rsidR="00F61006" w:rsidRPr="0040729B" w:rsidRDefault="00F61006" w:rsidP="00EB585F">
            <w:pPr>
              <w:pStyle w:val="Normal1"/>
              <w:rPr>
                <w:rFonts w:ascii="Calibri" w:eastAsia="Calibri" w:hAnsi="Calibri" w:cs="Calibri"/>
                <w:color w:val="000000"/>
                <w:sz w:val="18"/>
              </w:rPr>
            </w:pPr>
            <w:r w:rsidRPr="00F61006">
              <w:rPr>
                <w:rFonts w:ascii="Calibri" w:eastAsia="Calibri" w:hAnsi="Calibri" w:cs="Calibri"/>
                <w:color w:val="000000"/>
                <w:sz w:val="18"/>
              </w:rPr>
              <w:t>Watson Health Precinct redevelopment</w:t>
            </w:r>
          </w:p>
        </w:tc>
        <w:tc>
          <w:tcPr>
            <w:tcW w:w="967" w:type="dxa"/>
            <w:tcBorders>
              <w:top w:val="nil"/>
              <w:left w:val="nil"/>
              <w:bottom w:val="nil"/>
              <w:right w:val="nil"/>
              <w:tl2br w:val="nil"/>
              <w:tr2bl w:val="nil"/>
            </w:tcBorders>
            <w:shd w:val="clear" w:color="auto" w:fill="auto"/>
            <w:noWrap/>
            <w:tcMar>
              <w:left w:w="101" w:type="dxa"/>
              <w:right w:w="101" w:type="dxa"/>
            </w:tcMar>
          </w:tcPr>
          <w:p w14:paraId="161E2A9C" w14:textId="77777777" w:rsidR="00F61006" w:rsidRPr="0040729B" w:rsidRDefault="00F61006" w:rsidP="00EB585F">
            <w:pPr>
              <w:pStyle w:val="Normal1"/>
              <w:jc w:val="right"/>
              <w:rPr>
                <w:rFonts w:ascii="Calibri" w:eastAsia="Calibri" w:hAnsi="Calibri" w:cs="Calibri"/>
                <w:color w:val="000000"/>
                <w:sz w:val="18"/>
              </w:rPr>
            </w:pPr>
            <w:r w:rsidRPr="0040729B">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E555C12" w14:textId="77777777" w:rsidR="00F61006" w:rsidRPr="0040729B" w:rsidRDefault="00F61006" w:rsidP="00EB585F">
            <w:pPr>
              <w:pStyle w:val="Normal1"/>
              <w:jc w:val="right"/>
              <w:rPr>
                <w:rFonts w:ascii="Calibri" w:eastAsia="Calibri" w:hAnsi="Calibri" w:cs="Calibri"/>
                <w:color w:val="000000"/>
                <w:sz w:val="18"/>
              </w:rPr>
            </w:pPr>
            <w:r w:rsidRPr="0040729B">
              <w:rPr>
                <w:rFonts w:ascii="Calibri" w:eastAsia="Calibri" w:hAnsi="Calibri" w:cs="Calibri"/>
                <w:color w:val="000000"/>
                <w:sz w:val="18"/>
              </w:rPr>
              <w:t>253</w:t>
            </w:r>
          </w:p>
        </w:tc>
        <w:tc>
          <w:tcPr>
            <w:tcW w:w="968" w:type="dxa"/>
            <w:tcBorders>
              <w:top w:val="nil"/>
              <w:left w:val="nil"/>
              <w:bottom w:val="nil"/>
              <w:right w:val="nil"/>
              <w:tl2br w:val="nil"/>
              <w:tr2bl w:val="nil"/>
            </w:tcBorders>
            <w:shd w:val="clear" w:color="auto" w:fill="auto"/>
            <w:noWrap/>
            <w:tcMar>
              <w:left w:w="101" w:type="dxa"/>
              <w:right w:w="101" w:type="dxa"/>
            </w:tcMar>
          </w:tcPr>
          <w:p w14:paraId="4BB9D742" w14:textId="77777777" w:rsidR="00F61006" w:rsidRPr="0040729B" w:rsidRDefault="00F61006" w:rsidP="00EB585F">
            <w:pPr>
              <w:pStyle w:val="Normal1"/>
              <w:jc w:val="right"/>
              <w:rPr>
                <w:rFonts w:ascii="Calibri" w:eastAsia="Calibri" w:hAnsi="Calibri" w:cs="Calibri"/>
                <w:color w:val="000000"/>
                <w:sz w:val="18"/>
              </w:rPr>
            </w:pPr>
            <w:r w:rsidRPr="0040729B">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3383EC13" w14:textId="77777777" w:rsidR="00F61006" w:rsidRPr="0040729B" w:rsidRDefault="00F61006" w:rsidP="00EB585F">
            <w:pPr>
              <w:pStyle w:val="Normal1"/>
              <w:jc w:val="right"/>
              <w:rPr>
                <w:rFonts w:ascii="Calibri" w:eastAsia="Calibri" w:hAnsi="Calibri" w:cs="Calibri"/>
                <w:color w:val="000000"/>
                <w:sz w:val="18"/>
              </w:rPr>
            </w:pPr>
            <w:r w:rsidRPr="0040729B">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7045A5C" w14:textId="77777777" w:rsidR="00F61006" w:rsidRPr="0040729B" w:rsidRDefault="00F61006" w:rsidP="00EB585F">
            <w:pPr>
              <w:pStyle w:val="Normal1"/>
              <w:jc w:val="right"/>
              <w:rPr>
                <w:rFonts w:ascii="Calibri" w:eastAsia="Calibri" w:hAnsi="Calibri" w:cs="Calibri"/>
                <w:color w:val="000000"/>
                <w:sz w:val="18"/>
              </w:rPr>
            </w:pPr>
            <w:r w:rsidRPr="0040729B">
              <w:rPr>
                <w:rFonts w:ascii="Calibri" w:eastAsia="Calibri" w:hAnsi="Calibri" w:cs="Calibri"/>
                <w:color w:val="000000"/>
                <w:sz w:val="18"/>
              </w:rPr>
              <w:t>0</w:t>
            </w:r>
          </w:p>
        </w:tc>
      </w:tr>
      <w:tr w:rsidR="00B92CDD" w14:paraId="093C958E"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5BCD2673" w14:textId="77777777" w:rsidR="00B92CDD" w:rsidRDefault="00B92CDD">
            <w:pPr>
              <w:pStyle w:val="Normal1"/>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6848F838" w14:textId="77777777" w:rsidR="00B92CDD" w:rsidRDefault="00B92CDD">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52677281" w14:textId="77777777" w:rsidR="00B92CDD" w:rsidRDefault="00B92CDD">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65A0A9DC" w14:textId="77777777" w:rsidR="00B92CDD" w:rsidRDefault="00B92CDD">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5FA14572" w14:textId="77777777" w:rsidR="00B92CDD" w:rsidRDefault="00B92CDD">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48F20F2A" w14:textId="77777777" w:rsidR="00B92CDD" w:rsidRDefault="00B92CDD">
            <w:pPr>
              <w:pStyle w:val="Normal1"/>
              <w:jc w:val="right"/>
              <w:rPr>
                <w:rFonts w:ascii="Calibri" w:eastAsia="Calibri" w:hAnsi="Calibri" w:cs="Calibri"/>
                <w:color w:val="000000"/>
                <w:sz w:val="18"/>
              </w:rPr>
            </w:pPr>
          </w:p>
        </w:tc>
      </w:tr>
      <w:tr w:rsidR="00496618" w14:paraId="5FBC5255"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vAlign w:val="bottom"/>
          </w:tcPr>
          <w:p w14:paraId="1179E67D" w14:textId="77777777" w:rsidR="00496618" w:rsidRDefault="0027723F">
            <w:pPr>
              <w:pStyle w:val="Normal1"/>
              <w:rPr>
                <w:rFonts w:ascii="Calibri" w:eastAsia="Calibri" w:hAnsi="Calibri" w:cs="Calibri"/>
                <w:b/>
                <w:color w:val="000000"/>
                <w:sz w:val="18"/>
              </w:rPr>
            </w:pPr>
            <w:r>
              <w:rPr>
                <w:rFonts w:ascii="Calibri" w:eastAsia="Calibri" w:hAnsi="Calibri" w:cs="Calibri"/>
                <w:b/>
                <w:color w:val="000000"/>
                <w:sz w:val="18"/>
              </w:rPr>
              <w:t>2021-22 Budget Technical Adjustments</w:t>
            </w:r>
          </w:p>
        </w:tc>
        <w:tc>
          <w:tcPr>
            <w:tcW w:w="967" w:type="dxa"/>
            <w:tcBorders>
              <w:top w:val="nil"/>
              <w:left w:val="nil"/>
              <w:bottom w:val="nil"/>
              <w:right w:val="nil"/>
              <w:tl2br w:val="nil"/>
              <w:tr2bl w:val="nil"/>
            </w:tcBorders>
            <w:shd w:val="clear" w:color="auto" w:fill="auto"/>
            <w:noWrap/>
            <w:tcMar>
              <w:left w:w="0" w:type="dxa"/>
              <w:right w:w="0" w:type="dxa"/>
            </w:tcMar>
            <w:vAlign w:val="bottom"/>
          </w:tcPr>
          <w:p w14:paraId="0C8BF95E" w14:textId="77777777" w:rsidR="00496618" w:rsidRDefault="00496618">
            <w:pPr>
              <w:pStyle w:val="Normal1"/>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70EA4836" w14:textId="77777777" w:rsidR="00496618" w:rsidRDefault="00496618">
            <w:pPr>
              <w:pStyle w:val="Normal1"/>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66E1413E" w14:textId="77777777" w:rsidR="00496618" w:rsidRDefault="00496618">
            <w:pPr>
              <w:pStyle w:val="Normal1"/>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6A90CAA7" w14:textId="77777777" w:rsidR="00496618" w:rsidRDefault="00496618">
            <w:pPr>
              <w:pStyle w:val="Normal1"/>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4FBB4E6C" w14:textId="77777777" w:rsidR="00496618" w:rsidRDefault="00496618">
            <w:pPr>
              <w:pStyle w:val="Normal1"/>
              <w:rPr>
                <w:rFonts w:ascii="Calibri" w:eastAsia="Calibri" w:hAnsi="Calibri" w:cs="Calibri"/>
                <w:color w:val="FFFFFF"/>
                <w:sz w:val="18"/>
              </w:rPr>
            </w:pPr>
          </w:p>
        </w:tc>
      </w:tr>
      <w:tr w:rsidR="00FA6C21" w14:paraId="452C71C8"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2F20F45E" w14:textId="77777777" w:rsidR="00FA6C21" w:rsidRDefault="00FA6C21">
            <w:pPr>
              <w:pStyle w:val="Normal1"/>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1E4B7784"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5034D3BA"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15AB5912"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6984BA7D"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23F33B08" w14:textId="77777777" w:rsidR="00FA6C21" w:rsidRDefault="00FA6C21">
            <w:pPr>
              <w:pStyle w:val="Normal1"/>
              <w:jc w:val="right"/>
              <w:rPr>
                <w:rFonts w:ascii="Calibri" w:eastAsia="Calibri" w:hAnsi="Calibri" w:cs="Calibri"/>
                <w:color w:val="000000"/>
                <w:sz w:val="18"/>
              </w:rPr>
            </w:pPr>
          </w:p>
        </w:tc>
      </w:tr>
      <w:tr w:rsidR="00FA6C21" w:rsidRPr="00FA6C21" w14:paraId="2D8DFE68"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79AC4F13" w14:textId="2C80335D" w:rsidR="00FA6C21" w:rsidRPr="00FA6C21" w:rsidRDefault="00FA6C21">
            <w:pPr>
              <w:pStyle w:val="Normal1"/>
              <w:rPr>
                <w:rFonts w:ascii="Calibri" w:eastAsia="Calibri" w:hAnsi="Calibri" w:cs="Calibri"/>
                <w:color w:val="000000"/>
                <w:sz w:val="18"/>
                <w:u w:val="single"/>
              </w:rPr>
            </w:pPr>
            <w:r w:rsidRPr="00FA6C21">
              <w:rPr>
                <w:rFonts w:ascii="Calibri" w:eastAsia="Calibri" w:hAnsi="Calibri" w:cs="Calibri"/>
                <w:color w:val="000000"/>
                <w:sz w:val="18"/>
                <w:u w:val="single"/>
              </w:rPr>
              <w:t>Revised Funding Profile</w:t>
            </w:r>
          </w:p>
        </w:tc>
        <w:tc>
          <w:tcPr>
            <w:tcW w:w="967" w:type="dxa"/>
            <w:tcBorders>
              <w:top w:val="nil"/>
              <w:left w:val="nil"/>
              <w:bottom w:val="nil"/>
              <w:right w:val="nil"/>
              <w:tl2br w:val="nil"/>
              <w:tr2bl w:val="nil"/>
            </w:tcBorders>
            <w:shd w:val="clear" w:color="auto" w:fill="auto"/>
            <w:noWrap/>
            <w:tcMar>
              <w:left w:w="101" w:type="dxa"/>
              <w:right w:w="101" w:type="dxa"/>
            </w:tcMar>
          </w:tcPr>
          <w:p w14:paraId="62627480" w14:textId="77777777" w:rsidR="00FA6C21" w:rsidRPr="00FA6C21" w:rsidRDefault="00FA6C21">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761C4237" w14:textId="77777777" w:rsidR="00FA6C21" w:rsidRPr="00FA6C21" w:rsidRDefault="00FA6C21">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35253184" w14:textId="77777777" w:rsidR="00FA6C21" w:rsidRPr="00FA6C21" w:rsidRDefault="00FA6C21">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6EE96067" w14:textId="77777777" w:rsidR="00FA6C21" w:rsidRPr="00FA6C21" w:rsidRDefault="00FA6C21">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0A244C41" w14:textId="77777777" w:rsidR="00FA6C21" w:rsidRPr="00FA6C21" w:rsidRDefault="00FA6C21">
            <w:pPr>
              <w:pStyle w:val="Normal1"/>
              <w:jc w:val="right"/>
              <w:rPr>
                <w:rFonts w:ascii="Calibri" w:eastAsia="Calibri" w:hAnsi="Calibri" w:cs="Calibri"/>
                <w:color w:val="000000"/>
                <w:sz w:val="18"/>
                <w:u w:val="single"/>
              </w:rPr>
            </w:pPr>
          </w:p>
        </w:tc>
      </w:tr>
      <w:tr w:rsidR="00496618" w14:paraId="22019182" w14:textId="77777777" w:rsidTr="00FA6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4800" w:type="dxa"/>
            <w:tcBorders>
              <w:top w:val="nil"/>
              <w:left w:val="nil"/>
              <w:bottom w:val="nil"/>
              <w:right w:val="nil"/>
              <w:tl2br w:val="nil"/>
              <w:tr2bl w:val="nil"/>
            </w:tcBorders>
            <w:shd w:val="clear" w:color="auto" w:fill="auto"/>
            <w:tcMar>
              <w:left w:w="101" w:type="dxa"/>
              <w:right w:w="101" w:type="dxa"/>
            </w:tcMar>
          </w:tcPr>
          <w:p w14:paraId="203D8079" w14:textId="101C0647" w:rsidR="00496618" w:rsidRDefault="0027723F">
            <w:pPr>
              <w:pStyle w:val="Normal1"/>
              <w:rPr>
                <w:rFonts w:ascii="Calibri" w:eastAsia="Calibri" w:hAnsi="Calibri" w:cs="Calibri"/>
                <w:color w:val="000000"/>
                <w:sz w:val="18"/>
              </w:rPr>
            </w:pPr>
            <w:r>
              <w:rPr>
                <w:rFonts w:ascii="Calibri" w:eastAsia="Calibri" w:hAnsi="Calibri" w:cs="Calibri"/>
                <w:color w:val="000000"/>
                <w:sz w:val="18"/>
              </w:rPr>
              <w:t>ACT Health Core IT Systems to align with the Digital Health Strategy</w:t>
            </w:r>
          </w:p>
        </w:tc>
        <w:tc>
          <w:tcPr>
            <w:tcW w:w="967" w:type="dxa"/>
            <w:tcBorders>
              <w:top w:val="nil"/>
              <w:left w:val="nil"/>
              <w:bottom w:val="nil"/>
              <w:right w:val="nil"/>
              <w:tl2br w:val="nil"/>
              <w:tr2bl w:val="nil"/>
            </w:tcBorders>
            <w:shd w:val="clear" w:color="auto" w:fill="auto"/>
            <w:noWrap/>
            <w:tcMar>
              <w:left w:w="101" w:type="dxa"/>
              <w:right w:w="101" w:type="dxa"/>
            </w:tcMar>
          </w:tcPr>
          <w:p w14:paraId="72766F6E"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-2,620</w:t>
            </w:r>
          </w:p>
        </w:tc>
        <w:tc>
          <w:tcPr>
            <w:tcW w:w="968" w:type="dxa"/>
            <w:tcBorders>
              <w:top w:val="nil"/>
              <w:left w:val="nil"/>
              <w:bottom w:val="nil"/>
              <w:right w:val="nil"/>
              <w:tl2br w:val="nil"/>
              <w:tr2bl w:val="nil"/>
            </w:tcBorders>
            <w:shd w:val="clear" w:color="auto" w:fill="auto"/>
            <w:noWrap/>
            <w:tcMar>
              <w:left w:w="101" w:type="dxa"/>
              <w:right w:w="101" w:type="dxa"/>
            </w:tcMar>
          </w:tcPr>
          <w:p w14:paraId="449DC81F"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1,620</w:t>
            </w:r>
          </w:p>
        </w:tc>
        <w:tc>
          <w:tcPr>
            <w:tcW w:w="968" w:type="dxa"/>
            <w:tcBorders>
              <w:top w:val="nil"/>
              <w:left w:val="nil"/>
              <w:bottom w:val="nil"/>
              <w:right w:val="nil"/>
              <w:tl2br w:val="nil"/>
              <w:tr2bl w:val="nil"/>
            </w:tcBorders>
            <w:shd w:val="clear" w:color="auto" w:fill="auto"/>
            <w:noWrap/>
            <w:tcMar>
              <w:left w:w="101" w:type="dxa"/>
              <w:right w:w="101" w:type="dxa"/>
            </w:tcMar>
          </w:tcPr>
          <w:p w14:paraId="74131C29"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1,000</w:t>
            </w:r>
          </w:p>
        </w:tc>
        <w:tc>
          <w:tcPr>
            <w:tcW w:w="968" w:type="dxa"/>
            <w:tcBorders>
              <w:top w:val="nil"/>
              <w:left w:val="nil"/>
              <w:bottom w:val="nil"/>
              <w:right w:val="nil"/>
              <w:tl2br w:val="nil"/>
              <w:tr2bl w:val="nil"/>
            </w:tcBorders>
            <w:shd w:val="clear" w:color="auto" w:fill="auto"/>
            <w:noWrap/>
            <w:tcMar>
              <w:left w:w="101" w:type="dxa"/>
              <w:right w:w="101" w:type="dxa"/>
            </w:tcMar>
          </w:tcPr>
          <w:p w14:paraId="1C2C3500"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6FA0E40"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496618" w14:paraId="18C33F9B" w14:textId="77777777" w:rsidTr="00FA6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3137DD0D" w14:textId="1E29795C" w:rsidR="00496618" w:rsidRDefault="0027723F">
            <w:pPr>
              <w:pStyle w:val="Normal1"/>
              <w:rPr>
                <w:rFonts w:ascii="Calibri" w:eastAsia="Calibri" w:hAnsi="Calibri" w:cs="Calibri"/>
                <w:color w:val="000000"/>
                <w:sz w:val="18"/>
              </w:rPr>
            </w:pPr>
            <w:r>
              <w:rPr>
                <w:rFonts w:ascii="Calibri" w:eastAsia="Calibri" w:hAnsi="Calibri" w:cs="Calibri"/>
                <w:color w:val="000000"/>
                <w:sz w:val="18"/>
              </w:rPr>
              <w:t>ACT Pathology Laboratory information system replacement</w:t>
            </w:r>
          </w:p>
        </w:tc>
        <w:tc>
          <w:tcPr>
            <w:tcW w:w="967" w:type="dxa"/>
            <w:tcBorders>
              <w:top w:val="nil"/>
              <w:left w:val="nil"/>
              <w:bottom w:val="nil"/>
              <w:right w:val="nil"/>
              <w:tl2br w:val="nil"/>
              <w:tr2bl w:val="nil"/>
            </w:tcBorders>
            <w:shd w:val="clear" w:color="auto" w:fill="auto"/>
            <w:noWrap/>
            <w:tcMar>
              <w:left w:w="101" w:type="dxa"/>
              <w:right w:w="101" w:type="dxa"/>
            </w:tcMar>
          </w:tcPr>
          <w:p w14:paraId="472817BC"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-7,057</w:t>
            </w:r>
          </w:p>
        </w:tc>
        <w:tc>
          <w:tcPr>
            <w:tcW w:w="968" w:type="dxa"/>
            <w:tcBorders>
              <w:top w:val="nil"/>
              <w:left w:val="nil"/>
              <w:bottom w:val="nil"/>
              <w:right w:val="nil"/>
              <w:tl2br w:val="nil"/>
              <w:tr2bl w:val="nil"/>
            </w:tcBorders>
            <w:shd w:val="clear" w:color="auto" w:fill="auto"/>
            <w:noWrap/>
            <w:tcMar>
              <w:left w:w="101" w:type="dxa"/>
              <w:right w:w="101" w:type="dxa"/>
            </w:tcMar>
          </w:tcPr>
          <w:p w14:paraId="6823633B"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2,654</w:t>
            </w:r>
          </w:p>
        </w:tc>
        <w:tc>
          <w:tcPr>
            <w:tcW w:w="968" w:type="dxa"/>
            <w:tcBorders>
              <w:top w:val="nil"/>
              <w:left w:val="nil"/>
              <w:bottom w:val="nil"/>
              <w:right w:val="nil"/>
              <w:tl2br w:val="nil"/>
              <w:tr2bl w:val="nil"/>
            </w:tcBorders>
            <w:shd w:val="clear" w:color="auto" w:fill="auto"/>
            <w:noWrap/>
            <w:tcMar>
              <w:left w:w="101" w:type="dxa"/>
              <w:right w:w="101" w:type="dxa"/>
            </w:tcMar>
          </w:tcPr>
          <w:p w14:paraId="30A2C9C4"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2,202</w:t>
            </w:r>
          </w:p>
        </w:tc>
        <w:tc>
          <w:tcPr>
            <w:tcW w:w="968" w:type="dxa"/>
            <w:tcBorders>
              <w:top w:val="nil"/>
              <w:left w:val="nil"/>
              <w:bottom w:val="nil"/>
              <w:right w:val="nil"/>
              <w:tl2br w:val="nil"/>
              <w:tr2bl w:val="nil"/>
            </w:tcBorders>
            <w:shd w:val="clear" w:color="auto" w:fill="auto"/>
            <w:noWrap/>
            <w:tcMar>
              <w:left w:w="101" w:type="dxa"/>
              <w:right w:w="101" w:type="dxa"/>
            </w:tcMar>
          </w:tcPr>
          <w:p w14:paraId="70233D4A"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2,201</w:t>
            </w:r>
          </w:p>
        </w:tc>
        <w:tc>
          <w:tcPr>
            <w:tcW w:w="968" w:type="dxa"/>
            <w:tcBorders>
              <w:top w:val="nil"/>
              <w:left w:val="nil"/>
              <w:bottom w:val="nil"/>
              <w:right w:val="nil"/>
              <w:tl2br w:val="nil"/>
              <w:tr2bl w:val="nil"/>
            </w:tcBorders>
            <w:shd w:val="clear" w:color="auto" w:fill="auto"/>
            <w:noWrap/>
            <w:tcMar>
              <w:left w:w="101" w:type="dxa"/>
              <w:right w:w="101" w:type="dxa"/>
            </w:tcMar>
          </w:tcPr>
          <w:p w14:paraId="12F33EF7"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496618" w14:paraId="1B52EB09" w14:textId="77777777" w:rsidTr="002A2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156BE7CA" w14:textId="38216E4D" w:rsidR="00496618" w:rsidRDefault="0027723F">
            <w:pPr>
              <w:pStyle w:val="Normal1"/>
              <w:rPr>
                <w:rFonts w:ascii="Calibri" w:eastAsia="Calibri" w:hAnsi="Calibri" w:cs="Calibri"/>
                <w:color w:val="000000"/>
                <w:sz w:val="18"/>
              </w:rPr>
            </w:pPr>
            <w:r>
              <w:rPr>
                <w:rFonts w:ascii="Calibri" w:eastAsia="Calibri" w:hAnsi="Calibri" w:cs="Calibri"/>
                <w:color w:val="000000"/>
                <w:sz w:val="18"/>
              </w:rPr>
              <w:t>Birth of a Child Pilot</w:t>
            </w:r>
          </w:p>
        </w:tc>
        <w:tc>
          <w:tcPr>
            <w:tcW w:w="967" w:type="dxa"/>
            <w:tcBorders>
              <w:top w:val="nil"/>
              <w:left w:val="nil"/>
              <w:bottom w:val="nil"/>
              <w:right w:val="nil"/>
              <w:tl2br w:val="nil"/>
              <w:tr2bl w:val="nil"/>
            </w:tcBorders>
            <w:shd w:val="clear" w:color="auto" w:fill="auto"/>
            <w:noWrap/>
            <w:tcMar>
              <w:left w:w="101" w:type="dxa"/>
              <w:right w:w="101" w:type="dxa"/>
            </w:tcMar>
          </w:tcPr>
          <w:p w14:paraId="67A7F8FC"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-278</w:t>
            </w:r>
          </w:p>
        </w:tc>
        <w:tc>
          <w:tcPr>
            <w:tcW w:w="968" w:type="dxa"/>
            <w:tcBorders>
              <w:top w:val="nil"/>
              <w:left w:val="nil"/>
              <w:bottom w:val="nil"/>
              <w:right w:val="nil"/>
              <w:tl2br w:val="nil"/>
              <w:tr2bl w:val="nil"/>
            </w:tcBorders>
            <w:shd w:val="clear" w:color="auto" w:fill="auto"/>
            <w:noWrap/>
            <w:tcMar>
              <w:left w:w="101" w:type="dxa"/>
              <w:right w:w="101" w:type="dxa"/>
            </w:tcMar>
          </w:tcPr>
          <w:p w14:paraId="3207DC20"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278</w:t>
            </w:r>
          </w:p>
        </w:tc>
        <w:tc>
          <w:tcPr>
            <w:tcW w:w="968" w:type="dxa"/>
            <w:tcBorders>
              <w:top w:val="nil"/>
              <w:left w:val="nil"/>
              <w:bottom w:val="nil"/>
              <w:right w:val="nil"/>
              <w:tl2br w:val="nil"/>
              <w:tr2bl w:val="nil"/>
            </w:tcBorders>
            <w:shd w:val="clear" w:color="auto" w:fill="auto"/>
            <w:noWrap/>
            <w:tcMar>
              <w:left w:w="101" w:type="dxa"/>
              <w:right w:w="101" w:type="dxa"/>
            </w:tcMar>
          </w:tcPr>
          <w:p w14:paraId="729485C6"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46DCE814"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23C01784"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496618" w14:paraId="1EBE7849"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4800" w:type="dxa"/>
            <w:tcBorders>
              <w:top w:val="nil"/>
              <w:left w:val="nil"/>
              <w:bottom w:val="nil"/>
              <w:right w:val="nil"/>
              <w:tl2br w:val="nil"/>
              <w:tr2bl w:val="nil"/>
            </w:tcBorders>
            <w:shd w:val="clear" w:color="auto" w:fill="auto"/>
            <w:tcMar>
              <w:left w:w="101" w:type="dxa"/>
              <w:right w:w="101" w:type="dxa"/>
            </w:tcMar>
          </w:tcPr>
          <w:p w14:paraId="570F8811" w14:textId="75915C6E" w:rsidR="00496618" w:rsidRDefault="0027723F">
            <w:pPr>
              <w:pStyle w:val="Normal1"/>
              <w:rPr>
                <w:rFonts w:ascii="Calibri" w:eastAsia="Calibri" w:hAnsi="Calibri" w:cs="Calibri"/>
                <w:color w:val="000000"/>
                <w:sz w:val="18"/>
              </w:rPr>
            </w:pPr>
            <w:r>
              <w:rPr>
                <w:rFonts w:ascii="Calibri" w:eastAsia="Calibri" w:hAnsi="Calibri" w:cs="Calibri"/>
                <w:color w:val="000000"/>
                <w:sz w:val="18"/>
              </w:rPr>
              <w:t>Community Health and Hospitals Program - Youth Mental Health Suicide Prevention</w:t>
            </w:r>
          </w:p>
        </w:tc>
        <w:tc>
          <w:tcPr>
            <w:tcW w:w="967" w:type="dxa"/>
            <w:tcBorders>
              <w:top w:val="nil"/>
              <w:left w:val="nil"/>
              <w:bottom w:val="nil"/>
              <w:right w:val="nil"/>
              <w:tl2br w:val="nil"/>
              <w:tr2bl w:val="nil"/>
            </w:tcBorders>
            <w:shd w:val="clear" w:color="auto" w:fill="auto"/>
            <w:noWrap/>
            <w:tcMar>
              <w:left w:w="101" w:type="dxa"/>
              <w:right w:w="101" w:type="dxa"/>
            </w:tcMar>
          </w:tcPr>
          <w:p w14:paraId="09E3DF2D"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-989</w:t>
            </w:r>
          </w:p>
        </w:tc>
        <w:tc>
          <w:tcPr>
            <w:tcW w:w="968" w:type="dxa"/>
            <w:tcBorders>
              <w:top w:val="nil"/>
              <w:left w:val="nil"/>
              <w:bottom w:val="nil"/>
              <w:right w:val="nil"/>
              <w:tl2br w:val="nil"/>
              <w:tr2bl w:val="nil"/>
            </w:tcBorders>
            <w:shd w:val="clear" w:color="auto" w:fill="auto"/>
            <w:noWrap/>
            <w:tcMar>
              <w:left w:w="101" w:type="dxa"/>
              <w:right w:w="101" w:type="dxa"/>
            </w:tcMar>
          </w:tcPr>
          <w:p w14:paraId="05F58383"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989</w:t>
            </w:r>
          </w:p>
        </w:tc>
        <w:tc>
          <w:tcPr>
            <w:tcW w:w="968" w:type="dxa"/>
            <w:tcBorders>
              <w:top w:val="nil"/>
              <w:left w:val="nil"/>
              <w:bottom w:val="nil"/>
              <w:right w:val="nil"/>
              <w:tl2br w:val="nil"/>
              <w:tr2bl w:val="nil"/>
            </w:tcBorders>
            <w:shd w:val="clear" w:color="auto" w:fill="auto"/>
            <w:noWrap/>
            <w:tcMar>
              <w:left w:w="101" w:type="dxa"/>
              <w:right w:w="101" w:type="dxa"/>
            </w:tcMar>
          </w:tcPr>
          <w:p w14:paraId="36C2FAFA"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7123201C"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B93C376"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496618" w14:paraId="1DC13157" w14:textId="77777777" w:rsidTr="00FA6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0C194A16" w14:textId="0519FF30" w:rsidR="00496618" w:rsidRDefault="0027723F">
            <w:pPr>
              <w:pStyle w:val="Normal1"/>
              <w:rPr>
                <w:rFonts w:ascii="Calibri" w:eastAsia="Calibri" w:hAnsi="Calibri" w:cs="Calibri"/>
                <w:color w:val="000000"/>
                <w:sz w:val="18"/>
              </w:rPr>
            </w:pPr>
            <w:r>
              <w:rPr>
                <w:rFonts w:ascii="Calibri" w:eastAsia="Calibri" w:hAnsi="Calibri" w:cs="Calibri"/>
                <w:color w:val="000000"/>
                <w:sz w:val="18"/>
              </w:rPr>
              <w:t>COVID-19 Stimulus measure - Mental Health Package</w:t>
            </w:r>
          </w:p>
        </w:tc>
        <w:tc>
          <w:tcPr>
            <w:tcW w:w="967" w:type="dxa"/>
            <w:tcBorders>
              <w:top w:val="nil"/>
              <w:left w:val="nil"/>
              <w:bottom w:val="nil"/>
              <w:right w:val="nil"/>
              <w:tl2br w:val="nil"/>
              <w:tr2bl w:val="nil"/>
            </w:tcBorders>
            <w:shd w:val="clear" w:color="auto" w:fill="auto"/>
            <w:noWrap/>
            <w:tcMar>
              <w:left w:w="101" w:type="dxa"/>
              <w:right w:w="101" w:type="dxa"/>
            </w:tcMar>
          </w:tcPr>
          <w:p w14:paraId="413BDEFF"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-672</w:t>
            </w:r>
          </w:p>
        </w:tc>
        <w:tc>
          <w:tcPr>
            <w:tcW w:w="968" w:type="dxa"/>
            <w:tcBorders>
              <w:top w:val="nil"/>
              <w:left w:val="nil"/>
              <w:bottom w:val="nil"/>
              <w:right w:val="nil"/>
              <w:tl2br w:val="nil"/>
              <w:tr2bl w:val="nil"/>
            </w:tcBorders>
            <w:shd w:val="clear" w:color="auto" w:fill="auto"/>
            <w:noWrap/>
            <w:tcMar>
              <w:left w:w="101" w:type="dxa"/>
              <w:right w:w="101" w:type="dxa"/>
            </w:tcMar>
          </w:tcPr>
          <w:p w14:paraId="30E6AE89"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672</w:t>
            </w:r>
          </w:p>
        </w:tc>
        <w:tc>
          <w:tcPr>
            <w:tcW w:w="968" w:type="dxa"/>
            <w:tcBorders>
              <w:top w:val="nil"/>
              <w:left w:val="nil"/>
              <w:bottom w:val="nil"/>
              <w:right w:val="nil"/>
              <w:tl2br w:val="nil"/>
              <w:tr2bl w:val="nil"/>
            </w:tcBorders>
            <w:shd w:val="clear" w:color="auto" w:fill="auto"/>
            <w:noWrap/>
            <w:tcMar>
              <w:left w:w="101" w:type="dxa"/>
              <w:right w:w="101" w:type="dxa"/>
            </w:tcMar>
          </w:tcPr>
          <w:p w14:paraId="1CC285B4"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D900C40"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4A32E67D"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DA143A" w14:paraId="0D6CEFC5" w14:textId="77777777" w:rsidTr="00DA143A">
        <w:tblPrEx>
          <w:tblLook w:val="04A0" w:firstRow="1" w:lastRow="0" w:firstColumn="1" w:lastColumn="0" w:noHBand="0" w:noVBand="1"/>
        </w:tblPrEx>
        <w:trPr>
          <w:trHeight w:val="233"/>
        </w:trPr>
        <w:tc>
          <w:tcPr>
            <w:tcW w:w="4800" w:type="dxa"/>
          </w:tcPr>
          <w:p w14:paraId="33BFD499" w14:textId="77777777" w:rsidR="00DA143A" w:rsidRDefault="00DA143A" w:rsidP="00EB585F">
            <w:pPr>
              <w:pStyle w:val="Normal1"/>
              <w:rPr>
                <w:rFonts w:ascii="Calibri" w:eastAsia="Calibri" w:hAnsi="Calibri" w:cs="Calibri"/>
                <w:color w:val="000000"/>
                <w:sz w:val="18"/>
              </w:rPr>
            </w:pPr>
            <w:r>
              <w:rPr>
                <w:rFonts w:ascii="Calibri" w:eastAsia="Calibri" w:hAnsi="Calibri" w:cs="Calibri"/>
                <w:color w:val="000000"/>
                <w:sz w:val="18"/>
              </w:rPr>
              <w:t>COVID-19 Vaccination Program</w:t>
            </w:r>
          </w:p>
        </w:tc>
        <w:tc>
          <w:tcPr>
            <w:tcW w:w="967" w:type="dxa"/>
            <w:noWrap/>
          </w:tcPr>
          <w:p w14:paraId="614BBD2F" w14:textId="77777777" w:rsidR="00DA143A" w:rsidRDefault="00DA143A" w:rsidP="00EB585F">
            <w:pPr>
              <w:pStyle w:val="Normal1"/>
              <w:jc w:val="right"/>
              <w:rPr>
                <w:rFonts w:ascii="Calibri" w:eastAsia="Calibri" w:hAnsi="Calibri" w:cs="Calibri"/>
                <w:color w:val="000000"/>
                <w:sz w:val="18"/>
              </w:rPr>
            </w:pPr>
            <w:r>
              <w:rPr>
                <w:rFonts w:ascii="Calibri" w:eastAsia="Calibri" w:hAnsi="Calibri" w:cs="Calibri"/>
                <w:color w:val="000000"/>
                <w:sz w:val="18"/>
              </w:rPr>
              <w:t>-696</w:t>
            </w:r>
          </w:p>
        </w:tc>
        <w:tc>
          <w:tcPr>
            <w:tcW w:w="968" w:type="dxa"/>
            <w:noWrap/>
          </w:tcPr>
          <w:p w14:paraId="31A5987B" w14:textId="77777777" w:rsidR="00DA143A" w:rsidRDefault="00DA143A" w:rsidP="00EB585F">
            <w:pPr>
              <w:pStyle w:val="Normal1"/>
              <w:jc w:val="right"/>
              <w:rPr>
                <w:rFonts w:ascii="Calibri" w:eastAsia="Calibri" w:hAnsi="Calibri" w:cs="Calibri"/>
                <w:color w:val="000000"/>
                <w:sz w:val="18"/>
              </w:rPr>
            </w:pPr>
            <w:r>
              <w:rPr>
                <w:rFonts w:ascii="Calibri" w:eastAsia="Calibri" w:hAnsi="Calibri" w:cs="Calibri"/>
                <w:color w:val="000000"/>
                <w:sz w:val="18"/>
              </w:rPr>
              <w:t>696</w:t>
            </w:r>
          </w:p>
        </w:tc>
        <w:tc>
          <w:tcPr>
            <w:tcW w:w="968" w:type="dxa"/>
            <w:noWrap/>
          </w:tcPr>
          <w:p w14:paraId="38D76972" w14:textId="77777777" w:rsidR="00DA143A" w:rsidRDefault="00DA143A" w:rsidP="00EB585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noWrap/>
          </w:tcPr>
          <w:p w14:paraId="3AF50E2F" w14:textId="77777777" w:rsidR="00DA143A" w:rsidRDefault="00DA143A" w:rsidP="00EB585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noWrap/>
          </w:tcPr>
          <w:p w14:paraId="662DFDC2" w14:textId="77777777" w:rsidR="00DA143A" w:rsidRDefault="00DA143A" w:rsidP="00EB585F">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DA143A" w14:paraId="2BD1FDC7" w14:textId="77777777" w:rsidTr="00DA143A">
        <w:tblPrEx>
          <w:tblLook w:val="04A0" w:firstRow="1" w:lastRow="0" w:firstColumn="1" w:lastColumn="0" w:noHBand="0" w:noVBand="1"/>
        </w:tblPrEx>
        <w:trPr>
          <w:trHeight w:val="233"/>
        </w:trPr>
        <w:tc>
          <w:tcPr>
            <w:tcW w:w="4800" w:type="dxa"/>
          </w:tcPr>
          <w:p w14:paraId="27370873" w14:textId="77777777" w:rsidR="00DA143A" w:rsidRDefault="00DA143A" w:rsidP="00EB585F">
            <w:pPr>
              <w:pStyle w:val="Normal1"/>
              <w:rPr>
                <w:rFonts w:ascii="Calibri" w:eastAsia="Calibri" w:hAnsi="Calibri" w:cs="Calibri"/>
                <w:color w:val="000000"/>
                <w:sz w:val="18"/>
              </w:rPr>
            </w:pPr>
            <w:r>
              <w:rPr>
                <w:rFonts w:ascii="Calibri" w:eastAsia="Calibri" w:hAnsi="Calibri" w:cs="Calibri"/>
                <w:color w:val="000000"/>
                <w:sz w:val="18"/>
              </w:rPr>
              <w:t>Health Innovation Funding</w:t>
            </w:r>
          </w:p>
        </w:tc>
        <w:tc>
          <w:tcPr>
            <w:tcW w:w="967" w:type="dxa"/>
            <w:noWrap/>
          </w:tcPr>
          <w:p w14:paraId="054BD9E1" w14:textId="77777777" w:rsidR="00DA143A" w:rsidRDefault="00DA143A" w:rsidP="00EB585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noWrap/>
          </w:tcPr>
          <w:p w14:paraId="49F245C2" w14:textId="77777777" w:rsidR="00DA143A" w:rsidRDefault="00DA143A" w:rsidP="00EB585F">
            <w:pPr>
              <w:pStyle w:val="Normal1"/>
              <w:jc w:val="right"/>
              <w:rPr>
                <w:rFonts w:ascii="Calibri" w:eastAsia="Calibri" w:hAnsi="Calibri" w:cs="Calibri"/>
                <w:color w:val="000000"/>
                <w:sz w:val="18"/>
              </w:rPr>
            </w:pPr>
            <w:r>
              <w:rPr>
                <w:rFonts w:ascii="Calibri" w:eastAsia="Calibri" w:hAnsi="Calibri" w:cs="Calibri"/>
                <w:color w:val="000000"/>
                <w:sz w:val="18"/>
              </w:rPr>
              <w:t>238</w:t>
            </w:r>
          </w:p>
        </w:tc>
        <w:tc>
          <w:tcPr>
            <w:tcW w:w="968" w:type="dxa"/>
            <w:noWrap/>
          </w:tcPr>
          <w:p w14:paraId="6E6B0614" w14:textId="77777777" w:rsidR="00DA143A" w:rsidRDefault="00DA143A" w:rsidP="00EB585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noWrap/>
          </w:tcPr>
          <w:p w14:paraId="1AD52EF8" w14:textId="77777777" w:rsidR="00DA143A" w:rsidRDefault="00DA143A" w:rsidP="00EB585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noWrap/>
          </w:tcPr>
          <w:p w14:paraId="7F77A3C0" w14:textId="77777777" w:rsidR="00DA143A" w:rsidRDefault="00DA143A" w:rsidP="00EB585F">
            <w:pPr>
              <w:pStyle w:val="Normal1"/>
              <w:jc w:val="right"/>
              <w:rPr>
                <w:rFonts w:ascii="Calibri" w:eastAsia="Calibri" w:hAnsi="Calibri" w:cs="Calibri"/>
                <w:color w:val="000000"/>
                <w:sz w:val="18"/>
              </w:rPr>
            </w:pPr>
            <w:r>
              <w:rPr>
                <w:rFonts w:ascii="Calibri" w:eastAsia="Calibri" w:hAnsi="Calibri" w:cs="Calibri"/>
                <w:color w:val="000000"/>
                <w:sz w:val="18"/>
              </w:rPr>
              <w:t>0</w:t>
            </w:r>
          </w:p>
        </w:tc>
      </w:tr>
    </w:tbl>
    <w:p w14:paraId="137FF884" w14:textId="32018D0A" w:rsidR="00D7619A" w:rsidRPr="00F0682D" w:rsidRDefault="00D7619A" w:rsidP="00D7619A">
      <w:pPr>
        <w:pStyle w:val="Caption"/>
        <w:pBdr>
          <w:top w:val="nil"/>
          <w:left w:val="nil"/>
          <w:bottom w:val="nil"/>
          <w:right w:val="nil"/>
          <w:between w:val="nil"/>
          <w:bar w:val="nil"/>
        </w:pBdr>
        <w:rPr>
          <w:bdr w:val="nil"/>
        </w:rPr>
      </w:pPr>
      <w:r w:rsidRPr="00F0682D">
        <w:rPr>
          <w:bdr w:val="nil"/>
        </w:rPr>
        <w:lastRenderedPageBreak/>
        <w:t xml:space="preserve">Table </w:t>
      </w:r>
      <w:r>
        <w:rPr>
          <w:bdr w:val="nil"/>
        </w:rPr>
        <w:t>19</w:t>
      </w:r>
      <w:r w:rsidRPr="00F0682D">
        <w:rPr>
          <w:bdr w:val="nil"/>
        </w:rPr>
        <w:t>: Changes to appropriation –</w:t>
      </w:r>
      <w:r w:rsidRPr="00F0682D">
        <w:rPr>
          <w:szCs w:val="20"/>
          <w:bdr w:val="nil"/>
        </w:rPr>
        <w:t xml:space="preserve"> </w:t>
      </w:r>
      <w:r w:rsidRPr="00F0682D">
        <w:rPr>
          <w:bdr w:val="nil"/>
        </w:rPr>
        <w:t>Controlled Recurrent Payments</w:t>
      </w:r>
      <w:r>
        <w:rPr>
          <w:bdr w:val="nil"/>
        </w:rPr>
        <w:t xml:space="preserve"> (continued)</w:t>
      </w:r>
    </w:p>
    <w:tbl>
      <w:tblPr>
        <w:tblStyle w:val="CDMRange1"/>
        <w:tblW w:w="9639" w:type="dxa"/>
        <w:tblLayout w:type="fixed"/>
        <w:tblLook w:val="0600" w:firstRow="0" w:lastRow="0" w:firstColumn="0" w:lastColumn="0" w:noHBand="1" w:noVBand="1"/>
      </w:tblPr>
      <w:tblGrid>
        <w:gridCol w:w="4800"/>
        <w:gridCol w:w="967"/>
        <w:gridCol w:w="968"/>
        <w:gridCol w:w="968"/>
        <w:gridCol w:w="968"/>
        <w:gridCol w:w="968"/>
      </w:tblGrid>
      <w:tr w:rsidR="00D7619A" w14:paraId="64A70612" w14:textId="77777777" w:rsidTr="00CE31F8">
        <w:trPr>
          <w:trHeight w:val="945"/>
        </w:trPr>
        <w:tc>
          <w:tcPr>
            <w:tcW w:w="4800" w:type="dxa"/>
            <w:tcBorders>
              <w:top w:val="single" w:sz="12" w:space="0" w:color="000000"/>
              <w:left w:val="nil"/>
              <w:bottom w:val="single" w:sz="12" w:space="0" w:color="000000"/>
              <w:right w:val="nil"/>
              <w:tl2br w:val="nil"/>
              <w:tr2bl w:val="nil"/>
            </w:tcBorders>
            <w:shd w:val="clear" w:color="auto" w:fill="auto"/>
            <w:tcMar>
              <w:left w:w="0" w:type="dxa"/>
              <w:right w:w="0" w:type="dxa"/>
            </w:tcMar>
            <w:vAlign w:val="bottom"/>
          </w:tcPr>
          <w:p w14:paraId="2F6DA676" w14:textId="77777777" w:rsidR="00D7619A" w:rsidRDefault="00D7619A" w:rsidP="00CE31F8">
            <w:pPr>
              <w:pStyle w:val="Normal1"/>
              <w:rPr>
                <w:rFonts w:ascii="Calibri" w:eastAsia="Calibri" w:hAnsi="Calibri" w:cs="Calibri"/>
                <w:color w:val="000000"/>
                <w:sz w:val="18"/>
              </w:rPr>
            </w:pPr>
          </w:p>
        </w:tc>
        <w:tc>
          <w:tcPr>
            <w:tcW w:w="967"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C97D3C9" w14:textId="77777777" w:rsidR="00D7619A" w:rsidRDefault="00D7619A" w:rsidP="00CE31F8">
            <w:pPr>
              <w:pStyle w:val="Normal1"/>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07A49479" w14:textId="77777777" w:rsidR="00D7619A" w:rsidRDefault="00D7619A" w:rsidP="00CE31F8">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FE0A040" w14:textId="77777777" w:rsidR="00D7619A" w:rsidRDefault="00D7619A" w:rsidP="00CE31F8">
            <w:pPr>
              <w:pStyle w:val="Normal1"/>
              <w:jc w:val="right"/>
              <w:rPr>
                <w:rFonts w:ascii="Calibri" w:eastAsia="Calibri" w:hAnsi="Calibri" w:cs="Calibri"/>
                <w:b/>
                <w:color w:val="000000"/>
                <w:sz w:val="18"/>
              </w:rPr>
            </w:pPr>
            <w:r>
              <w:rPr>
                <w:rFonts w:ascii="Calibri" w:eastAsia="Calibri" w:hAnsi="Calibri" w:cs="Calibri"/>
                <w:b/>
                <w:color w:val="000000"/>
                <w:sz w:val="18"/>
              </w:rPr>
              <w:t>2021-22 Budget</w:t>
            </w:r>
          </w:p>
          <w:p w14:paraId="77709D39" w14:textId="77777777" w:rsidR="00D7619A" w:rsidRDefault="00D7619A" w:rsidP="00CE31F8">
            <w:pPr>
              <w:pStyle w:val="Normal1"/>
              <w:jc w:val="right"/>
              <w:rPr>
                <w:rFonts w:ascii="Calibri" w:eastAsia="Calibri" w:hAnsi="Calibri" w:cs="Calibri"/>
                <w:b/>
                <w:color w:val="000000"/>
                <w:sz w:val="18"/>
              </w:rPr>
            </w:pPr>
          </w:p>
          <w:p w14:paraId="364C9C14" w14:textId="77777777" w:rsidR="00D7619A" w:rsidRDefault="00D7619A" w:rsidP="00CE31F8">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40C7539" w14:textId="77777777" w:rsidR="00D7619A" w:rsidRDefault="00D7619A" w:rsidP="00CE31F8">
            <w:pPr>
              <w:pStyle w:val="Normal1"/>
              <w:jc w:val="right"/>
              <w:rPr>
                <w:rFonts w:ascii="Calibri" w:eastAsia="Calibri" w:hAnsi="Calibri" w:cs="Calibri"/>
                <w:b/>
                <w:color w:val="000000"/>
                <w:sz w:val="18"/>
              </w:rPr>
            </w:pPr>
            <w:r>
              <w:rPr>
                <w:rFonts w:ascii="Calibri" w:eastAsia="Calibri" w:hAnsi="Calibri" w:cs="Calibri"/>
                <w:b/>
                <w:color w:val="000000"/>
                <w:sz w:val="18"/>
              </w:rPr>
              <w:t>2022-23 Estimate</w:t>
            </w:r>
          </w:p>
          <w:p w14:paraId="5CF9C9E5" w14:textId="77777777" w:rsidR="00D7619A" w:rsidRDefault="00D7619A" w:rsidP="00CE31F8">
            <w:pPr>
              <w:pStyle w:val="Normal1"/>
              <w:jc w:val="right"/>
              <w:rPr>
                <w:rFonts w:ascii="Calibri" w:eastAsia="Calibri" w:hAnsi="Calibri" w:cs="Calibri"/>
                <w:b/>
                <w:color w:val="000000"/>
                <w:sz w:val="18"/>
              </w:rPr>
            </w:pPr>
          </w:p>
          <w:p w14:paraId="75C34D40" w14:textId="77777777" w:rsidR="00D7619A" w:rsidRDefault="00D7619A" w:rsidP="00CE31F8">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0778224" w14:textId="77777777" w:rsidR="00D7619A" w:rsidRDefault="00D7619A" w:rsidP="00CE31F8">
            <w:pPr>
              <w:pStyle w:val="Normal1"/>
              <w:jc w:val="right"/>
              <w:rPr>
                <w:rFonts w:ascii="Calibri" w:eastAsia="Calibri" w:hAnsi="Calibri" w:cs="Calibri"/>
                <w:b/>
                <w:color w:val="000000"/>
                <w:sz w:val="18"/>
              </w:rPr>
            </w:pPr>
            <w:r>
              <w:rPr>
                <w:rFonts w:ascii="Calibri" w:eastAsia="Calibri" w:hAnsi="Calibri" w:cs="Calibri"/>
                <w:b/>
                <w:color w:val="000000"/>
                <w:sz w:val="18"/>
              </w:rPr>
              <w:t>2023-24 Estimate</w:t>
            </w:r>
          </w:p>
          <w:p w14:paraId="63C87C83" w14:textId="77777777" w:rsidR="00D7619A" w:rsidRDefault="00D7619A" w:rsidP="00CE31F8">
            <w:pPr>
              <w:pStyle w:val="Normal1"/>
              <w:jc w:val="right"/>
              <w:rPr>
                <w:rFonts w:ascii="Calibri" w:eastAsia="Calibri" w:hAnsi="Calibri" w:cs="Calibri"/>
                <w:b/>
                <w:color w:val="000000"/>
                <w:sz w:val="18"/>
              </w:rPr>
            </w:pPr>
          </w:p>
          <w:p w14:paraId="1D5D9AD6" w14:textId="77777777" w:rsidR="00D7619A" w:rsidRDefault="00D7619A" w:rsidP="00CE31F8">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B09D724" w14:textId="77777777" w:rsidR="00D7619A" w:rsidRDefault="00D7619A" w:rsidP="00CE31F8">
            <w:pPr>
              <w:pStyle w:val="Normal1"/>
              <w:jc w:val="right"/>
              <w:rPr>
                <w:rFonts w:ascii="Calibri" w:eastAsia="Calibri" w:hAnsi="Calibri" w:cs="Calibri"/>
                <w:b/>
                <w:color w:val="000000"/>
                <w:sz w:val="18"/>
              </w:rPr>
            </w:pPr>
            <w:r>
              <w:rPr>
                <w:rFonts w:ascii="Calibri" w:eastAsia="Calibri" w:hAnsi="Calibri" w:cs="Calibri"/>
                <w:b/>
                <w:color w:val="000000"/>
                <w:sz w:val="18"/>
              </w:rPr>
              <w:t>2024-25 Estimate</w:t>
            </w:r>
          </w:p>
          <w:p w14:paraId="338F39ED" w14:textId="77777777" w:rsidR="00D7619A" w:rsidRDefault="00D7619A" w:rsidP="00CE31F8">
            <w:pPr>
              <w:pStyle w:val="Normal1"/>
              <w:jc w:val="right"/>
              <w:rPr>
                <w:rFonts w:ascii="Calibri" w:eastAsia="Calibri" w:hAnsi="Calibri" w:cs="Calibri"/>
                <w:b/>
                <w:color w:val="000000"/>
                <w:sz w:val="18"/>
              </w:rPr>
            </w:pPr>
          </w:p>
          <w:p w14:paraId="18ADF545" w14:textId="77777777" w:rsidR="00D7619A" w:rsidRDefault="00D7619A" w:rsidP="00CE31F8">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r>
      <w:tr w:rsidR="00D7619A" w14:paraId="79FE6934"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4F9C238A" w14:textId="3016FBC8" w:rsidR="00D7619A" w:rsidRDefault="00D7619A">
            <w:pPr>
              <w:pStyle w:val="Normal1"/>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340C3DA0" w14:textId="77777777" w:rsidR="00D7619A" w:rsidRDefault="00D7619A">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54A4EA75" w14:textId="77777777" w:rsidR="00D7619A" w:rsidRDefault="00D7619A">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55C36158" w14:textId="77777777" w:rsidR="00D7619A" w:rsidRDefault="00D7619A">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437A5AD0" w14:textId="77777777" w:rsidR="00D7619A" w:rsidRDefault="00D7619A">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47FAC257" w14:textId="77777777" w:rsidR="00D7619A" w:rsidRDefault="00D7619A">
            <w:pPr>
              <w:pStyle w:val="Normal1"/>
              <w:jc w:val="right"/>
              <w:rPr>
                <w:rFonts w:ascii="Calibri" w:eastAsia="Calibri" w:hAnsi="Calibri" w:cs="Calibri"/>
                <w:color w:val="000000"/>
                <w:sz w:val="18"/>
              </w:rPr>
            </w:pPr>
          </w:p>
        </w:tc>
      </w:tr>
      <w:tr w:rsidR="00A8582F" w14:paraId="7DE0F0AB"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54E0D8A4" w14:textId="77777777" w:rsidR="00A8582F" w:rsidRDefault="00A8582F" w:rsidP="00D177B8">
            <w:pPr>
              <w:pStyle w:val="Normal1"/>
              <w:rPr>
                <w:rFonts w:ascii="Calibri" w:eastAsia="Calibri" w:hAnsi="Calibri" w:cs="Calibri"/>
                <w:color w:val="000000"/>
                <w:sz w:val="18"/>
              </w:rPr>
            </w:pPr>
            <w:r>
              <w:rPr>
                <w:rFonts w:ascii="Calibri" w:eastAsia="Calibri" w:hAnsi="Calibri" w:cs="Calibri"/>
                <w:color w:val="000000"/>
                <w:sz w:val="18"/>
              </w:rPr>
              <w:t>Implementation of Cultural Review</w:t>
            </w:r>
          </w:p>
        </w:tc>
        <w:tc>
          <w:tcPr>
            <w:tcW w:w="967" w:type="dxa"/>
            <w:tcBorders>
              <w:top w:val="nil"/>
              <w:left w:val="nil"/>
              <w:bottom w:val="nil"/>
              <w:right w:val="nil"/>
              <w:tl2br w:val="nil"/>
              <w:tr2bl w:val="nil"/>
            </w:tcBorders>
            <w:shd w:val="clear" w:color="auto" w:fill="auto"/>
            <w:noWrap/>
            <w:tcMar>
              <w:left w:w="101" w:type="dxa"/>
              <w:right w:w="101" w:type="dxa"/>
            </w:tcMar>
          </w:tcPr>
          <w:p w14:paraId="50E3DEC0"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-643</w:t>
            </w:r>
          </w:p>
        </w:tc>
        <w:tc>
          <w:tcPr>
            <w:tcW w:w="968" w:type="dxa"/>
            <w:tcBorders>
              <w:top w:val="nil"/>
              <w:left w:val="nil"/>
              <w:bottom w:val="nil"/>
              <w:right w:val="nil"/>
              <w:tl2br w:val="nil"/>
              <w:tr2bl w:val="nil"/>
            </w:tcBorders>
            <w:shd w:val="clear" w:color="auto" w:fill="auto"/>
            <w:noWrap/>
            <w:tcMar>
              <w:left w:w="101" w:type="dxa"/>
              <w:right w:w="101" w:type="dxa"/>
            </w:tcMar>
          </w:tcPr>
          <w:p w14:paraId="50E54E0E"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643</w:t>
            </w:r>
          </w:p>
        </w:tc>
        <w:tc>
          <w:tcPr>
            <w:tcW w:w="968" w:type="dxa"/>
            <w:tcBorders>
              <w:top w:val="nil"/>
              <w:left w:val="nil"/>
              <w:bottom w:val="nil"/>
              <w:right w:val="nil"/>
              <w:tl2br w:val="nil"/>
              <w:tr2bl w:val="nil"/>
            </w:tcBorders>
            <w:shd w:val="clear" w:color="auto" w:fill="auto"/>
            <w:noWrap/>
            <w:tcMar>
              <w:left w:w="101" w:type="dxa"/>
              <w:right w:w="101" w:type="dxa"/>
            </w:tcMar>
          </w:tcPr>
          <w:p w14:paraId="07F054EB"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29F66914"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D29F676"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A8582F" w14:paraId="33A00F02"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397DCE3A" w14:textId="77777777" w:rsidR="00A8582F" w:rsidRDefault="00A8582F" w:rsidP="00D177B8">
            <w:pPr>
              <w:pStyle w:val="Normal1"/>
              <w:rPr>
                <w:rFonts w:ascii="Calibri" w:eastAsia="Calibri" w:hAnsi="Calibri" w:cs="Calibri"/>
                <w:color w:val="000000"/>
                <w:sz w:val="18"/>
              </w:rPr>
            </w:pPr>
            <w:r>
              <w:rPr>
                <w:rFonts w:ascii="Calibri" w:eastAsia="Calibri" w:hAnsi="Calibri" w:cs="Calibri"/>
                <w:color w:val="000000"/>
                <w:sz w:val="18"/>
              </w:rPr>
              <w:t>Supporting complex care in General Practice</w:t>
            </w:r>
          </w:p>
        </w:tc>
        <w:tc>
          <w:tcPr>
            <w:tcW w:w="967" w:type="dxa"/>
            <w:tcBorders>
              <w:top w:val="nil"/>
              <w:left w:val="nil"/>
              <w:bottom w:val="nil"/>
              <w:right w:val="nil"/>
              <w:tl2br w:val="nil"/>
              <w:tr2bl w:val="nil"/>
            </w:tcBorders>
            <w:shd w:val="clear" w:color="auto" w:fill="auto"/>
            <w:noWrap/>
            <w:tcMar>
              <w:left w:w="101" w:type="dxa"/>
              <w:right w:w="101" w:type="dxa"/>
            </w:tcMar>
          </w:tcPr>
          <w:p w14:paraId="2A5D5586"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-704</w:t>
            </w:r>
          </w:p>
        </w:tc>
        <w:tc>
          <w:tcPr>
            <w:tcW w:w="968" w:type="dxa"/>
            <w:tcBorders>
              <w:top w:val="nil"/>
              <w:left w:val="nil"/>
              <w:bottom w:val="nil"/>
              <w:right w:val="nil"/>
              <w:tl2br w:val="nil"/>
              <w:tr2bl w:val="nil"/>
            </w:tcBorders>
            <w:shd w:val="clear" w:color="auto" w:fill="auto"/>
            <w:noWrap/>
            <w:tcMar>
              <w:left w:w="101" w:type="dxa"/>
              <w:right w:w="101" w:type="dxa"/>
            </w:tcMar>
          </w:tcPr>
          <w:p w14:paraId="59A6AFF9"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704</w:t>
            </w:r>
          </w:p>
        </w:tc>
        <w:tc>
          <w:tcPr>
            <w:tcW w:w="968" w:type="dxa"/>
            <w:tcBorders>
              <w:top w:val="nil"/>
              <w:left w:val="nil"/>
              <w:bottom w:val="nil"/>
              <w:right w:val="nil"/>
              <w:tl2br w:val="nil"/>
              <w:tr2bl w:val="nil"/>
            </w:tcBorders>
            <w:shd w:val="clear" w:color="auto" w:fill="auto"/>
            <w:noWrap/>
            <w:tcMar>
              <w:left w:w="101" w:type="dxa"/>
              <w:right w:w="101" w:type="dxa"/>
            </w:tcMar>
          </w:tcPr>
          <w:p w14:paraId="6AB9C96F"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74718954"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42AE4BD5" w14:textId="77777777" w:rsidR="00A8582F" w:rsidRDefault="00A8582F" w:rsidP="00D177B8">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A8582F" w14:paraId="76B3AE1C"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442F1300" w14:textId="77777777" w:rsidR="00A8582F" w:rsidRDefault="00A8582F" w:rsidP="00D177B8">
            <w:pPr>
              <w:pStyle w:val="Normal1"/>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5CF8CE66"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5013125E"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06B48EE5"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57DAAC80" w14:textId="77777777" w:rsidR="00A8582F" w:rsidRDefault="00A8582F" w:rsidP="00D177B8">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7B188503" w14:textId="77777777" w:rsidR="00A8582F" w:rsidRDefault="00A8582F" w:rsidP="00D177B8">
            <w:pPr>
              <w:pStyle w:val="Normal1"/>
              <w:jc w:val="right"/>
              <w:rPr>
                <w:rFonts w:ascii="Calibri" w:eastAsia="Calibri" w:hAnsi="Calibri" w:cs="Calibri"/>
                <w:color w:val="000000"/>
                <w:sz w:val="18"/>
              </w:rPr>
            </w:pPr>
          </w:p>
        </w:tc>
      </w:tr>
      <w:tr w:rsidR="00FA6C21" w:rsidRPr="00FA6C21" w14:paraId="077F53E7" w14:textId="77777777" w:rsidTr="00DA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76243C83" w14:textId="5CEFC21A" w:rsidR="00FA6C21" w:rsidRPr="00FA6C21" w:rsidRDefault="00FA6C21">
            <w:pPr>
              <w:pStyle w:val="Normal1"/>
              <w:rPr>
                <w:rFonts w:ascii="Calibri" w:eastAsia="Calibri" w:hAnsi="Calibri" w:cs="Calibri"/>
                <w:color w:val="000000"/>
                <w:sz w:val="18"/>
                <w:u w:val="single"/>
              </w:rPr>
            </w:pPr>
            <w:r w:rsidRPr="00FA6C21">
              <w:rPr>
                <w:rFonts w:ascii="Calibri" w:eastAsia="Calibri" w:hAnsi="Calibri" w:cs="Calibri"/>
                <w:color w:val="000000"/>
                <w:sz w:val="18"/>
                <w:u w:val="single"/>
              </w:rPr>
              <w:t>Transfers</w:t>
            </w:r>
          </w:p>
        </w:tc>
        <w:tc>
          <w:tcPr>
            <w:tcW w:w="967" w:type="dxa"/>
            <w:tcBorders>
              <w:top w:val="nil"/>
              <w:left w:val="nil"/>
              <w:bottom w:val="nil"/>
              <w:right w:val="nil"/>
              <w:tl2br w:val="nil"/>
              <w:tr2bl w:val="nil"/>
            </w:tcBorders>
            <w:shd w:val="clear" w:color="auto" w:fill="auto"/>
            <w:noWrap/>
            <w:tcMar>
              <w:left w:w="101" w:type="dxa"/>
              <w:right w:w="101" w:type="dxa"/>
            </w:tcMar>
          </w:tcPr>
          <w:p w14:paraId="67326F37" w14:textId="77777777" w:rsidR="00FA6C21" w:rsidRPr="00FA6C21" w:rsidRDefault="00FA6C21">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14E1741D" w14:textId="77777777" w:rsidR="00FA6C21" w:rsidRPr="00FA6C21" w:rsidRDefault="00FA6C21">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28303BED" w14:textId="77777777" w:rsidR="00FA6C21" w:rsidRPr="00FA6C21" w:rsidRDefault="00FA6C21">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5D77C033" w14:textId="77777777" w:rsidR="00FA6C21" w:rsidRPr="00FA6C21" w:rsidRDefault="00FA6C21">
            <w:pPr>
              <w:pStyle w:val="Normal1"/>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56153AD8" w14:textId="77777777" w:rsidR="00FA6C21" w:rsidRPr="00FA6C21" w:rsidRDefault="00FA6C21">
            <w:pPr>
              <w:pStyle w:val="Normal1"/>
              <w:jc w:val="right"/>
              <w:rPr>
                <w:rFonts w:ascii="Calibri" w:eastAsia="Calibri" w:hAnsi="Calibri" w:cs="Calibri"/>
                <w:color w:val="000000"/>
                <w:sz w:val="18"/>
                <w:u w:val="single"/>
              </w:rPr>
            </w:pPr>
          </w:p>
        </w:tc>
      </w:tr>
      <w:tr w:rsidR="00B92CDD" w14:paraId="04244BF3"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1592D867" w14:textId="74F64306" w:rsidR="00B92CDD" w:rsidRDefault="00B92CDD" w:rsidP="0014646D">
            <w:pPr>
              <w:pStyle w:val="Normal1"/>
              <w:rPr>
                <w:rFonts w:ascii="Calibri" w:eastAsia="Calibri" w:hAnsi="Calibri" w:cs="Calibri"/>
                <w:color w:val="000000"/>
                <w:sz w:val="18"/>
              </w:rPr>
            </w:pPr>
            <w:r>
              <w:rPr>
                <w:rFonts w:ascii="Calibri" w:eastAsia="Calibri" w:hAnsi="Calibri" w:cs="Calibri"/>
                <w:color w:val="000000"/>
                <w:sz w:val="18"/>
              </w:rPr>
              <w:t>Care Closer to Home Project Management from LHN</w:t>
            </w:r>
          </w:p>
        </w:tc>
        <w:tc>
          <w:tcPr>
            <w:tcW w:w="967" w:type="dxa"/>
            <w:tcBorders>
              <w:top w:val="nil"/>
              <w:left w:val="nil"/>
              <w:bottom w:val="nil"/>
              <w:right w:val="nil"/>
              <w:tl2br w:val="nil"/>
              <w:tr2bl w:val="nil"/>
            </w:tcBorders>
            <w:shd w:val="clear" w:color="auto" w:fill="auto"/>
            <w:noWrap/>
            <w:tcMar>
              <w:left w:w="101" w:type="dxa"/>
              <w:right w:w="101" w:type="dxa"/>
            </w:tcMar>
          </w:tcPr>
          <w:p w14:paraId="3D84B3C5"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26F169EE"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153</w:t>
            </w:r>
          </w:p>
        </w:tc>
        <w:tc>
          <w:tcPr>
            <w:tcW w:w="968" w:type="dxa"/>
            <w:tcBorders>
              <w:top w:val="nil"/>
              <w:left w:val="nil"/>
              <w:bottom w:val="nil"/>
              <w:right w:val="nil"/>
              <w:tl2br w:val="nil"/>
              <w:tr2bl w:val="nil"/>
            </w:tcBorders>
            <w:shd w:val="clear" w:color="auto" w:fill="auto"/>
            <w:noWrap/>
            <w:tcMar>
              <w:left w:w="101" w:type="dxa"/>
              <w:right w:w="101" w:type="dxa"/>
            </w:tcMar>
          </w:tcPr>
          <w:p w14:paraId="16798F61"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507E2D64"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3A0352A"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496618" w14:paraId="4B744724"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34D90631" w14:textId="26762662" w:rsidR="00496618" w:rsidRDefault="0027723F">
            <w:pPr>
              <w:pStyle w:val="Normal1"/>
              <w:rPr>
                <w:rFonts w:ascii="Calibri" w:eastAsia="Calibri" w:hAnsi="Calibri" w:cs="Calibri"/>
                <w:color w:val="000000"/>
                <w:sz w:val="18"/>
              </w:rPr>
            </w:pPr>
            <w:r>
              <w:rPr>
                <w:rFonts w:ascii="Calibri" w:eastAsia="Calibri" w:hAnsi="Calibri" w:cs="Calibri"/>
                <w:color w:val="000000"/>
                <w:sz w:val="18"/>
              </w:rPr>
              <w:t>Detention Exit Community Outreach from CHS</w:t>
            </w:r>
          </w:p>
        </w:tc>
        <w:tc>
          <w:tcPr>
            <w:tcW w:w="967" w:type="dxa"/>
            <w:tcBorders>
              <w:top w:val="nil"/>
              <w:left w:val="nil"/>
              <w:bottom w:val="nil"/>
              <w:right w:val="nil"/>
              <w:tl2br w:val="nil"/>
              <w:tr2bl w:val="nil"/>
            </w:tcBorders>
            <w:shd w:val="clear" w:color="auto" w:fill="auto"/>
            <w:noWrap/>
            <w:tcMar>
              <w:left w:w="101" w:type="dxa"/>
              <w:right w:w="101" w:type="dxa"/>
            </w:tcMar>
          </w:tcPr>
          <w:p w14:paraId="04CF5E98"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226CAA10"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275</w:t>
            </w:r>
          </w:p>
        </w:tc>
        <w:tc>
          <w:tcPr>
            <w:tcW w:w="968" w:type="dxa"/>
            <w:tcBorders>
              <w:top w:val="nil"/>
              <w:left w:val="nil"/>
              <w:bottom w:val="nil"/>
              <w:right w:val="nil"/>
              <w:tl2br w:val="nil"/>
              <w:tr2bl w:val="nil"/>
            </w:tcBorders>
            <w:shd w:val="clear" w:color="auto" w:fill="auto"/>
            <w:noWrap/>
            <w:tcMar>
              <w:left w:w="101" w:type="dxa"/>
              <w:right w:w="101" w:type="dxa"/>
            </w:tcMar>
          </w:tcPr>
          <w:p w14:paraId="3DC4EE2C"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282</w:t>
            </w:r>
          </w:p>
        </w:tc>
        <w:tc>
          <w:tcPr>
            <w:tcW w:w="968" w:type="dxa"/>
            <w:tcBorders>
              <w:top w:val="nil"/>
              <w:left w:val="nil"/>
              <w:bottom w:val="nil"/>
              <w:right w:val="nil"/>
              <w:tl2br w:val="nil"/>
              <w:tr2bl w:val="nil"/>
            </w:tcBorders>
            <w:shd w:val="clear" w:color="auto" w:fill="auto"/>
            <w:noWrap/>
            <w:tcMar>
              <w:left w:w="101" w:type="dxa"/>
              <w:right w:w="101" w:type="dxa"/>
            </w:tcMar>
          </w:tcPr>
          <w:p w14:paraId="46F1D6F7"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289</w:t>
            </w:r>
          </w:p>
        </w:tc>
        <w:tc>
          <w:tcPr>
            <w:tcW w:w="968" w:type="dxa"/>
            <w:tcBorders>
              <w:top w:val="nil"/>
              <w:left w:val="nil"/>
              <w:bottom w:val="nil"/>
              <w:right w:val="nil"/>
              <w:tl2br w:val="nil"/>
              <w:tr2bl w:val="nil"/>
            </w:tcBorders>
            <w:shd w:val="clear" w:color="auto" w:fill="auto"/>
            <w:noWrap/>
            <w:tcMar>
              <w:left w:w="101" w:type="dxa"/>
              <w:right w:w="101" w:type="dxa"/>
            </w:tcMar>
          </w:tcPr>
          <w:p w14:paraId="46D0986C"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296</w:t>
            </w:r>
          </w:p>
        </w:tc>
      </w:tr>
      <w:tr w:rsidR="00496618" w14:paraId="3F0417BC"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46DA1D19" w14:textId="1DAB31FB" w:rsidR="00496618" w:rsidRDefault="0027723F">
            <w:pPr>
              <w:pStyle w:val="Normal1"/>
              <w:rPr>
                <w:rFonts w:ascii="Calibri" w:eastAsia="Calibri" w:hAnsi="Calibri" w:cs="Calibri"/>
                <w:color w:val="000000"/>
                <w:sz w:val="18"/>
              </w:rPr>
            </w:pPr>
            <w:r>
              <w:rPr>
                <w:rFonts w:ascii="Calibri" w:eastAsia="Calibri" w:hAnsi="Calibri" w:cs="Calibri"/>
                <w:color w:val="000000"/>
                <w:sz w:val="18"/>
              </w:rPr>
              <w:t>Gugan Gulwan Nurse funding from CHS</w:t>
            </w:r>
          </w:p>
        </w:tc>
        <w:tc>
          <w:tcPr>
            <w:tcW w:w="967" w:type="dxa"/>
            <w:tcBorders>
              <w:top w:val="nil"/>
              <w:left w:val="nil"/>
              <w:bottom w:val="nil"/>
              <w:right w:val="nil"/>
              <w:tl2br w:val="nil"/>
              <w:tr2bl w:val="nil"/>
            </w:tcBorders>
            <w:shd w:val="clear" w:color="auto" w:fill="auto"/>
            <w:noWrap/>
            <w:tcMar>
              <w:left w:w="101" w:type="dxa"/>
              <w:right w:w="101" w:type="dxa"/>
            </w:tcMar>
          </w:tcPr>
          <w:p w14:paraId="389B2CF0"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3417B965"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180</w:t>
            </w:r>
          </w:p>
        </w:tc>
        <w:tc>
          <w:tcPr>
            <w:tcW w:w="968" w:type="dxa"/>
            <w:tcBorders>
              <w:top w:val="nil"/>
              <w:left w:val="nil"/>
              <w:bottom w:val="nil"/>
              <w:right w:val="nil"/>
              <w:tl2br w:val="nil"/>
              <w:tr2bl w:val="nil"/>
            </w:tcBorders>
            <w:shd w:val="clear" w:color="auto" w:fill="auto"/>
            <w:noWrap/>
            <w:tcMar>
              <w:left w:w="101" w:type="dxa"/>
              <w:right w:w="101" w:type="dxa"/>
            </w:tcMar>
          </w:tcPr>
          <w:p w14:paraId="0D30391A"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180</w:t>
            </w:r>
          </w:p>
        </w:tc>
        <w:tc>
          <w:tcPr>
            <w:tcW w:w="968" w:type="dxa"/>
            <w:tcBorders>
              <w:top w:val="nil"/>
              <w:left w:val="nil"/>
              <w:bottom w:val="nil"/>
              <w:right w:val="nil"/>
              <w:tl2br w:val="nil"/>
              <w:tr2bl w:val="nil"/>
            </w:tcBorders>
            <w:shd w:val="clear" w:color="auto" w:fill="auto"/>
            <w:noWrap/>
            <w:tcMar>
              <w:left w:w="101" w:type="dxa"/>
              <w:right w:w="101" w:type="dxa"/>
            </w:tcMar>
          </w:tcPr>
          <w:p w14:paraId="0E0B5305"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180</w:t>
            </w:r>
          </w:p>
        </w:tc>
        <w:tc>
          <w:tcPr>
            <w:tcW w:w="968" w:type="dxa"/>
            <w:tcBorders>
              <w:top w:val="nil"/>
              <w:left w:val="nil"/>
              <w:bottom w:val="nil"/>
              <w:right w:val="nil"/>
              <w:tl2br w:val="nil"/>
              <w:tr2bl w:val="nil"/>
            </w:tcBorders>
            <w:shd w:val="clear" w:color="auto" w:fill="auto"/>
            <w:noWrap/>
            <w:tcMar>
              <w:left w:w="101" w:type="dxa"/>
              <w:right w:w="101" w:type="dxa"/>
            </w:tcMar>
          </w:tcPr>
          <w:p w14:paraId="637C9F9C"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184</w:t>
            </w:r>
          </w:p>
        </w:tc>
      </w:tr>
      <w:tr w:rsidR="00B92CDD" w14:paraId="04AB9A68"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43014219" w14:textId="4BA91C63" w:rsidR="00B92CDD" w:rsidRDefault="00B92CDD" w:rsidP="0014646D">
            <w:pPr>
              <w:pStyle w:val="Normal1"/>
              <w:rPr>
                <w:rFonts w:ascii="Calibri" w:eastAsia="Calibri" w:hAnsi="Calibri" w:cs="Calibri"/>
                <w:color w:val="000000"/>
                <w:sz w:val="18"/>
              </w:rPr>
            </w:pPr>
            <w:r>
              <w:rPr>
                <w:rFonts w:ascii="Calibri" w:eastAsia="Calibri" w:hAnsi="Calibri" w:cs="Calibri"/>
                <w:color w:val="000000"/>
                <w:sz w:val="18"/>
              </w:rPr>
              <w:t>Professional Standards Unit cost to CMTEDD</w:t>
            </w:r>
          </w:p>
        </w:tc>
        <w:tc>
          <w:tcPr>
            <w:tcW w:w="967" w:type="dxa"/>
            <w:tcBorders>
              <w:top w:val="nil"/>
              <w:left w:val="nil"/>
              <w:bottom w:val="nil"/>
              <w:right w:val="nil"/>
              <w:tl2br w:val="nil"/>
              <w:tr2bl w:val="nil"/>
            </w:tcBorders>
            <w:shd w:val="clear" w:color="auto" w:fill="auto"/>
            <w:noWrap/>
            <w:tcMar>
              <w:left w:w="101" w:type="dxa"/>
              <w:right w:w="101" w:type="dxa"/>
            </w:tcMar>
          </w:tcPr>
          <w:p w14:paraId="2251A235"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30C89F06"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-84</w:t>
            </w:r>
          </w:p>
        </w:tc>
        <w:tc>
          <w:tcPr>
            <w:tcW w:w="968" w:type="dxa"/>
            <w:tcBorders>
              <w:top w:val="nil"/>
              <w:left w:val="nil"/>
              <w:bottom w:val="nil"/>
              <w:right w:val="nil"/>
              <w:tl2br w:val="nil"/>
              <w:tr2bl w:val="nil"/>
            </w:tcBorders>
            <w:shd w:val="clear" w:color="auto" w:fill="auto"/>
            <w:noWrap/>
            <w:tcMar>
              <w:left w:w="101" w:type="dxa"/>
              <w:right w:w="101" w:type="dxa"/>
            </w:tcMar>
          </w:tcPr>
          <w:p w14:paraId="1B8985DE"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-85</w:t>
            </w:r>
          </w:p>
        </w:tc>
        <w:tc>
          <w:tcPr>
            <w:tcW w:w="968" w:type="dxa"/>
            <w:tcBorders>
              <w:top w:val="nil"/>
              <w:left w:val="nil"/>
              <w:bottom w:val="nil"/>
              <w:right w:val="nil"/>
              <w:tl2br w:val="nil"/>
              <w:tr2bl w:val="nil"/>
            </w:tcBorders>
            <w:shd w:val="clear" w:color="auto" w:fill="auto"/>
            <w:noWrap/>
            <w:tcMar>
              <w:left w:w="101" w:type="dxa"/>
              <w:right w:w="101" w:type="dxa"/>
            </w:tcMar>
          </w:tcPr>
          <w:p w14:paraId="05E16394"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-86</w:t>
            </w:r>
          </w:p>
        </w:tc>
        <w:tc>
          <w:tcPr>
            <w:tcW w:w="968" w:type="dxa"/>
            <w:tcBorders>
              <w:top w:val="nil"/>
              <w:left w:val="nil"/>
              <w:bottom w:val="nil"/>
              <w:right w:val="nil"/>
              <w:tl2br w:val="nil"/>
              <w:tr2bl w:val="nil"/>
            </w:tcBorders>
            <w:shd w:val="clear" w:color="auto" w:fill="auto"/>
            <w:noWrap/>
            <w:tcMar>
              <w:left w:w="101" w:type="dxa"/>
              <w:right w:w="101" w:type="dxa"/>
            </w:tcMar>
          </w:tcPr>
          <w:p w14:paraId="32B5D4A5"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-88</w:t>
            </w:r>
          </w:p>
        </w:tc>
      </w:tr>
      <w:tr w:rsidR="00B92CDD" w14:paraId="5F01DCFD"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464F40CD" w14:textId="31B2D044" w:rsidR="00B92CDD" w:rsidRDefault="00B92CDD" w:rsidP="0014646D">
            <w:pPr>
              <w:pStyle w:val="Normal1"/>
              <w:rPr>
                <w:rFonts w:ascii="Calibri" w:eastAsia="Calibri" w:hAnsi="Calibri" w:cs="Calibri"/>
                <w:color w:val="000000"/>
                <w:sz w:val="18"/>
              </w:rPr>
            </w:pPr>
            <w:r>
              <w:rPr>
                <w:rFonts w:ascii="Calibri" w:eastAsia="Calibri" w:hAnsi="Calibri" w:cs="Calibri"/>
                <w:color w:val="000000"/>
                <w:sz w:val="18"/>
              </w:rPr>
              <w:t>Territory Records Office Expenses to CMTEDD</w:t>
            </w:r>
          </w:p>
        </w:tc>
        <w:tc>
          <w:tcPr>
            <w:tcW w:w="967" w:type="dxa"/>
            <w:tcBorders>
              <w:top w:val="nil"/>
              <w:left w:val="nil"/>
              <w:bottom w:val="nil"/>
              <w:right w:val="nil"/>
              <w:tl2br w:val="nil"/>
              <w:tr2bl w:val="nil"/>
            </w:tcBorders>
            <w:shd w:val="clear" w:color="auto" w:fill="auto"/>
            <w:noWrap/>
            <w:tcMar>
              <w:left w:w="101" w:type="dxa"/>
              <w:right w:w="101" w:type="dxa"/>
            </w:tcMar>
          </w:tcPr>
          <w:p w14:paraId="6975DB13"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962699A"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-132</w:t>
            </w:r>
          </w:p>
        </w:tc>
        <w:tc>
          <w:tcPr>
            <w:tcW w:w="968" w:type="dxa"/>
            <w:tcBorders>
              <w:top w:val="nil"/>
              <w:left w:val="nil"/>
              <w:bottom w:val="nil"/>
              <w:right w:val="nil"/>
              <w:tl2br w:val="nil"/>
              <w:tr2bl w:val="nil"/>
            </w:tcBorders>
            <w:shd w:val="clear" w:color="auto" w:fill="auto"/>
            <w:noWrap/>
            <w:tcMar>
              <w:left w:w="101" w:type="dxa"/>
              <w:right w:w="101" w:type="dxa"/>
            </w:tcMar>
          </w:tcPr>
          <w:p w14:paraId="7F7A22E4"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-134</w:t>
            </w:r>
          </w:p>
        </w:tc>
        <w:tc>
          <w:tcPr>
            <w:tcW w:w="968" w:type="dxa"/>
            <w:tcBorders>
              <w:top w:val="nil"/>
              <w:left w:val="nil"/>
              <w:bottom w:val="nil"/>
              <w:right w:val="nil"/>
              <w:tl2br w:val="nil"/>
              <w:tr2bl w:val="nil"/>
            </w:tcBorders>
            <w:shd w:val="clear" w:color="auto" w:fill="auto"/>
            <w:noWrap/>
            <w:tcMar>
              <w:left w:w="101" w:type="dxa"/>
              <w:right w:w="101" w:type="dxa"/>
            </w:tcMar>
          </w:tcPr>
          <w:p w14:paraId="0B997EE4"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-137</w:t>
            </w:r>
          </w:p>
        </w:tc>
        <w:tc>
          <w:tcPr>
            <w:tcW w:w="968" w:type="dxa"/>
            <w:tcBorders>
              <w:top w:val="nil"/>
              <w:left w:val="nil"/>
              <w:bottom w:val="nil"/>
              <w:right w:val="nil"/>
              <w:tl2br w:val="nil"/>
              <w:tr2bl w:val="nil"/>
            </w:tcBorders>
            <w:shd w:val="clear" w:color="auto" w:fill="auto"/>
            <w:noWrap/>
            <w:tcMar>
              <w:left w:w="101" w:type="dxa"/>
              <w:right w:w="101" w:type="dxa"/>
            </w:tcMar>
          </w:tcPr>
          <w:p w14:paraId="1AA5A043" w14:textId="77777777" w:rsidR="00B92CDD" w:rsidRDefault="00B92CDD" w:rsidP="0014646D">
            <w:pPr>
              <w:pStyle w:val="Normal1"/>
              <w:jc w:val="right"/>
              <w:rPr>
                <w:rFonts w:ascii="Calibri" w:eastAsia="Calibri" w:hAnsi="Calibri" w:cs="Calibri"/>
                <w:color w:val="000000"/>
                <w:sz w:val="18"/>
              </w:rPr>
            </w:pPr>
            <w:r>
              <w:rPr>
                <w:rFonts w:ascii="Calibri" w:eastAsia="Calibri" w:hAnsi="Calibri" w:cs="Calibri"/>
                <w:color w:val="000000"/>
                <w:sz w:val="18"/>
              </w:rPr>
              <w:t>-140</w:t>
            </w:r>
          </w:p>
        </w:tc>
      </w:tr>
      <w:tr w:rsidR="00496618" w14:paraId="1C6DD13E"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1B0F6F00" w14:textId="33EC936D" w:rsidR="00496618" w:rsidRDefault="0027723F">
            <w:pPr>
              <w:pStyle w:val="Normal1"/>
              <w:rPr>
                <w:rFonts w:ascii="Calibri" w:eastAsia="Calibri" w:hAnsi="Calibri" w:cs="Calibri"/>
                <w:color w:val="000000"/>
                <w:sz w:val="18"/>
              </w:rPr>
            </w:pPr>
            <w:r>
              <w:rPr>
                <w:rFonts w:ascii="Calibri" w:eastAsia="Calibri" w:hAnsi="Calibri" w:cs="Calibri"/>
                <w:color w:val="000000"/>
                <w:sz w:val="18"/>
              </w:rPr>
              <w:t>Winnunga Nurse funding from CHS</w:t>
            </w:r>
          </w:p>
        </w:tc>
        <w:tc>
          <w:tcPr>
            <w:tcW w:w="967" w:type="dxa"/>
            <w:tcBorders>
              <w:top w:val="nil"/>
              <w:left w:val="nil"/>
              <w:bottom w:val="nil"/>
              <w:right w:val="nil"/>
              <w:tl2br w:val="nil"/>
              <w:tr2bl w:val="nil"/>
            </w:tcBorders>
            <w:shd w:val="clear" w:color="auto" w:fill="auto"/>
            <w:noWrap/>
            <w:tcMar>
              <w:left w:w="101" w:type="dxa"/>
              <w:right w:w="101" w:type="dxa"/>
            </w:tcMar>
          </w:tcPr>
          <w:p w14:paraId="3A221576"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489E2E20"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171</w:t>
            </w:r>
          </w:p>
        </w:tc>
        <w:tc>
          <w:tcPr>
            <w:tcW w:w="968" w:type="dxa"/>
            <w:tcBorders>
              <w:top w:val="nil"/>
              <w:left w:val="nil"/>
              <w:bottom w:val="nil"/>
              <w:right w:val="nil"/>
              <w:tl2br w:val="nil"/>
              <w:tr2bl w:val="nil"/>
            </w:tcBorders>
            <w:shd w:val="clear" w:color="auto" w:fill="auto"/>
            <w:noWrap/>
            <w:tcMar>
              <w:left w:w="101" w:type="dxa"/>
              <w:right w:w="101" w:type="dxa"/>
            </w:tcMar>
          </w:tcPr>
          <w:p w14:paraId="775C6ECB"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173</w:t>
            </w:r>
          </w:p>
        </w:tc>
        <w:tc>
          <w:tcPr>
            <w:tcW w:w="968" w:type="dxa"/>
            <w:tcBorders>
              <w:top w:val="nil"/>
              <w:left w:val="nil"/>
              <w:bottom w:val="nil"/>
              <w:right w:val="nil"/>
              <w:tl2br w:val="nil"/>
              <w:tr2bl w:val="nil"/>
            </w:tcBorders>
            <w:shd w:val="clear" w:color="auto" w:fill="auto"/>
            <w:noWrap/>
            <w:tcMar>
              <w:left w:w="101" w:type="dxa"/>
              <w:right w:w="101" w:type="dxa"/>
            </w:tcMar>
          </w:tcPr>
          <w:p w14:paraId="3013548A"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175</w:t>
            </w:r>
          </w:p>
        </w:tc>
        <w:tc>
          <w:tcPr>
            <w:tcW w:w="968" w:type="dxa"/>
            <w:tcBorders>
              <w:top w:val="nil"/>
              <w:left w:val="nil"/>
              <w:bottom w:val="nil"/>
              <w:right w:val="nil"/>
              <w:tl2br w:val="nil"/>
              <w:tr2bl w:val="nil"/>
            </w:tcBorders>
            <w:shd w:val="clear" w:color="auto" w:fill="auto"/>
            <w:noWrap/>
            <w:tcMar>
              <w:left w:w="101" w:type="dxa"/>
              <w:right w:w="101" w:type="dxa"/>
            </w:tcMar>
          </w:tcPr>
          <w:p w14:paraId="709EF019"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178</w:t>
            </w:r>
          </w:p>
        </w:tc>
      </w:tr>
      <w:tr w:rsidR="00FA6C21" w14:paraId="44B4D298"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06E19825" w14:textId="77777777" w:rsidR="00FA6C21" w:rsidRDefault="00FA6C21">
            <w:pPr>
              <w:pStyle w:val="Normal1"/>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17966FA7"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01461397"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786A4AFD"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20CBC286" w14:textId="77777777" w:rsidR="00FA6C21" w:rsidRDefault="00FA6C21">
            <w:pPr>
              <w:pStyle w:val="Normal1"/>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43F26260" w14:textId="77777777" w:rsidR="00FA6C21" w:rsidRDefault="00FA6C21">
            <w:pPr>
              <w:pStyle w:val="Normal1"/>
              <w:jc w:val="right"/>
              <w:rPr>
                <w:rFonts w:ascii="Calibri" w:eastAsia="Calibri" w:hAnsi="Calibri" w:cs="Calibri"/>
                <w:color w:val="000000"/>
                <w:sz w:val="18"/>
              </w:rPr>
            </w:pPr>
          </w:p>
        </w:tc>
      </w:tr>
      <w:tr w:rsidR="00FA6C21" w14:paraId="5E6798AB" w14:textId="77777777" w:rsidTr="00CE2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4800" w:type="dxa"/>
            <w:tcBorders>
              <w:top w:val="nil"/>
              <w:left w:val="nil"/>
              <w:bottom w:val="nil"/>
              <w:right w:val="nil"/>
              <w:tl2br w:val="nil"/>
              <w:tr2bl w:val="nil"/>
            </w:tcBorders>
            <w:shd w:val="clear" w:color="auto" w:fill="auto"/>
            <w:tcMar>
              <w:left w:w="101" w:type="dxa"/>
              <w:right w:w="101" w:type="dxa"/>
            </w:tcMar>
          </w:tcPr>
          <w:p w14:paraId="5968A65B" w14:textId="77777777" w:rsidR="00FA6C21" w:rsidRPr="0040729B" w:rsidRDefault="00FA6C21" w:rsidP="00CE207A">
            <w:pPr>
              <w:pStyle w:val="Normal1"/>
              <w:rPr>
                <w:rFonts w:ascii="Calibri" w:eastAsia="Calibri" w:hAnsi="Calibri" w:cs="Calibri"/>
                <w:color w:val="000000"/>
                <w:sz w:val="18"/>
              </w:rPr>
            </w:pPr>
            <w:r w:rsidRPr="0040729B">
              <w:rPr>
                <w:rFonts w:ascii="Calibri" w:eastAsia="Calibri" w:hAnsi="Calibri" w:cs="Calibri"/>
                <w:color w:val="000000"/>
                <w:sz w:val="18"/>
              </w:rPr>
              <w:t>Change of funding source - COVID-19 Vaccination Program</w:t>
            </w:r>
          </w:p>
        </w:tc>
        <w:tc>
          <w:tcPr>
            <w:tcW w:w="967" w:type="dxa"/>
            <w:tcBorders>
              <w:top w:val="nil"/>
              <w:left w:val="nil"/>
              <w:bottom w:val="nil"/>
              <w:right w:val="nil"/>
              <w:tl2br w:val="nil"/>
              <w:tr2bl w:val="nil"/>
            </w:tcBorders>
            <w:shd w:val="clear" w:color="auto" w:fill="auto"/>
            <w:noWrap/>
            <w:tcMar>
              <w:left w:w="101" w:type="dxa"/>
              <w:right w:w="101" w:type="dxa"/>
            </w:tcMar>
          </w:tcPr>
          <w:p w14:paraId="1EC2E98C" w14:textId="77777777" w:rsidR="00FA6C21" w:rsidRPr="0040729B" w:rsidRDefault="00FA6C21" w:rsidP="00CE207A">
            <w:pPr>
              <w:pStyle w:val="Normal1"/>
              <w:jc w:val="right"/>
              <w:rPr>
                <w:rFonts w:ascii="Calibri" w:eastAsia="Calibri" w:hAnsi="Calibri" w:cs="Calibri"/>
                <w:color w:val="000000"/>
                <w:sz w:val="18"/>
              </w:rPr>
            </w:pPr>
            <w:r w:rsidRPr="0040729B">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36865655" w14:textId="77777777" w:rsidR="00FA6C21" w:rsidRPr="0040729B" w:rsidRDefault="00FA6C21" w:rsidP="00CE207A">
            <w:pPr>
              <w:pStyle w:val="Normal1"/>
              <w:jc w:val="right"/>
              <w:rPr>
                <w:rFonts w:ascii="Calibri" w:eastAsia="Calibri" w:hAnsi="Calibri" w:cs="Calibri"/>
                <w:color w:val="000000"/>
                <w:sz w:val="18"/>
              </w:rPr>
            </w:pPr>
            <w:r w:rsidRPr="0040729B">
              <w:rPr>
                <w:rFonts w:ascii="Calibri" w:eastAsia="Calibri" w:hAnsi="Calibri" w:cs="Calibri"/>
                <w:color w:val="000000"/>
                <w:sz w:val="18"/>
              </w:rPr>
              <w:t>-891</w:t>
            </w:r>
          </w:p>
        </w:tc>
        <w:tc>
          <w:tcPr>
            <w:tcW w:w="968" w:type="dxa"/>
            <w:tcBorders>
              <w:top w:val="nil"/>
              <w:left w:val="nil"/>
              <w:bottom w:val="nil"/>
              <w:right w:val="nil"/>
              <w:tl2br w:val="nil"/>
              <w:tr2bl w:val="nil"/>
            </w:tcBorders>
            <w:shd w:val="clear" w:color="auto" w:fill="auto"/>
            <w:noWrap/>
            <w:tcMar>
              <w:left w:w="101" w:type="dxa"/>
              <w:right w:w="101" w:type="dxa"/>
            </w:tcMar>
          </w:tcPr>
          <w:p w14:paraId="5AAAD6BD" w14:textId="77777777" w:rsidR="00FA6C21" w:rsidRPr="0040729B" w:rsidRDefault="00FA6C21" w:rsidP="00CE207A">
            <w:pPr>
              <w:pStyle w:val="Normal1"/>
              <w:jc w:val="right"/>
              <w:rPr>
                <w:rFonts w:ascii="Calibri" w:eastAsia="Calibri" w:hAnsi="Calibri" w:cs="Calibri"/>
                <w:color w:val="000000"/>
                <w:sz w:val="18"/>
              </w:rPr>
            </w:pPr>
            <w:r w:rsidRPr="0040729B">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6FD0506" w14:textId="77777777" w:rsidR="00FA6C21" w:rsidRPr="0040729B" w:rsidRDefault="00FA6C21" w:rsidP="00CE207A">
            <w:pPr>
              <w:pStyle w:val="Normal1"/>
              <w:jc w:val="right"/>
              <w:rPr>
                <w:rFonts w:ascii="Calibri" w:eastAsia="Calibri" w:hAnsi="Calibri" w:cs="Calibri"/>
                <w:color w:val="000000"/>
                <w:sz w:val="18"/>
              </w:rPr>
            </w:pPr>
            <w:r w:rsidRPr="0040729B">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3B69465" w14:textId="77777777" w:rsidR="00FA6C21" w:rsidRPr="0040729B" w:rsidRDefault="00FA6C21" w:rsidP="00CE207A">
            <w:pPr>
              <w:pStyle w:val="Normal1"/>
              <w:jc w:val="right"/>
              <w:rPr>
                <w:rFonts w:ascii="Calibri" w:eastAsia="Calibri" w:hAnsi="Calibri" w:cs="Calibri"/>
                <w:color w:val="000000"/>
                <w:sz w:val="18"/>
              </w:rPr>
            </w:pPr>
            <w:r w:rsidRPr="0040729B">
              <w:rPr>
                <w:rFonts w:ascii="Calibri" w:eastAsia="Calibri" w:hAnsi="Calibri" w:cs="Calibri"/>
                <w:color w:val="000000"/>
                <w:sz w:val="18"/>
              </w:rPr>
              <w:t>0</w:t>
            </w:r>
          </w:p>
        </w:tc>
      </w:tr>
      <w:tr w:rsidR="00FA6C21" w14:paraId="1A8FFF5D" w14:textId="77777777" w:rsidTr="00CE2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4758B7E1" w14:textId="77777777" w:rsidR="00FA6C21" w:rsidRDefault="00FA6C21" w:rsidP="00CE207A">
            <w:pPr>
              <w:pStyle w:val="Normal1"/>
              <w:rPr>
                <w:rFonts w:ascii="Calibri" w:eastAsia="Calibri" w:hAnsi="Calibri" w:cs="Calibri"/>
                <w:color w:val="000000"/>
                <w:sz w:val="18"/>
              </w:rPr>
            </w:pPr>
            <w:r>
              <w:rPr>
                <w:rFonts w:ascii="Calibri" w:eastAsia="Calibri" w:hAnsi="Calibri" w:cs="Calibri"/>
                <w:color w:val="000000"/>
                <w:sz w:val="18"/>
              </w:rPr>
              <w:t>Revised Economic Parameters</w:t>
            </w:r>
          </w:p>
        </w:tc>
        <w:tc>
          <w:tcPr>
            <w:tcW w:w="967" w:type="dxa"/>
            <w:tcBorders>
              <w:top w:val="nil"/>
              <w:left w:val="nil"/>
              <w:bottom w:val="nil"/>
              <w:right w:val="nil"/>
              <w:tl2br w:val="nil"/>
              <w:tr2bl w:val="nil"/>
            </w:tcBorders>
            <w:shd w:val="clear" w:color="auto" w:fill="auto"/>
            <w:noWrap/>
            <w:tcMar>
              <w:left w:w="101" w:type="dxa"/>
              <w:right w:w="101" w:type="dxa"/>
            </w:tcMar>
          </w:tcPr>
          <w:p w14:paraId="319311D3" w14:textId="77777777" w:rsidR="00FA6C21" w:rsidRDefault="00FA6C21" w:rsidP="00CE207A">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721F9262" w14:textId="299EBD3B" w:rsidR="00FA6C21" w:rsidRDefault="00E118A7" w:rsidP="00CE207A">
            <w:pPr>
              <w:pStyle w:val="Normal1"/>
              <w:jc w:val="right"/>
              <w:rPr>
                <w:rFonts w:ascii="Calibri" w:eastAsia="Calibri" w:hAnsi="Calibri" w:cs="Calibri"/>
                <w:color w:val="000000"/>
                <w:sz w:val="18"/>
              </w:rPr>
            </w:pPr>
            <w:r>
              <w:rPr>
                <w:rFonts w:ascii="Calibri" w:eastAsia="Calibri" w:hAnsi="Calibri" w:cs="Calibri"/>
                <w:color w:val="000000"/>
                <w:sz w:val="18"/>
              </w:rPr>
              <w:t>1,336</w:t>
            </w:r>
          </w:p>
        </w:tc>
        <w:tc>
          <w:tcPr>
            <w:tcW w:w="968" w:type="dxa"/>
            <w:tcBorders>
              <w:top w:val="nil"/>
              <w:left w:val="nil"/>
              <w:bottom w:val="nil"/>
              <w:right w:val="nil"/>
              <w:tl2br w:val="nil"/>
              <w:tr2bl w:val="nil"/>
            </w:tcBorders>
            <w:shd w:val="clear" w:color="auto" w:fill="auto"/>
            <w:noWrap/>
            <w:tcMar>
              <w:left w:w="101" w:type="dxa"/>
              <w:right w:w="101" w:type="dxa"/>
            </w:tcMar>
          </w:tcPr>
          <w:p w14:paraId="403FA56C" w14:textId="0842ADD7" w:rsidR="00FA6C21" w:rsidRDefault="00E118A7" w:rsidP="00CE207A">
            <w:pPr>
              <w:pStyle w:val="Normal1"/>
              <w:jc w:val="right"/>
              <w:rPr>
                <w:rFonts w:ascii="Calibri" w:eastAsia="Calibri" w:hAnsi="Calibri" w:cs="Calibri"/>
                <w:color w:val="000000"/>
                <w:sz w:val="18"/>
              </w:rPr>
            </w:pPr>
            <w:r>
              <w:rPr>
                <w:rFonts w:ascii="Calibri" w:eastAsia="Calibri" w:hAnsi="Calibri" w:cs="Calibri"/>
                <w:color w:val="000000"/>
                <w:sz w:val="18"/>
              </w:rPr>
              <w:t>2,760</w:t>
            </w:r>
          </w:p>
        </w:tc>
        <w:tc>
          <w:tcPr>
            <w:tcW w:w="968" w:type="dxa"/>
            <w:tcBorders>
              <w:top w:val="nil"/>
              <w:left w:val="nil"/>
              <w:bottom w:val="nil"/>
              <w:right w:val="nil"/>
              <w:tl2br w:val="nil"/>
              <w:tr2bl w:val="nil"/>
            </w:tcBorders>
            <w:shd w:val="clear" w:color="auto" w:fill="auto"/>
            <w:noWrap/>
            <w:tcMar>
              <w:left w:w="101" w:type="dxa"/>
              <w:right w:w="101" w:type="dxa"/>
            </w:tcMar>
          </w:tcPr>
          <w:p w14:paraId="64BA08C2" w14:textId="06DF03CA" w:rsidR="00FA6C21" w:rsidRDefault="00E118A7" w:rsidP="00CE207A">
            <w:pPr>
              <w:pStyle w:val="Normal1"/>
              <w:jc w:val="right"/>
              <w:rPr>
                <w:rFonts w:ascii="Calibri" w:eastAsia="Calibri" w:hAnsi="Calibri" w:cs="Calibri"/>
                <w:color w:val="000000"/>
                <w:sz w:val="18"/>
              </w:rPr>
            </w:pPr>
            <w:r>
              <w:rPr>
                <w:rFonts w:ascii="Calibri" w:eastAsia="Calibri" w:hAnsi="Calibri" w:cs="Calibri"/>
                <w:color w:val="000000"/>
                <w:sz w:val="18"/>
              </w:rPr>
              <w:t>4,220</w:t>
            </w:r>
          </w:p>
        </w:tc>
        <w:tc>
          <w:tcPr>
            <w:tcW w:w="968" w:type="dxa"/>
            <w:tcBorders>
              <w:top w:val="nil"/>
              <w:left w:val="nil"/>
              <w:bottom w:val="nil"/>
              <w:right w:val="nil"/>
              <w:tl2br w:val="nil"/>
              <w:tr2bl w:val="nil"/>
            </w:tcBorders>
            <w:shd w:val="clear" w:color="auto" w:fill="auto"/>
            <w:noWrap/>
            <w:tcMar>
              <w:left w:w="101" w:type="dxa"/>
              <w:right w:w="101" w:type="dxa"/>
            </w:tcMar>
          </w:tcPr>
          <w:p w14:paraId="4FEEE33A" w14:textId="42EB657F" w:rsidR="00FA6C21" w:rsidRDefault="00E118A7" w:rsidP="00CE207A">
            <w:pPr>
              <w:pStyle w:val="Normal1"/>
              <w:jc w:val="right"/>
              <w:rPr>
                <w:rFonts w:ascii="Calibri" w:eastAsia="Calibri" w:hAnsi="Calibri" w:cs="Calibri"/>
                <w:color w:val="000000"/>
                <w:sz w:val="18"/>
              </w:rPr>
            </w:pPr>
            <w:r>
              <w:rPr>
                <w:rFonts w:ascii="Calibri" w:eastAsia="Calibri" w:hAnsi="Calibri" w:cs="Calibri"/>
                <w:color w:val="000000"/>
                <w:sz w:val="18"/>
              </w:rPr>
              <w:t>9,474</w:t>
            </w:r>
          </w:p>
        </w:tc>
      </w:tr>
      <w:tr w:rsidR="00FA6C21" w14:paraId="0AC81658" w14:textId="77777777" w:rsidTr="00CE2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4A4734DF" w14:textId="77777777" w:rsidR="00FA6C21" w:rsidRDefault="00FA6C21" w:rsidP="00CE207A">
            <w:pPr>
              <w:pStyle w:val="Normal1"/>
              <w:rPr>
                <w:rFonts w:ascii="Calibri" w:eastAsia="Calibri" w:hAnsi="Calibri" w:cs="Calibri"/>
                <w:color w:val="000000"/>
                <w:sz w:val="18"/>
              </w:rPr>
            </w:pPr>
            <w:r>
              <w:rPr>
                <w:rFonts w:ascii="Calibri" w:eastAsia="Calibri" w:hAnsi="Calibri" w:cs="Calibri"/>
                <w:color w:val="000000"/>
                <w:sz w:val="18"/>
              </w:rPr>
              <w:t>Superannuation Round Robin</w:t>
            </w:r>
          </w:p>
        </w:tc>
        <w:tc>
          <w:tcPr>
            <w:tcW w:w="967" w:type="dxa"/>
            <w:tcBorders>
              <w:top w:val="nil"/>
              <w:left w:val="nil"/>
              <w:bottom w:val="nil"/>
              <w:right w:val="nil"/>
              <w:tl2br w:val="nil"/>
              <w:tr2bl w:val="nil"/>
            </w:tcBorders>
            <w:shd w:val="clear" w:color="auto" w:fill="auto"/>
            <w:noWrap/>
            <w:tcMar>
              <w:left w:w="101" w:type="dxa"/>
              <w:right w:w="101" w:type="dxa"/>
            </w:tcMar>
          </w:tcPr>
          <w:p w14:paraId="28C42209" w14:textId="77777777" w:rsidR="00FA6C21" w:rsidRDefault="00FA6C21" w:rsidP="00CE207A">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075A70A4" w14:textId="77777777" w:rsidR="00FA6C21" w:rsidRDefault="00FA6C21" w:rsidP="00CE207A">
            <w:pPr>
              <w:pStyle w:val="Normal1"/>
              <w:jc w:val="right"/>
              <w:rPr>
                <w:rFonts w:ascii="Calibri" w:eastAsia="Calibri" w:hAnsi="Calibri" w:cs="Calibri"/>
                <w:color w:val="000000"/>
                <w:sz w:val="18"/>
              </w:rPr>
            </w:pPr>
            <w:r>
              <w:rPr>
                <w:rFonts w:ascii="Calibri" w:eastAsia="Calibri" w:hAnsi="Calibri" w:cs="Calibri"/>
                <w:color w:val="000000"/>
                <w:sz w:val="18"/>
              </w:rPr>
              <w:t>514</w:t>
            </w:r>
          </w:p>
        </w:tc>
        <w:tc>
          <w:tcPr>
            <w:tcW w:w="968" w:type="dxa"/>
            <w:tcBorders>
              <w:top w:val="nil"/>
              <w:left w:val="nil"/>
              <w:bottom w:val="nil"/>
              <w:right w:val="nil"/>
              <w:tl2br w:val="nil"/>
              <w:tr2bl w:val="nil"/>
            </w:tcBorders>
            <w:shd w:val="clear" w:color="auto" w:fill="auto"/>
            <w:noWrap/>
            <w:tcMar>
              <w:left w:w="101" w:type="dxa"/>
              <w:right w:w="101" w:type="dxa"/>
            </w:tcMar>
          </w:tcPr>
          <w:p w14:paraId="339FEDFD" w14:textId="77777777" w:rsidR="00FA6C21" w:rsidRDefault="00FA6C21" w:rsidP="00CE207A">
            <w:pPr>
              <w:pStyle w:val="Normal1"/>
              <w:jc w:val="right"/>
              <w:rPr>
                <w:rFonts w:ascii="Calibri" w:eastAsia="Calibri" w:hAnsi="Calibri" w:cs="Calibri"/>
                <w:color w:val="000000"/>
                <w:sz w:val="18"/>
              </w:rPr>
            </w:pPr>
            <w:r>
              <w:rPr>
                <w:rFonts w:ascii="Calibri" w:eastAsia="Calibri" w:hAnsi="Calibri" w:cs="Calibri"/>
                <w:color w:val="000000"/>
                <w:sz w:val="18"/>
              </w:rPr>
              <w:t>521</w:t>
            </w:r>
          </w:p>
        </w:tc>
        <w:tc>
          <w:tcPr>
            <w:tcW w:w="968" w:type="dxa"/>
            <w:tcBorders>
              <w:top w:val="nil"/>
              <w:left w:val="nil"/>
              <w:bottom w:val="nil"/>
              <w:right w:val="nil"/>
              <w:tl2br w:val="nil"/>
              <w:tr2bl w:val="nil"/>
            </w:tcBorders>
            <w:shd w:val="clear" w:color="auto" w:fill="auto"/>
            <w:noWrap/>
            <w:tcMar>
              <w:left w:w="101" w:type="dxa"/>
              <w:right w:w="101" w:type="dxa"/>
            </w:tcMar>
          </w:tcPr>
          <w:p w14:paraId="1979D569" w14:textId="77777777" w:rsidR="00FA6C21" w:rsidRDefault="00FA6C21" w:rsidP="00CE207A">
            <w:pPr>
              <w:pStyle w:val="Normal1"/>
              <w:jc w:val="right"/>
              <w:rPr>
                <w:rFonts w:ascii="Calibri" w:eastAsia="Calibri" w:hAnsi="Calibri" w:cs="Calibri"/>
                <w:color w:val="000000"/>
                <w:sz w:val="18"/>
              </w:rPr>
            </w:pPr>
            <w:r>
              <w:rPr>
                <w:rFonts w:ascii="Calibri" w:eastAsia="Calibri" w:hAnsi="Calibri" w:cs="Calibri"/>
                <w:color w:val="000000"/>
                <w:sz w:val="18"/>
              </w:rPr>
              <w:t>527</w:t>
            </w:r>
          </w:p>
        </w:tc>
        <w:tc>
          <w:tcPr>
            <w:tcW w:w="968" w:type="dxa"/>
            <w:tcBorders>
              <w:top w:val="nil"/>
              <w:left w:val="nil"/>
              <w:bottom w:val="nil"/>
              <w:right w:val="nil"/>
              <w:tl2br w:val="nil"/>
              <w:tr2bl w:val="nil"/>
            </w:tcBorders>
            <w:shd w:val="clear" w:color="auto" w:fill="auto"/>
            <w:noWrap/>
            <w:tcMar>
              <w:left w:w="101" w:type="dxa"/>
              <w:right w:w="101" w:type="dxa"/>
            </w:tcMar>
          </w:tcPr>
          <w:p w14:paraId="71FCD018" w14:textId="77777777" w:rsidR="00FA6C21" w:rsidRDefault="00FA6C21" w:rsidP="00CE207A">
            <w:pPr>
              <w:pStyle w:val="Normal1"/>
              <w:jc w:val="right"/>
              <w:rPr>
                <w:rFonts w:ascii="Calibri" w:eastAsia="Calibri" w:hAnsi="Calibri" w:cs="Calibri"/>
                <w:color w:val="000000"/>
                <w:sz w:val="18"/>
              </w:rPr>
            </w:pPr>
            <w:r>
              <w:rPr>
                <w:rFonts w:ascii="Calibri" w:eastAsia="Calibri" w:hAnsi="Calibri" w:cs="Calibri"/>
                <w:color w:val="000000"/>
                <w:sz w:val="18"/>
              </w:rPr>
              <w:t>535</w:t>
            </w:r>
          </w:p>
        </w:tc>
      </w:tr>
      <w:tr w:rsidR="00496618" w14:paraId="53E7F78A"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3C00E934" w14:textId="77777777" w:rsidR="00496618" w:rsidRDefault="0027723F">
            <w:pPr>
              <w:pStyle w:val="Normal1"/>
              <w:rPr>
                <w:rFonts w:ascii="Calibri" w:eastAsia="Calibri" w:hAnsi="Calibri" w:cs="Calibri"/>
                <w:color w:val="000000"/>
                <w:sz w:val="18"/>
              </w:rPr>
            </w:pPr>
            <w:r>
              <w:rPr>
                <w:rFonts w:ascii="Calibri" w:eastAsia="Calibri" w:hAnsi="Calibri" w:cs="Calibri"/>
                <w:color w:val="000000"/>
                <w:sz w:val="18"/>
              </w:rPr>
              <w:t>Undrawn Funds</w:t>
            </w:r>
          </w:p>
        </w:tc>
        <w:tc>
          <w:tcPr>
            <w:tcW w:w="967" w:type="dxa"/>
            <w:tcBorders>
              <w:top w:val="nil"/>
              <w:left w:val="nil"/>
              <w:bottom w:val="nil"/>
              <w:right w:val="nil"/>
              <w:tl2br w:val="nil"/>
              <w:tr2bl w:val="nil"/>
            </w:tcBorders>
            <w:shd w:val="clear" w:color="auto" w:fill="auto"/>
            <w:noWrap/>
            <w:tcMar>
              <w:left w:w="101" w:type="dxa"/>
              <w:right w:w="101" w:type="dxa"/>
            </w:tcMar>
          </w:tcPr>
          <w:p w14:paraId="09FF33C7"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-1,164</w:t>
            </w:r>
          </w:p>
        </w:tc>
        <w:tc>
          <w:tcPr>
            <w:tcW w:w="968" w:type="dxa"/>
            <w:tcBorders>
              <w:top w:val="nil"/>
              <w:left w:val="nil"/>
              <w:bottom w:val="nil"/>
              <w:right w:val="nil"/>
              <w:tl2br w:val="nil"/>
              <w:tr2bl w:val="nil"/>
            </w:tcBorders>
            <w:shd w:val="clear" w:color="auto" w:fill="auto"/>
            <w:noWrap/>
            <w:tcMar>
              <w:left w:w="101" w:type="dxa"/>
              <w:right w:w="101" w:type="dxa"/>
            </w:tcMar>
          </w:tcPr>
          <w:p w14:paraId="1E722280"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BA24DBC"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3C8CF8D8"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07333E41"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496618" w14:paraId="51881121"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05103E41" w14:textId="77777777" w:rsidR="00496618" w:rsidRDefault="0027723F">
            <w:pPr>
              <w:pStyle w:val="Normal1"/>
              <w:rPr>
                <w:rFonts w:ascii="Calibri" w:eastAsia="Calibri" w:hAnsi="Calibri" w:cs="Calibri"/>
                <w:color w:val="000000"/>
                <w:sz w:val="18"/>
              </w:rPr>
            </w:pPr>
            <w:r>
              <w:rPr>
                <w:rFonts w:ascii="Calibri" w:eastAsia="Calibri" w:hAnsi="Calibri" w:cs="Calibri"/>
                <w:color w:val="000000"/>
                <w:sz w:val="18"/>
              </w:rPr>
              <w:t>Workers Compensation Premium Adjustment</w:t>
            </w:r>
          </w:p>
        </w:tc>
        <w:tc>
          <w:tcPr>
            <w:tcW w:w="967" w:type="dxa"/>
            <w:tcBorders>
              <w:top w:val="nil"/>
              <w:left w:val="nil"/>
              <w:bottom w:val="nil"/>
              <w:right w:val="nil"/>
              <w:tl2br w:val="nil"/>
              <w:tr2bl w:val="nil"/>
            </w:tcBorders>
            <w:shd w:val="clear" w:color="auto" w:fill="auto"/>
            <w:noWrap/>
            <w:tcMar>
              <w:left w:w="101" w:type="dxa"/>
              <w:right w:w="101" w:type="dxa"/>
            </w:tcMar>
          </w:tcPr>
          <w:p w14:paraId="5B310446"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027DE845"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-237</w:t>
            </w:r>
          </w:p>
        </w:tc>
        <w:tc>
          <w:tcPr>
            <w:tcW w:w="968" w:type="dxa"/>
            <w:tcBorders>
              <w:top w:val="nil"/>
              <w:left w:val="nil"/>
              <w:bottom w:val="nil"/>
              <w:right w:val="nil"/>
              <w:tl2br w:val="nil"/>
              <w:tr2bl w:val="nil"/>
            </w:tcBorders>
            <w:shd w:val="clear" w:color="auto" w:fill="auto"/>
            <w:noWrap/>
            <w:tcMar>
              <w:left w:w="101" w:type="dxa"/>
              <w:right w:w="101" w:type="dxa"/>
            </w:tcMar>
          </w:tcPr>
          <w:p w14:paraId="334455B1"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5F982ABD"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BAC716B" w14:textId="77777777" w:rsidR="00496618" w:rsidRDefault="0027723F">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496618" w14:paraId="3E740532"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single" w:sz="8" w:space="0" w:color="000000"/>
              <w:right w:val="nil"/>
              <w:tl2br w:val="nil"/>
              <w:tr2bl w:val="nil"/>
            </w:tcBorders>
            <w:shd w:val="clear" w:color="auto" w:fill="auto"/>
            <w:tcMar>
              <w:left w:w="0" w:type="dxa"/>
              <w:right w:w="0" w:type="dxa"/>
            </w:tcMar>
            <w:vAlign w:val="bottom"/>
          </w:tcPr>
          <w:p w14:paraId="6C05F12F" w14:textId="77777777" w:rsidR="00496618" w:rsidRDefault="00496618">
            <w:pPr>
              <w:pStyle w:val="Normal1"/>
              <w:rPr>
                <w:rFonts w:ascii="Calibri" w:eastAsia="Calibri" w:hAnsi="Calibri" w:cs="Calibri"/>
                <w:color w:val="000000"/>
                <w:sz w:val="18"/>
              </w:rPr>
            </w:pPr>
          </w:p>
        </w:tc>
        <w:tc>
          <w:tcPr>
            <w:tcW w:w="967"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B027BE1" w14:textId="77777777" w:rsidR="00496618" w:rsidRDefault="00496618">
            <w:pPr>
              <w:pStyle w:val="Normal1"/>
              <w:rPr>
                <w:rFonts w:ascii="Calibri" w:eastAsia="Calibri" w:hAnsi="Calibri" w:cs="Calibri"/>
                <w:color w:val="000000"/>
                <w:sz w:val="18"/>
              </w:rPr>
            </w:pPr>
          </w:p>
        </w:tc>
        <w:tc>
          <w:tcPr>
            <w:tcW w:w="968"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9573E7A" w14:textId="77777777" w:rsidR="00496618" w:rsidRDefault="00496618">
            <w:pPr>
              <w:pStyle w:val="Normal1"/>
              <w:rPr>
                <w:rFonts w:ascii="Calibri" w:eastAsia="Calibri" w:hAnsi="Calibri" w:cs="Calibri"/>
                <w:color w:val="000000"/>
                <w:sz w:val="18"/>
              </w:rPr>
            </w:pPr>
          </w:p>
        </w:tc>
        <w:tc>
          <w:tcPr>
            <w:tcW w:w="968"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304C30F" w14:textId="77777777" w:rsidR="00496618" w:rsidRDefault="00496618">
            <w:pPr>
              <w:pStyle w:val="Normal1"/>
              <w:rPr>
                <w:rFonts w:ascii="Calibri" w:eastAsia="Calibri" w:hAnsi="Calibri" w:cs="Calibri"/>
                <w:color w:val="000000"/>
                <w:sz w:val="18"/>
              </w:rPr>
            </w:pPr>
          </w:p>
        </w:tc>
        <w:tc>
          <w:tcPr>
            <w:tcW w:w="968"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8BBF023" w14:textId="77777777" w:rsidR="00496618" w:rsidRDefault="00496618">
            <w:pPr>
              <w:pStyle w:val="Normal1"/>
              <w:rPr>
                <w:rFonts w:ascii="Calibri" w:eastAsia="Calibri" w:hAnsi="Calibri" w:cs="Calibri"/>
                <w:color w:val="000000"/>
                <w:sz w:val="18"/>
              </w:rPr>
            </w:pPr>
          </w:p>
        </w:tc>
        <w:tc>
          <w:tcPr>
            <w:tcW w:w="968"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CF858D0" w14:textId="77777777" w:rsidR="00496618" w:rsidRDefault="00496618">
            <w:pPr>
              <w:pStyle w:val="Normal1"/>
              <w:rPr>
                <w:rFonts w:ascii="Calibri" w:eastAsia="Calibri" w:hAnsi="Calibri" w:cs="Calibri"/>
                <w:color w:val="000000"/>
                <w:sz w:val="18"/>
              </w:rPr>
            </w:pPr>
          </w:p>
        </w:tc>
      </w:tr>
      <w:tr w:rsidR="00496618" w14:paraId="758516DC" w14:textId="77777777" w:rsidTr="00146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03F81CA5" w14:textId="77777777" w:rsidR="00496618" w:rsidRDefault="0027723F">
            <w:pPr>
              <w:pStyle w:val="Normal1"/>
              <w:rPr>
                <w:rFonts w:ascii="Calibri" w:eastAsia="Calibri" w:hAnsi="Calibri" w:cs="Calibri"/>
                <w:b/>
                <w:color w:val="000000"/>
                <w:sz w:val="18"/>
              </w:rPr>
            </w:pPr>
            <w:r>
              <w:rPr>
                <w:rFonts w:ascii="Calibri" w:eastAsia="Calibri" w:hAnsi="Calibri" w:cs="Calibri"/>
                <w:b/>
                <w:color w:val="000000"/>
                <w:sz w:val="18"/>
              </w:rPr>
              <w:t>2021-22 Budget</w:t>
            </w:r>
          </w:p>
        </w:tc>
        <w:tc>
          <w:tcPr>
            <w:tcW w:w="967"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606F925F"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249,100</w:t>
            </w:r>
          </w:p>
        </w:tc>
        <w:tc>
          <w:tcPr>
            <w:tcW w:w="968"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34F3BB3"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274,523</w:t>
            </w:r>
          </w:p>
        </w:tc>
        <w:tc>
          <w:tcPr>
            <w:tcW w:w="968"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1B21F2B"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254,638</w:t>
            </w:r>
          </w:p>
        </w:tc>
        <w:tc>
          <w:tcPr>
            <w:tcW w:w="968"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29625FA2"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250,532</w:t>
            </w:r>
          </w:p>
        </w:tc>
        <w:tc>
          <w:tcPr>
            <w:tcW w:w="968"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DFB875F" w14:textId="77777777" w:rsidR="00496618" w:rsidRDefault="0027723F">
            <w:pPr>
              <w:pStyle w:val="Normal1"/>
              <w:jc w:val="right"/>
              <w:rPr>
                <w:rFonts w:ascii="Calibri" w:eastAsia="Calibri" w:hAnsi="Calibri" w:cs="Calibri"/>
                <w:b/>
                <w:color w:val="000000"/>
                <w:sz w:val="18"/>
              </w:rPr>
            </w:pPr>
            <w:r>
              <w:rPr>
                <w:rFonts w:ascii="Calibri" w:eastAsia="Calibri" w:hAnsi="Calibri" w:cs="Calibri"/>
                <w:b/>
                <w:color w:val="000000"/>
                <w:sz w:val="18"/>
              </w:rPr>
              <w:t>252,553</w:t>
            </w:r>
          </w:p>
        </w:tc>
      </w:tr>
    </w:tbl>
    <w:p w14:paraId="1FA44227" w14:textId="77777777" w:rsidR="00EB585F" w:rsidRDefault="00EB585F" w:rsidP="00EB585F">
      <w:pPr>
        <w:pStyle w:val="Caption"/>
      </w:pPr>
    </w:p>
    <w:p w14:paraId="0D2FF15E" w14:textId="77777777" w:rsidR="00EB585F" w:rsidRDefault="00EB585F">
      <w:pPr>
        <w:spacing w:before="0" w:after="0"/>
        <w:rPr>
          <w:b/>
          <w:bCs/>
          <w:color w:val="000000"/>
          <w:sz w:val="22"/>
          <w:szCs w:val="18"/>
        </w:rPr>
      </w:pPr>
      <w:r>
        <w:br w:type="page"/>
      </w:r>
    </w:p>
    <w:p w14:paraId="0DCADD7A" w14:textId="7B8A8C29" w:rsidR="001F6B18" w:rsidRPr="00EB585F" w:rsidRDefault="0027723F" w:rsidP="00EB585F">
      <w:pPr>
        <w:pStyle w:val="Caption"/>
      </w:pPr>
      <w:r w:rsidRPr="00EB585F">
        <w:lastRenderedPageBreak/>
        <w:t>Table 20: Changes to appropriation – Expenses on Behalf of the Territory</w:t>
      </w:r>
    </w:p>
    <w:tbl>
      <w:tblPr>
        <w:tblStyle w:val="CDMRange2"/>
        <w:tblW w:w="9639" w:type="dxa"/>
        <w:tblLayout w:type="fixed"/>
        <w:tblLook w:val="0600" w:firstRow="0" w:lastRow="0" w:firstColumn="0" w:lastColumn="0" w:noHBand="1" w:noVBand="1"/>
      </w:tblPr>
      <w:tblGrid>
        <w:gridCol w:w="4800"/>
        <w:gridCol w:w="967"/>
        <w:gridCol w:w="968"/>
        <w:gridCol w:w="968"/>
        <w:gridCol w:w="968"/>
        <w:gridCol w:w="968"/>
      </w:tblGrid>
      <w:tr w:rsidR="00496618" w14:paraId="5E892646" w14:textId="77777777" w:rsidTr="00BD1609">
        <w:trPr>
          <w:trHeight w:val="945"/>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0B4D15B7" w14:textId="77777777" w:rsidR="00496618" w:rsidRDefault="00496618">
            <w:pPr>
              <w:pStyle w:val="Normal2"/>
              <w:rPr>
                <w:rFonts w:ascii="Calibri" w:eastAsia="Calibri" w:hAnsi="Calibri" w:cs="Calibri"/>
                <w:color w:val="000000"/>
                <w:sz w:val="18"/>
              </w:rPr>
            </w:pPr>
          </w:p>
        </w:tc>
        <w:tc>
          <w:tcPr>
            <w:tcW w:w="967"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746CB4C"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61F1F6D4"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A970327"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2021-22 Budget</w:t>
            </w:r>
          </w:p>
          <w:p w14:paraId="2E60A45E" w14:textId="77777777" w:rsidR="00496618" w:rsidRDefault="00496618">
            <w:pPr>
              <w:pStyle w:val="Normal2"/>
              <w:jc w:val="right"/>
              <w:rPr>
                <w:rFonts w:ascii="Calibri" w:eastAsia="Calibri" w:hAnsi="Calibri" w:cs="Calibri"/>
                <w:b/>
                <w:color w:val="000000"/>
                <w:sz w:val="18"/>
              </w:rPr>
            </w:pPr>
          </w:p>
          <w:p w14:paraId="4C8E82A3"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23694EA"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2022-23 Estimate</w:t>
            </w:r>
          </w:p>
          <w:p w14:paraId="52FB857C" w14:textId="77777777" w:rsidR="00496618" w:rsidRDefault="00496618">
            <w:pPr>
              <w:pStyle w:val="Normal2"/>
              <w:jc w:val="right"/>
              <w:rPr>
                <w:rFonts w:ascii="Calibri" w:eastAsia="Calibri" w:hAnsi="Calibri" w:cs="Calibri"/>
                <w:b/>
                <w:color w:val="000000"/>
                <w:sz w:val="18"/>
              </w:rPr>
            </w:pPr>
          </w:p>
          <w:p w14:paraId="163CD3E5"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699B69C"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2023-24 Estimate</w:t>
            </w:r>
          </w:p>
          <w:p w14:paraId="41FF3DE9" w14:textId="77777777" w:rsidR="00496618" w:rsidRDefault="00496618">
            <w:pPr>
              <w:pStyle w:val="Normal2"/>
              <w:jc w:val="right"/>
              <w:rPr>
                <w:rFonts w:ascii="Calibri" w:eastAsia="Calibri" w:hAnsi="Calibri" w:cs="Calibri"/>
                <w:b/>
                <w:color w:val="000000"/>
                <w:sz w:val="18"/>
              </w:rPr>
            </w:pPr>
          </w:p>
          <w:p w14:paraId="77F6F92B"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96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8C1EB8B"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2024-25 Estimate</w:t>
            </w:r>
          </w:p>
          <w:p w14:paraId="22761654" w14:textId="77777777" w:rsidR="00496618" w:rsidRDefault="00496618">
            <w:pPr>
              <w:pStyle w:val="Normal2"/>
              <w:jc w:val="right"/>
              <w:rPr>
                <w:rFonts w:ascii="Calibri" w:eastAsia="Calibri" w:hAnsi="Calibri" w:cs="Calibri"/>
                <w:b/>
                <w:color w:val="000000"/>
                <w:sz w:val="18"/>
              </w:rPr>
            </w:pPr>
          </w:p>
          <w:p w14:paraId="27435E66"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r>
      <w:tr w:rsidR="00496618" w14:paraId="21E7C0B8"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E8E469C" w14:textId="77777777" w:rsidR="00496618" w:rsidRDefault="00496618">
            <w:pPr>
              <w:pStyle w:val="Normal2"/>
              <w:rPr>
                <w:rFonts w:ascii="Calibri" w:eastAsia="Calibri" w:hAnsi="Calibri" w:cs="Calibri"/>
                <w:color w:val="000000"/>
                <w:sz w:val="18"/>
              </w:rPr>
            </w:pPr>
          </w:p>
        </w:tc>
        <w:tc>
          <w:tcPr>
            <w:tcW w:w="967"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337C030" w14:textId="77777777" w:rsidR="00496618" w:rsidRDefault="00496618">
            <w:pPr>
              <w:pStyle w:val="Normal2"/>
              <w:rPr>
                <w:rFonts w:ascii="Calibri" w:eastAsia="Calibri" w:hAnsi="Calibri" w:cs="Calibri"/>
                <w:color w:val="000000"/>
                <w:sz w:val="18"/>
              </w:rPr>
            </w:pPr>
          </w:p>
        </w:tc>
        <w:tc>
          <w:tcPr>
            <w:tcW w:w="96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CD4D265" w14:textId="77777777" w:rsidR="00496618" w:rsidRDefault="00496618">
            <w:pPr>
              <w:pStyle w:val="Normal2"/>
              <w:rPr>
                <w:rFonts w:ascii="Calibri" w:eastAsia="Calibri" w:hAnsi="Calibri" w:cs="Calibri"/>
                <w:color w:val="000000"/>
                <w:sz w:val="18"/>
              </w:rPr>
            </w:pPr>
          </w:p>
        </w:tc>
        <w:tc>
          <w:tcPr>
            <w:tcW w:w="96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B98482E" w14:textId="77777777" w:rsidR="00496618" w:rsidRDefault="00496618">
            <w:pPr>
              <w:pStyle w:val="Normal2"/>
              <w:rPr>
                <w:rFonts w:ascii="Calibri" w:eastAsia="Calibri" w:hAnsi="Calibri" w:cs="Calibri"/>
                <w:color w:val="000000"/>
                <w:sz w:val="18"/>
              </w:rPr>
            </w:pPr>
          </w:p>
        </w:tc>
        <w:tc>
          <w:tcPr>
            <w:tcW w:w="96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C15DE3C" w14:textId="77777777" w:rsidR="00496618" w:rsidRDefault="00496618">
            <w:pPr>
              <w:pStyle w:val="Normal2"/>
              <w:rPr>
                <w:rFonts w:ascii="Calibri" w:eastAsia="Calibri" w:hAnsi="Calibri" w:cs="Calibri"/>
                <w:color w:val="000000"/>
                <w:sz w:val="18"/>
              </w:rPr>
            </w:pPr>
          </w:p>
        </w:tc>
        <w:tc>
          <w:tcPr>
            <w:tcW w:w="96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DFB6F40" w14:textId="77777777" w:rsidR="00496618" w:rsidRDefault="00496618">
            <w:pPr>
              <w:pStyle w:val="Normal2"/>
              <w:rPr>
                <w:rFonts w:ascii="Calibri" w:eastAsia="Calibri" w:hAnsi="Calibri" w:cs="Calibri"/>
                <w:color w:val="000000"/>
                <w:sz w:val="18"/>
              </w:rPr>
            </w:pPr>
          </w:p>
        </w:tc>
      </w:tr>
      <w:tr w:rsidR="00496618" w14:paraId="0C63DEF8"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3"/>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018BF15C" w14:textId="77777777" w:rsidR="00496618" w:rsidRDefault="0027723F">
            <w:pPr>
              <w:pStyle w:val="Normal2"/>
              <w:rPr>
                <w:rFonts w:ascii="Calibri" w:eastAsia="Calibri" w:hAnsi="Calibri" w:cs="Calibri"/>
                <w:b/>
                <w:color w:val="000000"/>
                <w:sz w:val="18"/>
              </w:rPr>
            </w:pPr>
            <w:r>
              <w:rPr>
                <w:rFonts w:ascii="Calibri" w:eastAsia="Calibri" w:hAnsi="Calibri" w:cs="Calibri"/>
                <w:b/>
                <w:color w:val="000000"/>
                <w:sz w:val="18"/>
              </w:rPr>
              <w:t>2020-21 Budget</w:t>
            </w:r>
          </w:p>
        </w:tc>
        <w:tc>
          <w:tcPr>
            <w:tcW w:w="967" w:type="dxa"/>
            <w:tcBorders>
              <w:top w:val="nil"/>
              <w:left w:val="nil"/>
              <w:bottom w:val="nil"/>
              <w:right w:val="nil"/>
              <w:tl2br w:val="nil"/>
              <w:tr2bl w:val="nil"/>
            </w:tcBorders>
            <w:shd w:val="clear" w:color="auto" w:fill="auto"/>
            <w:noWrap/>
            <w:tcMar>
              <w:left w:w="101" w:type="dxa"/>
              <w:right w:w="101" w:type="dxa"/>
            </w:tcMar>
            <w:vAlign w:val="bottom"/>
          </w:tcPr>
          <w:p w14:paraId="70B70D6B"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14,202</w:t>
            </w:r>
          </w:p>
        </w:tc>
        <w:tc>
          <w:tcPr>
            <w:tcW w:w="968" w:type="dxa"/>
            <w:tcBorders>
              <w:top w:val="nil"/>
              <w:left w:val="nil"/>
              <w:bottom w:val="nil"/>
              <w:right w:val="nil"/>
              <w:tl2br w:val="nil"/>
              <w:tr2bl w:val="nil"/>
            </w:tcBorders>
            <w:shd w:val="clear" w:color="auto" w:fill="auto"/>
            <w:noWrap/>
            <w:tcMar>
              <w:left w:w="101" w:type="dxa"/>
              <w:right w:w="101" w:type="dxa"/>
            </w:tcMar>
            <w:vAlign w:val="bottom"/>
          </w:tcPr>
          <w:p w14:paraId="398AA826"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931</w:t>
            </w:r>
          </w:p>
        </w:tc>
        <w:tc>
          <w:tcPr>
            <w:tcW w:w="968" w:type="dxa"/>
            <w:tcBorders>
              <w:top w:val="nil"/>
              <w:left w:val="nil"/>
              <w:bottom w:val="nil"/>
              <w:right w:val="nil"/>
              <w:tl2br w:val="nil"/>
              <w:tr2bl w:val="nil"/>
            </w:tcBorders>
            <w:shd w:val="clear" w:color="auto" w:fill="auto"/>
            <w:noWrap/>
            <w:tcMar>
              <w:left w:w="101" w:type="dxa"/>
              <w:right w:w="101" w:type="dxa"/>
            </w:tcMar>
            <w:vAlign w:val="bottom"/>
          </w:tcPr>
          <w:p w14:paraId="17619CF0"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954</w:t>
            </w:r>
          </w:p>
        </w:tc>
        <w:tc>
          <w:tcPr>
            <w:tcW w:w="968" w:type="dxa"/>
            <w:tcBorders>
              <w:top w:val="nil"/>
              <w:left w:val="nil"/>
              <w:bottom w:val="nil"/>
              <w:right w:val="nil"/>
              <w:tl2br w:val="nil"/>
              <w:tr2bl w:val="nil"/>
            </w:tcBorders>
            <w:shd w:val="clear" w:color="auto" w:fill="auto"/>
            <w:noWrap/>
            <w:tcMar>
              <w:left w:w="101" w:type="dxa"/>
              <w:right w:w="101" w:type="dxa"/>
            </w:tcMar>
            <w:vAlign w:val="bottom"/>
          </w:tcPr>
          <w:p w14:paraId="16CE6294"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978</w:t>
            </w:r>
          </w:p>
        </w:tc>
        <w:tc>
          <w:tcPr>
            <w:tcW w:w="968" w:type="dxa"/>
            <w:tcBorders>
              <w:top w:val="nil"/>
              <w:left w:val="nil"/>
              <w:bottom w:val="nil"/>
              <w:right w:val="nil"/>
              <w:tl2br w:val="nil"/>
              <w:tr2bl w:val="nil"/>
            </w:tcBorders>
            <w:shd w:val="clear" w:color="auto" w:fill="auto"/>
            <w:noWrap/>
            <w:tcMar>
              <w:left w:w="101" w:type="dxa"/>
              <w:right w:w="101" w:type="dxa"/>
            </w:tcMar>
            <w:vAlign w:val="bottom"/>
          </w:tcPr>
          <w:p w14:paraId="06A894DF"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978</w:t>
            </w:r>
          </w:p>
        </w:tc>
      </w:tr>
      <w:tr w:rsidR="00496618" w14:paraId="3D395408"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0" w:type="dxa"/>
              <w:right w:w="0" w:type="dxa"/>
            </w:tcMar>
            <w:vAlign w:val="bottom"/>
          </w:tcPr>
          <w:p w14:paraId="6E6D8D28" w14:textId="77777777" w:rsidR="00496618" w:rsidRDefault="00496618">
            <w:pPr>
              <w:pStyle w:val="Normal2"/>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0" w:type="dxa"/>
              <w:right w:w="0" w:type="dxa"/>
            </w:tcMar>
            <w:vAlign w:val="bottom"/>
          </w:tcPr>
          <w:p w14:paraId="7BCD3927" w14:textId="77777777" w:rsidR="00496618" w:rsidRDefault="00496618">
            <w:pPr>
              <w:pStyle w:val="Normal2"/>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0B1696AA" w14:textId="77777777" w:rsidR="00496618" w:rsidRDefault="00496618">
            <w:pPr>
              <w:pStyle w:val="Normal2"/>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7C9EB738" w14:textId="77777777" w:rsidR="00496618" w:rsidRDefault="00496618">
            <w:pPr>
              <w:pStyle w:val="Normal2"/>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6FE7D9C6" w14:textId="77777777" w:rsidR="00496618" w:rsidRDefault="00496618">
            <w:pPr>
              <w:pStyle w:val="Normal2"/>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2C9A79A4" w14:textId="77777777" w:rsidR="00496618" w:rsidRDefault="00496618">
            <w:pPr>
              <w:pStyle w:val="Normal2"/>
              <w:rPr>
                <w:rFonts w:ascii="Calibri" w:eastAsia="Calibri" w:hAnsi="Calibri" w:cs="Calibri"/>
                <w:color w:val="000000"/>
                <w:sz w:val="18"/>
              </w:rPr>
            </w:pPr>
          </w:p>
        </w:tc>
      </w:tr>
      <w:tr w:rsidR="00496618" w14:paraId="7422EEA0"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vAlign w:val="bottom"/>
          </w:tcPr>
          <w:p w14:paraId="40B57868" w14:textId="77777777" w:rsidR="00496618" w:rsidRDefault="0027723F">
            <w:pPr>
              <w:pStyle w:val="Normal2"/>
              <w:rPr>
                <w:rFonts w:ascii="Calibri" w:eastAsia="Calibri" w:hAnsi="Calibri" w:cs="Calibri"/>
                <w:b/>
                <w:color w:val="000000"/>
                <w:sz w:val="18"/>
              </w:rPr>
            </w:pPr>
            <w:r>
              <w:rPr>
                <w:rFonts w:ascii="Calibri" w:eastAsia="Calibri" w:hAnsi="Calibri" w:cs="Calibri"/>
                <w:b/>
                <w:color w:val="000000"/>
                <w:sz w:val="18"/>
              </w:rPr>
              <w:t>2021-22 Budget Policy Decisions</w:t>
            </w:r>
          </w:p>
        </w:tc>
        <w:tc>
          <w:tcPr>
            <w:tcW w:w="967" w:type="dxa"/>
            <w:tcBorders>
              <w:top w:val="nil"/>
              <w:left w:val="nil"/>
              <w:bottom w:val="nil"/>
              <w:right w:val="nil"/>
              <w:tl2br w:val="nil"/>
              <w:tr2bl w:val="nil"/>
            </w:tcBorders>
            <w:shd w:val="clear" w:color="auto" w:fill="auto"/>
            <w:noWrap/>
            <w:tcMar>
              <w:left w:w="0" w:type="dxa"/>
              <w:right w:w="0" w:type="dxa"/>
            </w:tcMar>
            <w:vAlign w:val="bottom"/>
          </w:tcPr>
          <w:p w14:paraId="0CD8F98A" w14:textId="77777777" w:rsidR="00496618" w:rsidRDefault="00496618">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7AE9C8BE" w14:textId="77777777" w:rsidR="00496618" w:rsidRDefault="00496618">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75C72844" w14:textId="77777777" w:rsidR="00496618" w:rsidRDefault="00496618">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7460B3A8" w14:textId="77777777" w:rsidR="00496618" w:rsidRDefault="00496618">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3CD93715" w14:textId="77777777" w:rsidR="00496618" w:rsidRDefault="00496618">
            <w:pPr>
              <w:pStyle w:val="Normal2"/>
              <w:rPr>
                <w:rFonts w:ascii="Calibri" w:eastAsia="Calibri" w:hAnsi="Calibri" w:cs="Calibri"/>
                <w:color w:val="FFFFFF"/>
                <w:sz w:val="18"/>
              </w:rPr>
            </w:pPr>
          </w:p>
        </w:tc>
      </w:tr>
      <w:tr w:rsidR="0049031E" w14:paraId="4FED67F7"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255E5C83" w14:textId="77777777" w:rsidR="0049031E" w:rsidRPr="00C76DDB" w:rsidRDefault="0049031E" w:rsidP="00D177B8">
            <w:pPr>
              <w:pStyle w:val="Normal2"/>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300FE0D6" w14:textId="77777777" w:rsidR="0049031E" w:rsidRDefault="0049031E" w:rsidP="00D177B8">
            <w:pPr>
              <w:pStyle w:val="Normal2"/>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6C314403" w14:textId="77777777" w:rsidR="0049031E" w:rsidRDefault="0049031E" w:rsidP="00D177B8">
            <w:pPr>
              <w:pStyle w:val="Normal2"/>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390B11DD" w14:textId="77777777" w:rsidR="0049031E" w:rsidRDefault="0049031E" w:rsidP="00D177B8">
            <w:pPr>
              <w:pStyle w:val="Normal2"/>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78B91EFA" w14:textId="77777777" w:rsidR="0049031E" w:rsidRDefault="0049031E" w:rsidP="00D177B8">
            <w:pPr>
              <w:pStyle w:val="Normal2"/>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70E658E6" w14:textId="77777777" w:rsidR="0049031E" w:rsidRDefault="0049031E" w:rsidP="00D177B8">
            <w:pPr>
              <w:pStyle w:val="Normal2"/>
              <w:jc w:val="right"/>
              <w:rPr>
                <w:rFonts w:ascii="Calibri" w:eastAsia="Calibri" w:hAnsi="Calibri" w:cs="Calibri"/>
                <w:color w:val="000000"/>
                <w:sz w:val="18"/>
              </w:rPr>
            </w:pPr>
          </w:p>
        </w:tc>
      </w:tr>
      <w:tr w:rsidR="0049031E" w:rsidRPr="00084C2E" w14:paraId="1D9DB679"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vAlign w:val="bottom"/>
          </w:tcPr>
          <w:p w14:paraId="61BA44AC" w14:textId="77777777" w:rsidR="0049031E" w:rsidRPr="00084C2E" w:rsidRDefault="0049031E" w:rsidP="00D177B8">
            <w:pPr>
              <w:pStyle w:val="Normal2"/>
              <w:rPr>
                <w:rFonts w:ascii="Calibri" w:eastAsia="Calibri" w:hAnsi="Calibri" w:cs="Calibri"/>
                <w:b/>
                <w:color w:val="000000"/>
                <w:sz w:val="18"/>
                <w:u w:val="single"/>
              </w:rPr>
            </w:pPr>
            <w:r w:rsidRPr="00D9578C">
              <w:rPr>
                <w:rFonts w:ascii="Calibri" w:eastAsia="Calibri" w:hAnsi="Calibri" w:cs="Calibri"/>
                <w:color w:val="000000"/>
                <w:sz w:val="18"/>
                <w:u w:val="single"/>
              </w:rPr>
              <w:t>Better care in the community</w:t>
            </w:r>
          </w:p>
        </w:tc>
        <w:tc>
          <w:tcPr>
            <w:tcW w:w="967" w:type="dxa"/>
            <w:tcBorders>
              <w:top w:val="nil"/>
              <w:left w:val="nil"/>
              <w:bottom w:val="nil"/>
              <w:right w:val="nil"/>
              <w:tl2br w:val="nil"/>
              <w:tr2bl w:val="nil"/>
            </w:tcBorders>
            <w:shd w:val="clear" w:color="auto" w:fill="auto"/>
            <w:noWrap/>
            <w:tcMar>
              <w:left w:w="0" w:type="dxa"/>
              <w:right w:w="0" w:type="dxa"/>
            </w:tcMar>
            <w:vAlign w:val="bottom"/>
          </w:tcPr>
          <w:p w14:paraId="41E96170" w14:textId="77777777" w:rsidR="0049031E" w:rsidRPr="00084C2E" w:rsidRDefault="0049031E" w:rsidP="00D177B8">
            <w:pPr>
              <w:pStyle w:val="Normal2"/>
              <w:rPr>
                <w:rFonts w:ascii="Calibri" w:eastAsia="Calibri" w:hAnsi="Calibri" w:cs="Calibri"/>
                <w:color w:val="FFFFFF"/>
                <w:sz w:val="18"/>
                <w:u w:val="single"/>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314BCF32" w14:textId="77777777" w:rsidR="0049031E" w:rsidRPr="00084C2E" w:rsidRDefault="0049031E" w:rsidP="00D177B8">
            <w:pPr>
              <w:pStyle w:val="Normal2"/>
              <w:rPr>
                <w:rFonts w:ascii="Calibri" w:eastAsia="Calibri" w:hAnsi="Calibri" w:cs="Calibri"/>
                <w:color w:val="FFFFFF"/>
                <w:sz w:val="18"/>
                <w:u w:val="single"/>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44586BE8" w14:textId="77777777" w:rsidR="0049031E" w:rsidRPr="00084C2E" w:rsidRDefault="0049031E" w:rsidP="00D177B8">
            <w:pPr>
              <w:pStyle w:val="Normal2"/>
              <w:rPr>
                <w:rFonts w:ascii="Calibri" w:eastAsia="Calibri" w:hAnsi="Calibri" w:cs="Calibri"/>
                <w:color w:val="FFFFFF"/>
                <w:sz w:val="18"/>
                <w:u w:val="single"/>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0F308CB5" w14:textId="77777777" w:rsidR="0049031E" w:rsidRPr="00084C2E" w:rsidRDefault="0049031E" w:rsidP="00D177B8">
            <w:pPr>
              <w:pStyle w:val="Normal2"/>
              <w:rPr>
                <w:rFonts w:ascii="Calibri" w:eastAsia="Calibri" w:hAnsi="Calibri" w:cs="Calibri"/>
                <w:color w:val="FFFFFF"/>
                <w:sz w:val="18"/>
                <w:u w:val="single"/>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5492C508" w14:textId="77777777" w:rsidR="0049031E" w:rsidRPr="00084C2E" w:rsidRDefault="0049031E" w:rsidP="00D177B8">
            <w:pPr>
              <w:pStyle w:val="Normal2"/>
              <w:rPr>
                <w:rFonts w:ascii="Calibri" w:eastAsia="Calibri" w:hAnsi="Calibri" w:cs="Calibri"/>
                <w:color w:val="FFFFFF"/>
                <w:sz w:val="18"/>
                <w:u w:val="single"/>
              </w:rPr>
            </w:pPr>
          </w:p>
        </w:tc>
      </w:tr>
      <w:tr w:rsidR="0049031E" w14:paraId="2440F7B3"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466E0F62" w14:textId="77777777" w:rsidR="0049031E" w:rsidRDefault="0049031E" w:rsidP="00D177B8">
            <w:pPr>
              <w:pStyle w:val="Normal2"/>
              <w:rPr>
                <w:rFonts w:ascii="Calibri" w:eastAsia="Calibri" w:hAnsi="Calibri" w:cs="Calibri"/>
                <w:color w:val="000000"/>
                <w:sz w:val="18"/>
              </w:rPr>
            </w:pPr>
            <w:r w:rsidRPr="00D9578C">
              <w:rPr>
                <w:rFonts w:ascii="Calibri" w:eastAsia="Calibri" w:hAnsi="Calibri" w:cs="Calibri"/>
                <w:color w:val="000000"/>
                <w:sz w:val="18"/>
              </w:rPr>
              <w:t>Expansion of palliative care services at Clare Holland House Hospice</w:t>
            </w:r>
          </w:p>
        </w:tc>
        <w:tc>
          <w:tcPr>
            <w:tcW w:w="967" w:type="dxa"/>
            <w:tcBorders>
              <w:top w:val="nil"/>
              <w:left w:val="nil"/>
              <w:bottom w:val="nil"/>
              <w:right w:val="nil"/>
              <w:tl2br w:val="nil"/>
              <w:tr2bl w:val="nil"/>
            </w:tcBorders>
            <w:shd w:val="clear" w:color="auto" w:fill="auto"/>
            <w:noWrap/>
            <w:tcMar>
              <w:left w:w="101" w:type="dxa"/>
              <w:right w:w="101" w:type="dxa"/>
            </w:tcMar>
          </w:tcPr>
          <w:p w14:paraId="0750EAC3" w14:textId="77777777" w:rsidR="0049031E" w:rsidRDefault="0049031E" w:rsidP="00D177B8">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464AEB3E" w14:textId="77777777" w:rsidR="0049031E" w:rsidRDefault="0049031E" w:rsidP="00D177B8">
            <w:pPr>
              <w:pStyle w:val="Normal2"/>
              <w:jc w:val="right"/>
              <w:rPr>
                <w:rFonts w:ascii="Calibri" w:eastAsia="Calibri" w:hAnsi="Calibri" w:cs="Calibri"/>
                <w:color w:val="000000"/>
                <w:sz w:val="18"/>
              </w:rPr>
            </w:pPr>
            <w:r>
              <w:rPr>
                <w:rFonts w:ascii="Calibri" w:eastAsia="Calibri" w:hAnsi="Calibri" w:cs="Calibri"/>
                <w:color w:val="000000"/>
                <w:sz w:val="18"/>
              </w:rPr>
              <w:t>46</w:t>
            </w:r>
          </w:p>
        </w:tc>
        <w:tc>
          <w:tcPr>
            <w:tcW w:w="968" w:type="dxa"/>
            <w:tcBorders>
              <w:top w:val="nil"/>
              <w:left w:val="nil"/>
              <w:bottom w:val="nil"/>
              <w:right w:val="nil"/>
              <w:tl2br w:val="nil"/>
              <w:tr2bl w:val="nil"/>
            </w:tcBorders>
            <w:shd w:val="clear" w:color="auto" w:fill="auto"/>
            <w:noWrap/>
            <w:tcMar>
              <w:left w:w="101" w:type="dxa"/>
              <w:right w:w="101" w:type="dxa"/>
            </w:tcMar>
          </w:tcPr>
          <w:p w14:paraId="432F9066" w14:textId="77777777" w:rsidR="0049031E" w:rsidRDefault="0049031E" w:rsidP="00D177B8">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2C381F5" w14:textId="77777777" w:rsidR="0049031E" w:rsidRDefault="0049031E" w:rsidP="00D177B8">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715D52DE" w14:textId="77777777" w:rsidR="0049031E" w:rsidRDefault="0049031E" w:rsidP="00D177B8">
            <w:pPr>
              <w:pStyle w:val="Normal2"/>
              <w:jc w:val="right"/>
              <w:rPr>
                <w:rFonts w:ascii="Calibri" w:eastAsia="Calibri" w:hAnsi="Calibri" w:cs="Calibri"/>
                <w:color w:val="000000"/>
                <w:sz w:val="18"/>
              </w:rPr>
            </w:pPr>
            <w:r>
              <w:rPr>
                <w:rFonts w:ascii="Calibri" w:eastAsia="Calibri" w:hAnsi="Calibri" w:cs="Calibri"/>
                <w:color w:val="000000"/>
                <w:sz w:val="18"/>
              </w:rPr>
              <w:t>0</w:t>
            </w:r>
          </w:p>
        </w:tc>
      </w:tr>
      <w:tr w:rsidR="00084C2E" w14:paraId="5C19E299" w14:textId="77777777" w:rsidTr="0008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vAlign w:val="bottom"/>
          </w:tcPr>
          <w:p w14:paraId="460114A0" w14:textId="77777777" w:rsidR="00084C2E" w:rsidRDefault="00084C2E">
            <w:pPr>
              <w:pStyle w:val="Normal2"/>
              <w:rPr>
                <w:rFonts w:ascii="Calibri" w:eastAsia="Calibri" w:hAnsi="Calibri" w:cs="Calibri"/>
                <w:b/>
                <w:color w:val="000000"/>
                <w:sz w:val="18"/>
              </w:rPr>
            </w:pPr>
          </w:p>
        </w:tc>
        <w:tc>
          <w:tcPr>
            <w:tcW w:w="967" w:type="dxa"/>
            <w:tcBorders>
              <w:top w:val="nil"/>
              <w:left w:val="nil"/>
              <w:bottom w:val="nil"/>
              <w:right w:val="nil"/>
              <w:tl2br w:val="nil"/>
              <w:tr2bl w:val="nil"/>
            </w:tcBorders>
            <w:shd w:val="clear" w:color="auto" w:fill="auto"/>
            <w:noWrap/>
            <w:tcMar>
              <w:left w:w="0" w:type="dxa"/>
              <w:right w:w="0" w:type="dxa"/>
            </w:tcMar>
            <w:vAlign w:val="bottom"/>
          </w:tcPr>
          <w:p w14:paraId="32811F3C" w14:textId="77777777" w:rsidR="00084C2E" w:rsidRDefault="00084C2E">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1E9803DC" w14:textId="77777777" w:rsidR="00084C2E" w:rsidRDefault="00084C2E">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48D8D834" w14:textId="77777777" w:rsidR="00084C2E" w:rsidRDefault="00084C2E">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41EB0F18" w14:textId="77777777" w:rsidR="00084C2E" w:rsidRDefault="00084C2E">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71AEDB24" w14:textId="77777777" w:rsidR="00084C2E" w:rsidRDefault="00084C2E">
            <w:pPr>
              <w:pStyle w:val="Normal2"/>
              <w:rPr>
                <w:rFonts w:ascii="Calibri" w:eastAsia="Calibri" w:hAnsi="Calibri" w:cs="Calibri"/>
                <w:color w:val="FFFFFF"/>
                <w:sz w:val="18"/>
              </w:rPr>
            </w:pPr>
          </w:p>
        </w:tc>
      </w:tr>
      <w:tr w:rsidR="00084C2E" w:rsidRPr="00084C2E" w14:paraId="64A8E9CE" w14:textId="77777777" w:rsidTr="0008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vAlign w:val="bottom"/>
          </w:tcPr>
          <w:p w14:paraId="5F14C59D" w14:textId="7BF9F954" w:rsidR="00084C2E" w:rsidRPr="00084C2E" w:rsidRDefault="00D9578C">
            <w:pPr>
              <w:pStyle w:val="Normal2"/>
              <w:rPr>
                <w:rFonts w:ascii="Calibri" w:eastAsia="Calibri" w:hAnsi="Calibri" w:cs="Calibri"/>
                <w:b/>
                <w:color w:val="000000"/>
                <w:sz w:val="18"/>
                <w:u w:val="single"/>
              </w:rPr>
            </w:pPr>
            <w:r w:rsidRPr="00D9578C">
              <w:rPr>
                <w:rFonts w:ascii="Calibri" w:eastAsia="Calibri" w:hAnsi="Calibri" w:cs="Calibri"/>
                <w:color w:val="000000"/>
                <w:sz w:val="18"/>
                <w:u w:val="single"/>
              </w:rPr>
              <w:t>Improving Canberra’s health infrastructure</w:t>
            </w:r>
          </w:p>
        </w:tc>
        <w:tc>
          <w:tcPr>
            <w:tcW w:w="967" w:type="dxa"/>
            <w:tcBorders>
              <w:top w:val="nil"/>
              <w:left w:val="nil"/>
              <w:bottom w:val="nil"/>
              <w:right w:val="nil"/>
              <w:tl2br w:val="nil"/>
              <w:tr2bl w:val="nil"/>
            </w:tcBorders>
            <w:shd w:val="clear" w:color="auto" w:fill="auto"/>
            <w:noWrap/>
            <w:tcMar>
              <w:left w:w="0" w:type="dxa"/>
              <w:right w:w="0" w:type="dxa"/>
            </w:tcMar>
            <w:vAlign w:val="bottom"/>
          </w:tcPr>
          <w:p w14:paraId="3AEDFA57" w14:textId="77777777" w:rsidR="00084C2E" w:rsidRPr="00084C2E" w:rsidRDefault="00084C2E">
            <w:pPr>
              <w:pStyle w:val="Normal2"/>
              <w:rPr>
                <w:rFonts w:ascii="Calibri" w:eastAsia="Calibri" w:hAnsi="Calibri" w:cs="Calibri"/>
                <w:color w:val="FFFFFF"/>
                <w:sz w:val="18"/>
                <w:u w:val="single"/>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56A9C16F" w14:textId="77777777" w:rsidR="00084C2E" w:rsidRPr="00084C2E" w:rsidRDefault="00084C2E">
            <w:pPr>
              <w:pStyle w:val="Normal2"/>
              <w:rPr>
                <w:rFonts w:ascii="Calibri" w:eastAsia="Calibri" w:hAnsi="Calibri" w:cs="Calibri"/>
                <w:color w:val="FFFFFF"/>
                <w:sz w:val="18"/>
                <w:u w:val="single"/>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496E9365" w14:textId="77777777" w:rsidR="00084C2E" w:rsidRPr="00084C2E" w:rsidRDefault="00084C2E">
            <w:pPr>
              <w:pStyle w:val="Normal2"/>
              <w:rPr>
                <w:rFonts w:ascii="Calibri" w:eastAsia="Calibri" w:hAnsi="Calibri" w:cs="Calibri"/>
                <w:color w:val="FFFFFF"/>
                <w:sz w:val="18"/>
                <w:u w:val="single"/>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32195BE4" w14:textId="77777777" w:rsidR="00084C2E" w:rsidRPr="00084C2E" w:rsidRDefault="00084C2E">
            <w:pPr>
              <w:pStyle w:val="Normal2"/>
              <w:rPr>
                <w:rFonts w:ascii="Calibri" w:eastAsia="Calibri" w:hAnsi="Calibri" w:cs="Calibri"/>
                <w:color w:val="FFFFFF"/>
                <w:sz w:val="18"/>
                <w:u w:val="single"/>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11E6F746" w14:textId="77777777" w:rsidR="00084C2E" w:rsidRPr="00084C2E" w:rsidRDefault="00084C2E">
            <w:pPr>
              <w:pStyle w:val="Normal2"/>
              <w:rPr>
                <w:rFonts w:ascii="Calibri" w:eastAsia="Calibri" w:hAnsi="Calibri" w:cs="Calibri"/>
                <w:color w:val="FFFFFF"/>
                <w:sz w:val="18"/>
                <w:u w:val="single"/>
              </w:rPr>
            </w:pPr>
          </w:p>
        </w:tc>
      </w:tr>
      <w:tr w:rsidR="00496618" w14:paraId="6D4E9093" w14:textId="77777777" w:rsidTr="0008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4F641FAC" w14:textId="401DBBD7" w:rsidR="00496618" w:rsidRDefault="00D9578C">
            <w:pPr>
              <w:pStyle w:val="Normal2"/>
              <w:rPr>
                <w:rFonts w:ascii="Calibri" w:eastAsia="Calibri" w:hAnsi="Calibri" w:cs="Calibri"/>
                <w:color w:val="000000"/>
                <w:sz w:val="18"/>
              </w:rPr>
            </w:pPr>
            <w:r w:rsidRPr="00D9578C">
              <w:rPr>
                <w:rFonts w:ascii="Calibri" w:hAnsi="Calibri" w:cs="Calibri"/>
                <w:color w:val="000000"/>
                <w:sz w:val="18"/>
                <w:szCs w:val="18"/>
              </w:rPr>
              <w:t>Calvary critical infrastructure</w:t>
            </w:r>
            <w:r w:rsidR="002A2525">
              <w:rPr>
                <w:rFonts w:ascii="Calibri" w:hAnsi="Calibri" w:cs="Calibri"/>
                <w:color w:val="000000"/>
                <w:sz w:val="18"/>
                <w:szCs w:val="18"/>
              </w:rPr>
              <w:t xml:space="preserve"> phase 2</w:t>
            </w:r>
          </w:p>
        </w:tc>
        <w:tc>
          <w:tcPr>
            <w:tcW w:w="967" w:type="dxa"/>
            <w:tcBorders>
              <w:top w:val="nil"/>
              <w:left w:val="nil"/>
              <w:bottom w:val="nil"/>
              <w:right w:val="nil"/>
              <w:tl2br w:val="nil"/>
              <w:tr2bl w:val="nil"/>
            </w:tcBorders>
            <w:shd w:val="clear" w:color="auto" w:fill="auto"/>
            <w:noWrap/>
            <w:tcMar>
              <w:left w:w="101" w:type="dxa"/>
              <w:right w:w="101" w:type="dxa"/>
            </w:tcMar>
          </w:tcPr>
          <w:p w14:paraId="4F1FF528"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80CDA0C"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8,645</w:t>
            </w:r>
          </w:p>
        </w:tc>
        <w:tc>
          <w:tcPr>
            <w:tcW w:w="968" w:type="dxa"/>
            <w:tcBorders>
              <w:top w:val="nil"/>
              <w:left w:val="nil"/>
              <w:bottom w:val="nil"/>
              <w:right w:val="nil"/>
              <w:tl2br w:val="nil"/>
              <w:tr2bl w:val="nil"/>
            </w:tcBorders>
            <w:shd w:val="clear" w:color="auto" w:fill="auto"/>
            <w:noWrap/>
            <w:tcMar>
              <w:left w:w="101" w:type="dxa"/>
              <w:right w:w="101" w:type="dxa"/>
            </w:tcMar>
          </w:tcPr>
          <w:p w14:paraId="4015C205"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10,171</w:t>
            </w:r>
          </w:p>
        </w:tc>
        <w:tc>
          <w:tcPr>
            <w:tcW w:w="968" w:type="dxa"/>
            <w:tcBorders>
              <w:top w:val="nil"/>
              <w:left w:val="nil"/>
              <w:bottom w:val="nil"/>
              <w:right w:val="nil"/>
              <w:tl2br w:val="nil"/>
              <w:tr2bl w:val="nil"/>
            </w:tcBorders>
            <w:shd w:val="clear" w:color="auto" w:fill="auto"/>
            <w:noWrap/>
            <w:tcMar>
              <w:left w:w="101" w:type="dxa"/>
              <w:right w:w="101" w:type="dxa"/>
            </w:tcMar>
          </w:tcPr>
          <w:p w14:paraId="1DC1147B"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1,000</w:t>
            </w:r>
          </w:p>
        </w:tc>
        <w:tc>
          <w:tcPr>
            <w:tcW w:w="968" w:type="dxa"/>
            <w:tcBorders>
              <w:top w:val="nil"/>
              <w:left w:val="nil"/>
              <w:bottom w:val="nil"/>
              <w:right w:val="nil"/>
              <w:tl2br w:val="nil"/>
              <w:tr2bl w:val="nil"/>
            </w:tcBorders>
            <w:shd w:val="clear" w:color="auto" w:fill="auto"/>
            <w:noWrap/>
            <w:tcMar>
              <w:left w:w="101" w:type="dxa"/>
              <w:right w:w="101" w:type="dxa"/>
            </w:tcMar>
          </w:tcPr>
          <w:p w14:paraId="133B8449"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r>
      <w:tr w:rsidR="00D9578C" w14:paraId="02DC048C" w14:textId="77777777" w:rsidTr="0008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459A2EDE" w14:textId="77777777" w:rsidR="00D9578C" w:rsidRPr="00D9578C" w:rsidRDefault="00D9578C">
            <w:pPr>
              <w:pStyle w:val="Normal2"/>
              <w:rPr>
                <w:rFonts w:ascii="Calibri" w:hAnsi="Calibri" w:cs="Calibri"/>
                <w:color w:val="000000"/>
                <w:sz w:val="18"/>
                <w:szCs w:val="18"/>
              </w:rPr>
            </w:pPr>
          </w:p>
        </w:tc>
        <w:tc>
          <w:tcPr>
            <w:tcW w:w="967" w:type="dxa"/>
            <w:tcBorders>
              <w:top w:val="nil"/>
              <w:left w:val="nil"/>
              <w:bottom w:val="nil"/>
              <w:right w:val="nil"/>
              <w:tl2br w:val="nil"/>
              <w:tr2bl w:val="nil"/>
            </w:tcBorders>
            <w:shd w:val="clear" w:color="auto" w:fill="auto"/>
            <w:noWrap/>
            <w:tcMar>
              <w:left w:w="101" w:type="dxa"/>
              <w:right w:w="101" w:type="dxa"/>
            </w:tcMar>
          </w:tcPr>
          <w:p w14:paraId="4704D17D" w14:textId="77777777" w:rsidR="00D9578C" w:rsidRDefault="00D9578C">
            <w:pPr>
              <w:pStyle w:val="Normal2"/>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1EE59642" w14:textId="77777777" w:rsidR="00D9578C" w:rsidRDefault="00D9578C">
            <w:pPr>
              <w:pStyle w:val="Normal2"/>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68C22064" w14:textId="77777777" w:rsidR="00D9578C" w:rsidRDefault="00D9578C">
            <w:pPr>
              <w:pStyle w:val="Normal2"/>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7A6181ED" w14:textId="77777777" w:rsidR="00D9578C" w:rsidRDefault="00D9578C">
            <w:pPr>
              <w:pStyle w:val="Normal2"/>
              <w:jc w:val="right"/>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101" w:type="dxa"/>
              <w:right w:w="101" w:type="dxa"/>
            </w:tcMar>
          </w:tcPr>
          <w:p w14:paraId="09C26CFE" w14:textId="77777777" w:rsidR="00D9578C" w:rsidRDefault="00D9578C">
            <w:pPr>
              <w:pStyle w:val="Normal2"/>
              <w:jc w:val="right"/>
              <w:rPr>
                <w:rFonts w:ascii="Calibri" w:eastAsia="Calibri" w:hAnsi="Calibri" w:cs="Calibri"/>
                <w:color w:val="000000"/>
                <w:sz w:val="18"/>
              </w:rPr>
            </w:pPr>
          </w:p>
        </w:tc>
      </w:tr>
      <w:tr w:rsidR="00D9578C" w:rsidRPr="00D9578C" w14:paraId="0E3BDAD8" w14:textId="77777777" w:rsidTr="0008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121C4BCC" w14:textId="629B5E54" w:rsidR="00D9578C" w:rsidRPr="00D9578C" w:rsidRDefault="00D9578C">
            <w:pPr>
              <w:pStyle w:val="Normal2"/>
              <w:rPr>
                <w:rFonts w:ascii="Calibri" w:hAnsi="Calibri" w:cs="Calibri"/>
                <w:color w:val="000000"/>
                <w:sz w:val="18"/>
                <w:szCs w:val="18"/>
                <w:u w:val="single"/>
              </w:rPr>
            </w:pPr>
            <w:r w:rsidRPr="00D9578C">
              <w:rPr>
                <w:rFonts w:ascii="Calibri" w:hAnsi="Calibri" w:cs="Calibri"/>
                <w:color w:val="000000"/>
                <w:sz w:val="18"/>
                <w:szCs w:val="18"/>
                <w:u w:val="single"/>
              </w:rPr>
              <w:t>More alcohol and other drug services</w:t>
            </w:r>
          </w:p>
        </w:tc>
        <w:tc>
          <w:tcPr>
            <w:tcW w:w="967" w:type="dxa"/>
            <w:tcBorders>
              <w:top w:val="nil"/>
              <w:left w:val="nil"/>
              <w:bottom w:val="nil"/>
              <w:right w:val="nil"/>
              <w:tl2br w:val="nil"/>
              <w:tr2bl w:val="nil"/>
            </w:tcBorders>
            <w:shd w:val="clear" w:color="auto" w:fill="auto"/>
            <w:noWrap/>
            <w:tcMar>
              <w:left w:w="101" w:type="dxa"/>
              <w:right w:w="101" w:type="dxa"/>
            </w:tcMar>
          </w:tcPr>
          <w:p w14:paraId="6294913F" w14:textId="77777777" w:rsidR="00D9578C" w:rsidRPr="00D9578C" w:rsidRDefault="00D9578C">
            <w:pPr>
              <w:pStyle w:val="Normal2"/>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78950A4E" w14:textId="77777777" w:rsidR="00D9578C" w:rsidRPr="00D9578C" w:rsidRDefault="00D9578C">
            <w:pPr>
              <w:pStyle w:val="Normal2"/>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08B94C2C" w14:textId="77777777" w:rsidR="00D9578C" w:rsidRPr="00D9578C" w:rsidRDefault="00D9578C">
            <w:pPr>
              <w:pStyle w:val="Normal2"/>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47ABF4F2" w14:textId="77777777" w:rsidR="00D9578C" w:rsidRPr="00D9578C" w:rsidRDefault="00D9578C">
            <w:pPr>
              <w:pStyle w:val="Normal2"/>
              <w:jc w:val="right"/>
              <w:rPr>
                <w:rFonts w:ascii="Calibri" w:eastAsia="Calibri" w:hAnsi="Calibri" w:cs="Calibri"/>
                <w:color w:val="000000"/>
                <w:sz w:val="18"/>
                <w:u w:val="single"/>
              </w:rPr>
            </w:pPr>
          </w:p>
        </w:tc>
        <w:tc>
          <w:tcPr>
            <w:tcW w:w="968" w:type="dxa"/>
            <w:tcBorders>
              <w:top w:val="nil"/>
              <w:left w:val="nil"/>
              <w:bottom w:val="nil"/>
              <w:right w:val="nil"/>
              <w:tl2br w:val="nil"/>
              <w:tr2bl w:val="nil"/>
            </w:tcBorders>
            <w:shd w:val="clear" w:color="auto" w:fill="auto"/>
            <w:noWrap/>
            <w:tcMar>
              <w:left w:w="101" w:type="dxa"/>
              <w:right w:w="101" w:type="dxa"/>
            </w:tcMar>
          </w:tcPr>
          <w:p w14:paraId="2AE0D443" w14:textId="77777777" w:rsidR="00D9578C" w:rsidRPr="00D9578C" w:rsidRDefault="00D9578C">
            <w:pPr>
              <w:pStyle w:val="Normal2"/>
              <w:jc w:val="right"/>
              <w:rPr>
                <w:rFonts w:ascii="Calibri" w:eastAsia="Calibri" w:hAnsi="Calibri" w:cs="Calibri"/>
                <w:color w:val="000000"/>
                <w:sz w:val="18"/>
                <w:u w:val="single"/>
              </w:rPr>
            </w:pPr>
          </w:p>
        </w:tc>
      </w:tr>
      <w:tr w:rsidR="00496618" w14:paraId="340DE16A" w14:textId="77777777" w:rsidTr="0008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00" w:type="dxa"/>
            <w:tcBorders>
              <w:top w:val="nil"/>
              <w:left w:val="nil"/>
              <w:bottom w:val="nil"/>
              <w:right w:val="nil"/>
              <w:tl2br w:val="nil"/>
              <w:tr2bl w:val="nil"/>
            </w:tcBorders>
            <w:shd w:val="clear" w:color="auto" w:fill="auto"/>
            <w:tcMar>
              <w:left w:w="101" w:type="dxa"/>
              <w:right w:w="101" w:type="dxa"/>
            </w:tcMar>
          </w:tcPr>
          <w:p w14:paraId="7A0D501C" w14:textId="02D23B66" w:rsidR="00496618" w:rsidRDefault="00D9578C">
            <w:pPr>
              <w:pStyle w:val="Normal2"/>
              <w:rPr>
                <w:rFonts w:ascii="Calibri" w:eastAsia="Calibri" w:hAnsi="Calibri" w:cs="Calibri"/>
                <w:color w:val="000000"/>
                <w:sz w:val="18"/>
              </w:rPr>
            </w:pPr>
            <w:r w:rsidRPr="00D9578C">
              <w:rPr>
                <w:rFonts w:ascii="Calibri" w:eastAsia="Calibri" w:hAnsi="Calibri" w:cs="Calibri"/>
                <w:color w:val="000000"/>
                <w:sz w:val="18"/>
              </w:rPr>
              <w:t>Watson Health Precinct redevelopment</w:t>
            </w:r>
          </w:p>
        </w:tc>
        <w:tc>
          <w:tcPr>
            <w:tcW w:w="967" w:type="dxa"/>
            <w:tcBorders>
              <w:top w:val="nil"/>
              <w:left w:val="nil"/>
              <w:bottom w:val="nil"/>
              <w:right w:val="nil"/>
              <w:tl2br w:val="nil"/>
              <w:tr2bl w:val="nil"/>
            </w:tcBorders>
            <w:shd w:val="clear" w:color="auto" w:fill="auto"/>
            <w:noWrap/>
            <w:tcMar>
              <w:left w:w="101" w:type="dxa"/>
              <w:right w:w="101" w:type="dxa"/>
            </w:tcMar>
          </w:tcPr>
          <w:p w14:paraId="6BC733FC"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54224774"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250</w:t>
            </w:r>
          </w:p>
        </w:tc>
        <w:tc>
          <w:tcPr>
            <w:tcW w:w="968" w:type="dxa"/>
            <w:tcBorders>
              <w:top w:val="nil"/>
              <w:left w:val="nil"/>
              <w:bottom w:val="nil"/>
              <w:right w:val="nil"/>
              <w:tl2br w:val="nil"/>
              <w:tr2bl w:val="nil"/>
            </w:tcBorders>
            <w:shd w:val="clear" w:color="auto" w:fill="auto"/>
            <w:noWrap/>
            <w:tcMar>
              <w:left w:w="101" w:type="dxa"/>
              <w:right w:w="101" w:type="dxa"/>
            </w:tcMar>
          </w:tcPr>
          <w:p w14:paraId="421BFF30"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4719AA4E"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3EA75252"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r>
      <w:tr w:rsidR="00496618" w14:paraId="39EE4026"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0" w:type="dxa"/>
              <w:right w:w="0" w:type="dxa"/>
            </w:tcMar>
            <w:vAlign w:val="bottom"/>
          </w:tcPr>
          <w:p w14:paraId="138D803E" w14:textId="77777777" w:rsidR="00496618" w:rsidRDefault="00496618">
            <w:pPr>
              <w:pStyle w:val="Normal2"/>
              <w:rPr>
                <w:rFonts w:ascii="Calibri" w:eastAsia="Calibri" w:hAnsi="Calibri" w:cs="Calibri"/>
                <w:color w:val="000000"/>
                <w:sz w:val="18"/>
              </w:rPr>
            </w:pPr>
          </w:p>
        </w:tc>
        <w:tc>
          <w:tcPr>
            <w:tcW w:w="967" w:type="dxa"/>
            <w:tcBorders>
              <w:top w:val="nil"/>
              <w:left w:val="nil"/>
              <w:bottom w:val="nil"/>
              <w:right w:val="nil"/>
              <w:tl2br w:val="nil"/>
              <w:tr2bl w:val="nil"/>
            </w:tcBorders>
            <w:shd w:val="clear" w:color="auto" w:fill="auto"/>
            <w:noWrap/>
            <w:tcMar>
              <w:left w:w="0" w:type="dxa"/>
              <w:right w:w="0" w:type="dxa"/>
            </w:tcMar>
            <w:vAlign w:val="bottom"/>
          </w:tcPr>
          <w:p w14:paraId="367D911B" w14:textId="77777777" w:rsidR="00496618" w:rsidRDefault="00496618">
            <w:pPr>
              <w:pStyle w:val="Normal2"/>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0A3496B3" w14:textId="77777777" w:rsidR="00496618" w:rsidRDefault="00496618">
            <w:pPr>
              <w:pStyle w:val="Normal2"/>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1E85F4FF" w14:textId="77777777" w:rsidR="00496618" w:rsidRDefault="00496618">
            <w:pPr>
              <w:pStyle w:val="Normal2"/>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1414954F" w14:textId="77777777" w:rsidR="00496618" w:rsidRDefault="00496618">
            <w:pPr>
              <w:pStyle w:val="Normal2"/>
              <w:rPr>
                <w:rFonts w:ascii="Calibri" w:eastAsia="Calibri" w:hAnsi="Calibri" w:cs="Calibri"/>
                <w:color w:val="000000"/>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74B0B3CA" w14:textId="77777777" w:rsidR="00496618" w:rsidRDefault="00496618">
            <w:pPr>
              <w:pStyle w:val="Normal2"/>
              <w:rPr>
                <w:rFonts w:ascii="Calibri" w:eastAsia="Calibri" w:hAnsi="Calibri" w:cs="Calibri"/>
                <w:color w:val="000000"/>
                <w:sz w:val="18"/>
              </w:rPr>
            </w:pPr>
          </w:p>
        </w:tc>
      </w:tr>
      <w:tr w:rsidR="00496618" w14:paraId="440C3E80"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vAlign w:val="bottom"/>
          </w:tcPr>
          <w:p w14:paraId="041FBDB6" w14:textId="77777777" w:rsidR="00496618" w:rsidRDefault="0027723F">
            <w:pPr>
              <w:pStyle w:val="Normal2"/>
              <w:rPr>
                <w:rFonts w:ascii="Calibri" w:eastAsia="Calibri" w:hAnsi="Calibri" w:cs="Calibri"/>
                <w:b/>
                <w:color w:val="000000"/>
                <w:sz w:val="18"/>
              </w:rPr>
            </w:pPr>
            <w:r>
              <w:rPr>
                <w:rFonts w:ascii="Calibri" w:eastAsia="Calibri" w:hAnsi="Calibri" w:cs="Calibri"/>
                <w:b/>
                <w:color w:val="000000"/>
                <w:sz w:val="18"/>
              </w:rPr>
              <w:t>2021-22 Budget Technical Adjustments</w:t>
            </w:r>
          </w:p>
        </w:tc>
        <w:tc>
          <w:tcPr>
            <w:tcW w:w="967" w:type="dxa"/>
            <w:tcBorders>
              <w:top w:val="nil"/>
              <w:left w:val="nil"/>
              <w:bottom w:val="nil"/>
              <w:right w:val="nil"/>
              <w:tl2br w:val="nil"/>
              <w:tr2bl w:val="nil"/>
            </w:tcBorders>
            <w:shd w:val="clear" w:color="auto" w:fill="auto"/>
            <w:noWrap/>
            <w:tcMar>
              <w:left w:w="0" w:type="dxa"/>
              <w:right w:w="0" w:type="dxa"/>
            </w:tcMar>
            <w:vAlign w:val="bottom"/>
          </w:tcPr>
          <w:p w14:paraId="50BDA2AB" w14:textId="77777777" w:rsidR="00496618" w:rsidRDefault="00496618">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161652C4" w14:textId="77777777" w:rsidR="00496618" w:rsidRDefault="00496618">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7171D81B" w14:textId="77777777" w:rsidR="00496618" w:rsidRDefault="00496618">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377C78C6" w14:textId="77777777" w:rsidR="00496618" w:rsidRDefault="00496618">
            <w:pPr>
              <w:pStyle w:val="Normal2"/>
              <w:rPr>
                <w:rFonts w:ascii="Calibri" w:eastAsia="Calibri" w:hAnsi="Calibri" w:cs="Calibri"/>
                <w:color w:val="FFFFFF"/>
                <w:sz w:val="18"/>
              </w:rPr>
            </w:pPr>
          </w:p>
        </w:tc>
        <w:tc>
          <w:tcPr>
            <w:tcW w:w="968" w:type="dxa"/>
            <w:tcBorders>
              <w:top w:val="nil"/>
              <w:left w:val="nil"/>
              <w:bottom w:val="nil"/>
              <w:right w:val="nil"/>
              <w:tl2br w:val="nil"/>
              <w:tr2bl w:val="nil"/>
            </w:tcBorders>
            <w:shd w:val="clear" w:color="auto" w:fill="auto"/>
            <w:noWrap/>
            <w:tcMar>
              <w:left w:w="0" w:type="dxa"/>
              <w:right w:w="0" w:type="dxa"/>
            </w:tcMar>
            <w:vAlign w:val="bottom"/>
          </w:tcPr>
          <w:p w14:paraId="3D320C3C" w14:textId="77777777" w:rsidR="00496618" w:rsidRDefault="00496618">
            <w:pPr>
              <w:pStyle w:val="Normal2"/>
              <w:rPr>
                <w:rFonts w:ascii="Calibri" w:eastAsia="Calibri" w:hAnsi="Calibri" w:cs="Calibri"/>
                <w:color w:val="FFFFFF"/>
                <w:sz w:val="18"/>
              </w:rPr>
            </w:pPr>
          </w:p>
        </w:tc>
      </w:tr>
      <w:tr w:rsidR="00496618" w14:paraId="268CF8D5"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800" w:type="dxa"/>
            <w:tcBorders>
              <w:top w:val="nil"/>
              <w:left w:val="nil"/>
              <w:bottom w:val="nil"/>
              <w:right w:val="nil"/>
              <w:tl2br w:val="nil"/>
              <w:tr2bl w:val="nil"/>
            </w:tcBorders>
            <w:shd w:val="clear" w:color="auto" w:fill="auto"/>
            <w:tcMar>
              <w:left w:w="101" w:type="dxa"/>
              <w:right w:w="101" w:type="dxa"/>
            </w:tcMar>
          </w:tcPr>
          <w:p w14:paraId="24C69323" w14:textId="77777777" w:rsidR="00496618" w:rsidRDefault="0027723F">
            <w:pPr>
              <w:pStyle w:val="Normal2"/>
              <w:rPr>
                <w:rFonts w:ascii="Calibri" w:eastAsia="Calibri" w:hAnsi="Calibri" w:cs="Calibri"/>
                <w:color w:val="000000"/>
                <w:sz w:val="18"/>
              </w:rPr>
            </w:pPr>
            <w:r>
              <w:rPr>
                <w:rFonts w:ascii="Calibri" w:eastAsia="Calibri" w:hAnsi="Calibri" w:cs="Calibri"/>
                <w:color w:val="000000"/>
                <w:sz w:val="18"/>
              </w:rPr>
              <w:t>Revised Economic Parameters</w:t>
            </w:r>
          </w:p>
        </w:tc>
        <w:tc>
          <w:tcPr>
            <w:tcW w:w="967" w:type="dxa"/>
            <w:tcBorders>
              <w:top w:val="nil"/>
              <w:left w:val="nil"/>
              <w:bottom w:val="nil"/>
              <w:right w:val="nil"/>
              <w:tl2br w:val="nil"/>
              <w:tr2bl w:val="nil"/>
            </w:tcBorders>
            <w:shd w:val="clear" w:color="auto" w:fill="auto"/>
            <w:noWrap/>
            <w:tcMar>
              <w:left w:w="101" w:type="dxa"/>
              <w:right w:w="101" w:type="dxa"/>
            </w:tcMar>
          </w:tcPr>
          <w:p w14:paraId="710768FF"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4454032F"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660B0859"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504C3C36"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7AEC374"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24</w:t>
            </w:r>
          </w:p>
        </w:tc>
      </w:tr>
      <w:tr w:rsidR="00496618" w14:paraId="6BCBC308"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800" w:type="dxa"/>
            <w:tcBorders>
              <w:top w:val="nil"/>
              <w:left w:val="nil"/>
              <w:bottom w:val="nil"/>
              <w:right w:val="nil"/>
              <w:tl2br w:val="nil"/>
              <w:tr2bl w:val="nil"/>
            </w:tcBorders>
            <w:shd w:val="clear" w:color="auto" w:fill="auto"/>
            <w:tcMar>
              <w:left w:w="101" w:type="dxa"/>
              <w:right w:w="101" w:type="dxa"/>
            </w:tcMar>
          </w:tcPr>
          <w:p w14:paraId="0932C5FE" w14:textId="456DD1F7" w:rsidR="00496618" w:rsidRDefault="0027723F">
            <w:pPr>
              <w:pStyle w:val="Normal2"/>
              <w:rPr>
                <w:rFonts w:ascii="Calibri" w:eastAsia="Calibri" w:hAnsi="Calibri" w:cs="Calibri"/>
                <w:color w:val="000000"/>
                <w:sz w:val="18"/>
              </w:rPr>
            </w:pPr>
            <w:r>
              <w:rPr>
                <w:rFonts w:ascii="Calibri" w:eastAsia="Calibri" w:hAnsi="Calibri" w:cs="Calibri"/>
                <w:color w:val="000000"/>
                <w:sz w:val="18"/>
              </w:rPr>
              <w:t xml:space="preserve">Revised Funding Profile and Transfer from Departmental - </w:t>
            </w:r>
            <w:r w:rsidR="00436199" w:rsidRPr="00436199">
              <w:rPr>
                <w:rFonts w:ascii="Calibri" w:hAnsi="Calibri" w:cs="Calibri"/>
                <w:color w:val="000000"/>
                <w:sz w:val="18"/>
                <w:szCs w:val="18"/>
              </w:rPr>
              <w:t xml:space="preserve">Calvary </w:t>
            </w:r>
            <w:r w:rsidR="002A2525">
              <w:rPr>
                <w:rFonts w:ascii="Calibri" w:hAnsi="Calibri" w:cs="Calibri"/>
                <w:color w:val="000000"/>
                <w:sz w:val="18"/>
                <w:szCs w:val="18"/>
              </w:rPr>
              <w:t>c</w:t>
            </w:r>
            <w:r w:rsidR="00C76DDB">
              <w:rPr>
                <w:rFonts w:ascii="Calibri" w:hAnsi="Calibri" w:cs="Calibri"/>
                <w:color w:val="000000"/>
                <w:sz w:val="18"/>
                <w:szCs w:val="18"/>
              </w:rPr>
              <w:t xml:space="preserve">ritical </w:t>
            </w:r>
            <w:r w:rsidR="002A2525">
              <w:rPr>
                <w:rFonts w:ascii="Calibri" w:hAnsi="Calibri" w:cs="Calibri"/>
                <w:color w:val="000000"/>
                <w:sz w:val="18"/>
                <w:szCs w:val="18"/>
              </w:rPr>
              <w:t>i</w:t>
            </w:r>
            <w:r w:rsidR="00436199" w:rsidRPr="00436199">
              <w:rPr>
                <w:rFonts w:ascii="Calibri" w:hAnsi="Calibri" w:cs="Calibri"/>
                <w:color w:val="000000"/>
                <w:sz w:val="18"/>
                <w:szCs w:val="18"/>
              </w:rPr>
              <w:t>nfrastructure</w:t>
            </w:r>
            <w:r w:rsidR="002A2525">
              <w:rPr>
                <w:rFonts w:ascii="Calibri" w:hAnsi="Calibri" w:cs="Calibri"/>
                <w:color w:val="000000"/>
                <w:sz w:val="18"/>
                <w:szCs w:val="18"/>
              </w:rPr>
              <w:t xml:space="preserve"> phase 1</w:t>
            </w:r>
          </w:p>
        </w:tc>
        <w:tc>
          <w:tcPr>
            <w:tcW w:w="967" w:type="dxa"/>
            <w:tcBorders>
              <w:top w:val="nil"/>
              <w:left w:val="nil"/>
              <w:bottom w:val="nil"/>
              <w:right w:val="nil"/>
              <w:tl2br w:val="nil"/>
              <w:tr2bl w:val="nil"/>
            </w:tcBorders>
            <w:shd w:val="clear" w:color="auto" w:fill="auto"/>
            <w:noWrap/>
            <w:tcMar>
              <w:left w:w="101" w:type="dxa"/>
              <w:right w:w="101" w:type="dxa"/>
            </w:tcMar>
          </w:tcPr>
          <w:p w14:paraId="7BE2671A"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-5,395</w:t>
            </w:r>
          </w:p>
        </w:tc>
        <w:tc>
          <w:tcPr>
            <w:tcW w:w="968" w:type="dxa"/>
            <w:tcBorders>
              <w:top w:val="nil"/>
              <w:left w:val="nil"/>
              <w:bottom w:val="nil"/>
              <w:right w:val="nil"/>
              <w:tl2br w:val="nil"/>
              <w:tr2bl w:val="nil"/>
            </w:tcBorders>
            <w:shd w:val="clear" w:color="auto" w:fill="auto"/>
            <w:noWrap/>
            <w:tcMar>
              <w:left w:w="101" w:type="dxa"/>
              <w:right w:w="101" w:type="dxa"/>
            </w:tcMar>
          </w:tcPr>
          <w:p w14:paraId="379A5BBD"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6,603</w:t>
            </w:r>
          </w:p>
        </w:tc>
        <w:tc>
          <w:tcPr>
            <w:tcW w:w="968" w:type="dxa"/>
            <w:tcBorders>
              <w:top w:val="nil"/>
              <w:left w:val="nil"/>
              <w:bottom w:val="nil"/>
              <w:right w:val="nil"/>
              <w:tl2br w:val="nil"/>
              <w:tr2bl w:val="nil"/>
            </w:tcBorders>
            <w:shd w:val="clear" w:color="auto" w:fill="auto"/>
            <w:noWrap/>
            <w:tcMar>
              <w:left w:w="101" w:type="dxa"/>
              <w:right w:w="101" w:type="dxa"/>
            </w:tcMar>
          </w:tcPr>
          <w:p w14:paraId="37BE2EE9"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61A84E7"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c>
          <w:tcPr>
            <w:tcW w:w="968" w:type="dxa"/>
            <w:tcBorders>
              <w:top w:val="nil"/>
              <w:left w:val="nil"/>
              <w:bottom w:val="nil"/>
              <w:right w:val="nil"/>
              <w:tl2br w:val="nil"/>
              <w:tr2bl w:val="nil"/>
            </w:tcBorders>
            <w:shd w:val="clear" w:color="auto" w:fill="auto"/>
            <w:noWrap/>
            <w:tcMar>
              <w:left w:w="101" w:type="dxa"/>
              <w:right w:w="101" w:type="dxa"/>
            </w:tcMar>
          </w:tcPr>
          <w:p w14:paraId="126946BF" w14:textId="77777777" w:rsidR="00496618" w:rsidRDefault="0027723F">
            <w:pPr>
              <w:pStyle w:val="Normal2"/>
              <w:jc w:val="right"/>
              <w:rPr>
                <w:rFonts w:ascii="Calibri" w:eastAsia="Calibri" w:hAnsi="Calibri" w:cs="Calibri"/>
                <w:color w:val="000000"/>
                <w:sz w:val="18"/>
              </w:rPr>
            </w:pPr>
            <w:r>
              <w:rPr>
                <w:rFonts w:ascii="Calibri" w:eastAsia="Calibri" w:hAnsi="Calibri" w:cs="Calibri"/>
                <w:color w:val="000000"/>
                <w:sz w:val="18"/>
              </w:rPr>
              <w:t>0</w:t>
            </w:r>
          </w:p>
        </w:tc>
      </w:tr>
      <w:tr w:rsidR="00496618" w14:paraId="235C3A76"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3060C36" w14:textId="77777777" w:rsidR="00496618" w:rsidRDefault="00496618">
            <w:pPr>
              <w:pStyle w:val="Normal2"/>
              <w:rPr>
                <w:rFonts w:ascii="Calibri" w:eastAsia="Calibri" w:hAnsi="Calibri" w:cs="Calibri"/>
                <w:color w:val="000000"/>
                <w:sz w:val="18"/>
              </w:rPr>
            </w:pPr>
          </w:p>
        </w:tc>
        <w:tc>
          <w:tcPr>
            <w:tcW w:w="967"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A0F224D" w14:textId="77777777" w:rsidR="00496618" w:rsidRDefault="00496618">
            <w:pPr>
              <w:pStyle w:val="Normal2"/>
              <w:rPr>
                <w:rFonts w:ascii="Calibri" w:eastAsia="Calibri" w:hAnsi="Calibri" w:cs="Calibri"/>
                <w:color w:val="000000"/>
                <w:sz w:val="18"/>
              </w:rPr>
            </w:pPr>
          </w:p>
        </w:tc>
        <w:tc>
          <w:tcPr>
            <w:tcW w:w="968"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1A39DAB" w14:textId="77777777" w:rsidR="00496618" w:rsidRDefault="00496618">
            <w:pPr>
              <w:pStyle w:val="Normal2"/>
              <w:rPr>
                <w:rFonts w:ascii="Calibri" w:eastAsia="Calibri" w:hAnsi="Calibri" w:cs="Calibri"/>
                <w:color w:val="000000"/>
                <w:sz w:val="18"/>
              </w:rPr>
            </w:pPr>
          </w:p>
        </w:tc>
        <w:tc>
          <w:tcPr>
            <w:tcW w:w="968"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CE494B9" w14:textId="77777777" w:rsidR="00496618" w:rsidRDefault="00496618">
            <w:pPr>
              <w:pStyle w:val="Normal2"/>
              <w:rPr>
                <w:rFonts w:ascii="Calibri" w:eastAsia="Calibri" w:hAnsi="Calibri" w:cs="Calibri"/>
                <w:color w:val="000000"/>
                <w:sz w:val="18"/>
              </w:rPr>
            </w:pPr>
          </w:p>
        </w:tc>
        <w:tc>
          <w:tcPr>
            <w:tcW w:w="968"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82A2A64" w14:textId="77777777" w:rsidR="00496618" w:rsidRDefault="00496618">
            <w:pPr>
              <w:pStyle w:val="Normal2"/>
              <w:rPr>
                <w:rFonts w:ascii="Calibri" w:eastAsia="Calibri" w:hAnsi="Calibri" w:cs="Calibri"/>
                <w:color w:val="000000"/>
                <w:sz w:val="18"/>
              </w:rPr>
            </w:pPr>
          </w:p>
        </w:tc>
        <w:tc>
          <w:tcPr>
            <w:tcW w:w="968"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4A9061C" w14:textId="77777777" w:rsidR="00496618" w:rsidRDefault="00496618">
            <w:pPr>
              <w:pStyle w:val="Normal2"/>
              <w:rPr>
                <w:rFonts w:ascii="Calibri" w:eastAsia="Calibri" w:hAnsi="Calibri" w:cs="Calibri"/>
                <w:color w:val="000000"/>
                <w:sz w:val="18"/>
              </w:rPr>
            </w:pPr>
          </w:p>
        </w:tc>
      </w:tr>
      <w:tr w:rsidR="00496618" w14:paraId="7545EA30"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243B95FD" w14:textId="77777777" w:rsidR="00496618" w:rsidRDefault="0027723F">
            <w:pPr>
              <w:pStyle w:val="Normal2"/>
              <w:rPr>
                <w:rFonts w:ascii="Calibri" w:eastAsia="Calibri" w:hAnsi="Calibri" w:cs="Calibri"/>
                <w:b/>
                <w:color w:val="000000"/>
                <w:sz w:val="18"/>
              </w:rPr>
            </w:pPr>
            <w:r>
              <w:rPr>
                <w:rFonts w:ascii="Calibri" w:eastAsia="Calibri" w:hAnsi="Calibri" w:cs="Calibri"/>
                <w:b/>
                <w:color w:val="000000"/>
                <w:sz w:val="18"/>
              </w:rPr>
              <w:t>2021-22 Budget</w:t>
            </w:r>
          </w:p>
        </w:tc>
        <w:tc>
          <w:tcPr>
            <w:tcW w:w="967"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CF5CB93"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8,807</w:t>
            </w:r>
          </w:p>
        </w:tc>
        <w:tc>
          <w:tcPr>
            <w:tcW w:w="968"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C8F96E1"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16,475</w:t>
            </w:r>
          </w:p>
        </w:tc>
        <w:tc>
          <w:tcPr>
            <w:tcW w:w="968"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B9BEC5C"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11,125</w:t>
            </w:r>
          </w:p>
        </w:tc>
        <w:tc>
          <w:tcPr>
            <w:tcW w:w="968"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7C76F39"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1,978</w:t>
            </w:r>
          </w:p>
        </w:tc>
        <w:tc>
          <w:tcPr>
            <w:tcW w:w="968"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7902A376" w14:textId="77777777" w:rsidR="00496618" w:rsidRDefault="0027723F">
            <w:pPr>
              <w:pStyle w:val="Normal2"/>
              <w:jc w:val="right"/>
              <w:rPr>
                <w:rFonts w:ascii="Calibri" w:eastAsia="Calibri" w:hAnsi="Calibri" w:cs="Calibri"/>
                <w:b/>
                <w:color w:val="000000"/>
                <w:sz w:val="18"/>
              </w:rPr>
            </w:pPr>
            <w:r>
              <w:rPr>
                <w:rFonts w:ascii="Calibri" w:eastAsia="Calibri" w:hAnsi="Calibri" w:cs="Calibri"/>
                <w:b/>
                <w:color w:val="000000"/>
                <w:sz w:val="18"/>
              </w:rPr>
              <w:t>1,002</w:t>
            </w:r>
          </w:p>
        </w:tc>
      </w:tr>
    </w:tbl>
    <w:p w14:paraId="16362B40" w14:textId="77777777" w:rsidR="001F6B18" w:rsidRPr="00D227CE" w:rsidRDefault="0027723F" w:rsidP="001F6B18">
      <w:pPr>
        <w:pStyle w:val="Caption"/>
        <w:pageBreakBefore/>
        <w:pBdr>
          <w:top w:val="nil"/>
          <w:left w:val="nil"/>
          <w:bottom w:val="nil"/>
          <w:right w:val="nil"/>
          <w:between w:val="nil"/>
          <w:bar w:val="nil"/>
        </w:pBdr>
        <w:rPr>
          <w:bdr w:val="nil"/>
        </w:rPr>
      </w:pPr>
      <w:r w:rsidRPr="00D227CE">
        <w:rPr>
          <w:bdr w:val="nil"/>
        </w:rPr>
        <w:lastRenderedPageBreak/>
        <w:t xml:space="preserve">Table </w:t>
      </w:r>
      <w:r>
        <w:rPr>
          <w:bdr w:val="nil"/>
        </w:rPr>
        <w:t>21</w:t>
      </w:r>
      <w:r w:rsidRPr="00D227CE">
        <w:rPr>
          <w:bdr w:val="nil"/>
        </w:rPr>
        <w:t>: Changes to appropriation – Capital Injections, Controlled</w:t>
      </w:r>
    </w:p>
    <w:tbl>
      <w:tblPr>
        <w:tblStyle w:val="CDMRange10"/>
        <w:tblW w:w="9639" w:type="dxa"/>
        <w:tblLayout w:type="fixed"/>
        <w:tblLook w:val="0600" w:firstRow="0" w:lastRow="0" w:firstColumn="0" w:lastColumn="0" w:noHBand="1" w:noVBand="1"/>
      </w:tblPr>
      <w:tblGrid>
        <w:gridCol w:w="5085"/>
        <w:gridCol w:w="910"/>
        <w:gridCol w:w="911"/>
        <w:gridCol w:w="911"/>
        <w:gridCol w:w="911"/>
        <w:gridCol w:w="911"/>
      </w:tblGrid>
      <w:tr w:rsidR="00496618" w14:paraId="387DADE2" w14:textId="77777777" w:rsidTr="00BD1609">
        <w:trPr>
          <w:trHeight w:val="945"/>
        </w:trPr>
        <w:tc>
          <w:tcPr>
            <w:tcW w:w="508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4713B8C1" w14:textId="77777777" w:rsidR="00496618" w:rsidRDefault="00496618">
            <w:pPr>
              <w:pStyle w:val="Normal3"/>
              <w:rPr>
                <w:rFonts w:ascii="Calibri" w:eastAsia="Calibri" w:hAnsi="Calibri" w:cs="Calibri"/>
                <w:color w:val="000000"/>
                <w:sz w:val="18"/>
              </w:rPr>
            </w:pPr>
          </w:p>
        </w:tc>
        <w:tc>
          <w:tcPr>
            <w:tcW w:w="91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AA3B0FC"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54C98A76"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911"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2D1C5AE"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2021-22 Budget</w:t>
            </w:r>
          </w:p>
          <w:p w14:paraId="549984DE" w14:textId="77777777" w:rsidR="00496618" w:rsidRDefault="00496618">
            <w:pPr>
              <w:pStyle w:val="Normal3"/>
              <w:jc w:val="right"/>
              <w:rPr>
                <w:rFonts w:ascii="Calibri" w:eastAsia="Calibri" w:hAnsi="Calibri" w:cs="Calibri"/>
                <w:b/>
                <w:color w:val="000000"/>
                <w:sz w:val="18"/>
              </w:rPr>
            </w:pPr>
          </w:p>
          <w:p w14:paraId="208B1EA1"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911"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422C222"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2022-23 Estimate</w:t>
            </w:r>
          </w:p>
          <w:p w14:paraId="147E5C4F" w14:textId="77777777" w:rsidR="00496618" w:rsidRDefault="00496618">
            <w:pPr>
              <w:pStyle w:val="Normal3"/>
              <w:jc w:val="right"/>
              <w:rPr>
                <w:rFonts w:ascii="Calibri" w:eastAsia="Calibri" w:hAnsi="Calibri" w:cs="Calibri"/>
                <w:b/>
                <w:color w:val="000000"/>
                <w:sz w:val="18"/>
              </w:rPr>
            </w:pPr>
          </w:p>
          <w:p w14:paraId="4EA800E4"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911"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E36FB87"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2023-24 Estimate</w:t>
            </w:r>
          </w:p>
          <w:p w14:paraId="3E5C3592" w14:textId="77777777" w:rsidR="00496618" w:rsidRDefault="00496618">
            <w:pPr>
              <w:pStyle w:val="Normal3"/>
              <w:jc w:val="right"/>
              <w:rPr>
                <w:rFonts w:ascii="Calibri" w:eastAsia="Calibri" w:hAnsi="Calibri" w:cs="Calibri"/>
                <w:b/>
                <w:color w:val="000000"/>
                <w:sz w:val="18"/>
              </w:rPr>
            </w:pPr>
          </w:p>
          <w:p w14:paraId="727FFF79"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911"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378B234"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2024-25 Estimate</w:t>
            </w:r>
          </w:p>
          <w:p w14:paraId="38594870" w14:textId="77777777" w:rsidR="00496618" w:rsidRDefault="00496618">
            <w:pPr>
              <w:pStyle w:val="Normal3"/>
              <w:jc w:val="right"/>
              <w:rPr>
                <w:rFonts w:ascii="Calibri" w:eastAsia="Calibri" w:hAnsi="Calibri" w:cs="Calibri"/>
                <w:b/>
                <w:color w:val="000000"/>
                <w:sz w:val="18"/>
              </w:rPr>
            </w:pPr>
          </w:p>
          <w:p w14:paraId="543CB878"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r>
      <w:tr w:rsidR="00496618" w14:paraId="05A2B60E"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08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8848C38" w14:textId="77777777" w:rsidR="00496618" w:rsidRDefault="00496618">
            <w:pPr>
              <w:pStyle w:val="Normal3"/>
              <w:rPr>
                <w:rFonts w:ascii="Calibri" w:eastAsia="Calibri" w:hAnsi="Calibri" w:cs="Calibri"/>
                <w:color w:val="000000"/>
                <w:sz w:val="18"/>
              </w:rPr>
            </w:pPr>
          </w:p>
        </w:tc>
        <w:tc>
          <w:tcPr>
            <w:tcW w:w="91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004275F" w14:textId="77777777" w:rsidR="00496618" w:rsidRDefault="00496618">
            <w:pPr>
              <w:pStyle w:val="Normal3"/>
              <w:rPr>
                <w:rFonts w:ascii="Calibri" w:eastAsia="Calibri" w:hAnsi="Calibri" w:cs="Calibri"/>
                <w:color w:val="000000"/>
                <w:sz w:val="18"/>
              </w:rPr>
            </w:pPr>
          </w:p>
        </w:tc>
        <w:tc>
          <w:tcPr>
            <w:tcW w:w="911"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A6737FC" w14:textId="77777777" w:rsidR="00496618" w:rsidRDefault="00496618">
            <w:pPr>
              <w:pStyle w:val="Normal3"/>
              <w:rPr>
                <w:rFonts w:ascii="Calibri" w:eastAsia="Calibri" w:hAnsi="Calibri" w:cs="Calibri"/>
                <w:color w:val="000000"/>
                <w:sz w:val="18"/>
              </w:rPr>
            </w:pPr>
          </w:p>
        </w:tc>
        <w:tc>
          <w:tcPr>
            <w:tcW w:w="911"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4DB9B88" w14:textId="77777777" w:rsidR="00496618" w:rsidRDefault="00496618">
            <w:pPr>
              <w:pStyle w:val="Normal3"/>
              <w:rPr>
                <w:rFonts w:ascii="Calibri" w:eastAsia="Calibri" w:hAnsi="Calibri" w:cs="Calibri"/>
                <w:color w:val="000000"/>
                <w:sz w:val="18"/>
              </w:rPr>
            </w:pPr>
          </w:p>
        </w:tc>
        <w:tc>
          <w:tcPr>
            <w:tcW w:w="911"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7EA9A35" w14:textId="77777777" w:rsidR="00496618" w:rsidRDefault="00496618">
            <w:pPr>
              <w:pStyle w:val="Normal3"/>
              <w:rPr>
                <w:rFonts w:ascii="Calibri" w:eastAsia="Calibri" w:hAnsi="Calibri" w:cs="Calibri"/>
                <w:color w:val="000000"/>
                <w:sz w:val="18"/>
              </w:rPr>
            </w:pPr>
          </w:p>
        </w:tc>
        <w:tc>
          <w:tcPr>
            <w:tcW w:w="911"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E2AA903" w14:textId="77777777" w:rsidR="00496618" w:rsidRDefault="00496618">
            <w:pPr>
              <w:pStyle w:val="Normal3"/>
              <w:rPr>
                <w:rFonts w:ascii="Calibri" w:eastAsia="Calibri" w:hAnsi="Calibri" w:cs="Calibri"/>
                <w:color w:val="000000"/>
                <w:sz w:val="18"/>
              </w:rPr>
            </w:pPr>
          </w:p>
        </w:tc>
      </w:tr>
      <w:tr w:rsidR="00496618" w14:paraId="71385486"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3"/>
        </w:trPr>
        <w:tc>
          <w:tcPr>
            <w:tcW w:w="5085" w:type="dxa"/>
            <w:tcBorders>
              <w:top w:val="nil"/>
              <w:left w:val="nil"/>
              <w:bottom w:val="nil"/>
              <w:right w:val="nil"/>
              <w:tl2br w:val="nil"/>
              <w:tr2bl w:val="nil"/>
            </w:tcBorders>
            <w:shd w:val="clear" w:color="auto" w:fill="auto"/>
            <w:noWrap/>
            <w:tcMar>
              <w:left w:w="101" w:type="dxa"/>
              <w:right w:w="101" w:type="dxa"/>
            </w:tcMar>
            <w:vAlign w:val="bottom"/>
          </w:tcPr>
          <w:p w14:paraId="2FD4913A" w14:textId="77777777" w:rsidR="00496618" w:rsidRDefault="0027723F">
            <w:pPr>
              <w:pStyle w:val="Normal3"/>
              <w:rPr>
                <w:rFonts w:ascii="Calibri" w:eastAsia="Calibri" w:hAnsi="Calibri" w:cs="Calibri"/>
                <w:b/>
                <w:color w:val="000000"/>
                <w:sz w:val="18"/>
              </w:rPr>
            </w:pPr>
            <w:r>
              <w:rPr>
                <w:rFonts w:ascii="Calibri" w:eastAsia="Calibri" w:hAnsi="Calibri" w:cs="Calibri"/>
                <w:b/>
                <w:color w:val="000000"/>
                <w:sz w:val="18"/>
              </w:rPr>
              <w:t>2020-21 Budget</w:t>
            </w:r>
          </w:p>
        </w:tc>
        <w:tc>
          <w:tcPr>
            <w:tcW w:w="910" w:type="dxa"/>
            <w:tcBorders>
              <w:top w:val="nil"/>
              <w:left w:val="nil"/>
              <w:bottom w:val="nil"/>
              <w:right w:val="nil"/>
              <w:tl2br w:val="nil"/>
              <w:tr2bl w:val="nil"/>
            </w:tcBorders>
            <w:shd w:val="clear" w:color="auto" w:fill="auto"/>
            <w:noWrap/>
            <w:tcMar>
              <w:left w:w="101" w:type="dxa"/>
              <w:right w:w="101" w:type="dxa"/>
            </w:tcMar>
            <w:vAlign w:val="bottom"/>
          </w:tcPr>
          <w:p w14:paraId="08D420D6"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34,610</w:t>
            </w:r>
          </w:p>
        </w:tc>
        <w:tc>
          <w:tcPr>
            <w:tcW w:w="911" w:type="dxa"/>
            <w:tcBorders>
              <w:top w:val="nil"/>
              <w:left w:val="nil"/>
              <w:bottom w:val="nil"/>
              <w:right w:val="nil"/>
              <w:tl2br w:val="nil"/>
              <w:tr2bl w:val="nil"/>
            </w:tcBorders>
            <w:shd w:val="clear" w:color="auto" w:fill="auto"/>
            <w:noWrap/>
            <w:tcMar>
              <w:left w:w="101" w:type="dxa"/>
              <w:right w:w="101" w:type="dxa"/>
            </w:tcMar>
            <w:vAlign w:val="bottom"/>
          </w:tcPr>
          <w:p w14:paraId="4CFC5F26"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66,293</w:t>
            </w:r>
          </w:p>
        </w:tc>
        <w:tc>
          <w:tcPr>
            <w:tcW w:w="911" w:type="dxa"/>
            <w:tcBorders>
              <w:top w:val="nil"/>
              <w:left w:val="nil"/>
              <w:bottom w:val="nil"/>
              <w:right w:val="nil"/>
              <w:tl2br w:val="nil"/>
              <w:tr2bl w:val="nil"/>
            </w:tcBorders>
            <w:shd w:val="clear" w:color="auto" w:fill="auto"/>
            <w:noWrap/>
            <w:tcMar>
              <w:left w:w="101" w:type="dxa"/>
              <w:right w:w="101" w:type="dxa"/>
            </w:tcMar>
            <w:vAlign w:val="bottom"/>
          </w:tcPr>
          <w:p w14:paraId="08DB117F"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36,071</w:t>
            </w:r>
          </w:p>
        </w:tc>
        <w:tc>
          <w:tcPr>
            <w:tcW w:w="911" w:type="dxa"/>
            <w:tcBorders>
              <w:top w:val="nil"/>
              <w:left w:val="nil"/>
              <w:bottom w:val="nil"/>
              <w:right w:val="nil"/>
              <w:tl2br w:val="nil"/>
              <w:tr2bl w:val="nil"/>
            </w:tcBorders>
            <w:shd w:val="clear" w:color="auto" w:fill="auto"/>
            <w:noWrap/>
            <w:tcMar>
              <w:left w:w="101" w:type="dxa"/>
              <w:right w:w="101" w:type="dxa"/>
            </w:tcMar>
            <w:vAlign w:val="bottom"/>
          </w:tcPr>
          <w:p w14:paraId="573ADCB3"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5,499</w:t>
            </w:r>
          </w:p>
        </w:tc>
        <w:tc>
          <w:tcPr>
            <w:tcW w:w="911" w:type="dxa"/>
            <w:tcBorders>
              <w:top w:val="nil"/>
              <w:left w:val="nil"/>
              <w:bottom w:val="nil"/>
              <w:right w:val="nil"/>
              <w:tl2br w:val="nil"/>
              <w:tr2bl w:val="nil"/>
            </w:tcBorders>
            <w:shd w:val="clear" w:color="auto" w:fill="auto"/>
            <w:noWrap/>
            <w:tcMar>
              <w:left w:w="101" w:type="dxa"/>
              <w:right w:w="101" w:type="dxa"/>
            </w:tcMar>
            <w:vAlign w:val="bottom"/>
          </w:tcPr>
          <w:p w14:paraId="08319546"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11,273</w:t>
            </w:r>
          </w:p>
        </w:tc>
      </w:tr>
      <w:tr w:rsidR="00496618" w14:paraId="07125266"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0" w:type="dxa"/>
              <w:right w:w="0" w:type="dxa"/>
            </w:tcMar>
            <w:vAlign w:val="bottom"/>
          </w:tcPr>
          <w:p w14:paraId="6A53492C" w14:textId="77777777" w:rsidR="00496618" w:rsidRDefault="00496618">
            <w:pPr>
              <w:pStyle w:val="Normal3"/>
              <w:rPr>
                <w:rFonts w:ascii="Calibri" w:eastAsia="Calibri" w:hAnsi="Calibri" w:cs="Calibri"/>
                <w:color w:val="000000"/>
                <w:sz w:val="18"/>
              </w:rPr>
            </w:pPr>
          </w:p>
        </w:tc>
        <w:tc>
          <w:tcPr>
            <w:tcW w:w="910" w:type="dxa"/>
            <w:tcBorders>
              <w:top w:val="nil"/>
              <w:left w:val="nil"/>
              <w:bottom w:val="nil"/>
              <w:right w:val="nil"/>
              <w:tl2br w:val="nil"/>
              <w:tr2bl w:val="nil"/>
            </w:tcBorders>
            <w:shd w:val="clear" w:color="auto" w:fill="auto"/>
            <w:noWrap/>
            <w:tcMar>
              <w:left w:w="0" w:type="dxa"/>
              <w:right w:w="0" w:type="dxa"/>
            </w:tcMar>
            <w:vAlign w:val="bottom"/>
          </w:tcPr>
          <w:p w14:paraId="182B0A02" w14:textId="77777777" w:rsidR="00496618" w:rsidRDefault="00496618">
            <w:pPr>
              <w:pStyle w:val="Normal3"/>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462BAD37" w14:textId="77777777" w:rsidR="00496618" w:rsidRDefault="00496618">
            <w:pPr>
              <w:pStyle w:val="Normal3"/>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14A1038E" w14:textId="77777777" w:rsidR="00496618" w:rsidRDefault="00496618">
            <w:pPr>
              <w:pStyle w:val="Normal3"/>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001219A2" w14:textId="77777777" w:rsidR="00496618" w:rsidRDefault="00496618">
            <w:pPr>
              <w:pStyle w:val="Normal3"/>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516E146C" w14:textId="77777777" w:rsidR="00496618" w:rsidRDefault="00496618">
            <w:pPr>
              <w:pStyle w:val="Normal3"/>
              <w:rPr>
                <w:rFonts w:ascii="Calibri" w:eastAsia="Calibri" w:hAnsi="Calibri" w:cs="Calibri"/>
                <w:color w:val="000000"/>
                <w:sz w:val="18"/>
              </w:rPr>
            </w:pPr>
          </w:p>
        </w:tc>
      </w:tr>
      <w:tr w:rsidR="00496618" w14:paraId="7C8ABAD3"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vAlign w:val="bottom"/>
          </w:tcPr>
          <w:p w14:paraId="64EFC807" w14:textId="77777777" w:rsidR="00496618" w:rsidRDefault="0027723F">
            <w:pPr>
              <w:pStyle w:val="Normal3"/>
              <w:rPr>
                <w:rFonts w:ascii="Calibri" w:eastAsia="Calibri" w:hAnsi="Calibri" w:cs="Calibri"/>
                <w:b/>
                <w:color w:val="000000"/>
                <w:sz w:val="18"/>
              </w:rPr>
            </w:pPr>
            <w:r>
              <w:rPr>
                <w:rFonts w:ascii="Calibri" w:eastAsia="Calibri" w:hAnsi="Calibri" w:cs="Calibri"/>
                <w:b/>
                <w:color w:val="000000"/>
                <w:sz w:val="18"/>
              </w:rPr>
              <w:t>2021-22 Budget Policy Decisions</w:t>
            </w:r>
          </w:p>
        </w:tc>
        <w:tc>
          <w:tcPr>
            <w:tcW w:w="910" w:type="dxa"/>
            <w:tcBorders>
              <w:top w:val="nil"/>
              <w:left w:val="nil"/>
              <w:bottom w:val="nil"/>
              <w:right w:val="nil"/>
              <w:tl2br w:val="nil"/>
              <w:tr2bl w:val="nil"/>
            </w:tcBorders>
            <w:shd w:val="clear" w:color="auto" w:fill="auto"/>
            <w:noWrap/>
            <w:tcMar>
              <w:left w:w="0" w:type="dxa"/>
              <w:right w:w="0" w:type="dxa"/>
            </w:tcMar>
            <w:vAlign w:val="bottom"/>
          </w:tcPr>
          <w:p w14:paraId="5DD99E7D" w14:textId="77777777" w:rsidR="00496618" w:rsidRDefault="00496618">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00A21B79" w14:textId="77777777" w:rsidR="00496618" w:rsidRDefault="00496618">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6604A04F" w14:textId="77777777" w:rsidR="00496618" w:rsidRDefault="00496618">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5A86EF1C" w14:textId="77777777" w:rsidR="00496618" w:rsidRDefault="00496618">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058FE682" w14:textId="77777777" w:rsidR="00496618" w:rsidRDefault="00496618">
            <w:pPr>
              <w:pStyle w:val="Normal3"/>
              <w:rPr>
                <w:rFonts w:ascii="Calibri" w:eastAsia="Calibri" w:hAnsi="Calibri" w:cs="Calibri"/>
                <w:color w:val="FFFFFF"/>
                <w:sz w:val="18"/>
              </w:rPr>
            </w:pPr>
          </w:p>
        </w:tc>
      </w:tr>
      <w:tr w:rsidR="004169C3" w14:paraId="6FD604CC"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vAlign w:val="bottom"/>
          </w:tcPr>
          <w:p w14:paraId="736F9734" w14:textId="77777777" w:rsidR="004169C3" w:rsidRDefault="004169C3">
            <w:pPr>
              <w:pStyle w:val="Normal3"/>
              <w:rPr>
                <w:rFonts w:ascii="Calibri" w:eastAsia="Calibri" w:hAnsi="Calibri" w:cs="Calibri"/>
                <w:b/>
                <w:color w:val="000000"/>
                <w:sz w:val="18"/>
              </w:rPr>
            </w:pPr>
          </w:p>
        </w:tc>
        <w:tc>
          <w:tcPr>
            <w:tcW w:w="910" w:type="dxa"/>
            <w:tcBorders>
              <w:top w:val="nil"/>
              <w:left w:val="nil"/>
              <w:bottom w:val="nil"/>
              <w:right w:val="nil"/>
              <w:tl2br w:val="nil"/>
              <w:tr2bl w:val="nil"/>
            </w:tcBorders>
            <w:shd w:val="clear" w:color="auto" w:fill="auto"/>
            <w:noWrap/>
            <w:tcMar>
              <w:left w:w="0" w:type="dxa"/>
              <w:right w:w="0" w:type="dxa"/>
            </w:tcMar>
            <w:vAlign w:val="bottom"/>
          </w:tcPr>
          <w:p w14:paraId="1B0890D1" w14:textId="77777777" w:rsidR="004169C3" w:rsidRDefault="004169C3">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32A85D32" w14:textId="77777777" w:rsidR="004169C3" w:rsidRDefault="004169C3">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000C14A5" w14:textId="77777777" w:rsidR="004169C3" w:rsidRDefault="004169C3">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6A80AA5F" w14:textId="77777777" w:rsidR="004169C3" w:rsidRDefault="004169C3">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6514F3B3" w14:textId="77777777" w:rsidR="004169C3" w:rsidRDefault="004169C3">
            <w:pPr>
              <w:pStyle w:val="Normal3"/>
              <w:rPr>
                <w:rFonts w:ascii="Calibri" w:eastAsia="Calibri" w:hAnsi="Calibri" w:cs="Calibri"/>
                <w:color w:val="FFFFFF"/>
                <w:sz w:val="18"/>
              </w:rPr>
            </w:pPr>
          </w:p>
        </w:tc>
      </w:tr>
      <w:tr w:rsidR="004169C3" w:rsidRPr="004169C3" w14:paraId="5AC3CF72"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vAlign w:val="bottom"/>
          </w:tcPr>
          <w:p w14:paraId="3CB0CCC9" w14:textId="1DB22028" w:rsidR="004169C3" w:rsidRPr="004169C3" w:rsidRDefault="004169C3">
            <w:pPr>
              <w:pStyle w:val="Normal3"/>
              <w:rPr>
                <w:rFonts w:ascii="Calibri" w:eastAsia="Calibri" w:hAnsi="Calibri" w:cs="Calibri"/>
                <w:b/>
                <w:color w:val="000000"/>
                <w:sz w:val="18"/>
                <w:u w:val="single"/>
              </w:rPr>
            </w:pPr>
            <w:r w:rsidRPr="004169C3">
              <w:rPr>
                <w:rFonts w:ascii="Calibri" w:eastAsia="Calibri" w:hAnsi="Calibri" w:cs="Calibri"/>
                <w:color w:val="000000"/>
                <w:sz w:val="18"/>
                <w:u w:val="single"/>
              </w:rPr>
              <w:t>COVID-19</w:t>
            </w:r>
            <w:r w:rsidR="0049031E">
              <w:rPr>
                <w:rFonts w:ascii="Calibri" w:eastAsia="Calibri" w:hAnsi="Calibri" w:cs="Calibri"/>
                <w:color w:val="000000"/>
                <w:sz w:val="18"/>
                <w:u w:val="single"/>
              </w:rPr>
              <w:t xml:space="preserve"> Response</w:t>
            </w:r>
          </w:p>
        </w:tc>
        <w:tc>
          <w:tcPr>
            <w:tcW w:w="910" w:type="dxa"/>
            <w:tcBorders>
              <w:top w:val="nil"/>
              <w:left w:val="nil"/>
              <w:bottom w:val="nil"/>
              <w:right w:val="nil"/>
              <w:tl2br w:val="nil"/>
              <w:tr2bl w:val="nil"/>
            </w:tcBorders>
            <w:shd w:val="clear" w:color="auto" w:fill="auto"/>
            <w:noWrap/>
            <w:tcMar>
              <w:left w:w="0" w:type="dxa"/>
              <w:right w:w="0" w:type="dxa"/>
            </w:tcMar>
            <w:vAlign w:val="bottom"/>
          </w:tcPr>
          <w:p w14:paraId="65AD0439" w14:textId="77777777" w:rsidR="004169C3" w:rsidRPr="004169C3" w:rsidRDefault="004169C3">
            <w:pPr>
              <w:pStyle w:val="Normal3"/>
              <w:rPr>
                <w:rFonts w:ascii="Calibri" w:eastAsia="Calibri" w:hAnsi="Calibri" w:cs="Calibri"/>
                <w:color w:val="FFFFFF"/>
                <w:sz w:val="18"/>
                <w:u w:val="single"/>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3987EA4E" w14:textId="77777777" w:rsidR="004169C3" w:rsidRPr="004169C3" w:rsidRDefault="004169C3">
            <w:pPr>
              <w:pStyle w:val="Normal3"/>
              <w:rPr>
                <w:rFonts w:ascii="Calibri" w:eastAsia="Calibri" w:hAnsi="Calibri" w:cs="Calibri"/>
                <w:color w:val="FFFFFF"/>
                <w:sz w:val="18"/>
                <w:u w:val="single"/>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2E3485E2" w14:textId="77777777" w:rsidR="004169C3" w:rsidRPr="004169C3" w:rsidRDefault="004169C3">
            <w:pPr>
              <w:pStyle w:val="Normal3"/>
              <w:rPr>
                <w:rFonts w:ascii="Calibri" w:eastAsia="Calibri" w:hAnsi="Calibri" w:cs="Calibri"/>
                <w:color w:val="FFFFFF"/>
                <w:sz w:val="18"/>
                <w:u w:val="single"/>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3000F6E2" w14:textId="77777777" w:rsidR="004169C3" w:rsidRPr="004169C3" w:rsidRDefault="004169C3">
            <w:pPr>
              <w:pStyle w:val="Normal3"/>
              <w:rPr>
                <w:rFonts w:ascii="Calibri" w:eastAsia="Calibri" w:hAnsi="Calibri" w:cs="Calibri"/>
                <w:color w:val="FFFFFF"/>
                <w:sz w:val="18"/>
                <w:u w:val="single"/>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300C1664" w14:textId="77777777" w:rsidR="004169C3" w:rsidRPr="004169C3" w:rsidRDefault="004169C3">
            <w:pPr>
              <w:pStyle w:val="Normal3"/>
              <w:rPr>
                <w:rFonts w:ascii="Calibri" w:eastAsia="Calibri" w:hAnsi="Calibri" w:cs="Calibri"/>
                <w:color w:val="FFFFFF"/>
                <w:sz w:val="18"/>
                <w:u w:val="single"/>
              </w:rPr>
            </w:pPr>
          </w:p>
        </w:tc>
      </w:tr>
      <w:tr w:rsidR="00496618" w14:paraId="0A0C6B5F"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85" w:type="dxa"/>
            <w:tcBorders>
              <w:top w:val="nil"/>
              <w:left w:val="nil"/>
              <w:bottom w:val="nil"/>
              <w:right w:val="nil"/>
              <w:tl2br w:val="nil"/>
              <w:tr2bl w:val="nil"/>
            </w:tcBorders>
            <w:shd w:val="clear" w:color="auto" w:fill="auto"/>
            <w:tcMar>
              <w:left w:w="101" w:type="dxa"/>
              <w:right w:w="101" w:type="dxa"/>
            </w:tcMar>
          </w:tcPr>
          <w:p w14:paraId="712E3A4B" w14:textId="060E1B19" w:rsidR="00496618" w:rsidRDefault="0049031E">
            <w:pPr>
              <w:pStyle w:val="Normal3"/>
              <w:rPr>
                <w:rFonts w:ascii="Calibri" w:eastAsia="Calibri" w:hAnsi="Calibri" w:cs="Calibri"/>
                <w:color w:val="000000"/>
                <w:sz w:val="18"/>
              </w:rPr>
            </w:pPr>
            <w:r w:rsidRPr="0049031E">
              <w:rPr>
                <w:rFonts w:ascii="Calibri" w:eastAsia="Calibri" w:hAnsi="Calibri" w:cs="Calibri"/>
                <w:color w:val="000000"/>
                <w:sz w:val="18"/>
              </w:rPr>
              <w:t>Continuing the COVID-19 Public Health support package</w:t>
            </w:r>
          </w:p>
        </w:tc>
        <w:tc>
          <w:tcPr>
            <w:tcW w:w="910" w:type="dxa"/>
            <w:tcBorders>
              <w:top w:val="nil"/>
              <w:left w:val="nil"/>
              <w:bottom w:val="nil"/>
              <w:right w:val="nil"/>
              <w:tl2br w:val="nil"/>
              <w:tr2bl w:val="nil"/>
            </w:tcBorders>
            <w:shd w:val="clear" w:color="auto" w:fill="auto"/>
            <w:noWrap/>
            <w:tcMar>
              <w:left w:w="101" w:type="dxa"/>
              <w:right w:w="101" w:type="dxa"/>
            </w:tcMar>
          </w:tcPr>
          <w:p w14:paraId="157F4303"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4E3A95FE"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480</w:t>
            </w:r>
          </w:p>
        </w:tc>
        <w:tc>
          <w:tcPr>
            <w:tcW w:w="911" w:type="dxa"/>
            <w:tcBorders>
              <w:top w:val="nil"/>
              <w:left w:val="nil"/>
              <w:bottom w:val="nil"/>
              <w:right w:val="nil"/>
              <w:tl2br w:val="nil"/>
              <w:tr2bl w:val="nil"/>
            </w:tcBorders>
            <w:shd w:val="clear" w:color="auto" w:fill="auto"/>
            <w:noWrap/>
            <w:tcMar>
              <w:left w:w="101" w:type="dxa"/>
              <w:right w:w="101" w:type="dxa"/>
            </w:tcMar>
          </w:tcPr>
          <w:p w14:paraId="38990B30"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624F0913"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0D1C198A"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169C3" w14:paraId="4DBF5CAC"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85" w:type="dxa"/>
            <w:tcBorders>
              <w:top w:val="nil"/>
              <w:left w:val="nil"/>
              <w:bottom w:val="nil"/>
              <w:right w:val="nil"/>
              <w:tl2br w:val="nil"/>
              <w:tr2bl w:val="nil"/>
            </w:tcBorders>
            <w:shd w:val="clear" w:color="auto" w:fill="auto"/>
            <w:tcMar>
              <w:left w:w="101" w:type="dxa"/>
              <w:right w:w="101" w:type="dxa"/>
            </w:tcMar>
          </w:tcPr>
          <w:p w14:paraId="22BE1C0B" w14:textId="77777777" w:rsidR="004169C3" w:rsidRDefault="004169C3">
            <w:pPr>
              <w:pStyle w:val="Normal3"/>
              <w:rPr>
                <w:rFonts w:ascii="Calibri" w:eastAsia="Calibri" w:hAnsi="Calibri" w:cs="Calibri"/>
                <w:color w:val="000000"/>
                <w:sz w:val="18"/>
              </w:rPr>
            </w:pPr>
          </w:p>
        </w:tc>
        <w:tc>
          <w:tcPr>
            <w:tcW w:w="910" w:type="dxa"/>
            <w:tcBorders>
              <w:top w:val="nil"/>
              <w:left w:val="nil"/>
              <w:bottom w:val="nil"/>
              <w:right w:val="nil"/>
              <w:tl2br w:val="nil"/>
              <w:tr2bl w:val="nil"/>
            </w:tcBorders>
            <w:shd w:val="clear" w:color="auto" w:fill="auto"/>
            <w:noWrap/>
            <w:tcMar>
              <w:left w:w="101" w:type="dxa"/>
              <w:right w:w="101" w:type="dxa"/>
            </w:tcMar>
          </w:tcPr>
          <w:p w14:paraId="7246A936"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1BD666F1"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0B37FBCD"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7DC3AF8D"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5732AA62" w14:textId="77777777" w:rsidR="004169C3" w:rsidRDefault="004169C3">
            <w:pPr>
              <w:pStyle w:val="Normal3"/>
              <w:jc w:val="right"/>
              <w:rPr>
                <w:rFonts w:ascii="Calibri" w:eastAsia="Calibri" w:hAnsi="Calibri" w:cs="Calibri"/>
                <w:color w:val="000000"/>
                <w:sz w:val="18"/>
              </w:rPr>
            </w:pPr>
          </w:p>
        </w:tc>
      </w:tr>
      <w:tr w:rsidR="004169C3" w:rsidRPr="004169C3" w14:paraId="0D8727F4"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85" w:type="dxa"/>
            <w:tcBorders>
              <w:top w:val="nil"/>
              <w:left w:val="nil"/>
              <w:bottom w:val="nil"/>
              <w:right w:val="nil"/>
              <w:tl2br w:val="nil"/>
              <w:tr2bl w:val="nil"/>
            </w:tcBorders>
            <w:shd w:val="clear" w:color="auto" w:fill="auto"/>
            <w:tcMar>
              <w:left w:w="101" w:type="dxa"/>
              <w:right w:w="101" w:type="dxa"/>
            </w:tcMar>
          </w:tcPr>
          <w:p w14:paraId="047E98FE" w14:textId="033E6593" w:rsidR="004169C3" w:rsidRPr="004169C3" w:rsidRDefault="0049031E">
            <w:pPr>
              <w:pStyle w:val="Normal3"/>
              <w:rPr>
                <w:rFonts w:ascii="Calibri" w:eastAsia="Calibri" w:hAnsi="Calibri" w:cs="Calibri"/>
                <w:color w:val="000000"/>
                <w:sz w:val="18"/>
                <w:u w:val="single"/>
              </w:rPr>
            </w:pPr>
            <w:r w:rsidRPr="0049031E">
              <w:rPr>
                <w:rFonts w:ascii="Calibri" w:eastAsia="Calibri" w:hAnsi="Calibri" w:cs="Calibri"/>
                <w:color w:val="000000"/>
                <w:sz w:val="18"/>
                <w:u w:val="single"/>
              </w:rPr>
              <w:t>Improving Canberra’s health infrastructure</w:t>
            </w:r>
          </w:p>
        </w:tc>
        <w:tc>
          <w:tcPr>
            <w:tcW w:w="910" w:type="dxa"/>
            <w:tcBorders>
              <w:top w:val="nil"/>
              <w:left w:val="nil"/>
              <w:bottom w:val="nil"/>
              <w:right w:val="nil"/>
              <w:tl2br w:val="nil"/>
              <w:tr2bl w:val="nil"/>
            </w:tcBorders>
            <w:shd w:val="clear" w:color="auto" w:fill="auto"/>
            <w:noWrap/>
            <w:tcMar>
              <w:left w:w="101" w:type="dxa"/>
              <w:right w:w="101" w:type="dxa"/>
            </w:tcMar>
          </w:tcPr>
          <w:p w14:paraId="07C003FF" w14:textId="77777777" w:rsidR="004169C3" w:rsidRPr="004169C3" w:rsidRDefault="004169C3">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6C660F30" w14:textId="77777777" w:rsidR="004169C3" w:rsidRPr="004169C3" w:rsidRDefault="004169C3">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226192E9" w14:textId="77777777" w:rsidR="004169C3" w:rsidRPr="004169C3" w:rsidRDefault="004169C3">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144DCBF0" w14:textId="77777777" w:rsidR="004169C3" w:rsidRPr="004169C3" w:rsidRDefault="004169C3">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0795811F" w14:textId="77777777" w:rsidR="004169C3" w:rsidRPr="004169C3" w:rsidRDefault="004169C3">
            <w:pPr>
              <w:pStyle w:val="Normal3"/>
              <w:jc w:val="right"/>
              <w:rPr>
                <w:rFonts w:ascii="Calibri" w:eastAsia="Calibri" w:hAnsi="Calibri" w:cs="Calibri"/>
                <w:color w:val="000000"/>
                <w:sz w:val="18"/>
                <w:u w:val="single"/>
              </w:rPr>
            </w:pPr>
          </w:p>
        </w:tc>
      </w:tr>
      <w:tr w:rsidR="00496618" w14:paraId="5460B9BC"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tcPr>
          <w:p w14:paraId="197FE3BF" w14:textId="558E7195" w:rsidR="00496618" w:rsidRDefault="0027723F">
            <w:pPr>
              <w:pStyle w:val="Normal3"/>
              <w:rPr>
                <w:rFonts w:ascii="Calibri" w:eastAsia="Calibri" w:hAnsi="Calibri" w:cs="Calibri"/>
                <w:color w:val="000000"/>
                <w:sz w:val="18"/>
              </w:rPr>
            </w:pPr>
            <w:r>
              <w:rPr>
                <w:rFonts w:ascii="Calibri" w:eastAsia="Calibri" w:hAnsi="Calibri" w:cs="Calibri"/>
                <w:color w:val="000000"/>
                <w:sz w:val="18"/>
              </w:rPr>
              <w:t>A new carpark at Canberra Hospital</w:t>
            </w:r>
          </w:p>
        </w:tc>
        <w:tc>
          <w:tcPr>
            <w:tcW w:w="910" w:type="dxa"/>
            <w:tcBorders>
              <w:top w:val="nil"/>
              <w:left w:val="nil"/>
              <w:bottom w:val="nil"/>
              <w:right w:val="nil"/>
              <w:tl2br w:val="nil"/>
              <w:tr2bl w:val="nil"/>
            </w:tcBorders>
            <w:shd w:val="clear" w:color="auto" w:fill="auto"/>
            <w:noWrap/>
            <w:tcMar>
              <w:left w:w="101" w:type="dxa"/>
              <w:right w:w="101" w:type="dxa"/>
            </w:tcMar>
          </w:tcPr>
          <w:p w14:paraId="5A50CDC2"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68F26E3B"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500</w:t>
            </w:r>
          </w:p>
        </w:tc>
        <w:tc>
          <w:tcPr>
            <w:tcW w:w="911" w:type="dxa"/>
            <w:tcBorders>
              <w:top w:val="nil"/>
              <w:left w:val="nil"/>
              <w:bottom w:val="nil"/>
              <w:right w:val="nil"/>
              <w:tl2br w:val="nil"/>
              <w:tr2bl w:val="nil"/>
            </w:tcBorders>
            <w:shd w:val="clear" w:color="auto" w:fill="auto"/>
            <w:noWrap/>
            <w:tcMar>
              <w:left w:w="101" w:type="dxa"/>
              <w:right w:w="101" w:type="dxa"/>
            </w:tcMar>
          </w:tcPr>
          <w:p w14:paraId="377BB6B5"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2,500</w:t>
            </w:r>
          </w:p>
        </w:tc>
        <w:tc>
          <w:tcPr>
            <w:tcW w:w="911" w:type="dxa"/>
            <w:tcBorders>
              <w:top w:val="nil"/>
              <w:left w:val="nil"/>
              <w:bottom w:val="nil"/>
              <w:right w:val="nil"/>
              <w:tl2br w:val="nil"/>
              <w:tr2bl w:val="nil"/>
            </w:tcBorders>
            <w:shd w:val="clear" w:color="auto" w:fill="auto"/>
            <w:noWrap/>
            <w:tcMar>
              <w:left w:w="101" w:type="dxa"/>
              <w:right w:w="101" w:type="dxa"/>
            </w:tcMar>
          </w:tcPr>
          <w:p w14:paraId="201D1F76"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184CC650"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580B06" w14:paraId="2D7CF6A9"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tcPr>
          <w:p w14:paraId="6F16BEDC" w14:textId="2FE4B9FE" w:rsidR="00580B06" w:rsidRDefault="0049031E" w:rsidP="00436199">
            <w:pPr>
              <w:pStyle w:val="Normal7"/>
              <w:rPr>
                <w:rFonts w:ascii="Calibri" w:eastAsia="Calibri" w:hAnsi="Calibri" w:cs="Calibri"/>
                <w:color w:val="000000"/>
                <w:sz w:val="18"/>
              </w:rPr>
            </w:pPr>
            <w:r w:rsidRPr="0049031E">
              <w:rPr>
                <w:rFonts w:ascii="Calibri" w:hAnsi="Calibri" w:cs="Calibri"/>
                <w:color w:val="000000"/>
                <w:sz w:val="18"/>
                <w:szCs w:val="18"/>
              </w:rPr>
              <w:t>Calvary critical infrastructure</w:t>
            </w:r>
            <w:r w:rsidR="002A2525">
              <w:rPr>
                <w:rFonts w:ascii="Calibri" w:hAnsi="Calibri" w:cs="Calibri"/>
                <w:color w:val="000000"/>
                <w:sz w:val="18"/>
                <w:szCs w:val="18"/>
              </w:rPr>
              <w:t xml:space="preserve"> phase 2</w:t>
            </w:r>
          </w:p>
        </w:tc>
        <w:tc>
          <w:tcPr>
            <w:tcW w:w="910" w:type="dxa"/>
            <w:tcBorders>
              <w:top w:val="nil"/>
              <w:left w:val="nil"/>
              <w:bottom w:val="nil"/>
              <w:right w:val="nil"/>
              <w:tl2br w:val="nil"/>
              <w:tr2bl w:val="nil"/>
            </w:tcBorders>
            <w:shd w:val="clear" w:color="auto" w:fill="auto"/>
            <w:noWrap/>
            <w:tcMar>
              <w:left w:w="101" w:type="dxa"/>
              <w:right w:w="101" w:type="dxa"/>
            </w:tcMar>
          </w:tcPr>
          <w:p w14:paraId="56A4E911" w14:textId="3380B335" w:rsidR="00580B06" w:rsidRDefault="00580B06">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0F8E27CA" w14:textId="3D90842E" w:rsidR="00580B06" w:rsidRDefault="00580B06">
            <w:pPr>
              <w:pStyle w:val="Normal3"/>
              <w:jc w:val="right"/>
              <w:rPr>
                <w:rFonts w:ascii="Calibri" w:eastAsia="Calibri" w:hAnsi="Calibri" w:cs="Calibri"/>
                <w:color w:val="000000"/>
                <w:sz w:val="18"/>
              </w:rPr>
            </w:pPr>
            <w:r>
              <w:rPr>
                <w:rFonts w:ascii="Calibri" w:eastAsia="Calibri" w:hAnsi="Calibri" w:cs="Calibri"/>
                <w:color w:val="000000"/>
                <w:sz w:val="18"/>
              </w:rPr>
              <w:t>1,270</w:t>
            </w:r>
          </w:p>
        </w:tc>
        <w:tc>
          <w:tcPr>
            <w:tcW w:w="911" w:type="dxa"/>
            <w:tcBorders>
              <w:top w:val="nil"/>
              <w:left w:val="nil"/>
              <w:bottom w:val="nil"/>
              <w:right w:val="nil"/>
              <w:tl2br w:val="nil"/>
              <w:tr2bl w:val="nil"/>
            </w:tcBorders>
            <w:shd w:val="clear" w:color="auto" w:fill="auto"/>
            <w:noWrap/>
            <w:tcMar>
              <w:left w:w="101" w:type="dxa"/>
              <w:right w:w="101" w:type="dxa"/>
            </w:tcMar>
          </w:tcPr>
          <w:p w14:paraId="5B993876" w14:textId="65313F6B" w:rsidR="00580B06" w:rsidRDefault="00580B06">
            <w:pPr>
              <w:pStyle w:val="Normal3"/>
              <w:jc w:val="right"/>
              <w:rPr>
                <w:rFonts w:ascii="Calibri" w:eastAsia="Calibri" w:hAnsi="Calibri" w:cs="Calibri"/>
                <w:color w:val="000000"/>
                <w:sz w:val="18"/>
              </w:rPr>
            </w:pPr>
            <w:r>
              <w:rPr>
                <w:rFonts w:ascii="Calibri" w:eastAsia="Calibri" w:hAnsi="Calibri" w:cs="Calibri"/>
                <w:color w:val="000000"/>
                <w:sz w:val="18"/>
              </w:rPr>
              <w:t>1,169</w:t>
            </w:r>
          </w:p>
        </w:tc>
        <w:tc>
          <w:tcPr>
            <w:tcW w:w="911" w:type="dxa"/>
            <w:tcBorders>
              <w:top w:val="nil"/>
              <w:left w:val="nil"/>
              <w:bottom w:val="nil"/>
              <w:right w:val="nil"/>
              <w:tl2br w:val="nil"/>
              <w:tr2bl w:val="nil"/>
            </w:tcBorders>
            <w:shd w:val="clear" w:color="auto" w:fill="auto"/>
            <w:noWrap/>
            <w:tcMar>
              <w:left w:w="101" w:type="dxa"/>
              <w:right w:w="101" w:type="dxa"/>
            </w:tcMar>
          </w:tcPr>
          <w:p w14:paraId="2017FD08" w14:textId="77777777" w:rsidR="00580B06" w:rsidRDefault="00580B06">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5352E08A" w14:textId="77777777" w:rsidR="00580B06" w:rsidRDefault="00580B06">
            <w:pPr>
              <w:pStyle w:val="Normal3"/>
              <w:jc w:val="right"/>
              <w:rPr>
                <w:rFonts w:ascii="Calibri" w:eastAsia="Calibri" w:hAnsi="Calibri" w:cs="Calibri"/>
                <w:color w:val="000000"/>
                <w:sz w:val="18"/>
              </w:rPr>
            </w:pPr>
          </w:p>
        </w:tc>
      </w:tr>
      <w:tr w:rsidR="004169C3" w14:paraId="7914446A" w14:textId="77777777" w:rsidTr="0041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85" w:type="dxa"/>
            <w:tcBorders>
              <w:top w:val="nil"/>
              <w:left w:val="nil"/>
              <w:bottom w:val="nil"/>
              <w:right w:val="nil"/>
              <w:tl2br w:val="nil"/>
              <w:tr2bl w:val="nil"/>
            </w:tcBorders>
            <w:shd w:val="clear" w:color="auto" w:fill="auto"/>
            <w:tcMar>
              <w:left w:w="101" w:type="dxa"/>
              <w:right w:w="101" w:type="dxa"/>
            </w:tcMar>
          </w:tcPr>
          <w:p w14:paraId="4ECA8410" w14:textId="6DFFA439" w:rsidR="004169C3" w:rsidRDefault="004169C3" w:rsidP="00CE207A">
            <w:pPr>
              <w:pStyle w:val="Normal3"/>
              <w:rPr>
                <w:rFonts w:ascii="Calibri" w:eastAsia="Calibri" w:hAnsi="Calibri" w:cs="Calibri"/>
                <w:color w:val="000000"/>
                <w:sz w:val="18"/>
              </w:rPr>
            </w:pPr>
            <w:r>
              <w:rPr>
                <w:rFonts w:ascii="Calibri" w:eastAsia="Calibri" w:hAnsi="Calibri" w:cs="Calibri"/>
                <w:color w:val="000000"/>
                <w:sz w:val="18"/>
              </w:rPr>
              <w:t xml:space="preserve">Northside </w:t>
            </w:r>
            <w:r w:rsidR="00D76A6E">
              <w:rPr>
                <w:rFonts w:ascii="Calibri" w:eastAsia="Calibri" w:hAnsi="Calibri" w:cs="Calibri"/>
                <w:color w:val="000000"/>
                <w:sz w:val="18"/>
              </w:rPr>
              <w:t>h</w:t>
            </w:r>
            <w:r>
              <w:rPr>
                <w:rFonts w:ascii="Calibri" w:eastAsia="Calibri" w:hAnsi="Calibri" w:cs="Calibri"/>
                <w:color w:val="000000"/>
                <w:sz w:val="18"/>
              </w:rPr>
              <w:t xml:space="preserve">ospital </w:t>
            </w:r>
            <w:r w:rsidR="00D76A6E">
              <w:rPr>
                <w:rFonts w:ascii="Calibri" w:eastAsia="Calibri" w:hAnsi="Calibri" w:cs="Calibri"/>
                <w:color w:val="000000"/>
                <w:sz w:val="18"/>
              </w:rPr>
              <w:t>d</w:t>
            </w:r>
            <w:r>
              <w:rPr>
                <w:rFonts w:ascii="Calibri" w:eastAsia="Calibri" w:hAnsi="Calibri" w:cs="Calibri"/>
                <w:color w:val="000000"/>
                <w:sz w:val="18"/>
              </w:rPr>
              <w:t>evelopment</w:t>
            </w:r>
          </w:p>
        </w:tc>
        <w:tc>
          <w:tcPr>
            <w:tcW w:w="910" w:type="dxa"/>
            <w:tcBorders>
              <w:top w:val="nil"/>
              <w:left w:val="nil"/>
              <w:bottom w:val="nil"/>
              <w:right w:val="nil"/>
              <w:tl2br w:val="nil"/>
              <w:tr2bl w:val="nil"/>
            </w:tcBorders>
            <w:shd w:val="clear" w:color="auto" w:fill="auto"/>
            <w:noWrap/>
            <w:tcMar>
              <w:left w:w="101" w:type="dxa"/>
              <w:right w:w="101" w:type="dxa"/>
            </w:tcMar>
          </w:tcPr>
          <w:p w14:paraId="4A393E37" w14:textId="77777777" w:rsidR="004169C3" w:rsidRDefault="004169C3" w:rsidP="00CE207A">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1114AD1C" w14:textId="15962073" w:rsidR="004169C3" w:rsidRDefault="00580B06" w:rsidP="00CE207A">
            <w:pPr>
              <w:pStyle w:val="Normal3"/>
              <w:jc w:val="right"/>
              <w:rPr>
                <w:rFonts w:ascii="Calibri" w:eastAsia="Calibri" w:hAnsi="Calibri" w:cs="Calibri"/>
                <w:color w:val="000000"/>
                <w:sz w:val="18"/>
              </w:rPr>
            </w:pPr>
            <w:r>
              <w:rPr>
                <w:rFonts w:ascii="Calibri" w:eastAsia="Calibri" w:hAnsi="Calibri" w:cs="Calibri"/>
                <w:color w:val="000000"/>
                <w:sz w:val="18"/>
              </w:rPr>
              <w:t>2,676</w:t>
            </w:r>
          </w:p>
        </w:tc>
        <w:tc>
          <w:tcPr>
            <w:tcW w:w="911" w:type="dxa"/>
            <w:tcBorders>
              <w:top w:val="nil"/>
              <w:left w:val="nil"/>
              <w:bottom w:val="nil"/>
              <w:right w:val="nil"/>
              <w:tl2br w:val="nil"/>
              <w:tr2bl w:val="nil"/>
            </w:tcBorders>
            <w:shd w:val="clear" w:color="auto" w:fill="auto"/>
            <w:noWrap/>
            <w:tcMar>
              <w:left w:w="101" w:type="dxa"/>
              <w:right w:w="101" w:type="dxa"/>
            </w:tcMar>
          </w:tcPr>
          <w:p w14:paraId="6141B894" w14:textId="54A9CA9A" w:rsidR="004169C3" w:rsidRDefault="00580B06" w:rsidP="00CE207A">
            <w:pPr>
              <w:pStyle w:val="Normal3"/>
              <w:jc w:val="right"/>
              <w:rPr>
                <w:rFonts w:ascii="Calibri" w:eastAsia="Calibri" w:hAnsi="Calibri" w:cs="Calibri"/>
                <w:color w:val="000000"/>
                <w:sz w:val="18"/>
              </w:rPr>
            </w:pPr>
            <w:r>
              <w:rPr>
                <w:rFonts w:ascii="Calibri" w:eastAsia="Calibri" w:hAnsi="Calibri" w:cs="Calibri"/>
                <w:color w:val="000000"/>
                <w:sz w:val="18"/>
              </w:rPr>
              <w:t>7,870</w:t>
            </w:r>
          </w:p>
        </w:tc>
        <w:tc>
          <w:tcPr>
            <w:tcW w:w="911" w:type="dxa"/>
            <w:tcBorders>
              <w:top w:val="nil"/>
              <w:left w:val="nil"/>
              <w:bottom w:val="nil"/>
              <w:right w:val="nil"/>
              <w:tl2br w:val="nil"/>
              <w:tr2bl w:val="nil"/>
            </w:tcBorders>
            <w:shd w:val="clear" w:color="auto" w:fill="auto"/>
            <w:noWrap/>
            <w:tcMar>
              <w:left w:w="101" w:type="dxa"/>
              <w:right w:w="101" w:type="dxa"/>
            </w:tcMar>
          </w:tcPr>
          <w:p w14:paraId="3152E274" w14:textId="77777777" w:rsidR="004169C3" w:rsidRDefault="004169C3" w:rsidP="00CE207A">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53C64A11" w14:textId="77777777" w:rsidR="004169C3" w:rsidRDefault="004169C3" w:rsidP="00CE207A">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DA143A" w14:paraId="68E04811" w14:textId="77777777" w:rsidTr="0041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85" w:type="dxa"/>
            <w:tcBorders>
              <w:top w:val="nil"/>
              <w:left w:val="nil"/>
              <w:bottom w:val="nil"/>
              <w:right w:val="nil"/>
              <w:tl2br w:val="nil"/>
              <w:tr2bl w:val="nil"/>
            </w:tcBorders>
            <w:shd w:val="clear" w:color="auto" w:fill="auto"/>
            <w:tcMar>
              <w:left w:w="101" w:type="dxa"/>
              <w:right w:w="101" w:type="dxa"/>
            </w:tcMar>
          </w:tcPr>
          <w:p w14:paraId="6D422226" w14:textId="77777777" w:rsidR="00DA143A" w:rsidRDefault="00DA143A" w:rsidP="00CE207A">
            <w:pPr>
              <w:pStyle w:val="Normal3"/>
              <w:rPr>
                <w:rFonts w:ascii="Calibri" w:eastAsia="Calibri" w:hAnsi="Calibri" w:cs="Calibri"/>
                <w:color w:val="000000"/>
                <w:sz w:val="18"/>
              </w:rPr>
            </w:pPr>
          </w:p>
        </w:tc>
        <w:tc>
          <w:tcPr>
            <w:tcW w:w="910" w:type="dxa"/>
            <w:tcBorders>
              <w:top w:val="nil"/>
              <w:left w:val="nil"/>
              <w:bottom w:val="nil"/>
              <w:right w:val="nil"/>
              <w:tl2br w:val="nil"/>
              <w:tr2bl w:val="nil"/>
            </w:tcBorders>
            <w:shd w:val="clear" w:color="auto" w:fill="auto"/>
            <w:noWrap/>
            <w:tcMar>
              <w:left w:w="101" w:type="dxa"/>
              <w:right w:w="101" w:type="dxa"/>
            </w:tcMar>
          </w:tcPr>
          <w:p w14:paraId="1D250E08" w14:textId="77777777" w:rsidR="00DA143A" w:rsidRDefault="00DA143A" w:rsidP="00CE207A">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3198170F" w14:textId="77777777" w:rsidR="00DA143A" w:rsidRDefault="00DA143A" w:rsidP="00CE207A">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32B95F3C" w14:textId="77777777" w:rsidR="00DA143A" w:rsidRDefault="00DA143A" w:rsidP="00CE207A">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0C8750E6" w14:textId="77777777" w:rsidR="00DA143A" w:rsidRDefault="00DA143A" w:rsidP="00CE207A">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3E3741B3" w14:textId="77777777" w:rsidR="00DA143A" w:rsidRDefault="00DA143A" w:rsidP="00CE207A">
            <w:pPr>
              <w:pStyle w:val="Normal3"/>
              <w:jc w:val="right"/>
              <w:rPr>
                <w:rFonts w:ascii="Calibri" w:eastAsia="Calibri" w:hAnsi="Calibri" w:cs="Calibri"/>
                <w:color w:val="000000"/>
                <w:sz w:val="18"/>
              </w:rPr>
            </w:pPr>
          </w:p>
        </w:tc>
      </w:tr>
      <w:tr w:rsidR="00DA143A" w:rsidRPr="00DA143A" w14:paraId="179DF10F" w14:textId="77777777" w:rsidTr="0041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85" w:type="dxa"/>
            <w:tcBorders>
              <w:top w:val="nil"/>
              <w:left w:val="nil"/>
              <w:bottom w:val="nil"/>
              <w:right w:val="nil"/>
              <w:tl2br w:val="nil"/>
              <w:tr2bl w:val="nil"/>
            </w:tcBorders>
            <w:shd w:val="clear" w:color="auto" w:fill="auto"/>
            <w:tcMar>
              <w:left w:w="101" w:type="dxa"/>
              <w:right w:w="101" w:type="dxa"/>
            </w:tcMar>
          </w:tcPr>
          <w:p w14:paraId="254A5FD5" w14:textId="2DA0ACED" w:rsidR="00DA143A" w:rsidRPr="00DA143A" w:rsidRDefault="00DA143A" w:rsidP="00CE207A">
            <w:pPr>
              <w:pStyle w:val="Normal3"/>
              <w:rPr>
                <w:rFonts w:ascii="Calibri" w:eastAsia="Calibri" w:hAnsi="Calibri" w:cs="Calibri"/>
                <w:color w:val="000000"/>
                <w:sz w:val="18"/>
                <w:u w:val="single"/>
              </w:rPr>
            </w:pPr>
            <w:r w:rsidRPr="00DA143A">
              <w:rPr>
                <w:rFonts w:ascii="Calibri" w:eastAsia="Calibri" w:hAnsi="Calibri" w:cs="Calibri"/>
                <w:color w:val="000000"/>
                <w:sz w:val="18"/>
                <w:u w:val="single"/>
              </w:rPr>
              <w:t>More alcohol and other drug services</w:t>
            </w:r>
          </w:p>
        </w:tc>
        <w:tc>
          <w:tcPr>
            <w:tcW w:w="910" w:type="dxa"/>
            <w:tcBorders>
              <w:top w:val="nil"/>
              <w:left w:val="nil"/>
              <w:bottom w:val="nil"/>
              <w:right w:val="nil"/>
              <w:tl2br w:val="nil"/>
              <w:tr2bl w:val="nil"/>
            </w:tcBorders>
            <w:shd w:val="clear" w:color="auto" w:fill="auto"/>
            <w:noWrap/>
            <w:tcMar>
              <w:left w:w="101" w:type="dxa"/>
              <w:right w:w="101" w:type="dxa"/>
            </w:tcMar>
          </w:tcPr>
          <w:p w14:paraId="314B40CD" w14:textId="77777777" w:rsidR="00DA143A" w:rsidRPr="00DA143A" w:rsidRDefault="00DA143A" w:rsidP="00CE207A">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2F01CAD2" w14:textId="77777777" w:rsidR="00DA143A" w:rsidRPr="00DA143A" w:rsidRDefault="00DA143A" w:rsidP="00CE207A">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72CEA5AA" w14:textId="77777777" w:rsidR="00DA143A" w:rsidRPr="00DA143A" w:rsidRDefault="00DA143A" w:rsidP="00CE207A">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7CB6609E" w14:textId="77777777" w:rsidR="00DA143A" w:rsidRPr="00DA143A" w:rsidRDefault="00DA143A" w:rsidP="00CE207A">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7BA582F5" w14:textId="77777777" w:rsidR="00DA143A" w:rsidRPr="00DA143A" w:rsidRDefault="00DA143A" w:rsidP="00CE207A">
            <w:pPr>
              <w:pStyle w:val="Normal3"/>
              <w:jc w:val="right"/>
              <w:rPr>
                <w:rFonts w:ascii="Calibri" w:eastAsia="Calibri" w:hAnsi="Calibri" w:cs="Calibri"/>
                <w:color w:val="000000"/>
                <w:sz w:val="18"/>
                <w:u w:val="single"/>
              </w:rPr>
            </w:pPr>
          </w:p>
        </w:tc>
      </w:tr>
      <w:tr w:rsidR="00496618" w14:paraId="6503F7D0"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tcPr>
          <w:p w14:paraId="1DC256DD" w14:textId="4399A4B0" w:rsidR="00496618" w:rsidRDefault="0049031E">
            <w:pPr>
              <w:pStyle w:val="Normal3"/>
              <w:rPr>
                <w:rFonts w:ascii="Calibri" w:eastAsia="Calibri" w:hAnsi="Calibri" w:cs="Calibri"/>
                <w:color w:val="000000"/>
                <w:sz w:val="18"/>
              </w:rPr>
            </w:pPr>
            <w:r w:rsidRPr="0049031E">
              <w:rPr>
                <w:rFonts w:ascii="Calibri" w:eastAsia="Calibri" w:hAnsi="Calibri" w:cs="Calibri"/>
                <w:color w:val="000000"/>
                <w:sz w:val="18"/>
              </w:rPr>
              <w:t>Watson Health Precinct redevelopment</w:t>
            </w:r>
          </w:p>
        </w:tc>
        <w:tc>
          <w:tcPr>
            <w:tcW w:w="910" w:type="dxa"/>
            <w:tcBorders>
              <w:top w:val="nil"/>
              <w:left w:val="nil"/>
              <w:bottom w:val="nil"/>
              <w:right w:val="nil"/>
              <w:tl2br w:val="nil"/>
              <w:tr2bl w:val="nil"/>
            </w:tcBorders>
            <w:shd w:val="clear" w:color="auto" w:fill="auto"/>
            <w:noWrap/>
            <w:tcMar>
              <w:left w:w="101" w:type="dxa"/>
              <w:right w:w="101" w:type="dxa"/>
            </w:tcMar>
          </w:tcPr>
          <w:p w14:paraId="438B0F89"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48DFDDE6"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300</w:t>
            </w:r>
          </w:p>
        </w:tc>
        <w:tc>
          <w:tcPr>
            <w:tcW w:w="911" w:type="dxa"/>
            <w:tcBorders>
              <w:top w:val="nil"/>
              <w:left w:val="nil"/>
              <w:bottom w:val="nil"/>
              <w:right w:val="nil"/>
              <w:tl2br w:val="nil"/>
              <w:tr2bl w:val="nil"/>
            </w:tcBorders>
            <w:shd w:val="clear" w:color="auto" w:fill="auto"/>
            <w:noWrap/>
            <w:tcMar>
              <w:left w:w="101" w:type="dxa"/>
              <w:right w:w="101" w:type="dxa"/>
            </w:tcMar>
          </w:tcPr>
          <w:p w14:paraId="4F50A64F"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6408F1CC"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46311BCA"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169C3" w14:paraId="7154EFF0"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tcPr>
          <w:p w14:paraId="6C0A6F60" w14:textId="77777777" w:rsidR="004169C3" w:rsidRDefault="004169C3">
            <w:pPr>
              <w:pStyle w:val="Normal3"/>
              <w:rPr>
                <w:rFonts w:ascii="Calibri" w:eastAsia="Calibri" w:hAnsi="Calibri" w:cs="Calibri"/>
                <w:color w:val="000000"/>
                <w:sz w:val="18"/>
              </w:rPr>
            </w:pPr>
          </w:p>
        </w:tc>
        <w:tc>
          <w:tcPr>
            <w:tcW w:w="910" w:type="dxa"/>
            <w:tcBorders>
              <w:top w:val="nil"/>
              <w:left w:val="nil"/>
              <w:bottom w:val="nil"/>
              <w:right w:val="nil"/>
              <w:tl2br w:val="nil"/>
              <w:tr2bl w:val="nil"/>
            </w:tcBorders>
            <w:shd w:val="clear" w:color="auto" w:fill="auto"/>
            <w:noWrap/>
            <w:tcMar>
              <w:left w:w="101" w:type="dxa"/>
              <w:right w:w="101" w:type="dxa"/>
            </w:tcMar>
          </w:tcPr>
          <w:p w14:paraId="675FB207"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5D3DB5FF"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237BD05B"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5FF4E8EE"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5198E34D" w14:textId="77777777" w:rsidR="004169C3" w:rsidRDefault="004169C3">
            <w:pPr>
              <w:pStyle w:val="Normal3"/>
              <w:jc w:val="right"/>
              <w:rPr>
                <w:rFonts w:ascii="Calibri" w:eastAsia="Calibri" w:hAnsi="Calibri" w:cs="Calibri"/>
                <w:color w:val="000000"/>
                <w:sz w:val="18"/>
              </w:rPr>
            </w:pPr>
          </w:p>
        </w:tc>
      </w:tr>
      <w:tr w:rsidR="00496618" w14:paraId="677156EB"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vAlign w:val="bottom"/>
          </w:tcPr>
          <w:p w14:paraId="0EC55D71" w14:textId="77777777" w:rsidR="00496618" w:rsidRDefault="0027723F">
            <w:pPr>
              <w:pStyle w:val="Normal3"/>
              <w:rPr>
                <w:rFonts w:ascii="Calibri" w:eastAsia="Calibri" w:hAnsi="Calibri" w:cs="Calibri"/>
                <w:b/>
                <w:color w:val="000000"/>
                <w:sz w:val="18"/>
              </w:rPr>
            </w:pPr>
            <w:r>
              <w:rPr>
                <w:rFonts w:ascii="Calibri" w:eastAsia="Calibri" w:hAnsi="Calibri" w:cs="Calibri"/>
                <w:b/>
                <w:color w:val="000000"/>
                <w:sz w:val="18"/>
              </w:rPr>
              <w:t>2021-22 Budget Technical Adjustments</w:t>
            </w:r>
          </w:p>
        </w:tc>
        <w:tc>
          <w:tcPr>
            <w:tcW w:w="910" w:type="dxa"/>
            <w:tcBorders>
              <w:top w:val="nil"/>
              <w:left w:val="nil"/>
              <w:bottom w:val="nil"/>
              <w:right w:val="nil"/>
              <w:tl2br w:val="nil"/>
              <w:tr2bl w:val="nil"/>
            </w:tcBorders>
            <w:shd w:val="clear" w:color="auto" w:fill="auto"/>
            <w:noWrap/>
            <w:tcMar>
              <w:left w:w="0" w:type="dxa"/>
              <w:right w:w="0" w:type="dxa"/>
            </w:tcMar>
            <w:vAlign w:val="bottom"/>
          </w:tcPr>
          <w:p w14:paraId="449E5DF7" w14:textId="77777777" w:rsidR="00496618" w:rsidRDefault="00496618">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0A87A320" w14:textId="77777777" w:rsidR="00496618" w:rsidRDefault="00496618">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1089C6AA" w14:textId="77777777" w:rsidR="00496618" w:rsidRDefault="00496618">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1097188A" w14:textId="77777777" w:rsidR="00496618" w:rsidRDefault="00496618">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0F952321" w14:textId="77777777" w:rsidR="00496618" w:rsidRDefault="00496618">
            <w:pPr>
              <w:pStyle w:val="Normal3"/>
              <w:rPr>
                <w:rFonts w:ascii="Calibri" w:eastAsia="Calibri" w:hAnsi="Calibri" w:cs="Calibri"/>
                <w:color w:val="FFFFFF"/>
                <w:sz w:val="18"/>
              </w:rPr>
            </w:pPr>
          </w:p>
        </w:tc>
      </w:tr>
      <w:tr w:rsidR="004169C3" w14:paraId="74C5E3C7" w14:textId="77777777" w:rsidTr="0041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85" w:type="dxa"/>
            <w:tcBorders>
              <w:top w:val="nil"/>
              <w:left w:val="nil"/>
              <w:bottom w:val="nil"/>
              <w:right w:val="nil"/>
              <w:tl2br w:val="nil"/>
              <w:tr2bl w:val="nil"/>
            </w:tcBorders>
            <w:shd w:val="clear" w:color="auto" w:fill="auto"/>
            <w:tcMar>
              <w:left w:w="101" w:type="dxa"/>
              <w:right w:w="101" w:type="dxa"/>
            </w:tcMar>
            <w:vAlign w:val="bottom"/>
          </w:tcPr>
          <w:p w14:paraId="38E55968" w14:textId="77777777" w:rsidR="004169C3" w:rsidRDefault="004169C3">
            <w:pPr>
              <w:pStyle w:val="Normal3"/>
              <w:rPr>
                <w:rFonts w:ascii="Calibri" w:eastAsia="Calibri" w:hAnsi="Calibri" w:cs="Calibri"/>
                <w:b/>
                <w:color w:val="000000"/>
                <w:sz w:val="18"/>
              </w:rPr>
            </w:pPr>
          </w:p>
        </w:tc>
        <w:tc>
          <w:tcPr>
            <w:tcW w:w="910" w:type="dxa"/>
            <w:tcBorders>
              <w:top w:val="nil"/>
              <w:left w:val="nil"/>
              <w:bottom w:val="nil"/>
              <w:right w:val="nil"/>
              <w:tl2br w:val="nil"/>
              <w:tr2bl w:val="nil"/>
            </w:tcBorders>
            <w:shd w:val="clear" w:color="auto" w:fill="auto"/>
            <w:noWrap/>
            <w:tcMar>
              <w:left w:w="0" w:type="dxa"/>
              <w:right w:w="0" w:type="dxa"/>
            </w:tcMar>
            <w:vAlign w:val="bottom"/>
          </w:tcPr>
          <w:p w14:paraId="51A3B1BD" w14:textId="77777777" w:rsidR="004169C3" w:rsidRDefault="004169C3">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0FE67A07" w14:textId="77777777" w:rsidR="004169C3" w:rsidRDefault="004169C3">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17E41445" w14:textId="77777777" w:rsidR="004169C3" w:rsidRDefault="004169C3">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23EA579C" w14:textId="77777777" w:rsidR="004169C3" w:rsidRDefault="004169C3">
            <w:pPr>
              <w:pStyle w:val="Normal3"/>
              <w:rPr>
                <w:rFonts w:ascii="Calibri" w:eastAsia="Calibri" w:hAnsi="Calibri" w:cs="Calibri"/>
                <w:color w:val="FFFFFF"/>
                <w:sz w:val="18"/>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702FCC84" w14:textId="77777777" w:rsidR="004169C3" w:rsidRDefault="004169C3">
            <w:pPr>
              <w:pStyle w:val="Normal3"/>
              <w:rPr>
                <w:rFonts w:ascii="Calibri" w:eastAsia="Calibri" w:hAnsi="Calibri" w:cs="Calibri"/>
                <w:color w:val="FFFFFF"/>
                <w:sz w:val="18"/>
              </w:rPr>
            </w:pPr>
          </w:p>
        </w:tc>
      </w:tr>
      <w:tr w:rsidR="004169C3" w:rsidRPr="00183734" w14:paraId="37B6C80A"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vAlign w:val="bottom"/>
          </w:tcPr>
          <w:p w14:paraId="0FE6ADF9" w14:textId="2DE1FE43" w:rsidR="004169C3" w:rsidRPr="00183734" w:rsidRDefault="004169C3">
            <w:pPr>
              <w:pStyle w:val="Normal3"/>
              <w:rPr>
                <w:rFonts w:ascii="Calibri" w:eastAsia="Calibri" w:hAnsi="Calibri" w:cs="Calibri"/>
                <w:b/>
                <w:color w:val="000000"/>
                <w:sz w:val="18"/>
                <w:u w:val="single"/>
              </w:rPr>
            </w:pPr>
            <w:r w:rsidRPr="00183734">
              <w:rPr>
                <w:rFonts w:ascii="Calibri" w:eastAsia="Calibri" w:hAnsi="Calibri" w:cs="Calibri"/>
                <w:color w:val="000000"/>
                <w:sz w:val="18"/>
                <w:u w:val="single"/>
              </w:rPr>
              <w:t>Fast-track - Phase 3</w:t>
            </w:r>
          </w:p>
        </w:tc>
        <w:tc>
          <w:tcPr>
            <w:tcW w:w="910" w:type="dxa"/>
            <w:tcBorders>
              <w:top w:val="nil"/>
              <w:left w:val="nil"/>
              <w:bottom w:val="nil"/>
              <w:right w:val="nil"/>
              <w:tl2br w:val="nil"/>
              <w:tr2bl w:val="nil"/>
            </w:tcBorders>
            <w:shd w:val="clear" w:color="auto" w:fill="auto"/>
            <w:noWrap/>
            <w:tcMar>
              <w:left w:w="0" w:type="dxa"/>
              <w:right w:w="0" w:type="dxa"/>
            </w:tcMar>
            <w:vAlign w:val="bottom"/>
          </w:tcPr>
          <w:p w14:paraId="1FACDA9D" w14:textId="77777777" w:rsidR="004169C3" w:rsidRPr="00183734" w:rsidRDefault="004169C3">
            <w:pPr>
              <w:pStyle w:val="Normal3"/>
              <w:rPr>
                <w:rFonts w:ascii="Calibri" w:eastAsia="Calibri" w:hAnsi="Calibri" w:cs="Calibri"/>
                <w:color w:val="FFFFFF"/>
                <w:sz w:val="18"/>
                <w:u w:val="single"/>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454B7281" w14:textId="77777777" w:rsidR="004169C3" w:rsidRPr="00183734" w:rsidRDefault="004169C3">
            <w:pPr>
              <w:pStyle w:val="Normal3"/>
              <w:rPr>
                <w:rFonts w:ascii="Calibri" w:eastAsia="Calibri" w:hAnsi="Calibri" w:cs="Calibri"/>
                <w:color w:val="FFFFFF"/>
                <w:sz w:val="18"/>
                <w:u w:val="single"/>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7A74A4EA" w14:textId="77777777" w:rsidR="004169C3" w:rsidRPr="00183734" w:rsidRDefault="004169C3">
            <w:pPr>
              <w:pStyle w:val="Normal3"/>
              <w:rPr>
                <w:rFonts w:ascii="Calibri" w:eastAsia="Calibri" w:hAnsi="Calibri" w:cs="Calibri"/>
                <w:color w:val="FFFFFF"/>
                <w:sz w:val="18"/>
                <w:u w:val="single"/>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67E78DFB" w14:textId="77777777" w:rsidR="004169C3" w:rsidRPr="00183734" w:rsidRDefault="004169C3">
            <w:pPr>
              <w:pStyle w:val="Normal3"/>
              <w:rPr>
                <w:rFonts w:ascii="Calibri" w:eastAsia="Calibri" w:hAnsi="Calibri" w:cs="Calibri"/>
                <w:color w:val="FFFFFF"/>
                <w:sz w:val="18"/>
                <w:u w:val="single"/>
              </w:rPr>
            </w:pPr>
          </w:p>
        </w:tc>
        <w:tc>
          <w:tcPr>
            <w:tcW w:w="911" w:type="dxa"/>
            <w:tcBorders>
              <w:top w:val="nil"/>
              <w:left w:val="nil"/>
              <w:bottom w:val="nil"/>
              <w:right w:val="nil"/>
              <w:tl2br w:val="nil"/>
              <w:tr2bl w:val="nil"/>
            </w:tcBorders>
            <w:shd w:val="clear" w:color="auto" w:fill="auto"/>
            <w:noWrap/>
            <w:tcMar>
              <w:left w:w="0" w:type="dxa"/>
              <w:right w:w="0" w:type="dxa"/>
            </w:tcMar>
            <w:vAlign w:val="bottom"/>
          </w:tcPr>
          <w:p w14:paraId="393EC275" w14:textId="77777777" w:rsidR="004169C3" w:rsidRPr="00183734" w:rsidRDefault="004169C3">
            <w:pPr>
              <w:pStyle w:val="Normal3"/>
              <w:rPr>
                <w:rFonts w:ascii="Calibri" w:eastAsia="Calibri" w:hAnsi="Calibri" w:cs="Calibri"/>
                <w:color w:val="FFFFFF"/>
                <w:sz w:val="18"/>
                <w:u w:val="single"/>
              </w:rPr>
            </w:pPr>
          </w:p>
        </w:tc>
      </w:tr>
      <w:tr w:rsidR="00496618" w14:paraId="5E41AE1B"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085" w:type="dxa"/>
            <w:tcBorders>
              <w:top w:val="nil"/>
              <w:left w:val="nil"/>
              <w:bottom w:val="nil"/>
              <w:right w:val="nil"/>
              <w:tl2br w:val="nil"/>
              <w:tr2bl w:val="nil"/>
            </w:tcBorders>
            <w:shd w:val="clear" w:color="auto" w:fill="auto"/>
            <w:tcMar>
              <w:left w:w="101" w:type="dxa"/>
              <w:right w:w="101" w:type="dxa"/>
            </w:tcMar>
          </w:tcPr>
          <w:p w14:paraId="02205C7A" w14:textId="7923E6A4" w:rsidR="00496618" w:rsidRDefault="0027723F">
            <w:pPr>
              <w:pStyle w:val="Normal3"/>
              <w:rPr>
                <w:rFonts w:ascii="Calibri" w:eastAsia="Calibri" w:hAnsi="Calibri" w:cs="Calibri"/>
                <w:color w:val="000000"/>
                <w:sz w:val="18"/>
              </w:rPr>
            </w:pPr>
            <w:r>
              <w:rPr>
                <w:rFonts w:ascii="Calibri" w:eastAsia="Calibri" w:hAnsi="Calibri" w:cs="Calibri"/>
                <w:color w:val="000000"/>
                <w:sz w:val="18"/>
              </w:rPr>
              <w:t>Hydrotherapy pool in the south of Canberra - Early planning</w:t>
            </w:r>
          </w:p>
        </w:tc>
        <w:tc>
          <w:tcPr>
            <w:tcW w:w="910" w:type="dxa"/>
            <w:tcBorders>
              <w:top w:val="nil"/>
              <w:left w:val="nil"/>
              <w:bottom w:val="nil"/>
              <w:right w:val="nil"/>
              <w:tl2br w:val="nil"/>
              <w:tr2bl w:val="nil"/>
            </w:tcBorders>
            <w:shd w:val="clear" w:color="auto" w:fill="auto"/>
            <w:noWrap/>
            <w:tcMar>
              <w:left w:w="101" w:type="dxa"/>
              <w:right w:w="101" w:type="dxa"/>
            </w:tcMar>
          </w:tcPr>
          <w:p w14:paraId="2E886566"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41A6D2EC"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250</w:t>
            </w:r>
          </w:p>
        </w:tc>
        <w:tc>
          <w:tcPr>
            <w:tcW w:w="911" w:type="dxa"/>
            <w:tcBorders>
              <w:top w:val="nil"/>
              <w:left w:val="nil"/>
              <w:bottom w:val="nil"/>
              <w:right w:val="nil"/>
              <w:tl2br w:val="nil"/>
              <w:tr2bl w:val="nil"/>
            </w:tcBorders>
            <w:shd w:val="clear" w:color="auto" w:fill="auto"/>
            <w:noWrap/>
            <w:tcMar>
              <w:left w:w="101" w:type="dxa"/>
              <w:right w:w="101" w:type="dxa"/>
            </w:tcMar>
          </w:tcPr>
          <w:p w14:paraId="37F6828C"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06FB1466"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694A30DE"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4FA07E35"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085" w:type="dxa"/>
            <w:tcBorders>
              <w:top w:val="nil"/>
              <w:left w:val="nil"/>
              <w:bottom w:val="nil"/>
              <w:right w:val="nil"/>
              <w:tl2br w:val="nil"/>
              <w:tr2bl w:val="nil"/>
            </w:tcBorders>
            <w:shd w:val="clear" w:color="auto" w:fill="auto"/>
            <w:tcMar>
              <w:left w:w="101" w:type="dxa"/>
              <w:right w:w="101" w:type="dxa"/>
            </w:tcMar>
          </w:tcPr>
          <w:p w14:paraId="18C12C82" w14:textId="05DAB83F" w:rsidR="00496618" w:rsidRDefault="0027723F">
            <w:pPr>
              <w:pStyle w:val="Normal3"/>
              <w:rPr>
                <w:rFonts w:ascii="Calibri" w:eastAsia="Calibri" w:hAnsi="Calibri" w:cs="Calibri"/>
                <w:color w:val="000000"/>
                <w:sz w:val="18"/>
              </w:rPr>
            </w:pPr>
            <w:r>
              <w:rPr>
                <w:rFonts w:ascii="Calibri" w:eastAsia="Calibri" w:hAnsi="Calibri" w:cs="Calibri"/>
                <w:color w:val="000000"/>
                <w:sz w:val="18"/>
              </w:rPr>
              <w:t>Ngunnawal Bush Healing Farm - Upgrade to water tank monitoring system</w:t>
            </w:r>
          </w:p>
        </w:tc>
        <w:tc>
          <w:tcPr>
            <w:tcW w:w="910" w:type="dxa"/>
            <w:tcBorders>
              <w:top w:val="nil"/>
              <w:left w:val="nil"/>
              <w:bottom w:val="nil"/>
              <w:right w:val="nil"/>
              <w:tl2br w:val="nil"/>
              <w:tr2bl w:val="nil"/>
            </w:tcBorders>
            <w:shd w:val="clear" w:color="auto" w:fill="auto"/>
            <w:noWrap/>
            <w:tcMar>
              <w:left w:w="101" w:type="dxa"/>
              <w:right w:w="101" w:type="dxa"/>
            </w:tcMar>
          </w:tcPr>
          <w:p w14:paraId="45D543E1"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2199E19C"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50</w:t>
            </w:r>
          </w:p>
        </w:tc>
        <w:tc>
          <w:tcPr>
            <w:tcW w:w="911" w:type="dxa"/>
            <w:tcBorders>
              <w:top w:val="nil"/>
              <w:left w:val="nil"/>
              <w:bottom w:val="nil"/>
              <w:right w:val="nil"/>
              <w:tl2br w:val="nil"/>
              <w:tr2bl w:val="nil"/>
            </w:tcBorders>
            <w:shd w:val="clear" w:color="auto" w:fill="auto"/>
            <w:noWrap/>
            <w:tcMar>
              <w:left w:w="101" w:type="dxa"/>
              <w:right w:w="101" w:type="dxa"/>
            </w:tcMar>
          </w:tcPr>
          <w:p w14:paraId="2770F377"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3338F53F"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2B2543A3"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1ADD623D"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85" w:type="dxa"/>
            <w:tcBorders>
              <w:top w:val="nil"/>
              <w:left w:val="nil"/>
              <w:bottom w:val="nil"/>
              <w:right w:val="nil"/>
              <w:tl2br w:val="nil"/>
              <w:tr2bl w:val="nil"/>
            </w:tcBorders>
            <w:shd w:val="clear" w:color="auto" w:fill="auto"/>
            <w:tcMar>
              <w:left w:w="101" w:type="dxa"/>
              <w:right w:w="101" w:type="dxa"/>
            </w:tcMar>
          </w:tcPr>
          <w:p w14:paraId="5B16A7B8" w14:textId="32DB020F" w:rsidR="00496618" w:rsidRDefault="0027723F">
            <w:pPr>
              <w:pStyle w:val="Normal3"/>
              <w:rPr>
                <w:rFonts w:ascii="Calibri" w:eastAsia="Calibri" w:hAnsi="Calibri" w:cs="Calibri"/>
                <w:color w:val="000000"/>
                <w:sz w:val="18"/>
              </w:rPr>
            </w:pPr>
            <w:r>
              <w:rPr>
                <w:rFonts w:ascii="Calibri" w:eastAsia="Calibri" w:hAnsi="Calibri" w:cs="Calibri"/>
                <w:color w:val="000000"/>
                <w:sz w:val="18"/>
              </w:rPr>
              <w:t>QEII upgrades</w:t>
            </w:r>
          </w:p>
        </w:tc>
        <w:tc>
          <w:tcPr>
            <w:tcW w:w="910" w:type="dxa"/>
            <w:tcBorders>
              <w:top w:val="nil"/>
              <w:left w:val="nil"/>
              <w:bottom w:val="nil"/>
              <w:right w:val="nil"/>
              <w:tl2br w:val="nil"/>
              <w:tr2bl w:val="nil"/>
            </w:tcBorders>
            <w:shd w:val="clear" w:color="auto" w:fill="auto"/>
            <w:noWrap/>
            <w:tcMar>
              <w:left w:w="101" w:type="dxa"/>
              <w:right w:w="101" w:type="dxa"/>
            </w:tcMar>
          </w:tcPr>
          <w:p w14:paraId="0F2D3056"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53A41BB2"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65</w:t>
            </w:r>
          </w:p>
        </w:tc>
        <w:tc>
          <w:tcPr>
            <w:tcW w:w="911" w:type="dxa"/>
            <w:tcBorders>
              <w:top w:val="nil"/>
              <w:left w:val="nil"/>
              <w:bottom w:val="nil"/>
              <w:right w:val="nil"/>
              <w:tl2br w:val="nil"/>
              <w:tr2bl w:val="nil"/>
            </w:tcBorders>
            <w:shd w:val="clear" w:color="auto" w:fill="auto"/>
            <w:noWrap/>
            <w:tcMar>
              <w:left w:w="101" w:type="dxa"/>
              <w:right w:w="101" w:type="dxa"/>
            </w:tcMar>
          </w:tcPr>
          <w:p w14:paraId="59C76E4E"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52DF7CBA"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62C0D5F7"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169C3" w14:paraId="227D84B2"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85" w:type="dxa"/>
            <w:tcBorders>
              <w:top w:val="nil"/>
              <w:left w:val="nil"/>
              <w:bottom w:val="nil"/>
              <w:right w:val="nil"/>
              <w:tl2br w:val="nil"/>
              <w:tr2bl w:val="nil"/>
            </w:tcBorders>
            <w:shd w:val="clear" w:color="auto" w:fill="auto"/>
            <w:tcMar>
              <w:left w:w="101" w:type="dxa"/>
              <w:right w:w="101" w:type="dxa"/>
            </w:tcMar>
          </w:tcPr>
          <w:p w14:paraId="796C39A4" w14:textId="77777777" w:rsidR="004169C3" w:rsidRDefault="004169C3">
            <w:pPr>
              <w:pStyle w:val="Normal3"/>
              <w:rPr>
                <w:rFonts w:ascii="Calibri" w:eastAsia="Calibri" w:hAnsi="Calibri" w:cs="Calibri"/>
                <w:color w:val="000000"/>
                <w:sz w:val="18"/>
              </w:rPr>
            </w:pPr>
          </w:p>
        </w:tc>
        <w:tc>
          <w:tcPr>
            <w:tcW w:w="910" w:type="dxa"/>
            <w:tcBorders>
              <w:top w:val="nil"/>
              <w:left w:val="nil"/>
              <w:bottom w:val="nil"/>
              <w:right w:val="nil"/>
              <w:tl2br w:val="nil"/>
              <w:tr2bl w:val="nil"/>
            </w:tcBorders>
            <w:shd w:val="clear" w:color="auto" w:fill="auto"/>
            <w:noWrap/>
            <w:tcMar>
              <w:left w:w="101" w:type="dxa"/>
              <w:right w:w="101" w:type="dxa"/>
            </w:tcMar>
          </w:tcPr>
          <w:p w14:paraId="47EC4928"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4EBF51AE"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1CAD6B5C"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43FC7885"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47A866D3" w14:textId="77777777" w:rsidR="004169C3" w:rsidRDefault="004169C3">
            <w:pPr>
              <w:pStyle w:val="Normal3"/>
              <w:jc w:val="right"/>
              <w:rPr>
                <w:rFonts w:ascii="Calibri" w:eastAsia="Calibri" w:hAnsi="Calibri" w:cs="Calibri"/>
                <w:color w:val="000000"/>
                <w:sz w:val="18"/>
              </w:rPr>
            </w:pPr>
          </w:p>
        </w:tc>
      </w:tr>
      <w:tr w:rsidR="004169C3" w:rsidRPr="004169C3" w14:paraId="56A50D7E"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85" w:type="dxa"/>
            <w:tcBorders>
              <w:top w:val="nil"/>
              <w:left w:val="nil"/>
              <w:bottom w:val="nil"/>
              <w:right w:val="nil"/>
              <w:tl2br w:val="nil"/>
              <w:tr2bl w:val="nil"/>
            </w:tcBorders>
            <w:shd w:val="clear" w:color="auto" w:fill="auto"/>
            <w:tcMar>
              <w:left w:w="101" w:type="dxa"/>
              <w:right w:w="101" w:type="dxa"/>
            </w:tcMar>
          </w:tcPr>
          <w:p w14:paraId="75EEEA30" w14:textId="176D4874" w:rsidR="004169C3" w:rsidRPr="004169C3" w:rsidRDefault="004169C3">
            <w:pPr>
              <w:pStyle w:val="Normal3"/>
              <w:rPr>
                <w:rFonts w:ascii="Calibri" w:eastAsia="Calibri" w:hAnsi="Calibri" w:cs="Calibri"/>
                <w:color w:val="000000"/>
                <w:sz w:val="18"/>
                <w:u w:val="single"/>
              </w:rPr>
            </w:pPr>
            <w:r w:rsidRPr="004169C3">
              <w:rPr>
                <w:rFonts w:ascii="Calibri" w:eastAsia="Calibri" w:hAnsi="Calibri" w:cs="Calibri"/>
                <w:color w:val="000000"/>
                <w:sz w:val="18"/>
                <w:u w:val="single"/>
              </w:rPr>
              <w:t>Revised Funding Profile</w:t>
            </w:r>
          </w:p>
        </w:tc>
        <w:tc>
          <w:tcPr>
            <w:tcW w:w="910" w:type="dxa"/>
            <w:tcBorders>
              <w:top w:val="nil"/>
              <w:left w:val="nil"/>
              <w:bottom w:val="nil"/>
              <w:right w:val="nil"/>
              <w:tl2br w:val="nil"/>
              <w:tr2bl w:val="nil"/>
            </w:tcBorders>
            <w:shd w:val="clear" w:color="auto" w:fill="auto"/>
            <w:noWrap/>
            <w:tcMar>
              <w:left w:w="101" w:type="dxa"/>
              <w:right w:w="101" w:type="dxa"/>
            </w:tcMar>
          </w:tcPr>
          <w:p w14:paraId="699B2B8C" w14:textId="77777777" w:rsidR="004169C3" w:rsidRPr="004169C3" w:rsidRDefault="004169C3">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00E27A4C" w14:textId="77777777" w:rsidR="004169C3" w:rsidRPr="004169C3" w:rsidRDefault="004169C3">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0B7A6052" w14:textId="77777777" w:rsidR="004169C3" w:rsidRPr="004169C3" w:rsidRDefault="004169C3">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70CDF1CB" w14:textId="77777777" w:rsidR="004169C3" w:rsidRPr="004169C3" w:rsidRDefault="004169C3">
            <w:pPr>
              <w:pStyle w:val="Normal3"/>
              <w:jc w:val="right"/>
              <w:rPr>
                <w:rFonts w:ascii="Calibri" w:eastAsia="Calibri" w:hAnsi="Calibri" w:cs="Calibri"/>
                <w:color w:val="000000"/>
                <w:sz w:val="18"/>
                <w:u w:val="single"/>
              </w:rPr>
            </w:pPr>
          </w:p>
        </w:tc>
        <w:tc>
          <w:tcPr>
            <w:tcW w:w="911" w:type="dxa"/>
            <w:tcBorders>
              <w:top w:val="nil"/>
              <w:left w:val="nil"/>
              <w:bottom w:val="nil"/>
              <w:right w:val="nil"/>
              <w:tl2br w:val="nil"/>
              <w:tr2bl w:val="nil"/>
            </w:tcBorders>
            <w:shd w:val="clear" w:color="auto" w:fill="auto"/>
            <w:noWrap/>
            <w:tcMar>
              <w:left w:w="101" w:type="dxa"/>
              <w:right w:w="101" w:type="dxa"/>
            </w:tcMar>
          </w:tcPr>
          <w:p w14:paraId="27C1F371" w14:textId="77777777" w:rsidR="004169C3" w:rsidRPr="004169C3" w:rsidRDefault="004169C3">
            <w:pPr>
              <w:pStyle w:val="Normal3"/>
              <w:jc w:val="right"/>
              <w:rPr>
                <w:rFonts w:ascii="Calibri" w:eastAsia="Calibri" w:hAnsi="Calibri" w:cs="Calibri"/>
                <w:color w:val="000000"/>
                <w:sz w:val="18"/>
                <w:u w:val="single"/>
              </w:rPr>
            </w:pPr>
          </w:p>
        </w:tc>
      </w:tr>
      <w:tr w:rsidR="00496618" w14:paraId="74CD5BE3"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tcPr>
          <w:p w14:paraId="548651B0" w14:textId="613DCC3C" w:rsidR="00496618" w:rsidRDefault="0027723F">
            <w:pPr>
              <w:pStyle w:val="Normal3"/>
              <w:rPr>
                <w:rFonts w:ascii="Calibri" w:eastAsia="Calibri" w:hAnsi="Calibri" w:cs="Calibri"/>
                <w:color w:val="000000"/>
                <w:sz w:val="18"/>
              </w:rPr>
            </w:pPr>
            <w:r>
              <w:rPr>
                <w:rFonts w:ascii="Calibri" w:eastAsia="Calibri" w:hAnsi="Calibri" w:cs="Calibri"/>
                <w:color w:val="000000"/>
                <w:sz w:val="18"/>
              </w:rPr>
              <w:t>ACT Health Core IT Systems</w:t>
            </w:r>
          </w:p>
        </w:tc>
        <w:tc>
          <w:tcPr>
            <w:tcW w:w="910" w:type="dxa"/>
            <w:tcBorders>
              <w:top w:val="nil"/>
              <w:left w:val="nil"/>
              <w:bottom w:val="nil"/>
              <w:right w:val="nil"/>
              <w:tl2br w:val="nil"/>
              <w:tr2bl w:val="nil"/>
            </w:tcBorders>
            <w:shd w:val="clear" w:color="auto" w:fill="auto"/>
            <w:noWrap/>
            <w:tcMar>
              <w:left w:w="101" w:type="dxa"/>
              <w:right w:w="101" w:type="dxa"/>
            </w:tcMar>
          </w:tcPr>
          <w:p w14:paraId="3FF8B311"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15,627</w:t>
            </w:r>
          </w:p>
        </w:tc>
        <w:tc>
          <w:tcPr>
            <w:tcW w:w="911" w:type="dxa"/>
            <w:tcBorders>
              <w:top w:val="nil"/>
              <w:left w:val="nil"/>
              <w:bottom w:val="nil"/>
              <w:right w:val="nil"/>
              <w:tl2br w:val="nil"/>
              <w:tr2bl w:val="nil"/>
            </w:tcBorders>
            <w:shd w:val="clear" w:color="auto" w:fill="auto"/>
            <w:noWrap/>
            <w:tcMar>
              <w:left w:w="101" w:type="dxa"/>
              <w:right w:w="101" w:type="dxa"/>
            </w:tcMar>
          </w:tcPr>
          <w:p w14:paraId="42FA5CC1"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-15,627</w:t>
            </w:r>
          </w:p>
        </w:tc>
        <w:tc>
          <w:tcPr>
            <w:tcW w:w="911" w:type="dxa"/>
            <w:tcBorders>
              <w:top w:val="nil"/>
              <w:left w:val="nil"/>
              <w:bottom w:val="nil"/>
              <w:right w:val="nil"/>
              <w:tl2br w:val="nil"/>
              <w:tr2bl w:val="nil"/>
            </w:tcBorders>
            <w:shd w:val="clear" w:color="auto" w:fill="auto"/>
            <w:noWrap/>
            <w:tcMar>
              <w:left w:w="101" w:type="dxa"/>
              <w:right w:w="101" w:type="dxa"/>
            </w:tcMar>
          </w:tcPr>
          <w:p w14:paraId="19C54031"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3F3C56BE"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08D880AF"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1251B5FE" w14:textId="77777777" w:rsidTr="0041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85" w:type="dxa"/>
            <w:tcBorders>
              <w:top w:val="nil"/>
              <w:left w:val="nil"/>
              <w:bottom w:val="nil"/>
              <w:right w:val="nil"/>
              <w:tl2br w:val="nil"/>
              <w:tr2bl w:val="nil"/>
            </w:tcBorders>
            <w:shd w:val="clear" w:color="auto" w:fill="auto"/>
            <w:tcMar>
              <w:left w:w="101" w:type="dxa"/>
              <w:right w:w="101" w:type="dxa"/>
            </w:tcMar>
          </w:tcPr>
          <w:p w14:paraId="054B1B04" w14:textId="56813A3E" w:rsidR="00496618" w:rsidRDefault="0027723F">
            <w:pPr>
              <w:pStyle w:val="Normal3"/>
              <w:rPr>
                <w:rFonts w:ascii="Calibri" w:eastAsia="Calibri" w:hAnsi="Calibri" w:cs="Calibri"/>
                <w:color w:val="000000"/>
                <w:sz w:val="18"/>
              </w:rPr>
            </w:pPr>
            <w:r>
              <w:rPr>
                <w:rFonts w:ascii="Calibri" w:eastAsia="Calibri" w:hAnsi="Calibri" w:cs="Calibri"/>
                <w:color w:val="000000"/>
                <w:sz w:val="18"/>
              </w:rPr>
              <w:t>ACT Pathology Laboratory information system</w:t>
            </w:r>
          </w:p>
        </w:tc>
        <w:tc>
          <w:tcPr>
            <w:tcW w:w="910" w:type="dxa"/>
            <w:tcBorders>
              <w:top w:val="nil"/>
              <w:left w:val="nil"/>
              <w:bottom w:val="nil"/>
              <w:right w:val="nil"/>
              <w:tl2br w:val="nil"/>
              <w:tr2bl w:val="nil"/>
            </w:tcBorders>
            <w:shd w:val="clear" w:color="auto" w:fill="auto"/>
            <w:noWrap/>
            <w:tcMar>
              <w:left w:w="101" w:type="dxa"/>
              <w:right w:w="101" w:type="dxa"/>
            </w:tcMar>
          </w:tcPr>
          <w:p w14:paraId="2D580C32"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-720</w:t>
            </w:r>
          </w:p>
        </w:tc>
        <w:tc>
          <w:tcPr>
            <w:tcW w:w="911" w:type="dxa"/>
            <w:tcBorders>
              <w:top w:val="nil"/>
              <w:left w:val="nil"/>
              <w:bottom w:val="nil"/>
              <w:right w:val="nil"/>
              <w:tl2br w:val="nil"/>
              <w:tr2bl w:val="nil"/>
            </w:tcBorders>
            <w:shd w:val="clear" w:color="auto" w:fill="auto"/>
            <w:noWrap/>
            <w:tcMar>
              <w:left w:w="101" w:type="dxa"/>
              <w:right w:w="101" w:type="dxa"/>
            </w:tcMar>
          </w:tcPr>
          <w:p w14:paraId="25D8A64B"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720</w:t>
            </w:r>
          </w:p>
        </w:tc>
        <w:tc>
          <w:tcPr>
            <w:tcW w:w="911" w:type="dxa"/>
            <w:tcBorders>
              <w:top w:val="nil"/>
              <w:left w:val="nil"/>
              <w:bottom w:val="nil"/>
              <w:right w:val="nil"/>
              <w:tl2br w:val="nil"/>
              <w:tr2bl w:val="nil"/>
            </w:tcBorders>
            <w:shd w:val="clear" w:color="auto" w:fill="auto"/>
            <w:noWrap/>
            <w:tcMar>
              <w:left w:w="101" w:type="dxa"/>
              <w:right w:w="101" w:type="dxa"/>
            </w:tcMar>
          </w:tcPr>
          <w:p w14:paraId="037053B5"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0747ECAC"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6D4F3283"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-5,774</w:t>
            </w:r>
          </w:p>
        </w:tc>
      </w:tr>
      <w:tr w:rsidR="00496618" w14:paraId="2E37F970"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tcPr>
          <w:p w14:paraId="63BF820D" w14:textId="36A44DE4" w:rsidR="00496618" w:rsidRDefault="0027723F">
            <w:pPr>
              <w:pStyle w:val="Normal3"/>
              <w:rPr>
                <w:rFonts w:ascii="Calibri" w:eastAsia="Calibri" w:hAnsi="Calibri" w:cs="Calibri"/>
                <w:color w:val="000000"/>
                <w:sz w:val="18"/>
              </w:rPr>
            </w:pPr>
            <w:r>
              <w:rPr>
                <w:rFonts w:ascii="Calibri" w:eastAsia="Calibri" w:hAnsi="Calibri" w:cs="Calibri"/>
                <w:color w:val="000000"/>
                <w:sz w:val="18"/>
              </w:rPr>
              <w:t>Building Improvement Fund</w:t>
            </w:r>
          </w:p>
        </w:tc>
        <w:tc>
          <w:tcPr>
            <w:tcW w:w="910" w:type="dxa"/>
            <w:tcBorders>
              <w:top w:val="nil"/>
              <w:left w:val="nil"/>
              <w:bottom w:val="nil"/>
              <w:right w:val="nil"/>
              <w:tl2br w:val="nil"/>
              <w:tr2bl w:val="nil"/>
            </w:tcBorders>
            <w:shd w:val="clear" w:color="auto" w:fill="auto"/>
            <w:noWrap/>
            <w:tcMar>
              <w:left w:w="101" w:type="dxa"/>
              <w:right w:w="101" w:type="dxa"/>
            </w:tcMar>
          </w:tcPr>
          <w:p w14:paraId="44ED1014"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-300</w:t>
            </w:r>
          </w:p>
        </w:tc>
        <w:tc>
          <w:tcPr>
            <w:tcW w:w="911" w:type="dxa"/>
            <w:tcBorders>
              <w:top w:val="nil"/>
              <w:left w:val="nil"/>
              <w:bottom w:val="nil"/>
              <w:right w:val="nil"/>
              <w:tl2br w:val="nil"/>
              <w:tr2bl w:val="nil"/>
            </w:tcBorders>
            <w:shd w:val="clear" w:color="auto" w:fill="auto"/>
            <w:noWrap/>
            <w:tcMar>
              <w:left w:w="101" w:type="dxa"/>
              <w:right w:w="101" w:type="dxa"/>
            </w:tcMar>
          </w:tcPr>
          <w:p w14:paraId="558EA38F"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300</w:t>
            </w:r>
          </w:p>
        </w:tc>
        <w:tc>
          <w:tcPr>
            <w:tcW w:w="911" w:type="dxa"/>
            <w:tcBorders>
              <w:top w:val="nil"/>
              <w:left w:val="nil"/>
              <w:bottom w:val="nil"/>
              <w:right w:val="nil"/>
              <w:tl2br w:val="nil"/>
              <w:tr2bl w:val="nil"/>
            </w:tcBorders>
            <w:shd w:val="clear" w:color="auto" w:fill="auto"/>
            <w:noWrap/>
            <w:tcMar>
              <w:left w:w="101" w:type="dxa"/>
              <w:right w:w="101" w:type="dxa"/>
            </w:tcMar>
          </w:tcPr>
          <w:p w14:paraId="5C258C0D"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277AA62A"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27457220"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07CE93C7"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tcPr>
          <w:p w14:paraId="3468FFED" w14:textId="0E3CF6D7" w:rsidR="00496618" w:rsidRDefault="00D76A6E">
            <w:pPr>
              <w:pStyle w:val="Normal3"/>
              <w:rPr>
                <w:rFonts w:ascii="Calibri" w:eastAsia="Calibri" w:hAnsi="Calibri" w:cs="Calibri"/>
                <w:color w:val="000000"/>
                <w:sz w:val="18"/>
              </w:rPr>
            </w:pPr>
            <w:r w:rsidRPr="00436199">
              <w:rPr>
                <w:rFonts w:ascii="Calibri" w:hAnsi="Calibri" w:cs="Calibri"/>
                <w:color w:val="000000"/>
                <w:sz w:val="18"/>
                <w:szCs w:val="18"/>
              </w:rPr>
              <w:t xml:space="preserve">Calvary </w:t>
            </w:r>
            <w:r w:rsidR="002A2525">
              <w:rPr>
                <w:rFonts w:ascii="Calibri" w:hAnsi="Calibri" w:cs="Calibri"/>
                <w:color w:val="000000"/>
                <w:sz w:val="18"/>
                <w:szCs w:val="18"/>
              </w:rPr>
              <w:t>c</w:t>
            </w:r>
            <w:r>
              <w:rPr>
                <w:rFonts w:ascii="Calibri" w:hAnsi="Calibri" w:cs="Calibri"/>
                <w:color w:val="000000"/>
                <w:sz w:val="18"/>
                <w:szCs w:val="18"/>
              </w:rPr>
              <w:t xml:space="preserve">ritical </w:t>
            </w:r>
            <w:r w:rsidR="002A2525">
              <w:rPr>
                <w:rFonts w:ascii="Calibri" w:hAnsi="Calibri" w:cs="Calibri"/>
                <w:color w:val="000000"/>
                <w:sz w:val="18"/>
                <w:szCs w:val="18"/>
              </w:rPr>
              <w:t>i</w:t>
            </w:r>
            <w:r w:rsidRPr="00436199">
              <w:rPr>
                <w:rFonts w:ascii="Calibri" w:hAnsi="Calibri" w:cs="Calibri"/>
                <w:color w:val="000000"/>
                <w:sz w:val="18"/>
                <w:szCs w:val="18"/>
              </w:rPr>
              <w:t>nfrastructure</w:t>
            </w:r>
            <w:r w:rsidR="002A2525">
              <w:rPr>
                <w:rFonts w:ascii="Calibri" w:hAnsi="Calibri" w:cs="Calibri"/>
                <w:color w:val="000000"/>
                <w:sz w:val="18"/>
                <w:szCs w:val="18"/>
              </w:rPr>
              <w:t xml:space="preserve"> phase 1</w:t>
            </w:r>
          </w:p>
        </w:tc>
        <w:tc>
          <w:tcPr>
            <w:tcW w:w="910" w:type="dxa"/>
            <w:tcBorders>
              <w:top w:val="nil"/>
              <w:left w:val="nil"/>
              <w:bottom w:val="nil"/>
              <w:right w:val="nil"/>
              <w:tl2br w:val="nil"/>
              <w:tr2bl w:val="nil"/>
            </w:tcBorders>
            <w:shd w:val="clear" w:color="auto" w:fill="auto"/>
            <w:noWrap/>
            <w:tcMar>
              <w:left w:w="101" w:type="dxa"/>
              <w:right w:w="101" w:type="dxa"/>
            </w:tcMar>
          </w:tcPr>
          <w:p w14:paraId="3B2EF074"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-866</w:t>
            </w:r>
          </w:p>
        </w:tc>
        <w:tc>
          <w:tcPr>
            <w:tcW w:w="911" w:type="dxa"/>
            <w:tcBorders>
              <w:top w:val="nil"/>
              <w:left w:val="nil"/>
              <w:bottom w:val="nil"/>
              <w:right w:val="nil"/>
              <w:tl2br w:val="nil"/>
              <w:tr2bl w:val="nil"/>
            </w:tcBorders>
            <w:shd w:val="clear" w:color="auto" w:fill="auto"/>
            <w:noWrap/>
            <w:tcMar>
              <w:left w:w="101" w:type="dxa"/>
              <w:right w:w="101" w:type="dxa"/>
            </w:tcMar>
          </w:tcPr>
          <w:p w14:paraId="12CB6550"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866</w:t>
            </w:r>
          </w:p>
        </w:tc>
        <w:tc>
          <w:tcPr>
            <w:tcW w:w="911" w:type="dxa"/>
            <w:tcBorders>
              <w:top w:val="nil"/>
              <w:left w:val="nil"/>
              <w:bottom w:val="nil"/>
              <w:right w:val="nil"/>
              <w:tl2br w:val="nil"/>
              <w:tr2bl w:val="nil"/>
            </w:tcBorders>
            <w:shd w:val="clear" w:color="auto" w:fill="auto"/>
            <w:noWrap/>
            <w:tcMar>
              <w:left w:w="101" w:type="dxa"/>
              <w:right w:w="101" w:type="dxa"/>
            </w:tcMar>
          </w:tcPr>
          <w:p w14:paraId="1FFA795E"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670ED3AD"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3EDB8D75"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66A3DA64" w14:textId="77777777" w:rsidTr="0041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85" w:type="dxa"/>
            <w:tcBorders>
              <w:top w:val="nil"/>
              <w:left w:val="nil"/>
              <w:bottom w:val="nil"/>
              <w:right w:val="nil"/>
              <w:tl2br w:val="nil"/>
              <w:tr2bl w:val="nil"/>
            </w:tcBorders>
            <w:shd w:val="clear" w:color="auto" w:fill="auto"/>
            <w:tcMar>
              <w:left w:w="101" w:type="dxa"/>
              <w:right w:w="101" w:type="dxa"/>
            </w:tcMar>
          </w:tcPr>
          <w:p w14:paraId="1B07FDB5" w14:textId="1BA6C690" w:rsidR="00496618" w:rsidRDefault="0027723F">
            <w:pPr>
              <w:pStyle w:val="Normal3"/>
              <w:rPr>
                <w:rFonts w:ascii="Calibri" w:eastAsia="Calibri" w:hAnsi="Calibri" w:cs="Calibri"/>
                <w:color w:val="000000"/>
                <w:sz w:val="18"/>
              </w:rPr>
            </w:pPr>
            <w:r>
              <w:rPr>
                <w:rFonts w:ascii="Calibri" w:eastAsia="Calibri" w:hAnsi="Calibri" w:cs="Calibri"/>
                <w:color w:val="000000"/>
                <w:sz w:val="18"/>
              </w:rPr>
              <w:t>Community, Health and Hospitals Program - Alcohol &amp; Other Residential Rehabilitation Expansion &amp; Modernisation</w:t>
            </w:r>
          </w:p>
        </w:tc>
        <w:tc>
          <w:tcPr>
            <w:tcW w:w="910" w:type="dxa"/>
            <w:tcBorders>
              <w:top w:val="nil"/>
              <w:left w:val="nil"/>
              <w:bottom w:val="nil"/>
              <w:right w:val="nil"/>
              <w:tl2br w:val="nil"/>
              <w:tr2bl w:val="nil"/>
            </w:tcBorders>
            <w:shd w:val="clear" w:color="auto" w:fill="auto"/>
            <w:noWrap/>
            <w:tcMar>
              <w:left w:w="101" w:type="dxa"/>
              <w:right w:w="101" w:type="dxa"/>
            </w:tcMar>
          </w:tcPr>
          <w:p w14:paraId="1C9CB603"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-915</w:t>
            </w:r>
          </w:p>
        </w:tc>
        <w:tc>
          <w:tcPr>
            <w:tcW w:w="911" w:type="dxa"/>
            <w:tcBorders>
              <w:top w:val="nil"/>
              <w:left w:val="nil"/>
              <w:bottom w:val="nil"/>
              <w:right w:val="nil"/>
              <w:tl2br w:val="nil"/>
              <w:tr2bl w:val="nil"/>
            </w:tcBorders>
            <w:shd w:val="clear" w:color="auto" w:fill="auto"/>
            <w:noWrap/>
            <w:tcMar>
              <w:left w:w="101" w:type="dxa"/>
              <w:right w:w="101" w:type="dxa"/>
            </w:tcMar>
          </w:tcPr>
          <w:p w14:paraId="42FF5FD7" w14:textId="54220625"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w:t>
            </w:r>
            <w:r w:rsidR="00EF2675">
              <w:rPr>
                <w:rFonts w:ascii="Calibri" w:eastAsia="Calibri" w:hAnsi="Calibri" w:cs="Calibri"/>
                <w:color w:val="000000"/>
                <w:sz w:val="18"/>
              </w:rPr>
              <w:t>1,0</w:t>
            </w:r>
            <w:r>
              <w:rPr>
                <w:rFonts w:ascii="Calibri" w:eastAsia="Calibri" w:hAnsi="Calibri" w:cs="Calibri"/>
                <w:color w:val="000000"/>
                <w:sz w:val="18"/>
              </w:rPr>
              <w:t>85</w:t>
            </w:r>
          </w:p>
        </w:tc>
        <w:tc>
          <w:tcPr>
            <w:tcW w:w="911" w:type="dxa"/>
            <w:tcBorders>
              <w:top w:val="nil"/>
              <w:left w:val="nil"/>
              <w:bottom w:val="nil"/>
              <w:right w:val="nil"/>
              <w:tl2br w:val="nil"/>
              <w:tr2bl w:val="nil"/>
            </w:tcBorders>
            <w:shd w:val="clear" w:color="auto" w:fill="auto"/>
            <w:noWrap/>
            <w:tcMar>
              <w:left w:w="101" w:type="dxa"/>
              <w:right w:w="101" w:type="dxa"/>
            </w:tcMar>
          </w:tcPr>
          <w:p w14:paraId="5A0C9146"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1,000</w:t>
            </w:r>
          </w:p>
        </w:tc>
        <w:tc>
          <w:tcPr>
            <w:tcW w:w="911" w:type="dxa"/>
            <w:tcBorders>
              <w:top w:val="nil"/>
              <w:left w:val="nil"/>
              <w:bottom w:val="nil"/>
              <w:right w:val="nil"/>
              <w:tl2br w:val="nil"/>
              <w:tr2bl w:val="nil"/>
            </w:tcBorders>
            <w:shd w:val="clear" w:color="auto" w:fill="auto"/>
            <w:noWrap/>
            <w:tcMar>
              <w:left w:w="101" w:type="dxa"/>
              <w:right w:w="101" w:type="dxa"/>
            </w:tcMar>
          </w:tcPr>
          <w:p w14:paraId="2F2DFFED" w14:textId="558165BD" w:rsidR="00496618" w:rsidRDefault="00EF2675">
            <w:pPr>
              <w:pStyle w:val="Normal3"/>
              <w:jc w:val="right"/>
              <w:rPr>
                <w:rFonts w:ascii="Calibri" w:eastAsia="Calibri" w:hAnsi="Calibri" w:cs="Calibri"/>
                <w:color w:val="000000"/>
                <w:sz w:val="18"/>
              </w:rPr>
            </w:pPr>
            <w:r>
              <w:rPr>
                <w:rFonts w:ascii="Calibri" w:eastAsia="Calibri" w:hAnsi="Calibri" w:cs="Calibri"/>
                <w:color w:val="000000"/>
                <w:sz w:val="18"/>
              </w:rPr>
              <w:t>1,00</w:t>
            </w:r>
            <w:r w:rsidR="0027723F">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12BFE43E"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2A0FCE89" w14:textId="77777777" w:rsidTr="0041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085" w:type="dxa"/>
            <w:tcBorders>
              <w:top w:val="nil"/>
              <w:left w:val="nil"/>
              <w:bottom w:val="nil"/>
              <w:right w:val="nil"/>
              <w:tl2br w:val="nil"/>
              <w:tr2bl w:val="nil"/>
            </w:tcBorders>
            <w:shd w:val="clear" w:color="auto" w:fill="auto"/>
            <w:tcMar>
              <w:left w:w="101" w:type="dxa"/>
              <w:right w:w="101" w:type="dxa"/>
            </w:tcMar>
          </w:tcPr>
          <w:p w14:paraId="36FE0D30" w14:textId="681C5315" w:rsidR="00496618" w:rsidRDefault="0027723F">
            <w:pPr>
              <w:pStyle w:val="Normal3"/>
              <w:rPr>
                <w:rFonts w:ascii="Calibri" w:eastAsia="Calibri" w:hAnsi="Calibri" w:cs="Calibri"/>
                <w:color w:val="000000"/>
                <w:sz w:val="18"/>
              </w:rPr>
            </w:pPr>
            <w:r>
              <w:rPr>
                <w:rFonts w:ascii="Calibri" w:eastAsia="Calibri" w:hAnsi="Calibri" w:cs="Calibri"/>
                <w:color w:val="000000"/>
                <w:sz w:val="18"/>
              </w:rPr>
              <w:t>Community, Health and Hospitals Program - Community Based Residential Eating Disorder Treatment Centre</w:t>
            </w:r>
          </w:p>
        </w:tc>
        <w:tc>
          <w:tcPr>
            <w:tcW w:w="910" w:type="dxa"/>
            <w:tcBorders>
              <w:top w:val="nil"/>
              <w:left w:val="nil"/>
              <w:bottom w:val="nil"/>
              <w:right w:val="nil"/>
              <w:tl2br w:val="nil"/>
              <w:tr2bl w:val="nil"/>
            </w:tcBorders>
            <w:shd w:val="clear" w:color="auto" w:fill="auto"/>
            <w:noWrap/>
            <w:tcMar>
              <w:left w:w="101" w:type="dxa"/>
              <w:right w:w="101" w:type="dxa"/>
            </w:tcMar>
          </w:tcPr>
          <w:p w14:paraId="4B4CC2A1"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-1,000</w:t>
            </w:r>
          </w:p>
        </w:tc>
        <w:tc>
          <w:tcPr>
            <w:tcW w:w="911" w:type="dxa"/>
            <w:tcBorders>
              <w:top w:val="nil"/>
              <w:left w:val="nil"/>
              <w:bottom w:val="nil"/>
              <w:right w:val="nil"/>
              <w:tl2br w:val="nil"/>
              <w:tr2bl w:val="nil"/>
            </w:tcBorders>
            <w:shd w:val="clear" w:color="auto" w:fill="auto"/>
            <w:noWrap/>
            <w:tcMar>
              <w:left w:w="101" w:type="dxa"/>
              <w:right w:w="101" w:type="dxa"/>
            </w:tcMar>
          </w:tcPr>
          <w:p w14:paraId="5AD36C4F"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-9,500</w:t>
            </w:r>
          </w:p>
        </w:tc>
        <w:tc>
          <w:tcPr>
            <w:tcW w:w="911" w:type="dxa"/>
            <w:tcBorders>
              <w:top w:val="nil"/>
              <w:left w:val="nil"/>
              <w:bottom w:val="nil"/>
              <w:right w:val="nil"/>
              <w:tl2br w:val="nil"/>
              <w:tr2bl w:val="nil"/>
            </w:tcBorders>
            <w:shd w:val="clear" w:color="auto" w:fill="auto"/>
            <w:noWrap/>
            <w:tcMar>
              <w:left w:w="101" w:type="dxa"/>
              <w:right w:w="101" w:type="dxa"/>
            </w:tcMar>
          </w:tcPr>
          <w:p w14:paraId="7BEEFA06"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10,000</w:t>
            </w:r>
          </w:p>
        </w:tc>
        <w:tc>
          <w:tcPr>
            <w:tcW w:w="911" w:type="dxa"/>
            <w:tcBorders>
              <w:top w:val="nil"/>
              <w:left w:val="nil"/>
              <w:bottom w:val="nil"/>
              <w:right w:val="nil"/>
              <w:tl2br w:val="nil"/>
              <w:tr2bl w:val="nil"/>
            </w:tcBorders>
            <w:shd w:val="clear" w:color="auto" w:fill="auto"/>
            <w:noWrap/>
            <w:tcMar>
              <w:left w:w="101" w:type="dxa"/>
              <w:right w:w="101" w:type="dxa"/>
            </w:tcMar>
          </w:tcPr>
          <w:p w14:paraId="19FAA487"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500</w:t>
            </w:r>
          </w:p>
        </w:tc>
        <w:tc>
          <w:tcPr>
            <w:tcW w:w="911" w:type="dxa"/>
            <w:tcBorders>
              <w:top w:val="nil"/>
              <w:left w:val="nil"/>
              <w:bottom w:val="nil"/>
              <w:right w:val="nil"/>
              <w:tl2br w:val="nil"/>
              <w:tr2bl w:val="nil"/>
            </w:tcBorders>
            <w:shd w:val="clear" w:color="auto" w:fill="auto"/>
            <w:noWrap/>
            <w:tcMar>
              <w:left w:w="101" w:type="dxa"/>
              <w:right w:w="101" w:type="dxa"/>
            </w:tcMar>
          </w:tcPr>
          <w:p w14:paraId="3F869BB2"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54F08E03" w14:textId="77777777" w:rsidTr="0041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5085" w:type="dxa"/>
            <w:tcBorders>
              <w:top w:val="nil"/>
              <w:left w:val="nil"/>
              <w:bottom w:val="nil"/>
              <w:right w:val="nil"/>
              <w:tl2br w:val="nil"/>
              <w:tr2bl w:val="nil"/>
            </w:tcBorders>
            <w:shd w:val="clear" w:color="auto" w:fill="auto"/>
            <w:tcMar>
              <w:left w:w="101" w:type="dxa"/>
              <w:right w:w="101" w:type="dxa"/>
            </w:tcMar>
          </w:tcPr>
          <w:p w14:paraId="3B733390" w14:textId="21AC457E" w:rsidR="00496618" w:rsidRDefault="0027723F">
            <w:pPr>
              <w:pStyle w:val="Normal3"/>
              <w:rPr>
                <w:rFonts w:ascii="Calibri" w:eastAsia="Calibri" w:hAnsi="Calibri" w:cs="Calibri"/>
                <w:color w:val="000000"/>
                <w:sz w:val="18"/>
              </w:rPr>
            </w:pPr>
            <w:r>
              <w:rPr>
                <w:rFonts w:ascii="Calibri" w:eastAsia="Calibri" w:hAnsi="Calibri" w:cs="Calibri"/>
                <w:color w:val="000000"/>
                <w:sz w:val="18"/>
              </w:rPr>
              <w:t>COVID-19 and disease response management system</w:t>
            </w:r>
          </w:p>
        </w:tc>
        <w:tc>
          <w:tcPr>
            <w:tcW w:w="910" w:type="dxa"/>
            <w:tcBorders>
              <w:top w:val="nil"/>
              <w:left w:val="nil"/>
              <w:bottom w:val="nil"/>
              <w:right w:val="nil"/>
              <w:tl2br w:val="nil"/>
              <w:tr2bl w:val="nil"/>
            </w:tcBorders>
            <w:shd w:val="clear" w:color="auto" w:fill="auto"/>
            <w:noWrap/>
            <w:tcMar>
              <w:left w:w="101" w:type="dxa"/>
              <w:right w:w="101" w:type="dxa"/>
            </w:tcMar>
          </w:tcPr>
          <w:p w14:paraId="4D8DF454"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-7,263</w:t>
            </w:r>
          </w:p>
        </w:tc>
        <w:tc>
          <w:tcPr>
            <w:tcW w:w="911" w:type="dxa"/>
            <w:tcBorders>
              <w:top w:val="nil"/>
              <w:left w:val="nil"/>
              <w:bottom w:val="nil"/>
              <w:right w:val="nil"/>
              <w:tl2br w:val="nil"/>
              <w:tr2bl w:val="nil"/>
            </w:tcBorders>
            <w:shd w:val="clear" w:color="auto" w:fill="auto"/>
            <w:noWrap/>
            <w:tcMar>
              <w:left w:w="101" w:type="dxa"/>
              <w:right w:w="101" w:type="dxa"/>
            </w:tcMar>
          </w:tcPr>
          <w:p w14:paraId="59E30C43"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7,263</w:t>
            </w:r>
          </w:p>
        </w:tc>
        <w:tc>
          <w:tcPr>
            <w:tcW w:w="911" w:type="dxa"/>
            <w:tcBorders>
              <w:top w:val="nil"/>
              <w:left w:val="nil"/>
              <w:bottom w:val="nil"/>
              <w:right w:val="nil"/>
              <w:tl2br w:val="nil"/>
              <w:tr2bl w:val="nil"/>
            </w:tcBorders>
            <w:shd w:val="clear" w:color="auto" w:fill="auto"/>
            <w:noWrap/>
            <w:tcMar>
              <w:left w:w="101" w:type="dxa"/>
              <w:right w:w="101" w:type="dxa"/>
            </w:tcMar>
          </w:tcPr>
          <w:p w14:paraId="765A46B2"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00570B23"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2652E38E"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4A438AB1" w14:textId="77777777" w:rsidTr="0041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85" w:type="dxa"/>
            <w:tcBorders>
              <w:top w:val="nil"/>
              <w:left w:val="nil"/>
              <w:bottom w:val="nil"/>
              <w:right w:val="nil"/>
              <w:tl2br w:val="nil"/>
              <w:tr2bl w:val="nil"/>
            </w:tcBorders>
            <w:shd w:val="clear" w:color="auto" w:fill="auto"/>
            <w:tcMar>
              <w:left w:w="101" w:type="dxa"/>
              <w:right w:w="101" w:type="dxa"/>
            </w:tcMar>
          </w:tcPr>
          <w:p w14:paraId="2B84DFA2" w14:textId="68F2A5B9" w:rsidR="00496618" w:rsidRDefault="0027723F">
            <w:pPr>
              <w:pStyle w:val="Normal3"/>
              <w:rPr>
                <w:rFonts w:ascii="Calibri" w:eastAsia="Calibri" w:hAnsi="Calibri" w:cs="Calibri"/>
                <w:color w:val="000000"/>
                <w:sz w:val="18"/>
              </w:rPr>
            </w:pPr>
            <w:r>
              <w:rPr>
                <w:rFonts w:ascii="Calibri" w:eastAsia="Calibri" w:hAnsi="Calibri" w:cs="Calibri"/>
                <w:color w:val="000000"/>
                <w:sz w:val="18"/>
              </w:rPr>
              <w:t>COVID-19 Public Health Response – Vaccination Program</w:t>
            </w:r>
          </w:p>
        </w:tc>
        <w:tc>
          <w:tcPr>
            <w:tcW w:w="910" w:type="dxa"/>
            <w:tcBorders>
              <w:top w:val="nil"/>
              <w:left w:val="nil"/>
              <w:bottom w:val="nil"/>
              <w:right w:val="nil"/>
              <w:tl2br w:val="nil"/>
              <w:tr2bl w:val="nil"/>
            </w:tcBorders>
            <w:shd w:val="clear" w:color="auto" w:fill="auto"/>
            <w:noWrap/>
            <w:tcMar>
              <w:left w:w="101" w:type="dxa"/>
              <w:right w:w="101" w:type="dxa"/>
            </w:tcMar>
          </w:tcPr>
          <w:p w14:paraId="23841BD3"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-4,018</w:t>
            </w:r>
          </w:p>
        </w:tc>
        <w:tc>
          <w:tcPr>
            <w:tcW w:w="911" w:type="dxa"/>
            <w:tcBorders>
              <w:top w:val="nil"/>
              <w:left w:val="nil"/>
              <w:bottom w:val="nil"/>
              <w:right w:val="nil"/>
              <w:tl2br w:val="nil"/>
              <w:tr2bl w:val="nil"/>
            </w:tcBorders>
            <w:shd w:val="clear" w:color="auto" w:fill="auto"/>
            <w:noWrap/>
            <w:tcMar>
              <w:left w:w="101" w:type="dxa"/>
              <w:right w:w="101" w:type="dxa"/>
            </w:tcMar>
          </w:tcPr>
          <w:p w14:paraId="1E2C3C8E"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4,018</w:t>
            </w:r>
          </w:p>
        </w:tc>
        <w:tc>
          <w:tcPr>
            <w:tcW w:w="911" w:type="dxa"/>
            <w:tcBorders>
              <w:top w:val="nil"/>
              <w:left w:val="nil"/>
              <w:bottom w:val="nil"/>
              <w:right w:val="nil"/>
              <w:tl2br w:val="nil"/>
              <w:tr2bl w:val="nil"/>
            </w:tcBorders>
            <w:shd w:val="clear" w:color="auto" w:fill="auto"/>
            <w:noWrap/>
            <w:tcMar>
              <w:left w:w="101" w:type="dxa"/>
              <w:right w:w="101" w:type="dxa"/>
            </w:tcMar>
          </w:tcPr>
          <w:p w14:paraId="221BD154"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203A50C5"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78395374"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525D9257" w14:textId="77777777" w:rsidTr="00416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85" w:type="dxa"/>
            <w:tcBorders>
              <w:top w:val="nil"/>
              <w:left w:val="nil"/>
              <w:bottom w:val="nil"/>
              <w:right w:val="nil"/>
              <w:tl2br w:val="nil"/>
              <w:tr2bl w:val="nil"/>
            </w:tcBorders>
            <w:shd w:val="clear" w:color="auto" w:fill="auto"/>
            <w:tcMar>
              <w:left w:w="101" w:type="dxa"/>
              <w:right w:w="101" w:type="dxa"/>
            </w:tcMar>
          </w:tcPr>
          <w:p w14:paraId="1C2C8464" w14:textId="3FCC97D4" w:rsidR="00496618" w:rsidRPr="0051390D" w:rsidRDefault="0027723F">
            <w:pPr>
              <w:pStyle w:val="Normal3"/>
              <w:rPr>
                <w:rFonts w:ascii="Calibri" w:eastAsia="Calibri" w:hAnsi="Calibri" w:cs="Calibri"/>
                <w:color w:val="000000"/>
                <w:sz w:val="18"/>
              </w:rPr>
            </w:pPr>
            <w:r w:rsidRPr="0051390D">
              <w:rPr>
                <w:rFonts w:ascii="Calibri" w:eastAsia="Calibri" w:hAnsi="Calibri" w:cs="Calibri"/>
                <w:color w:val="000000"/>
                <w:sz w:val="18"/>
              </w:rPr>
              <w:t>Expanding Clare Holland House to strengthen palliative care</w:t>
            </w:r>
          </w:p>
        </w:tc>
        <w:tc>
          <w:tcPr>
            <w:tcW w:w="910" w:type="dxa"/>
            <w:tcBorders>
              <w:top w:val="nil"/>
              <w:left w:val="nil"/>
              <w:bottom w:val="nil"/>
              <w:right w:val="nil"/>
              <w:tl2br w:val="nil"/>
              <w:tr2bl w:val="nil"/>
            </w:tcBorders>
            <w:shd w:val="clear" w:color="auto" w:fill="auto"/>
            <w:noWrap/>
            <w:tcMar>
              <w:left w:w="101" w:type="dxa"/>
              <w:right w:w="101" w:type="dxa"/>
            </w:tcMar>
          </w:tcPr>
          <w:p w14:paraId="72DFACDE" w14:textId="77777777" w:rsidR="00496618" w:rsidRPr="0051390D" w:rsidRDefault="0027723F">
            <w:pPr>
              <w:pStyle w:val="Normal3"/>
              <w:jc w:val="right"/>
              <w:rPr>
                <w:rFonts w:ascii="Calibri" w:eastAsia="Calibri" w:hAnsi="Calibri" w:cs="Calibri"/>
                <w:color w:val="000000"/>
                <w:sz w:val="18"/>
              </w:rPr>
            </w:pPr>
            <w:r w:rsidRPr="0051390D">
              <w:rPr>
                <w:rFonts w:ascii="Calibri" w:eastAsia="Calibri" w:hAnsi="Calibri" w:cs="Calibri"/>
                <w:color w:val="000000"/>
                <w:sz w:val="18"/>
              </w:rPr>
              <w:t>798</w:t>
            </w:r>
          </w:p>
        </w:tc>
        <w:tc>
          <w:tcPr>
            <w:tcW w:w="911" w:type="dxa"/>
            <w:tcBorders>
              <w:top w:val="nil"/>
              <w:left w:val="nil"/>
              <w:bottom w:val="nil"/>
              <w:right w:val="nil"/>
              <w:tl2br w:val="nil"/>
              <w:tr2bl w:val="nil"/>
            </w:tcBorders>
            <w:shd w:val="clear" w:color="auto" w:fill="auto"/>
            <w:noWrap/>
            <w:tcMar>
              <w:left w:w="101" w:type="dxa"/>
              <w:right w:w="101" w:type="dxa"/>
            </w:tcMar>
          </w:tcPr>
          <w:p w14:paraId="09F7B7DD" w14:textId="77777777" w:rsidR="00496618" w:rsidRPr="0051390D" w:rsidRDefault="0027723F">
            <w:pPr>
              <w:pStyle w:val="Normal3"/>
              <w:jc w:val="right"/>
              <w:rPr>
                <w:rFonts w:ascii="Calibri" w:eastAsia="Calibri" w:hAnsi="Calibri" w:cs="Calibri"/>
                <w:color w:val="000000"/>
                <w:sz w:val="18"/>
              </w:rPr>
            </w:pPr>
            <w:r w:rsidRPr="0051390D">
              <w:rPr>
                <w:rFonts w:ascii="Calibri" w:eastAsia="Calibri" w:hAnsi="Calibri" w:cs="Calibri"/>
                <w:color w:val="000000"/>
                <w:sz w:val="18"/>
              </w:rPr>
              <w:t>-798</w:t>
            </w:r>
          </w:p>
        </w:tc>
        <w:tc>
          <w:tcPr>
            <w:tcW w:w="911" w:type="dxa"/>
            <w:tcBorders>
              <w:top w:val="nil"/>
              <w:left w:val="nil"/>
              <w:bottom w:val="nil"/>
              <w:right w:val="nil"/>
              <w:tl2br w:val="nil"/>
              <w:tr2bl w:val="nil"/>
            </w:tcBorders>
            <w:shd w:val="clear" w:color="auto" w:fill="auto"/>
            <w:noWrap/>
            <w:tcMar>
              <w:left w:w="101" w:type="dxa"/>
              <w:right w:w="101" w:type="dxa"/>
            </w:tcMar>
          </w:tcPr>
          <w:p w14:paraId="7F554C75" w14:textId="77777777" w:rsidR="00496618" w:rsidRPr="0051390D" w:rsidRDefault="0027723F">
            <w:pPr>
              <w:pStyle w:val="Normal3"/>
              <w:jc w:val="right"/>
              <w:rPr>
                <w:rFonts w:ascii="Calibri" w:eastAsia="Calibri" w:hAnsi="Calibri" w:cs="Calibri"/>
                <w:color w:val="000000"/>
                <w:sz w:val="18"/>
              </w:rPr>
            </w:pPr>
            <w:r w:rsidRPr="0051390D">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06632708" w14:textId="77777777" w:rsidR="00496618" w:rsidRPr="0051390D" w:rsidRDefault="0027723F">
            <w:pPr>
              <w:pStyle w:val="Normal3"/>
              <w:jc w:val="right"/>
              <w:rPr>
                <w:rFonts w:ascii="Calibri" w:eastAsia="Calibri" w:hAnsi="Calibri" w:cs="Calibri"/>
                <w:color w:val="000000"/>
                <w:sz w:val="18"/>
              </w:rPr>
            </w:pPr>
            <w:r w:rsidRPr="0051390D">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24DD2192" w14:textId="77777777" w:rsidR="00496618" w:rsidRPr="0051390D" w:rsidRDefault="0027723F">
            <w:pPr>
              <w:pStyle w:val="Normal3"/>
              <w:jc w:val="right"/>
              <w:rPr>
                <w:rFonts w:ascii="Calibri" w:eastAsia="Calibri" w:hAnsi="Calibri" w:cs="Calibri"/>
                <w:color w:val="000000"/>
                <w:sz w:val="18"/>
              </w:rPr>
            </w:pPr>
            <w:r w:rsidRPr="0051390D">
              <w:rPr>
                <w:rFonts w:ascii="Calibri" w:eastAsia="Calibri" w:hAnsi="Calibri" w:cs="Calibri"/>
                <w:color w:val="000000"/>
                <w:sz w:val="18"/>
              </w:rPr>
              <w:t>0</w:t>
            </w:r>
          </w:p>
        </w:tc>
      </w:tr>
      <w:tr w:rsidR="00496618" w14:paraId="1E7D9798"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5085" w:type="dxa"/>
            <w:tcBorders>
              <w:top w:val="nil"/>
              <w:left w:val="nil"/>
              <w:bottom w:val="nil"/>
              <w:right w:val="nil"/>
              <w:tl2br w:val="nil"/>
              <w:tr2bl w:val="nil"/>
            </w:tcBorders>
            <w:shd w:val="clear" w:color="auto" w:fill="auto"/>
            <w:tcMar>
              <w:left w:w="101" w:type="dxa"/>
              <w:right w:w="101" w:type="dxa"/>
            </w:tcMar>
          </w:tcPr>
          <w:p w14:paraId="6AC3E533" w14:textId="26E96FE4" w:rsidR="00496618" w:rsidRDefault="0027723F">
            <w:pPr>
              <w:pStyle w:val="Normal3"/>
              <w:rPr>
                <w:rFonts w:ascii="Calibri" w:eastAsia="Calibri" w:hAnsi="Calibri" w:cs="Calibri"/>
                <w:color w:val="000000"/>
                <w:sz w:val="18"/>
              </w:rPr>
            </w:pPr>
            <w:r>
              <w:rPr>
                <w:rFonts w:ascii="Calibri" w:eastAsia="Calibri" w:hAnsi="Calibri" w:cs="Calibri"/>
                <w:color w:val="000000"/>
                <w:sz w:val="18"/>
              </w:rPr>
              <w:t>ICT Implementing real time prescription monitoring</w:t>
            </w:r>
          </w:p>
        </w:tc>
        <w:tc>
          <w:tcPr>
            <w:tcW w:w="910" w:type="dxa"/>
            <w:tcBorders>
              <w:top w:val="nil"/>
              <w:left w:val="nil"/>
              <w:bottom w:val="nil"/>
              <w:right w:val="nil"/>
              <w:tl2br w:val="nil"/>
              <w:tr2bl w:val="nil"/>
            </w:tcBorders>
            <w:shd w:val="clear" w:color="auto" w:fill="auto"/>
            <w:noWrap/>
            <w:tcMar>
              <w:left w:w="101" w:type="dxa"/>
              <w:right w:w="101" w:type="dxa"/>
            </w:tcMar>
          </w:tcPr>
          <w:p w14:paraId="783CCE4F"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-987</w:t>
            </w:r>
          </w:p>
        </w:tc>
        <w:tc>
          <w:tcPr>
            <w:tcW w:w="911" w:type="dxa"/>
            <w:tcBorders>
              <w:top w:val="nil"/>
              <w:left w:val="nil"/>
              <w:bottom w:val="nil"/>
              <w:right w:val="nil"/>
              <w:tl2br w:val="nil"/>
              <w:tr2bl w:val="nil"/>
            </w:tcBorders>
            <w:shd w:val="clear" w:color="auto" w:fill="auto"/>
            <w:noWrap/>
            <w:tcMar>
              <w:left w:w="101" w:type="dxa"/>
              <w:right w:w="101" w:type="dxa"/>
            </w:tcMar>
          </w:tcPr>
          <w:p w14:paraId="4FC3A568"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740</w:t>
            </w:r>
          </w:p>
        </w:tc>
        <w:tc>
          <w:tcPr>
            <w:tcW w:w="911" w:type="dxa"/>
            <w:tcBorders>
              <w:top w:val="nil"/>
              <w:left w:val="nil"/>
              <w:bottom w:val="nil"/>
              <w:right w:val="nil"/>
              <w:tl2br w:val="nil"/>
              <w:tr2bl w:val="nil"/>
            </w:tcBorders>
            <w:shd w:val="clear" w:color="auto" w:fill="auto"/>
            <w:noWrap/>
            <w:tcMar>
              <w:left w:w="101" w:type="dxa"/>
              <w:right w:w="101" w:type="dxa"/>
            </w:tcMar>
          </w:tcPr>
          <w:p w14:paraId="1FAD789A"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247</w:t>
            </w:r>
          </w:p>
        </w:tc>
        <w:tc>
          <w:tcPr>
            <w:tcW w:w="911" w:type="dxa"/>
            <w:tcBorders>
              <w:top w:val="nil"/>
              <w:left w:val="nil"/>
              <w:bottom w:val="nil"/>
              <w:right w:val="nil"/>
              <w:tl2br w:val="nil"/>
              <w:tr2bl w:val="nil"/>
            </w:tcBorders>
            <w:shd w:val="clear" w:color="auto" w:fill="auto"/>
            <w:noWrap/>
            <w:tcMar>
              <w:left w:w="101" w:type="dxa"/>
              <w:right w:w="101" w:type="dxa"/>
            </w:tcMar>
          </w:tcPr>
          <w:p w14:paraId="5CF85C0C"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3EF029BA"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750E1B2A"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tcPr>
          <w:p w14:paraId="532D5F96" w14:textId="6476496E" w:rsidR="00496618" w:rsidRDefault="0027723F">
            <w:pPr>
              <w:pStyle w:val="Normal3"/>
              <w:rPr>
                <w:rFonts w:ascii="Calibri" w:eastAsia="Calibri" w:hAnsi="Calibri" w:cs="Calibri"/>
                <w:color w:val="000000"/>
                <w:sz w:val="18"/>
              </w:rPr>
            </w:pPr>
            <w:r>
              <w:rPr>
                <w:rFonts w:ascii="Calibri" w:eastAsia="Calibri" w:hAnsi="Calibri" w:cs="Calibri"/>
                <w:color w:val="000000"/>
                <w:sz w:val="18"/>
              </w:rPr>
              <w:t>Ngunnawal Bush Healing Farm</w:t>
            </w:r>
          </w:p>
        </w:tc>
        <w:tc>
          <w:tcPr>
            <w:tcW w:w="910" w:type="dxa"/>
            <w:tcBorders>
              <w:top w:val="nil"/>
              <w:left w:val="nil"/>
              <w:bottom w:val="nil"/>
              <w:right w:val="nil"/>
              <w:tl2br w:val="nil"/>
              <w:tr2bl w:val="nil"/>
            </w:tcBorders>
            <w:shd w:val="clear" w:color="auto" w:fill="auto"/>
            <w:noWrap/>
            <w:tcMar>
              <w:left w:w="101" w:type="dxa"/>
              <w:right w:w="101" w:type="dxa"/>
            </w:tcMar>
          </w:tcPr>
          <w:p w14:paraId="0EB8CE45"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-933</w:t>
            </w:r>
          </w:p>
        </w:tc>
        <w:tc>
          <w:tcPr>
            <w:tcW w:w="911" w:type="dxa"/>
            <w:tcBorders>
              <w:top w:val="nil"/>
              <w:left w:val="nil"/>
              <w:bottom w:val="nil"/>
              <w:right w:val="nil"/>
              <w:tl2br w:val="nil"/>
              <w:tr2bl w:val="nil"/>
            </w:tcBorders>
            <w:shd w:val="clear" w:color="auto" w:fill="auto"/>
            <w:noWrap/>
            <w:tcMar>
              <w:left w:w="101" w:type="dxa"/>
              <w:right w:w="101" w:type="dxa"/>
            </w:tcMar>
          </w:tcPr>
          <w:p w14:paraId="62CDD933"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933</w:t>
            </w:r>
          </w:p>
        </w:tc>
        <w:tc>
          <w:tcPr>
            <w:tcW w:w="911" w:type="dxa"/>
            <w:tcBorders>
              <w:top w:val="nil"/>
              <w:left w:val="nil"/>
              <w:bottom w:val="nil"/>
              <w:right w:val="nil"/>
              <w:tl2br w:val="nil"/>
              <w:tr2bl w:val="nil"/>
            </w:tcBorders>
            <w:shd w:val="clear" w:color="auto" w:fill="auto"/>
            <w:noWrap/>
            <w:tcMar>
              <w:left w:w="101" w:type="dxa"/>
              <w:right w:w="101" w:type="dxa"/>
            </w:tcMar>
          </w:tcPr>
          <w:p w14:paraId="0E1252D8"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7000EFB9"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6EF98271"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004CA442"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5085" w:type="dxa"/>
            <w:tcBorders>
              <w:top w:val="nil"/>
              <w:left w:val="nil"/>
              <w:bottom w:val="nil"/>
              <w:right w:val="nil"/>
              <w:tl2br w:val="nil"/>
              <w:tr2bl w:val="nil"/>
            </w:tcBorders>
            <w:shd w:val="clear" w:color="auto" w:fill="auto"/>
            <w:tcMar>
              <w:left w:w="101" w:type="dxa"/>
              <w:right w:w="101" w:type="dxa"/>
            </w:tcMar>
          </w:tcPr>
          <w:p w14:paraId="39350CAD" w14:textId="28EBE55E" w:rsidR="00496618" w:rsidRDefault="0027723F">
            <w:pPr>
              <w:pStyle w:val="Normal3"/>
              <w:rPr>
                <w:rFonts w:ascii="Calibri" w:eastAsia="Calibri" w:hAnsi="Calibri" w:cs="Calibri"/>
                <w:color w:val="000000"/>
                <w:sz w:val="18"/>
              </w:rPr>
            </w:pPr>
            <w:r>
              <w:rPr>
                <w:rFonts w:ascii="Calibri" w:eastAsia="Calibri" w:hAnsi="Calibri" w:cs="Calibri"/>
                <w:color w:val="000000"/>
                <w:sz w:val="18"/>
              </w:rPr>
              <w:t>Protecting Canberrans from infectious diseases</w:t>
            </w:r>
          </w:p>
        </w:tc>
        <w:tc>
          <w:tcPr>
            <w:tcW w:w="910" w:type="dxa"/>
            <w:tcBorders>
              <w:top w:val="nil"/>
              <w:left w:val="nil"/>
              <w:bottom w:val="nil"/>
              <w:right w:val="nil"/>
              <w:tl2br w:val="nil"/>
              <w:tr2bl w:val="nil"/>
            </w:tcBorders>
            <w:shd w:val="clear" w:color="auto" w:fill="auto"/>
            <w:noWrap/>
            <w:tcMar>
              <w:left w:w="101" w:type="dxa"/>
              <w:right w:w="101" w:type="dxa"/>
            </w:tcMar>
          </w:tcPr>
          <w:p w14:paraId="43340A69"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-46</w:t>
            </w:r>
          </w:p>
        </w:tc>
        <w:tc>
          <w:tcPr>
            <w:tcW w:w="911" w:type="dxa"/>
            <w:tcBorders>
              <w:top w:val="nil"/>
              <w:left w:val="nil"/>
              <w:bottom w:val="nil"/>
              <w:right w:val="nil"/>
              <w:tl2br w:val="nil"/>
              <w:tr2bl w:val="nil"/>
            </w:tcBorders>
            <w:shd w:val="clear" w:color="auto" w:fill="auto"/>
            <w:noWrap/>
            <w:tcMar>
              <w:left w:w="101" w:type="dxa"/>
              <w:right w:w="101" w:type="dxa"/>
            </w:tcMar>
          </w:tcPr>
          <w:p w14:paraId="3E803583"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46</w:t>
            </w:r>
          </w:p>
        </w:tc>
        <w:tc>
          <w:tcPr>
            <w:tcW w:w="911" w:type="dxa"/>
            <w:tcBorders>
              <w:top w:val="nil"/>
              <w:left w:val="nil"/>
              <w:bottom w:val="nil"/>
              <w:right w:val="nil"/>
              <w:tl2br w:val="nil"/>
              <w:tr2bl w:val="nil"/>
            </w:tcBorders>
            <w:shd w:val="clear" w:color="auto" w:fill="auto"/>
            <w:noWrap/>
            <w:tcMar>
              <w:left w:w="101" w:type="dxa"/>
              <w:right w:w="101" w:type="dxa"/>
            </w:tcMar>
          </w:tcPr>
          <w:p w14:paraId="5791B47C"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0BC5E758"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4248DCD5"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169C3" w14:paraId="3B54913C"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5085" w:type="dxa"/>
            <w:tcBorders>
              <w:top w:val="nil"/>
              <w:left w:val="nil"/>
              <w:bottom w:val="nil"/>
              <w:right w:val="nil"/>
              <w:tl2br w:val="nil"/>
              <w:tr2bl w:val="nil"/>
            </w:tcBorders>
            <w:shd w:val="clear" w:color="auto" w:fill="auto"/>
            <w:tcMar>
              <w:left w:w="101" w:type="dxa"/>
              <w:right w:w="101" w:type="dxa"/>
            </w:tcMar>
          </w:tcPr>
          <w:p w14:paraId="45AC2560" w14:textId="77777777" w:rsidR="004169C3" w:rsidRDefault="004169C3">
            <w:pPr>
              <w:pStyle w:val="Normal3"/>
              <w:rPr>
                <w:rFonts w:ascii="Calibri" w:eastAsia="Calibri" w:hAnsi="Calibri" w:cs="Calibri"/>
                <w:color w:val="000000"/>
                <w:sz w:val="18"/>
              </w:rPr>
            </w:pPr>
          </w:p>
        </w:tc>
        <w:tc>
          <w:tcPr>
            <w:tcW w:w="910" w:type="dxa"/>
            <w:tcBorders>
              <w:top w:val="nil"/>
              <w:left w:val="nil"/>
              <w:bottom w:val="nil"/>
              <w:right w:val="nil"/>
              <w:tl2br w:val="nil"/>
              <w:tr2bl w:val="nil"/>
            </w:tcBorders>
            <w:shd w:val="clear" w:color="auto" w:fill="auto"/>
            <w:noWrap/>
            <w:tcMar>
              <w:left w:w="101" w:type="dxa"/>
              <w:right w:w="101" w:type="dxa"/>
            </w:tcMar>
          </w:tcPr>
          <w:p w14:paraId="7822B966"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672F82FA"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24C093A7"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0AED378D" w14:textId="77777777" w:rsidR="004169C3" w:rsidRDefault="004169C3">
            <w:pPr>
              <w:pStyle w:val="Normal3"/>
              <w:jc w:val="right"/>
              <w:rPr>
                <w:rFonts w:ascii="Calibri" w:eastAsia="Calibri" w:hAnsi="Calibri" w:cs="Calibri"/>
                <w:color w:val="000000"/>
                <w:sz w:val="18"/>
              </w:rPr>
            </w:pPr>
          </w:p>
        </w:tc>
        <w:tc>
          <w:tcPr>
            <w:tcW w:w="911" w:type="dxa"/>
            <w:tcBorders>
              <w:top w:val="nil"/>
              <w:left w:val="nil"/>
              <w:bottom w:val="nil"/>
              <w:right w:val="nil"/>
              <w:tl2br w:val="nil"/>
              <w:tr2bl w:val="nil"/>
            </w:tcBorders>
            <w:shd w:val="clear" w:color="auto" w:fill="auto"/>
            <w:noWrap/>
            <w:tcMar>
              <w:left w:w="101" w:type="dxa"/>
              <w:right w:w="101" w:type="dxa"/>
            </w:tcMar>
          </w:tcPr>
          <w:p w14:paraId="4978D372" w14:textId="77777777" w:rsidR="004169C3" w:rsidRDefault="004169C3">
            <w:pPr>
              <w:pStyle w:val="Normal3"/>
              <w:jc w:val="right"/>
              <w:rPr>
                <w:rFonts w:ascii="Calibri" w:eastAsia="Calibri" w:hAnsi="Calibri" w:cs="Calibri"/>
                <w:color w:val="000000"/>
                <w:sz w:val="18"/>
              </w:rPr>
            </w:pPr>
          </w:p>
        </w:tc>
      </w:tr>
      <w:tr w:rsidR="004169C3" w14:paraId="5B9320BC" w14:textId="77777777" w:rsidTr="00A51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85" w:type="dxa"/>
            <w:tcBorders>
              <w:top w:val="nil"/>
              <w:left w:val="nil"/>
              <w:bottom w:val="nil"/>
              <w:right w:val="nil"/>
              <w:tl2br w:val="nil"/>
              <w:tr2bl w:val="nil"/>
            </w:tcBorders>
            <w:shd w:val="clear" w:color="auto" w:fill="auto"/>
            <w:tcMar>
              <w:left w:w="101" w:type="dxa"/>
              <w:right w:w="101" w:type="dxa"/>
            </w:tcMar>
          </w:tcPr>
          <w:p w14:paraId="6492A4CA" w14:textId="77777777" w:rsidR="004169C3" w:rsidRDefault="004169C3" w:rsidP="00CE207A">
            <w:pPr>
              <w:pStyle w:val="Normal3"/>
              <w:rPr>
                <w:rFonts w:ascii="Calibri" w:eastAsia="Calibri" w:hAnsi="Calibri" w:cs="Calibri"/>
                <w:color w:val="000000"/>
                <w:sz w:val="18"/>
              </w:rPr>
            </w:pPr>
            <w:r>
              <w:rPr>
                <w:rFonts w:ascii="Calibri" w:eastAsia="Calibri" w:hAnsi="Calibri" w:cs="Calibri"/>
                <w:color w:val="000000"/>
                <w:sz w:val="18"/>
              </w:rPr>
              <w:t>Revised Economic Parameters</w:t>
            </w:r>
          </w:p>
        </w:tc>
        <w:tc>
          <w:tcPr>
            <w:tcW w:w="910" w:type="dxa"/>
            <w:tcBorders>
              <w:top w:val="nil"/>
              <w:left w:val="nil"/>
              <w:bottom w:val="nil"/>
              <w:right w:val="nil"/>
              <w:tl2br w:val="nil"/>
              <w:tr2bl w:val="nil"/>
            </w:tcBorders>
            <w:shd w:val="clear" w:color="auto" w:fill="auto"/>
            <w:noWrap/>
            <w:tcMar>
              <w:left w:w="101" w:type="dxa"/>
              <w:right w:w="101" w:type="dxa"/>
            </w:tcMar>
          </w:tcPr>
          <w:p w14:paraId="68C8B65E" w14:textId="77777777" w:rsidR="004169C3" w:rsidRDefault="004169C3" w:rsidP="00CE207A">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77091DF2" w14:textId="77777777" w:rsidR="004169C3" w:rsidRDefault="004169C3" w:rsidP="00CE207A">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33CEB909" w14:textId="77777777" w:rsidR="004169C3" w:rsidRDefault="004169C3" w:rsidP="00CE207A">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1C9D6C4F" w14:textId="77777777" w:rsidR="004169C3" w:rsidRDefault="004169C3" w:rsidP="00CE207A">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5E50C49A" w14:textId="77777777" w:rsidR="004169C3" w:rsidRDefault="004169C3" w:rsidP="00CE207A">
            <w:pPr>
              <w:pStyle w:val="Normal3"/>
              <w:jc w:val="right"/>
              <w:rPr>
                <w:rFonts w:ascii="Calibri" w:eastAsia="Calibri" w:hAnsi="Calibri" w:cs="Calibri"/>
                <w:color w:val="000000"/>
                <w:sz w:val="18"/>
              </w:rPr>
            </w:pPr>
            <w:r>
              <w:rPr>
                <w:rFonts w:ascii="Calibri" w:eastAsia="Calibri" w:hAnsi="Calibri" w:cs="Calibri"/>
                <w:color w:val="000000"/>
                <w:sz w:val="18"/>
              </w:rPr>
              <w:t>13</w:t>
            </w:r>
          </w:p>
        </w:tc>
      </w:tr>
      <w:tr w:rsidR="00496618" w14:paraId="3D1F885C"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tcPr>
          <w:p w14:paraId="17463964" w14:textId="53788E5D" w:rsidR="00496618" w:rsidRDefault="0027723F">
            <w:pPr>
              <w:pStyle w:val="Normal3"/>
              <w:rPr>
                <w:rFonts w:ascii="Calibri" w:eastAsia="Calibri" w:hAnsi="Calibri" w:cs="Calibri"/>
                <w:color w:val="000000"/>
                <w:sz w:val="18"/>
              </w:rPr>
            </w:pPr>
            <w:r>
              <w:rPr>
                <w:rFonts w:ascii="Calibri" w:eastAsia="Calibri" w:hAnsi="Calibri" w:cs="Calibri"/>
                <w:color w:val="000000"/>
                <w:sz w:val="18"/>
              </w:rPr>
              <w:t xml:space="preserve">Transfer - </w:t>
            </w:r>
            <w:r w:rsidR="00C76DDB" w:rsidRPr="00436199">
              <w:rPr>
                <w:rFonts w:ascii="Calibri" w:hAnsi="Calibri" w:cs="Calibri"/>
                <w:color w:val="000000"/>
                <w:sz w:val="18"/>
                <w:szCs w:val="18"/>
              </w:rPr>
              <w:t xml:space="preserve">Calvary </w:t>
            </w:r>
            <w:r w:rsidR="002A2525">
              <w:rPr>
                <w:rFonts w:ascii="Calibri" w:hAnsi="Calibri" w:cs="Calibri"/>
                <w:color w:val="000000"/>
                <w:sz w:val="18"/>
                <w:szCs w:val="18"/>
              </w:rPr>
              <w:t>c</w:t>
            </w:r>
            <w:r w:rsidR="00C76DDB">
              <w:rPr>
                <w:rFonts w:ascii="Calibri" w:hAnsi="Calibri" w:cs="Calibri"/>
                <w:color w:val="000000"/>
                <w:sz w:val="18"/>
                <w:szCs w:val="18"/>
              </w:rPr>
              <w:t xml:space="preserve">ritical </w:t>
            </w:r>
            <w:r w:rsidR="002A2525">
              <w:rPr>
                <w:rFonts w:ascii="Calibri" w:hAnsi="Calibri" w:cs="Calibri"/>
                <w:color w:val="000000"/>
                <w:sz w:val="18"/>
                <w:szCs w:val="18"/>
              </w:rPr>
              <w:t>i</w:t>
            </w:r>
            <w:r w:rsidR="00C76DDB" w:rsidRPr="00436199">
              <w:rPr>
                <w:rFonts w:ascii="Calibri" w:hAnsi="Calibri" w:cs="Calibri"/>
                <w:color w:val="000000"/>
                <w:sz w:val="18"/>
                <w:szCs w:val="18"/>
              </w:rPr>
              <w:t>nfrastructure</w:t>
            </w:r>
            <w:r w:rsidR="002A2525">
              <w:rPr>
                <w:rFonts w:ascii="Calibri" w:hAnsi="Calibri" w:cs="Calibri"/>
                <w:color w:val="000000"/>
                <w:sz w:val="18"/>
                <w:szCs w:val="18"/>
              </w:rPr>
              <w:t xml:space="preserve"> phase 1</w:t>
            </w:r>
            <w:r w:rsidR="00C76DDB">
              <w:rPr>
                <w:rFonts w:ascii="Calibri" w:eastAsia="Calibri" w:hAnsi="Calibri" w:cs="Calibri"/>
                <w:color w:val="000000"/>
                <w:sz w:val="18"/>
              </w:rPr>
              <w:t xml:space="preserve"> </w:t>
            </w:r>
            <w:r>
              <w:rPr>
                <w:rFonts w:ascii="Calibri" w:eastAsia="Calibri" w:hAnsi="Calibri" w:cs="Calibri"/>
                <w:color w:val="000000"/>
                <w:sz w:val="18"/>
              </w:rPr>
              <w:t>to Territorial</w:t>
            </w:r>
          </w:p>
        </w:tc>
        <w:tc>
          <w:tcPr>
            <w:tcW w:w="910" w:type="dxa"/>
            <w:tcBorders>
              <w:top w:val="nil"/>
              <w:left w:val="nil"/>
              <w:bottom w:val="nil"/>
              <w:right w:val="nil"/>
              <w:tl2br w:val="nil"/>
              <w:tr2bl w:val="nil"/>
            </w:tcBorders>
            <w:shd w:val="clear" w:color="auto" w:fill="auto"/>
            <w:noWrap/>
            <w:tcMar>
              <w:left w:w="101" w:type="dxa"/>
              <w:right w:w="101" w:type="dxa"/>
            </w:tcMar>
          </w:tcPr>
          <w:p w14:paraId="7C147AC2"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-1,208</w:t>
            </w:r>
          </w:p>
        </w:tc>
        <w:tc>
          <w:tcPr>
            <w:tcW w:w="911" w:type="dxa"/>
            <w:tcBorders>
              <w:top w:val="nil"/>
              <w:left w:val="nil"/>
              <w:bottom w:val="nil"/>
              <w:right w:val="nil"/>
              <w:tl2br w:val="nil"/>
              <w:tr2bl w:val="nil"/>
            </w:tcBorders>
            <w:shd w:val="clear" w:color="auto" w:fill="auto"/>
            <w:noWrap/>
            <w:tcMar>
              <w:left w:w="101" w:type="dxa"/>
              <w:right w:w="101" w:type="dxa"/>
            </w:tcMar>
          </w:tcPr>
          <w:p w14:paraId="38B64CFC"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44B429CD"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4EB47789"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7C5AA958"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28592AE8"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85" w:type="dxa"/>
            <w:tcBorders>
              <w:top w:val="nil"/>
              <w:left w:val="nil"/>
              <w:bottom w:val="nil"/>
              <w:right w:val="nil"/>
              <w:tl2br w:val="nil"/>
              <w:tr2bl w:val="nil"/>
            </w:tcBorders>
            <w:shd w:val="clear" w:color="auto" w:fill="auto"/>
            <w:tcMar>
              <w:left w:w="101" w:type="dxa"/>
              <w:right w:w="101" w:type="dxa"/>
            </w:tcMar>
          </w:tcPr>
          <w:p w14:paraId="7DBF00C4" w14:textId="77777777" w:rsidR="00496618" w:rsidRDefault="0027723F">
            <w:pPr>
              <w:pStyle w:val="Normal3"/>
              <w:rPr>
                <w:rFonts w:ascii="Calibri" w:eastAsia="Calibri" w:hAnsi="Calibri" w:cs="Calibri"/>
                <w:color w:val="000000"/>
                <w:sz w:val="18"/>
              </w:rPr>
            </w:pPr>
            <w:r>
              <w:rPr>
                <w:rFonts w:ascii="Calibri" w:eastAsia="Calibri" w:hAnsi="Calibri" w:cs="Calibri"/>
                <w:color w:val="000000"/>
                <w:sz w:val="18"/>
              </w:rPr>
              <w:t>Undrawn Funds</w:t>
            </w:r>
          </w:p>
        </w:tc>
        <w:tc>
          <w:tcPr>
            <w:tcW w:w="910" w:type="dxa"/>
            <w:tcBorders>
              <w:top w:val="nil"/>
              <w:left w:val="nil"/>
              <w:bottom w:val="nil"/>
              <w:right w:val="nil"/>
              <w:tl2br w:val="nil"/>
              <w:tr2bl w:val="nil"/>
            </w:tcBorders>
            <w:shd w:val="clear" w:color="auto" w:fill="auto"/>
            <w:noWrap/>
            <w:tcMar>
              <w:left w:w="101" w:type="dxa"/>
              <w:right w:w="101" w:type="dxa"/>
            </w:tcMar>
          </w:tcPr>
          <w:p w14:paraId="238D6D1F"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2</w:t>
            </w:r>
          </w:p>
        </w:tc>
        <w:tc>
          <w:tcPr>
            <w:tcW w:w="911" w:type="dxa"/>
            <w:tcBorders>
              <w:top w:val="nil"/>
              <w:left w:val="nil"/>
              <w:bottom w:val="nil"/>
              <w:right w:val="nil"/>
              <w:tl2br w:val="nil"/>
              <w:tr2bl w:val="nil"/>
            </w:tcBorders>
            <w:shd w:val="clear" w:color="auto" w:fill="auto"/>
            <w:noWrap/>
            <w:tcMar>
              <w:left w:w="101" w:type="dxa"/>
              <w:right w:w="101" w:type="dxa"/>
            </w:tcMar>
          </w:tcPr>
          <w:p w14:paraId="039FF2F1"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2A37AF44"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354B8185"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911" w:type="dxa"/>
            <w:tcBorders>
              <w:top w:val="nil"/>
              <w:left w:val="nil"/>
              <w:bottom w:val="nil"/>
              <w:right w:val="nil"/>
              <w:tl2br w:val="nil"/>
              <w:tr2bl w:val="nil"/>
            </w:tcBorders>
            <w:shd w:val="clear" w:color="auto" w:fill="auto"/>
            <w:noWrap/>
            <w:tcMar>
              <w:left w:w="101" w:type="dxa"/>
              <w:right w:w="101" w:type="dxa"/>
            </w:tcMar>
          </w:tcPr>
          <w:p w14:paraId="2CB49F8A" w14:textId="77777777" w:rsidR="00496618" w:rsidRDefault="0027723F">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496618" w14:paraId="5AB1C412"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08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05685A9" w14:textId="77777777" w:rsidR="00496618" w:rsidRDefault="00496618">
            <w:pPr>
              <w:pStyle w:val="Normal3"/>
              <w:rPr>
                <w:rFonts w:ascii="Calibri" w:eastAsia="Calibri" w:hAnsi="Calibri" w:cs="Calibri"/>
                <w:color w:val="000000"/>
                <w:sz w:val="18"/>
              </w:rPr>
            </w:pPr>
          </w:p>
        </w:tc>
        <w:tc>
          <w:tcPr>
            <w:tcW w:w="91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252577F" w14:textId="77777777" w:rsidR="00496618" w:rsidRDefault="00496618">
            <w:pPr>
              <w:pStyle w:val="Normal3"/>
              <w:rPr>
                <w:rFonts w:ascii="Calibri" w:eastAsia="Calibri" w:hAnsi="Calibri" w:cs="Calibri"/>
                <w:color w:val="000000"/>
                <w:sz w:val="18"/>
              </w:rPr>
            </w:pPr>
          </w:p>
        </w:tc>
        <w:tc>
          <w:tcPr>
            <w:tcW w:w="911"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BF37855" w14:textId="77777777" w:rsidR="00496618" w:rsidRDefault="00496618">
            <w:pPr>
              <w:pStyle w:val="Normal3"/>
              <w:rPr>
                <w:rFonts w:ascii="Calibri" w:eastAsia="Calibri" w:hAnsi="Calibri" w:cs="Calibri"/>
                <w:color w:val="000000"/>
                <w:sz w:val="18"/>
              </w:rPr>
            </w:pPr>
          </w:p>
        </w:tc>
        <w:tc>
          <w:tcPr>
            <w:tcW w:w="911"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65C1C82" w14:textId="77777777" w:rsidR="00496618" w:rsidRDefault="00496618">
            <w:pPr>
              <w:pStyle w:val="Normal3"/>
              <w:rPr>
                <w:rFonts w:ascii="Calibri" w:eastAsia="Calibri" w:hAnsi="Calibri" w:cs="Calibri"/>
                <w:color w:val="000000"/>
                <w:sz w:val="18"/>
              </w:rPr>
            </w:pPr>
          </w:p>
        </w:tc>
        <w:tc>
          <w:tcPr>
            <w:tcW w:w="911"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6BE99F0" w14:textId="77777777" w:rsidR="00496618" w:rsidRDefault="00496618">
            <w:pPr>
              <w:pStyle w:val="Normal3"/>
              <w:rPr>
                <w:rFonts w:ascii="Calibri" w:eastAsia="Calibri" w:hAnsi="Calibri" w:cs="Calibri"/>
                <w:color w:val="000000"/>
                <w:sz w:val="18"/>
              </w:rPr>
            </w:pPr>
          </w:p>
        </w:tc>
        <w:tc>
          <w:tcPr>
            <w:tcW w:w="911"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9248FEA" w14:textId="77777777" w:rsidR="00496618" w:rsidRDefault="00496618">
            <w:pPr>
              <w:pStyle w:val="Normal3"/>
              <w:rPr>
                <w:rFonts w:ascii="Calibri" w:eastAsia="Calibri" w:hAnsi="Calibri" w:cs="Calibri"/>
                <w:color w:val="000000"/>
                <w:sz w:val="18"/>
              </w:rPr>
            </w:pPr>
          </w:p>
        </w:tc>
      </w:tr>
      <w:tr w:rsidR="00496618" w14:paraId="085A214F"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85"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70BBCBFD" w14:textId="77777777" w:rsidR="00496618" w:rsidRDefault="0027723F">
            <w:pPr>
              <w:pStyle w:val="Normal3"/>
              <w:rPr>
                <w:rFonts w:ascii="Calibri" w:eastAsia="Calibri" w:hAnsi="Calibri" w:cs="Calibri"/>
                <w:b/>
                <w:color w:val="000000"/>
                <w:sz w:val="18"/>
              </w:rPr>
            </w:pPr>
            <w:r>
              <w:rPr>
                <w:rFonts w:ascii="Calibri" w:eastAsia="Calibri" w:hAnsi="Calibri" w:cs="Calibri"/>
                <w:b/>
                <w:color w:val="000000"/>
                <w:sz w:val="18"/>
              </w:rPr>
              <w:t>2021-22 Budget</w:t>
            </w:r>
          </w:p>
        </w:tc>
        <w:tc>
          <w:tcPr>
            <w:tcW w:w="910"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6F8DA6DD"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32,781</w:t>
            </w:r>
          </w:p>
        </w:tc>
        <w:tc>
          <w:tcPr>
            <w:tcW w:w="911"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2847532A" w14:textId="2302FCA1"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59,</w:t>
            </w:r>
            <w:r w:rsidR="00580B06">
              <w:rPr>
                <w:rFonts w:ascii="Calibri" w:eastAsia="Calibri" w:hAnsi="Calibri" w:cs="Calibri"/>
                <w:b/>
                <w:color w:val="000000"/>
                <w:sz w:val="18"/>
              </w:rPr>
              <w:t>76</w:t>
            </w:r>
            <w:r>
              <w:rPr>
                <w:rFonts w:ascii="Calibri" w:eastAsia="Calibri" w:hAnsi="Calibri" w:cs="Calibri"/>
                <w:b/>
                <w:color w:val="000000"/>
                <w:sz w:val="18"/>
              </w:rPr>
              <w:t>0</w:t>
            </w:r>
          </w:p>
        </w:tc>
        <w:tc>
          <w:tcPr>
            <w:tcW w:w="911"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34E34DE" w14:textId="1BAC429E" w:rsidR="00496618" w:rsidRDefault="00580B06">
            <w:pPr>
              <w:pStyle w:val="Normal3"/>
              <w:jc w:val="right"/>
              <w:rPr>
                <w:rFonts w:ascii="Calibri" w:eastAsia="Calibri" w:hAnsi="Calibri" w:cs="Calibri"/>
                <w:b/>
                <w:color w:val="000000"/>
                <w:sz w:val="18"/>
              </w:rPr>
            </w:pPr>
            <w:r>
              <w:rPr>
                <w:rFonts w:ascii="Calibri" w:eastAsia="Calibri" w:hAnsi="Calibri" w:cs="Calibri"/>
                <w:b/>
                <w:color w:val="000000"/>
                <w:sz w:val="18"/>
              </w:rPr>
              <w:t>58,857</w:t>
            </w:r>
          </w:p>
        </w:tc>
        <w:tc>
          <w:tcPr>
            <w:tcW w:w="911"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7A4F14D7"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6,999</w:t>
            </w:r>
          </w:p>
        </w:tc>
        <w:tc>
          <w:tcPr>
            <w:tcW w:w="911"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6DF8766" w14:textId="77777777" w:rsidR="00496618" w:rsidRDefault="0027723F">
            <w:pPr>
              <w:pStyle w:val="Normal3"/>
              <w:jc w:val="right"/>
              <w:rPr>
                <w:rFonts w:ascii="Calibri" w:eastAsia="Calibri" w:hAnsi="Calibri" w:cs="Calibri"/>
                <w:b/>
                <w:color w:val="000000"/>
                <w:sz w:val="18"/>
              </w:rPr>
            </w:pPr>
            <w:r>
              <w:rPr>
                <w:rFonts w:ascii="Calibri" w:eastAsia="Calibri" w:hAnsi="Calibri" w:cs="Calibri"/>
                <w:b/>
                <w:color w:val="000000"/>
                <w:sz w:val="18"/>
              </w:rPr>
              <w:t>5,512</w:t>
            </w:r>
          </w:p>
        </w:tc>
      </w:tr>
    </w:tbl>
    <w:p w14:paraId="04BC9198" w14:textId="77777777" w:rsidR="001F6B18" w:rsidRPr="005F1919" w:rsidRDefault="0027723F" w:rsidP="001F6B18">
      <w:pPr>
        <w:pStyle w:val="Heading2"/>
        <w:pageBreakBefore/>
        <w:pBdr>
          <w:top w:val="nil"/>
          <w:left w:val="nil"/>
          <w:bottom w:val="nil"/>
          <w:right w:val="nil"/>
          <w:between w:val="nil"/>
          <w:bar w:val="nil"/>
        </w:pBdr>
        <w:rPr>
          <w:bdr w:val="nil"/>
        </w:rPr>
      </w:pPr>
      <w:bookmarkStart w:id="31" w:name="_Toc452127417"/>
      <w:bookmarkStart w:id="32" w:name="_Toc83910743"/>
      <w:bookmarkStart w:id="33" w:name="_Hlk83368550"/>
      <w:r w:rsidRPr="005F1919">
        <w:rPr>
          <w:bdr w:val="nil"/>
        </w:rPr>
        <w:lastRenderedPageBreak/>
        <w:t>Summary of 2021-22 Infrastructure Program</w:t>
      </w:r>
      <w:bookmarkEnd w:id="31"/>
      <w:bookmarkEnd w:id="32"/>
    </w:p>
    <w:p w14:paraId="512A290B" w14:textId="501AAAA7" w:rsidR="001F6B18" w:rsidRDefault="0027723F" w:rsidP="001F6B18">
      <w:pPr>
        <w:pStyle w:val="Caption"/>
        <w:pBdr>
          <w:top w:val="nil"/>
          <w:left w:val="nil"/>
          <w:bottom w:val="nil"/>
          <w:right w:val="nil"/>
          <w:between w:val="nil"/>
          <w:bar w:val="nil"/>
        </w:pBdr>
        <w:spacing w:after="0"/>
        <w:rPr>
          <w:bdr w:val="nil"/>
        </w:rPr>
      </w:pPr>
      <w:r w:rsidRPr="005F1919">
        <w:rPr>
          <w:bdr w:val="nil"/>
        </w:rPr>
        <w:t>Table 22: 2021-22 ACT Health Directorate Infrastructure Program</w:t>
      </w:r>
    </w:p>
    <w:p w14:paraId="2A11B192" w14:textId="77777777" w:rsidR="00CE31F8" w:rsidRPr="00CE31F8" w:rsidRDefault="00CE31F8" w:rsidP="00CE31F8">
      <w:pPr>
        <w:spacing w:before="0" w:after="0"/>
      </w:pPr>
    </w:p>
    <w:tbl>
      <w:tblPr>
        <w:tblStyle w:val="CDMRange20"/>
        <w:tblW w:w="9345" w:type="dxa"/>
        <w:tblLayout w:type="fixed"/>
        <w:tblLook w:val="0600" w:firstRow="0" w:lastRow="0" w:firstColumn="0" w:lastColumn="0" w:noHBand="1" w:noVBand="1"/>
      </w:tblPr>
      <w:tblGrid>
        <w:gridCol w:w="3195"/>
        <w:gridCol w:w="975"/>
        <w:gridCol w:w="975"/>
        <w:gridCol w:w="975"/>
        <w:gridCol w:w="975"/>
        <w:gridCol w:w="1125"/>
        <w:gridCol w:w="1125"/>
      </w:tblGrid>
      <w:tr w:rsidR="00496618" w14:paraId="13F0AD0C" w14:textId="77777777">
        <w:trPr>
          <w:trHeight w:val="750"/>
        </w:trPr>
        <w:tc>
          <w:tcPr>
            <w:tcW w:w="319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9756702" w14:textId="77777777" w:rsidR="00496618" w:rsidRDefault="0027723F">
            <w:pPr>
              <w:pStyle w:val="Normal5"/>
              <w:rPr>
                <w:rFonts w:ascii="Calibri" w:eastAsia="Calibri" w:hAnsi="Calibri" w:cs="Calibri"/>
                <w:b/>
                <w:color w:val="000000"/>
                <w:sz w:val="18"/>
              </w:rPr>
            </w:pPr>
            <w:r>
              <w:rPr>
                <w:rFonts w:ascii="Calibri" w:eastAsia="Calibri" w:hAnsi="Calibri" w:cs="Calibri"/>
                <w:b/>
                <w:color w:val="000000"/>
                <w:sz w:val="18"/>
              </w:rPr>
              <w:t>Project</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7FD93AB" w14:textId="77777777" w:rsidR="00496618" w:rsidRDefault="0027723F">
            <w:pPr>
              <w:pStyle w:val="Normal5"/>
              <w:jc w:val="right"/>
              <w:rPr>
                <w:rFonts w:ascii="Calibri" w:eastAsia="Calibri" w:hAnsi="Calibri" w:cs="Calibri"/>
                <w:b/>
                <w:color w:val="000000"/>
                <w:sz w:val="18"/>
              </w:rPr>
            </w:pPr>
            <w:r>
              <w:rPr>
                <w:rFonts w:ascii="Calibri" w:eastAsia="Calibri" w:hAnsi="Calibri" w:cs="Calibri"/>
                <w:b/>
                <w:color w:val="000000"/>
                <w:sz w:val="18"/>
              </w:rPr>
              <w:t>2021-22</w:t>
            </w:r>
          </w:p>
          <w:p w14:paraId="2616B5BA" w14:textId="77777777" w:rsidR="00496618" w:rsidRDefault="0027723F">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04679A9" w14:textId="77777777" w:rsidR="00496618" w:rsidRDefault="0027723F">
            <w:pPr>
              <w:pStyle w:val="Normal5"/>
              <w:jc w:val="right"/>
              <w:rPr>
                <w:rFonts w:ascii="Calibri" w:eastAsia="Calibri" w:hAnsi="Calibri" w:cs="Calibri"/>
                <w:b/>
                <w:color w:val="000000"/>
                <w:sz w:val="18"/>
              </w:rPr>
            </w:pPr>
            <w:r>
              <w:rPr>
                <w:rFonts w:ascii="Calibri" w:eastAsia="Calibri" w:hAnsi="Calibri" w:cs="Calibri"/>
                <w:b/>
                <w:color w:val="000000"/>
                <w:sz w:val="18"/>
              </w:rPr>
              <w:t>2022-23</w:t>
            </w:r>
          </w:p>
          <w:p w14:paraId="3AB6211C" w14:textId="77777777" w:rsidR="00496618" w:rsidRDefault="0027723F">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8210B68" w14:textId="77777777" w:rsidR="00496618" w:rsidRDefault="0027723F">
            <w:pPr>
              <w:pStyle w:val="Normal5"/>
              <w:jc w:val="right"/>
              <w:rPr>
                <w:rFonts w:ascii="Calibri" w:eastAsia="Calibri" w:hAnsi="Calibri" w:cs="Calibri"/>
                <w:b/>
                <w:color w:val="000000"/>
                <w:sz w:val="18"/>
              </w:rPr>
            </w:pPr>
            <w:r>
              <w:rPr>
                <w:rFonts w:ascii="Calibri" w:eastAsia="Calibri" w:hAnsi="Calibri" w:cs="Calibri"/>
                <w:b/>
                <w:color w:val="000000"/>
                <w:sz w:val="18"/>
              </w:rPr>
              <w:t>2023-24</w:t>
            </w:r>
          </w:p>
          <w:p w14:paraId="26BF85A0" w14:textId="77777777" w:rsidR="00496618" w:rsidRDefault="0027723F">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C7613E2" w14:textId="77777777" w:rsidR="00496618" w:rsidRDefault="0027723F">
            <w:pPr>
              <w:pStyle w:val="Normal5"/>
              <w:jc w:val="right"/>
              <w:rPr>
                <w:rFonts w:ascii="Calibri" w:eastAsia="Calibri" w:hAnsi="Calibri" w:cs="Calibri"/>
                <w:b/>
                <w:color w:val="000000"/>
                <w:sz w:val="18"/>
              </w:rPr>
            </w:pPr>
            <w:r>
              <w:rPr>
                <w:rFonts w:ascii="Calibri" w:eastAsia="Calibri" w:hAnsi="Calibri" w:cs="Calibri"/>
                <w:b/>
                <w:color w:val="000000"/>
                <w:sz w:val="18"/>
              </w:rPr>
              <w:t>2024-25</w:t>
            </w:r>
          </w:p>
          <w:p w14:paraId="78E586E3" w14:textId="77777777" w:rsidR="00496618" w:rsidRDefault="0027723F">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1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8749EBD" w14:textId="77777777" w:rsidR="00496618" w:rsidRDefault="0027723F">
            <w:pPr>
              <w:pStyle w:val="Normal5"/>
              <w:jc w:val="right"/>
              <w:rPr>
                <w:rFonts w:ascii="Calibri" w:eastAsia="Calibri" w:hAnsi="Calibri" w:cs="Calibri"/>
                <w:b/>
                <w:color w:val="000000"/>
                <w:sz w:val="18"/>
              </w:rPr>
            </w:pPr>
            <w:r>
              <w:rPr>
                <w:rFonts w:ascii="Calibri" w:eastAsia="Calibri" w:hAnsi="Calibri" w:cs="Calibri"/>
                <w:b/>
                <w:color w:val="000000"/>
                <w:sz w:val="18"/>
              </w:rPr>
              <w:t>Four Year</w:t>
            </w:r>
          </w:p>
          <w:p w14:paraId="4CFA7E45" w14:textId="77777777" w:rsidR="00496618" w:rsidRDefault="0027723F">
            <w:pPr>
              <w:pStyle w:val="Normal5"/>
              <w:jc w:val="right"/>
              <w:rPr>
                <w:rFonts w:ascii="Calibri" w:eastAsia="Calibri" w:hAnsi="Calibri" w:cs="Calibri"/>
                <w:b/>
                <w:color w:val="000000"/>
                <w:sz w:val="18"/>
              </w:rPr>
            </w:pPr>
            <w:r>
              <w:rPr>
                <w:rFonts w:ascii="Calibri" w:eastAsia="Calibri" w:hAnsi="Calibri" w:cs="Calibri"/>
                <w:b/>
                <w:color w:val="000000"/>
                <w:sz w:val="18"/>
              </w:rPr>
              <w:t>Investment</w:t>
            </w:r>
          </w:p>
          <w:p w14:paraId="40CAED17" w14:textId="77777777" w:rsidR="00496618" w:rsidRDefault="0027723F">
            <w:pPr>
              <w:pStyle w:val="Normal5"/>
              <w:jc w:val="right"/>
              <w:rPr>
                <w:rFonts w:ascii="Calibri" w:eastAsia="Calibri" w:hAnsi="Calibri" w:cs="Calibri"/>
                <w:b/>
                <w:color w:val="000000"/>
                <w:sz w:val="18"/>
              </w:rPr>
            </w:pPr>
            <w:r>
              <w:rPr>
                <w:rFonts w:ascii="Calibri" w:eastAsia="Calibri" w:hAnsi="Calibri" w:cs="Calibri"/>
                <w:b/>
                <w:color w:val="000000"/>
                <w:sz w:val="18"/>
              </w:rPr>
              <w:t>$'000</w:t>
            </w:r>
          </w:p>
          <w:p w14:paraId="43F664E5" w14:textId="77777777" w:rsidR="00496618" w:rsidRDefault="00496618">
            <w:pPr>
              <w:pStyle w:val="Normal5"/>
              <w:jc w:val="right"/>
              <w:rPr>
                <w:rFonts w:ascii="Calibri" w:eastAsia="Calibri" w:hAnsi="Calibri" w:cs="Calibri"/>
                <w:b/>
                <w:color w:val="000000"/>
                <w:sz w:val="18"/>
              </w:rPr>
            </w:pPr>
          </w:p>
        </w:tc>
        <w:tc>
          <w:tcPr>
            <w:tcW w:w="11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E89815A" w14:textId="77777777" w:rsidR="00496618" w:rsidRDefault="0027723F" w:rsidP="00EF2675">
            <w:pPr>
              <w:pStyle w:val="Normal5"/>
              <w:jc w:val="right"/>
              <w:rPr>
                <w:rFonts w:ascii="Calibri" w:eastAsia="Calibri" w:hAnsi="Calibri" w:cs="Calibri"/>
                <w:b/>
                <w:color w:val="000000"/>
                <w:sz w:val="18"/>
              </w:rPr>
            </w:pPr>
            <w:r>
              <w:rPr>
                <w:rFonts w:ascii="Calibri" w:eastAsia="Calibri" w:hAnsi="Calibri" w:cs="Calibri"/>
                <w:b/>
                <w:color w:val="000000"/>
                <w:sz w:val="18"/>
              </w:rPr>
              <w:t>Physical</w:t>
            </w:r>
          </w:p>
          <w:p w14:paraId="5C344391" w14:textId="77777777" w:rsidR="00496618" w:rsidRDefault="0027723F" w:rsidP="00EF2675">
            <w:pPr>
              <w:pStyle w:val="Normal5"/>
              <w:jc w:val="right"/>
              <w:rPr>
                <w:rFonts w:ascii="Calibri" w:eastAsia="Calibri" w:hAnsi="Calibri" w:cs="Calibri"/>
                <w:b/>
                <w:color w:val="000000"/>
                <w:sz w:val="18"/>
              </w:rPr>
            </w:pPr>
            <w:r>
              <w:rPr>
                <w:rFonts w:ascii="Calibri" w:eastAsia="Calibri" w:hAnsi="Calibri" w:cs="Calibri"/>
                <w:b/>
                <w:color w:val="000000"/>
                <w:sz w:val="18"/>
              </w:rPr>
              <w:t>Completion</w:t>
            </w:r>
          </w:p>
          <w:p w14:paraId="5C1104C4" w14:textId="77777777" w:rsidR="00496618" w:rsidRDefault="0027723F" w:rsidP="00EF2675">
            <w:pPr>
              <w:pStyle w:val="Normal5"/>
              <w:jc w:val="right"/>
              <w:rPr>
                <w:rFonts w:ascii="Calibri" w:eastAsia="Calibri" w:hAnsi="Calibri" w:cs="Calibri"/>
                <w:b/>
                <w:color w:val="000000"/>
                <w:sz w:val="18"/>
              </w:rPr>
            </w:pPr>
            <w:r>
              <w:rPr>
                <w:rFonts w:ascii="Calibri" w:eastAsia="Calibri" w:hAnsi="Calibri" w:cs="Calibri"/>
                <w:b/>
                <w:color w:val="000000"/>
                <w:sz w:val="18"/>
              </w:rPr>
              <w:t>Date</w:t>
            </w:r>
          </w:p>
        </w:tc>
      </w:tr>
      <w:tr w:rsidR="00496618" w14:paraId="64CB93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195" w:type="dxa"/>
            <w:tcBorders>
              <w:top w:val="single" w:sz="4" w:space="0" w:color="000000"/>
              <w:left w:val="nil"/>
              <w:bottom w:val="nil"/>
              <w:right w:val="nil"/>
              <w:tl2br w:val="nil"/>
              <w:tr2bl w:val="nil"/>
            </w:tcBorders>
            <w:shd w:val="clear" w:color="auto" w:fill="auto"/>
            <w:tcMar>
              <w:left w:w="0" w:type="dxa"/>
              <w:right w:w="0" w:type="dxa"/>
            </w:tcMar>
          </w:tcPr>
          <w:p w14:paraId="132B50AC" w14:textId="77777777" w:rsidR="00496618" w:rsidRDefault="00496618">
            <w:pPr>
              <w:pStyle w:val="Normal5"/>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7FC28982" w14:textId="77777777" w:rsidR="00496618" w:rsidRDefault="00496618">
            <w:pPr>
              <w:pStyle w:val="Normal5"/>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652234D0" w14:textId="77777777" w:rsidR="00496618" w:rsidRDefault="00496618">
            <w:pPr>
              <w:pStyle w:val="Normal5"/>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6C5101AD" w14:textId="77777777" w:rsidR="00496618" w:rsidRDefault="00496618">
            <w:pPr>
              <w:pStyle w:val="Normal5"/>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7ABA3C2F" w14:textId="77777777" w:rsidR="00496618" w:rsidRDefault="00496618">
            <w:pPr>
              <w:pStyle w:val="Normal5"/>
              <w:rPr>
                <w:rFonts w:ascii="Calibri" w:eastAsia="Calibri" w:hAnsi="Calibri" w:cs="Calibri"/>
                <w:color w:val="000000"/>
                <w:sz w:val="18"/>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55A3DE78" w14:textId="77777777" w:rsidR="00496618" w:rsidRDefault="00496618">
            <w:pPr>
              <w:pStyle w:val="Normal5"/>
              <w:rPr>
                <w:rFonts w:ascii="Calibri" w:eastAsia="Calibri" w:hAnsi="Calibri" w:cs="Calibri"/>
                <w:color w:val="000000"/>
                <w:sz w:val="18"/>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0A9A8421" w14:textId="77777777" w:rsidR="00496618" w:rsidRDefault="00496618" w:rsidP="00EF2675">
            <w:pPr>
              <w:pStyle w:val="Normal5"/>
              <w:jc w:val="right"/>
              <w:rPr>
                <w:rFonts w:ascii="Calibri" w:eastAsia="Calibri" w:hAnsi="Calibri" w:cs="Calibri"/>
                <w:color w:val="000000"/>
                <w:sz w:val="18"/>
              </w:rPr>
            </w:pPr>
          </w:p>
        </w:tc>
      </w:tr>
      <w:tr w:rsidR="00496618" w14:paraId="730CC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195" w:type="dxa"/>
            <w:tcBorders>
              <w:top w:val="nil"/>
              <w:left w:val="nil"/>
              <w:bottom w:val="nil"/>
              <w:right w:val="nil"/>
              <w:tl2br w:val="nil"/>
              <w:tr2bl w:val="nil"/>
            </w:tcBorders>
            <w:shd w:val="clear" w:color="auto" w:fill="auto"/>
            <w:tcMar>
              <w:left w:w="101" w:type="dxa"/>
              <w:right w:w="101" w:type="dxa"/>
            </w:tcMar>
          </w:tcPr>
          <w:p w14:paraId="70F96557" w14:textId="77777777" w:rsidR="00496618" w:rsidRDefault="0027723F">
            <w:pPr>
              <w:pStyle w:val="Normal5"/>
              <w:rPr>
                <w:rFonts w:ascii="Calibri" w:eastAsia="Calibri" w:hAnsi="Calibri" w:cs="Calibri"/>
                <w:b/>
                <w:color w:val="000000"/>
                <w:sz w:val="18"/>
              </w:rPr>
            </w:pPr>
            <w:r>
              <w:rPr>
                <w:rFonts w:ascii="Calibri" w:eastAsia="Calibri" w:hAnsi="Calibri" w:cs="Calibri"/>
                <w:b/>
                <w:color w:val="000000"/>
                <w:sz w:val="18"/>
              </w:rPr>
              <w:t>CAPITAL WORKS PROGRAM</w:t>
            </w:r>
          </w:p>
        </w:tc>
        <w:tc>
          <w:tcPr>
            <w:tcW w:w="975" w:type="dxa"/>
            <w:tcBorders>
              <w:top w:val="nil"/>
              <w:left w:val="nil"/>
              <w:bottom w:val="nil"/>
              <w:right w:val="nil"/>
              <w:tl2br w:val="nil"/>
              <w:tr2bl w:val="nil"/>
            </w:tcBorders>
            <w:shd w:val="clear" w:color="auto" w:fill="auto"/>
            <w:noWrap/>
            <w:tcMar>
              <w:left w:w="0" w:type="dxa"/>
              <w:right w:w="0" w:type="dxa"/>
            </w:tcMar>
          </w:tcPr>
          <w:p w14:paraId="2AB1B44A" w14:textId="77777777" w:rsidR="00496618" w:rsidRDefault="00496618">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7E5E541E" w14:textId="77777777" w:rsidR="00496618" w:rsidRDefault="00496618">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3CE0FEB" w14:textId="77777777" w:rsidR="00496618" w:rsidRDefault="00496618">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3455828" w14:textId="77777777" w:rsidR="00496618" w:rsidRDefault="00496618">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6653A955" w14:textId="77777777" w:rsidR="00496618" w:rsidRDefault="00496618">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32940190" w14:textId="77777777" w:rsidR="00496618" w:rsidRDefault="00496618" w:rsidP="00EF2675">
            <w:pPr>
              <w:pStyle w:val="Normal5"/>
              <w:jc w:val="right"/>
              <w:rPr>
                <w:rFonts w:ascii="Calibri" w:eastAsia="Calibri" w:hAnsi="Calibri" w:cs="Calibri"/>
                <w:color w:val="000000"/>
                <w:sz w:val="18"/>
              </w:rPr>
            </w:pPr>
          </w:p>
        </w:tc>
      </w:tr>
      <w:tr w:rsidR="00496618" w14:paraId="38CA8AC2" w14:textId="77777777" w:rsidTr="001F6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195" w:type="dxa"/>
            <w:tcBorders>
              <w:top w:val="nil"/>
              <w:left w:val="nil"/>
              <w:bottom w:val="nil"/>
              <w:right w:val="nil"/>
              <w:tl2br w:val="nil"/>
              <w:tr2bl w:val="nil"/>
            </w:tcBorders>
            <w:shd w:val="clear" w:color="auto" w:fill="auto"/>
            <w:tcMar>
              <w:left w:w="0" w:type="dxa"/>
              <w:right w:w="0" w:type="dxa"/>
            </w:tcMar>
          </w:tcPr>
          <w:p w14:paraId="4C984BD0" w14:textId="77777777" w:rsidR="00496618" w:rsidRDefault="00496618">
            <w:pPr>
              <w:pStyle w:val="Normal5"/>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9A15617" w14:textId="77777777" w:rsidR="00496618" w:rsidRDefault="00496618">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D705693" w14:textId="77777777" w:rsidR="00496618" w:rsidRDefault="00496618">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29B5EAF1" w14:textId="77777777" w:rsidR="00496618" w:rsidRDefault="00496618">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302F977" w14:textId="77777777" w:rsidR="00496618" w:rsidRDefault="00496618">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642922DE" w14:textId="77777777" w:rsidR="00496618" w:rsidRDefault="00496618">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192B9A48" w14:textId="77777777" w:rsidR="00496618" w:rsidRDefault="00496618" w:rsidP="00EF2675">
            <w:pPr>
              <w:pStyle w:val="Normal5"/>
              <w:jc w:val="right"/>
              <w:rPr>
                <w:rFonts w:ascii="Calibri" w:eastAsia="Calibri" w:hAnsi="Calibri" w:cs="Calibri"/>
                <w:color w:val="000000"/>
                <w:sz w:val="18"/>
              </w:rPr>
            </w:pPr>
          </w:p>
        </w:tc>
      </w:tr>
      <w:tr w:rsidR="00496618" w14:paraId="543D7BFE" w14:textId="77777777" w:rsidTr="001F6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195" w:type="dxa"/>
            <w:tcBorders>
              <w:top w:val="nil"/>
              <w:left w:val="nil"/>
              <w:bottom w:val="nil"/>
              <w:right w:val="nil"/>
              <w:tl2br w:val="nil"/>
              <w:tr2bl w:val="nil"/>
            </w:tcBorders>
            <w:shd w:val="clear" w:color="auto" w:fill="auto"/>
            <w:tcMar>
              <w:left w:w="101" w:type="dxa"/>
              <w:right w:w="101" w:type="dxa"/>
            </w:tcMar>
          </w:tcPr>
          <w:p w14:paraId="4D39FCB5" w14:textId="77777777" w:rsidR="00496618" w:rsidRDefault="0027723F">
            <w:pPr>
              <w:pStyle w:val="Normal5"/>
              <w:rPr>
                <w:rFonts w:ascii="Calibri" w:eastAsia="Calibri" w:hAnsi="Calibri" w:cs="Calibri"/>
                <w:b/>
                <w:color w:val="000000"/>
                <w:sz w:val="18"/>
              </w:rPr>
            </w:pPr>
            <w:r>
              <w:rPr>
                <w:rFonts w:ascii="Calibri" w:eastAsia="Calibri" w:hAnsi="Calibri" w:cs="Calibri"/>
                <w:b/>
                <w:color w:val="000000"/>
                <w:sz w:val="18"/>
              </w:rPr>
              <w:t>Work In Progress</w:t>
            </w:r>
          </w:p>
        </w:tc>
        <w:tc>
          <w:tcPr>
            <w:tcW w:w="975" w:type="dxa"/>
            <w:tcBorders>
              <w:top w:val="nil"/>
              <w:left w:val="nil"/>
              <w:bottom w:val="nil"/>
              <w:right w:val="nil"/>
              <w:tl2br w:val="nil"/>
              <w:tr2bl w:val="nil"/>
            </w:tcBorders>
            <w:shd w:val="clear" w:color="auto" w:fill="auto"/>
            <w:noWrap/>
            <w:tcMar>
              <w:left w:w="0" w:type="dxa"/>
              <w:right w:w="0" w:type="dxa"/>
            </w:tcMar>
          </w:tcPr>
          <w:p w14:paraId="44A0897D" w14:textId="77777777" w:rsidR="00496618" w:rsidRDefault="00496618">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5DC7632A" w14:textId="77777777" w:rsidR="00496618" w:rsidRDefault="00496618">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5342B88" w14:textId="77777777" w:rsidR="00496618" w:rsidRDefault="00496618">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7D76E21C" w14:textId="77777777" w:rsidR="00496618" w:rsidRDefault="00496618">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54CD46FA" w14:textId="77777777" w:rsidR="00496618" w:rsidRDefault="00496618">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6228D9EE" w14:textId="77777777" w:rsidR="00496618" w:rsidRDefault="00496618" w:rsidP="00EF2675">
            <w:pPr>
              <w:pStyle w:val="Normal5"/>
              <w:jc w:val="right"/>
              <w:rPr>
                <w:rFonts w:ascii="Calibri" w:eastAsia="Calibri" w:hAnsi="Calibri" w:cs="Calibri"/>
                <w:color w:val="000000"/>
                <w:sz w:val="18"/>
              </w:rPr>
            </w:pPr>
          </w:p>
        </w:tc>
      </w:tr>
      <w:tr w:rsidR="00677C53" w14:paraId="7211BBFB" w14:textId="77777777" w:rsidTr="001F6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195" w:type="dxa"/>
            <w:tcBorders>
              <w:top w:val="nil"/>
              <w:left w:val="nil"/>
              <w:bottom w:val="nil"/>
              <w:right w:val="nil"/>
              <w:tl2br w:val="nil"/>
              <w:tr2bl w:val="nil"/>
            </w:tcBorders>
            <w:shd w:val="clear" w:color="auto" w:fill="auto"/>
            <w:tcMar>
              <w:left w:w="101" w:type="dxa"/>
              <w:right w:w="101" w:type="dxa"/>
            </w:tcMar>
          </w:tcPr>
          <w:p w14:paraId="07C2C0F6" w14:textId="77777777" w:rsidR="00677C53" w:rsidRDefault="00677C53">
            <w:pPr>
              <w:pStyle w:val="Normal5"/>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5571483A" w14:textId="77777777" w:rsidR="00677C53" w:rsidRDefault="00677C53">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75ECAF03" w14:textId="77777777" w:rsidR="00677C53" w:rsidRDefault="00677C53">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402ED0B" w14:textId="77777777" w:rsidR="00677C53" w:rsidRDefault="00677C53">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F4C88A6" w14:textId="77777777" w:rsidR="00677C53" w:rsidRDefault="00677C53">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46233759" w14:textId="77777777" w:rsidR="00677C53" w:rsidRDefault="00677C53">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500F3283" w14:textId="77777777" w:rsidR="00677C53" w:rsidRDefault="00677C53" w:rsidP="00EF2675">
            <w:pPr>
              <w:pStyle w:val="Normal5"/>
              <w:jc w:val="right"/>
              <w:rPr>
                <w:rFonts w:ascii="Calibri" w:eastAsia="Calibri" w:hAnsi="Calibri" w:cs="Calibri"/>
                <w:color w:val="000000"/>
                <w:sz w:val="18"/>
              </w:rPr>
            </w:pPr>
          </w:p>
        </w:tc>
      </w:tr>
      <w:tr w:rsidR="001F6B18" w:rsidRPr="001F6B18" w14:paraId="1AC1823F" w14:textId="77777777" w:rsidTr="005F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3195" w:type="dxa"/>
            <w:tcBorders>
              <w:top w:val="nil"/>
              <w:left w:val="nil"/>
              <w:bottom w:val="nil"/>
              <w:right w:val="nil"/>
              <w:tl2br w:val="nil"/>
              <w:tr2bl w:val="nil"/>
            </w:tcBorders>
            <w:shd w:val="clear" w:color="auto" w:fill="auto"/>
            <w:tcMar>
              <w:left w:w="101" w:type="dxa"/>
              <w:right w:w="101" w:type="dxa"/>
            </w:tcMar>
            <w:vAlign w:val="center"/>
          </w:tcPr>
          <w:p w14:paraId="55CA94C4" w14:textId="6119527D" w:rsidR="001F6B18" w:rsidRDefault="001F6B18" w:rsidP="001F6B18">
            <w:pPr>
              <w:pStyle w:val="Normal6"/>
              <w:rPr>
                <w:rFonts w:ascii="Calibri" w:eastAsia="Calibri" w:hAnsi="Calibri" w:cs="Calibri"/>
                <w:color w:val="000000"/>
                <w:sz w:val="18"/>
              </w:rPr>
            </w:pPr>
            <w:r w:rsidRPr="001F6B18">
              <w:rPr>
                <w:rFonts w:ascii="Calibri" w:eastAsia="Calibri" w:hAnsi="Calibri" w:cs="Calibri"/>
                <w:color w:val="000000"/>
                <w:sz w:val="18"/>
              </w:rPr>
              <w:t>ACT Health Core IT Systems to align with the Digital Health Strategy</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57BA06B5" w14:textId="45FB7F2D" w:rsidR="001F6B18" w:rsidRDefault="001F6B18" w:rsidP="003633D6">
            <w:pPr>
              <w:pStyle w:val="Normal6"/>
              <w:jc w:val="right"/>
              <w:rPr>
                <w:rFonts w:ascii="Calibri" w:eastAsia="Calibri" w:hAnsi="Calibri" w:cs="Calibri"/>
                <w:color w:val="000000"/>
                <w:sz w:val="18"/>
              </w:rPr>
            </w:pPr>
            <w:r w:rsidRPr="001F6B18">
              <w:rPr>
                <w:rFonts w:ascii="Calibri" w:eastAsia="Calibri" w:hAnsi="Calibri" w:cs="Calibri"/>
                <w:color w:val="000000"/>
                <w:sz w:val="18"/>
              </w:rPr>
              <w:t>31,745</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16A02FFD" w14:textId="38F37E02" w:rsidR="001F6B18" w:rsidRDefault="001F6B18" w:rsidP="003633D6">
            <w:pPr>
              <w:pStyle w:val="Normal6"/>
              <w:jc w:val="right"/>
              <w:rPr>
                <w:rFonts w:ascii="Calibri" w:eastAsia="Calibri" w:hAnsi="Calibri" w:cs="Calibri"/>
                <w:color w:val="000000"/>
                <w:sz w:val="18"/>
              </w:rPr>
            </w:pPr>
            <w:r w:rsidRPr="001F6B18">
              <w:rPr>
                <w:rFonts w:ascii="Calibri" w:eastAsia="Calibri" w:hAnsi="Calibri" w:cs="Calibri"/>
                <w:color w:val="000000"/>
                <w:sz w:val="18"/>
              </w:rPr>
              <w:t>32,001</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1A5DB569" w14:textId="5F0390E2" w:rsidR="001F6B18" w:rsidRDefault="001F6B18" w:rsidP="003633D6">
            <w:pPr>
              <w:pStyle w:val="Normal6"/>
              <w:jc w:val="right"/>
              <w:rPr>
                <w:rFonts w:ascii="Calibri" w:eastAsia="Calibri" w:hAnsi="Calibri" w:cs="Calibri"/>
                <w:color w:val="000000"/>
                <w:sz w:val="18"/>
              </w:rPr>
            </w:pPr>
            <w:r w:rsidRPr="001F6B18">
              <w:rPr>
                <w:rFonts w:ascii="Calibri" w:eastAsia="Calibri" w:hAnsi="Calibri" w:cs="Calibri"/>
                <w:color w:val="000000"/>
                <w:sz w:val="18"/>
              </w:rPr>
              <w:t>5,009</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18052EFA" w14:textId="15E2750D" w:rsidR="001F6B18" w:rsidRDefault="001F6B18" w:rsidP="003633D6">
            <w:pPr>
              <w:pStyle w:val="Normal6"/>
              <w:jc w:val="right"/>
              <w:rPr>
                <w:rFonts w:ascii="Calibri" w:eastAsia="Calibri" w:hAnsi="Calibri" w:cs="Calibri"/>
                <w:color w:val="000000"/>
                <w:sz w:val="18"/>
              </w:rPr>
            </w:pPr>
            <w:r w:rsidRPr="001F6B18">
              <w:rPr>
                <w:rFonts w:ascii="Calibri" w:eastAsia="Calibri" w:hAnsi="Calibri" w:cs="Calibri"/>
                <w:color w:val="000000"/>
                <w:sz w:val="18"/>
              </w:rPr>
              <w:t>5,009</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19E7D848" w14:textId="4A33336B" w:rsidR="001F6B18" w:rsidRPr="00A46438" w:rsidRDefault="001F6B18" w:rsidP="003633D6">
            <w:pPr>
              <w:pStyle w:val="Normal6"/>
              <w:jc w:val="right"/>
              <w:rPr>
                <w:rFonts w:ascii="Calibri" w:eastAsia="Calibri" w:hAnsi="Calibri" w:cs="Calibri"/>
                <w:color w:val="000000"/>
                <w:sz w:val="18"/>
              </w:rPr>
            </w:pPr>
            <w:r w:rsidRPr="00A46438">
              <w:rPr>
                <w:rFonts w:ascii="Calibri" w:eastAsia="Calibri" w:hAnsi="Calibri" w:cs="Calibri"/>
                <w:color w:val="000000"/>
                <w:sz w:val="18"/>
              </w:rPr>
              <w:t>73,764</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6E61031E" w14:textId="59D2BF60" w:rsidR="001F6B18" w:rsidRDefault="001F6B18" w:rsidP="00EF2675">
            <w:pPr>
              <w:pStyle w:val="Normal6"/>
              <w:jc w:val="right"/>
              <w:rPr>
                <w:rFonts w:ascii="Calibri" w:eastAsia="Calibri" w:hAnsi="Calibri" w:cs="Calibri"/>
                <w:color w:val="000000"/>
                <w:sz w:val="18"/>
              </w:rPr>
            </w:pPr>
            <w:r w:rsidRPr="001F6B18">
              <w:rPr>
                <w:rFonts w:ascii="Calibri" w:eastAsia="Calibri" w:hAnsi="Calibri" w:cs="Calibri"/>
                <w:color w:val="000000"/>
                <w:sz w:val="18"/>
              </w:rPr>
              <w:t>Jun-27</w:t>
            </w:r>
          </w:p>
        </w:tc>
      </w:tr>
      <w:tr w:rsidR="001F6B18" w:rsidRPr="001F6B18" w14:paraId="4B6F9446" w14:textId="77777777" w:rsidTr="00EF2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3195" w:type="dxa"/>
            <w:tcBorders>
              <w:top w:val="nil"/>
              <w:left w:val="nil"/>
              <w:bottom w:val="nil"/>
              <w:right w:val="nil"/>
              <w:tl2br w:val="nil"/>
              <w:tr2bl w:val="nil"/>
            </w:tcBorders>
            <w:shd w:val="clear" w:color="auto" w:fill="auto"/>
            <w:tcMar>
              <w:left w:w="101" w:type="dxa"/>
              <w:right w:w="101" w:type="dxa"/>
            </w:tcMar>
            <w:vAlign w:val="center"/>
          </w:tcPr>
          <w:p w14:paraId="0CAE778B" w14:textId="1E39381A" w:rsidR="001F6B18" w:rsidRDefault="001F6B18" w:rsidP="001F6B18">
            <w:pPr>
              <w:pStyle w:val="Normal6"/>
              <w:rPr>
                <w:rFonts w:ascii="Calibri" w:eastAsia="Calibri" w:hAnsi="Calibri" w:cs="Calibri"/>
                <w:color w:val="000000"/>
                <w:sz w:val="18"/>
              </w:rPr>
            </w:pPr>
            <w:r w:rsidRPr="001F6B18">
              <w:rPr>
                <w:rFonts w:ascii="Calibri" w:eastAsia="Calibri" w:hAnsi="Calibri" w:cs="Calibri"/>
                <w:color w:val="000000"/>
                <w:sz w:val="18"/>
              </w:rPr>
              <w:t>ACT Pathology Laboratory Information System Replacement</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1C2CBC02" w14:textId="2ABE405F" w:rsidR="001F6B18" w:rsidRDefault="001F6B18" w:rsidP="003633D6">
            <w:pPr>
              <w:pStyle w:val="Normal6"/>
              <w:jc w:val="right"/>
              <w:rPr>
                <w:rFonts w:ascii="Calibri" w:eastAsia="Calibri" w:hAnsi="Calibri" w:cs="Calibri"/>
                <w:color w:val="000000"/>
                <w:sz w:val="18"/>
              </w:rPr>
            </w:pPr>
            <w:r w:rsidRPr="001F6B18">
              <w:rPr>
                <w:rFonts w:ascii="Calibri" w:eastAsia="Calibri" w:hAnsi="Calibri" w:cs="Calibri"/>
                <w:color w:val="000000"/>
                <w:sz w:val="18"/>
              </w:rPr>
              <w:t>5,207</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B354827" w14:textId="1830EE78" w:rsidR="001F6B18" w:rsidRDefault="001F1FBA" w:rsidP="003633D6">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461DFF8C" w14:textId="37664623" w:rsidR="001F6B18" w:rsidRDefault="001F1FBA" w:rsidP="003633D6">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07E16F9C" w14:textId="5A990EC2" w:rsidR="001F6B18" w:rsidRDefault="001F1FBA" w:rsidP="003633D6">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6E836DAA" w14:textId="22D8CA03" w:rsidR="001F6B18" w:rsidRPr="00A46438" w:rsidRDefault="001F6B18" w:rsidP="003633D6">
            <w:pPr>
              <w:pStyle w:val="Normal6"/>
              <w:jc w:val="right"/>
              <w:rPr>
                <w:rFonts w:ascii="Calibri" w:eastAsia="Calibri" w:hAnsi="Calibri" w:cs="Calibri"/>
                <w:color w:val="000000"/>
                <w:sz w:val="18"/>
              </w:rPr>
            </w:pPr>
            <w:r w:rsidRPr="00A46438">
              <w:rPr>
                <w:rFonts w:ascii="Calibri" w:eastAsia="Calibri" w:hAnsi="Calibri" w:cs="Calibri"/>
                <w:color w:val="000000"/>
                <w:sz w:val="18"/>
              </w:rPr>
              <w:t>5,207</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4313033A" w14:textId="032DA59C" w:rsidR="001F6B18" w:rsidRDefault="001F6B18" w:rsidP="00EF2675">
            <w:pPr>
              <w:pStyle w:val="Normal6"/>
              <w:jc w:val="right"/>
              <w:rPr>
                <w:rFonts w:ascii="Calibri" w:eastAsia="Calibri" w:hAnsi="Calibri" w:cs="Calibri"/>
                <w:color w:val="000000"/>
                <w:sz w:val="18"/>
              </w:rPr>
            </w:pPr>
            <w:r w:rsidRPr="001F6B18">
              <w:rPr>
                <w:rFonts w:ascii="Calibri" w:eastAsia="Calibri" w:hAnsi="Calibri" w:cs="Calibri"/>
                <w:color w:val="000000"/>
                <w:sz w:val="18"/>
              </w:rPr>
              <w:t>Sep-22</w:t>
            </w:r>
          </w:p>
        </w:tc>
      </w:tr>
      <w:tr w:rsidR="001F6B18" w:rsidRPr="001F6B18" w14:paraId="28A33325" w14:textId="77777777" w:rsidTr="00EF2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3195" w:type="dxa"/>
            <w:tcBorders>
              <w:top w:val="nil"/>
              <w:left w:val="nil"/>
              <w:bottom w:val="nil"/>
              <w:right w:val="nil"/>
              <w:tl2br w:val="nil"/>
              <w:tr2bl w:val="nil"/>
            </w:tcBorders>
            <w:shd w:val="clear" w:color="auto" w:fill="auto"/>
            <w:tcMar>
              <w:left w:w="101" w:type="dxa"/>
              <w:right w:w="101" w:type="dxa"/>
            </w:tcMar>
            <w:vAlign w:val="center"/>
          </w:tcPr>
          <w:p w14:paraId="129810DB" w14:textId="544E5745" w:rsidR="001F6B18" w:rsidRDefault="00C76DDB" w:rsidP="001F6B18">
            <w:pPr>
              <w:pStyle w:val="Normal6"/>
              <w:rPr>
                <w:rFonts w:ascii="Calibri" w:eastAsia="Calibri" w:hAnsi="Calibri" w:cs="Calibri"/>
                <w:color w:val="000000"/>
                <w:sz w:val="18"/>
              </w:rPr>
            </w:pPr>
            <w:r w:rsidRPr="00436199">
              <w:rPr>
                <w:rFonts w:ascii="Calibri" w:hAnsi="Calibri" w:cs="Calibri"/>
                <w:color w:val="000000"/>
                <w:sz w:val="18"/>
                <w:szCs w:val="18"/>
              </w:rPr>
              <w:t xml:space="preserve">Calvary </w:t>
            </w:r>
            <w:r w:rsidR="002A2525">
              <w:rPr>
                <w:rFonts w:ascii="Calibri" w:hAnsi="Calibri" w:cs="Calibri"/>
                <w:color w:val="000000"/>
                <w:sz w:val="18"/>
                <w:szCs w:val="18"/>
              </w:rPr>
              <w:t>c</w:t>
            </w:r>
            <w:r>
              <w:rPr>
                <w:rFonts w:ascii="Calibri" w:hAnsi="Calibri" w:cs="Calibri"/>
                <w:color w:val="000000"/>
                <w:sz w:val="18"/>
                <w:szCs w:val="18"/>
              </w:rPr>
              <w:t xml:space="preserve">ritical </w:t>
            </w:r>
            <w:r w:rsidR="002A2525">
              <w:rPr>
                <w:rFonts w:ascii="Calibri" w:hAnsi="Calibri" w:cs="Calibri"/>
                <w:color w:val="000000"/>
                <w:sz w:val="18"/>
                <w:szCs w:val="18"/>
              </w:rPr>
              <w:t>i</w:t>
            </w:r>
            <w:r w:rsidRPr="00436199">
              <w:rPr>
                <w:rFonts w:ascii="Calibri" w:hAnsi="Calibri" w:cs="Calibri"/>
                <w:color w:val="000000"/>
                <w:sz w:val="18"/>
                <w:szCs w:val="18"/>
              </w:rPr>
              <w:t>nfrastructure</w:t>
            </w:r>
            <w:r w:rsidR="002A2525">
              <w:rPr>
                <w:rFonts w:ascii="Calibri" w:hAnsi="Calibri" w:cs="Calibri"/>
                <w:color w:val="000000"/>
                <w:sz w:val="18"/>
                <w:szCs w:val="18"/>
              </w:rPr>
              <w:t xml:space="preserve"> phase 1</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ECB69B6" w14:textId="56B0C6E6" w:rsidR="001F6B18" w:rsidRDefault="001F6B18" w:rsidP="003633D6">
            <w:pPr>
              <w:pStyle w:val="Normal6"/>
              <w:jc w:val="right"/>
              <w:rPr>
                <w:rFonts w:ascii="Calibri" w:eastAsia="Calibri" w:hAnsi="Calibri" w:cs="Calibri"/>
                <w:color w:val="000000"/>
                <w:sz w:val="18"/>
              </w:rPr>
            </w:pPr>
            <w:r w:rsidRPr="001F6B18">
              <w:rPr>
                <w:rFonts w:ascii="Calibri" w:eastAsia="Calibri" w:hAnsi="Calibri" w:cs="Calibri"/>
                <w:color w:val="000000"/>
                <w:sz w:val="18"/>
              </w:rPr>
              <w:t>866</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0CA36840" w14:textId="471FA09D" w:rsidR="001F6B18" w:rsidRDefault="001F1FBA" w:rsidP="003633D6">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3E31FE9" w14:textId="6E5AA5E4" w:rsidR="001F6B18" w:rsidRDefault="001F1FBA" w:rsidP="003633D6">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B4C247A" w14:textId="23D4DB97" w:rsidR="001F6B18" w:rsidRDefault="001F1FBA" w:rsidP="003633D6">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63205FD1" w14:textId="1C95E8D3" w:rsidR="001F6B18" w:rsidRPr="00A46438" w:rsidRDefault="001F6B18" w:rsidP="003633D6">
            <w:pPr>
              <w:pStyle w:val="Normal6"/>
              <w:jc w:val="right"/>
              <w:rPr>
                <w:rFonts w:ascii="Calibri" w:eastAsia="Calibri" w:hAnsi="Calibri" w:cs="Calibri"/>
                <w:color w:val="000000"/>
                <w:sz w:val="18"/>
              </w:rPr>
            </w:pPr>
            <w:r w:rsidRPr="00A46438">
              <w:rPr>
                <w:rFonts w:ascii="Calibri" w:eastAsia="Calibri" w:hAnsi="Calibri" w:cs="Calibri"/>
                <w:color w:val="000000"/>
                <w:sz w:val="18"/>
              </w:rPr>
              <w:t>866</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6C08CCBC" w14:textId="4549EA8A" w:rsidR="001F6B18" w:rsidRDefault="001F6B18" w:rsidP="00EF2675">
            <w:pPr>
              <w:pStyle w:val="Normal6"/>
              <w:jc w:val="right"/>
              <w:rPr>
                <w:rFonts w:ascii="Calibri" w:eastAsia="Calibri" w:hAnsi="Calibri" w:cs="Calibri"/>
                <w:color w:val="000000"/>
                <w:sz w:val="18"/>
              </w:rPr>
            </w:pPr>
            <w:r w:rsidRPr="001F6B18">
              <w:rPr>
                <w:rFonts w:ascii="Calibri" w:eastAsia="Calibri" w:hAnsi="Calibri" w:cs="Calibri"/>
                <w:color w:val="000000"/>
                <w:sz w:val="18"/>
              </w:rPr>
              <w:t>Jun-22</w:t>
            </w:r>
          </w:p>
        </w:tc>
      </w:tr>
      <w:tr w:rsidR="001F6B18" w:rsidRPr="001F6B18" w14:paraId="5B614C47" w14:textId="77777777" w:rsidTr="001F6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195" w:type="dxa"/>
            <w:tcBorders>
              <w:top w:val="nil"/>
              <w:left w:val="nil"/>
              <w:bottom w:val="nil"/>
              <w:right w:val="nil"/>
              <w:tl2br w:val="nil"/>
              <w:tr2bl w:val="nil"/>
            </w:tcBorders>
            <w:shd w:val="clear" w:color="auto" w:fill="auto"/>
            <w:tcMar>
              <w:left w:w="101" w:type="dxa"/>
              <w:right w:w="101" w:type="dxa"/>
            </w:tcMar>
            <w:vAlign w:val="center"/>
          </w:tcPr>
          <w:p w14:paraId="17EDED2F" w14:textId="7DC4F7AE" w:rsidR="001F6B18" w:rsidRDefault="001F6B18" w:rsidP="001F6B18">
            <w:pPr>
              <w:pStyle w:val="Normal6"/>
              <w:rPr>
                <w:rFonts w:ascii="Calibri" w:eastAsia="Calibri" w:hAnsi="Calibri" w:cs="Calibri"/>
                <w:color w:val="000000"/>
                <w:sz w:val="18"/>
              </w:rPr>
            </w:pPr>
            <w:r w:rsidRPr="001F6B18">
              <w:rPr>
                <w:rFonts w:ascii="Calibri" w:eastAsia="Calibri" w:hAnsi="Calibri" w:cs="Calibri"/>
                <w:color w:val="000000"/>
                <w:sz w:val="18"/>
              </w:rPr>
              <w:t>Community, Health and Hospitals Program - Alcohol &amp; Other Rehabilitation Expansion &amp; Modernisation</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1DB0D647" w14:textId="36A05B96" w:rsidR="001F6B18" w:rsidRDefault="001F6B18" w:rsidP="003633D6">
            <w:pPr>
              <w:pStyle w:val="Normal6"/>
              <w:jc w:val="right"/>
              <w:rPr>
                <w:rFonts w:ascii="Calibri" w:eastAsia="Calibri" w:hAnsi="Calibri" w:cs="Calibri"/>
                <w:color w:val="000000"/>
                <w:sz w:val="18"/>
              </w:rPr>
            </w:pPr>
            <w:r w:rsidRPr="001F6B18">
              <w:rPr>
                <w:rFonts w:ascii="Calibri" w:eastAsia="Calibri" w:hAnsi="Calibri" w:cs="Calibri"/>
                <w:color w:val="000000"/>
                <w:sz w:val="18"/>
              </w:rPr>
              <w:t>508</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24193018" w14:textId="5EFC8264" w:rsidR="001F6B18" w:rsidRDefault="001F6B18" w:rsidP="003633D6">
            <w:pPr>
              <w:pStyle w:val="Normal6"/>
              <w:jc w:val="right"/>
              <w:rPr>
                <w:rFonts w:ascii="Calibri" w:eastAsia="Calibri" w:hAnsi="Calibri" w:cs="Calibri"/>
                <w:color w:val="000000"/>
                <w:sz w:val="18"/>
              </w:rPr>
            </w:pPr>
            <w:r w:rsidRPr="001F6B18">
              <w:rPr>
                <w:rFonts w:ascii="Calibri" w:eastAsia="Calibri" w:hAnsi="Calibri" w:cs="Calibri"/>
                <w:color w:val="000000"/>
                <w:sz w:val="18"/>
              </w:rPr>
              <w:t>2,592</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556DB70" w14:textId="13DCB70C" w:rsidR="001F6B18" w:rsidRDefault="001F6B18" w:rsidP="003633D6">
            <w:pPr>
              <w:pStyle w:val="Normal6"/>
              <w:jc w:val="right"/>
              <w:rPr>
                <w:rFonts w:ascii="Calibri" w:eastAsia="Calibri" w:hAnsi="Calibri" w:cs="Calibri"/>
                <w:color w:val="000000"/>
                <w:sz w:val="18"/>
              </w:rPr>
            </w:pPr>
            <w:r w:rsidRPr="001F6B18">
              <w:rPr>
                <w:rFonts w:ascii="Calibri" w:eastAsia="Calibri" w:hAnsi="Calibri" w:cs="Calibri"/>
                <w:color w:val="000000"/>
                <w:sz w:val="18"/>
              </w:rPr>
              <w:t>1,000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202D45E9" w14:textId="67016E54" w:rsidR="001F6B18" w:rsidRDefault="001F1FBA" w:rsidP="003633D6">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03DFB69E" w14:textId="2A55EC87" w:rsidR="001F6B18" w:rsidRPr="00A46438" w:rsidRDefault="001F6B18" w:rsidP="003633D6">
            <w:pPr>
              <w:pStyle w:val="Normal6"/>
              <w:jc w:val="right"/>
              <w:rPr>
                <w:rFonts w:ascii="Calibri" w:eastAsia="Calibri" w:hAnsi="Calibri" w:cs="Calibri"/>
                <w:color w:val="000000"/>
                <w:sz w:val="18"/>
              </w:rPr>
            </w:pPr>
            <w:r w:rsidRPr="00A46438">
              <w:rPr>
                <w:rFonts w:ascii="Calibri" w:eastAsia="Calibri" w:hAnsi="Calibri" w:cs="Calibri"/>
                <w:color w:val="000000"/>
                <w:sz w:val="18"/>
              </w:rPr>
              <w:t>4,100</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386D7D00" w14:textId="629D56AC" w:rsidR="001F6B18" w:rsidRDefault="00BF3AFE" w:rsidP="00EF2675">
            <w:pPr>
              <w:pStyle w:val="Normal6"/>
              <w:jc w:val="right"/>
              <w:rPr>
                <w:rFonts w:ascii="Calibri" w:eastAsia="Calibri" w:hAnsi="Calibri" w:cs="Calibri"/>
                <w:color w:val="000000"/>
                <w:sz w:val="18"/>
              </w:rPr>
            </w:pPr>
            <w:r>
              <w:rPr>
                <w:rFonts w:ascii="Calibri" w:eastAsia="Calibri" w:hAnsi="Calibri" w:cs="Calibri"/>
                <w:color w:val="000000"/>
                <w:sz w:val="18"/>
              </w:rPr>
              <w:t>Jun-24</w:t>
            </w:r>
          </w:p>
        </w:tc>
      </w:tr>
      <w:tr w:rsidR="00744072" w:rsidRPr="001F6B18" w14:paraId="08D1F597" w14:textId="77777777" w:rsidTr="001F6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195" w:type="dxa"/>
            <w:tcBorders>
              <w:top w:val="nil"/>
              <w:left w:val="nil"/>
              <w:bottom w:val="nil"/>
              <w:right w:val="nil"/>
              <w:tl2br w:val="nil"/>
              <w:tr2bl w:val="nil"/>
            </w:tcBorders>
            <w:shd w:val="clear" w:color="auto" w:fill="auto"/>
            <w:tcMar>
              <w:left w:w="101" w:type="dxa"/>
              <w:right w:w="101" w:type="dxa"/>
            </w:tcMar>
            <w:vAlign w:val="center"/>
          </w:tcPr>
          <w:p w14:paraId="6AAD7623" w14:textId="46C5523B" w:rsidR="00744072" w:rsidRPr="001F6B18" w:rsidRDefault="00744072" w:rsidP="00744072">
            <w:pPr>
              <w:pStyle w:val="Normal6"/>
              <w:rPr>
                <w:rFonts w:ascii="Calibri" w:eastAsia="Calibri" w:hAnsi="Calibri" w:cs="Calibri"/>
                <w:color w:val="000000"/>
                <w:sz w:val="18"/>
              </w:rPr>
            </w:pPr>
            <w:r w:rsidRPr="001F6B18">
              <w:rPr>
                <w:rFonts w:ascii="Calibri" w:eastAsia="Calibri" w:hAnsi="Calibri" w:cs="Calibri"/>
                <w:color w:val="000000"/>
                <w:sz w:val="18"/>
              </w:rPr>
              <w:t>Community, Health and Hospitals Program - Community Based Residential Eating Disorder Treatment Centre</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1B9A04F1" w14:textId="1AF08132" w:rsidR="00744072" w:rsidRPr="001F6B18"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500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EBC5E6C" w14:textId="179913E3" w:rsidR="00744072" w:rsidRPr="001F6B18"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12,000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1B7F6360" w14:textId="669CB232" w:rsidR="00744072" w:rsidRPr="001F6B18"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500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01142362" w14:textId="246D13FD"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7C9E2158" w14:textId="07A49300" w:rsidR="00744072" w:rsidRPr="00A46438" w:rsidRDefault="00744072" w:rsidP="00744072">
            <w:pPr>
              <w:pStyle w:val="Normal6"/>
              <w:jc w:val="right"/>
              <w:rPr>
                <w:rFonts w:ascii="Calibri" w:eastAsia="Calibri" w:hAnsi="Calibri" w:cs="Calibri"/>
                <w:color w:val="000000"/>
                <w:sz w:val="18"/>
              </w:rPr>
            </w:pPr>
            <w:r w:rsidRPr="00A46438">
              <w:rPr>
                <w:rFonts w:ascii="Calibri" w:eastAsia="Calibri" w:hAnsi="Calibri" w:cs="Calibri"/>
                <w:color w:val="000000"/>
                <w:sz w:val="18"/>
              </w:rPr>
              <w:t>13,000</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59721665" w14:textId="1A64C35C"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Jun-23</w:t>
            </w:r>
          </w:p>
        </w:tc>
      </w:tr>
      <w:tr w:rsidR="00744072" w:rsidRPr="001F6B18" w14:paraId="40EB9D9E" w14:textId="77777777" w:rsidTr="006F3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11F74390" w14:textId="7CF62E24" w:rsidR="00744072" w:rsidRDefault="00744072" w:rsidP="00744072">
            <w:pPr>
              <w:pStyle w:val="Normal6"/>
              <w:rPr>
                <w:rFonts w:ascii="Calibri" w:eastAsia="Calibri" w:hAnsi="Calibri" w:cs="Calibri"/>
                <w:color w:val="000000"/>
                <w:sz w:val="18"/>
              </w:rPr>
            </w:pPr>
            <w:r w:rsidRPr="001F6B18">
              <w:rPr>
                <w:rFonts w:ascii="Calibri" w:eastAsia="Calibri" w:hAnsi="Calibri" w:cs="Calibri"/>
                <w:color w:val="000000"/>
                <w:sz w:val="18"/>
              </w:rPr>
              <w:t>COVID-19 Disease Response Management System</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55E798CB" w14:textId="579D7203" w:rsidR="00744072"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7,263</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0DD8767" w14:textId="51106FBF"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DA04439" w14:textId="3A277C8B"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48661553" w14:textId="4AA7BC0D"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0F4CEA18" w14:textId="6935AEDA" w:rsidR="00744072" w:rsidRPr="00A46438" w:rsidRDefault="00744072" w:rsidP="00744072">
            <w:pPr>
              <w:pStyle w:val="Normal6"/>
              <w:jc w:val="right"/>
              <w:rPr>
                <w:rFonts w:ascii="Calibri" w:eastAsia="Calibri" w:hAnsi="Calibri" w:cs="Calibri"/>
                <w:color w:val="000000"/>
                <w:sz w:val="18"/>
              </w:rPr>
            </w:pPr>
            <w:r w:rsidRPr="00A46438">
              <w:rPr>
                <w:rFonts w:ascii="Calibri" w:eastAsia="Calibri" w:hAnsi="Calibri" w:cs="Calibri"/>
                <w:color w:val="000000"/>
                <w:sz w:val="18"/>
              </w:rPr>
              <w:t>7,263</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14BD6580" w14:textId="4C8C2773" w:rsidR="00744072"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Feb-22</w:t>
            </w:r>
          </w:p>
        </w:tc>
      </w:tr>
      <w:tr w:rsidR="00744072" w:rsidRPr="001F6B18" w14:paraId="75E85751" w14:textId="77777777" w:rsidTr="0074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2A0A8021" w14:textId="15E0B7C6" w:rsidR="00744072" w:rsidRDefault="00744072" w:rsidP="00744072">
            <w:pPr>
              <w:pStyle w:val="Normal6"/>
              <w:rPr>
                <w:rFonts w:ascii="Calibri" w:eastAsia="Calibri" w:hAnsi="Calibri" w:cs="Calibri"/>
                <w:color w:val="000000"/>
                <w:sz w:val="18"/>
              </w:rPr>
            </w:pPr>
            <w:r w:rsidRPr="001F6B18">
              <w:rPr>
                <w:rFonts w:ascii="Calibri" w:eastAsia="Calibri" w:hAnsi="Calibri" w:cs="Calibri"/>
                <w:color w:val="000000"/>
                <w:sz w:val="18"/>
              </w:rPr>
              <w:t>COVID-19 Public Health Response - Vaccination Program</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FE241A2" w14:textId="640E17F5" w:rsidR="00744072"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4,018</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55FCE746" w14:textId="59156050"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2415958" w14:textId="7C2E92C2"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000D7AE9" w14:textId="0A19BE14"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2030EC60" w14:textId="09FB1B1C" w:rsidR="00744072" w:rsidRPr="00A46438" w:rsidRDefault="00744072" w:rsidP="00744072">
            <w:pPr>
              <w:pStyle w:val="Normal6"/>
              <w:jc w:val="right"/>
              <w:rPr>
                <w:rFonts w:ascii="Calibri" w:eastAsia="Calibri" w:hAnsi="Calibri" w:cs="Calibri"/>
                <w:color w:val="000000"/>
                <w:sz w:val="18"/>
              </w:rPr>
            </w:pPr>
            <w:r w:rsidRPr="00A46438">
              <w:rPr>
                <w:rFonts w:ascii="Calibri" w:eastAsia="Calibri" w:hAnsi="Calibri" w:cs="Calibri"/>
                <w:color w:val="000000"/>
                <w:sz w:val="18"/>
              </w:rPr>
              <w:t>4,018</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0FE8ED68" w14:textId="539FB079" w:rsidR="00744072"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Jun-22</w:t>
            </w:r>
          </w:p>
        </w:tc>
      </w:tr>
      <w:tr w:rsidR="00744072" w:rsidRPr="001F6B18" w14:paraId="3FC8E2F0" w14:textId="77777777" w:rsidTr="0074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5A5EBACC" w14:textId="64EF57DD" w:rsidR="00744072" w:rsidRPr="001F6B18" w:rsidRDefault="00744072" w:rsidP="00744072">
            <w:pPr>
              <w:pStyle w:val="Normal6"/>
              <w:rPr>
                <w:rFonts w:ascii="Calibri" w:eastAsia="Calibri" w:hAnsi="Calibri" w:cs="Calibri"/>
                <w:color w:val="000000"/>
                <w:sz w:val="18"/>
              </w:rPr>
            </w:pPr>
            <w:r w:rsidRPr="001F6B18">
              <w:rPr>
                <w:rFonts w:ascii="Calibri" w:eastAsia="Calibri" w:hAnsi="Calibri" w:cs="Calibri"/>
                <w:color w:val="000000"/>
                <w:sz w:val="18"/>
              </w:rPr>
              <w:t>Expansion of Clare Holland House</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F311C11" w14:textId="4D0AADA6" w:rsidR="00744072" w:rsidRPr="001F6B18"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1,002</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1A0EB0F6" w14:textId="2DB49684"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40A79FB7" w14:textId="03FF1E4C"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9A6FADB" w14:textId="6D3A0301"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15F2996C" w14:textId="65921C72" w:rsidR="00744072" w:rsidRPr="00A46438" w:rsidRDefault="00744072" w:rsidP="00744072">
            <w:pPr>
              <w:pStyle w:val="Normal6"/>
              <w:jc w:val="right"/>
              <w:rPr>
                <w:rFonts w:ascii="Calibri" w:eastAsia="Calibri" w:hAnsi="Calibri" w:cs="Calibri"/>
                <w:color w:val="000000"/>
                <w:sz w:val="18"/>
              </w:rPr>
            </w:pPr>
            <w:r w:rsidRPr="00A46438">
              <w:rPr>
                <w:rFonts w:ascii="Calibri" w:eastAsia="Calibri" w:hAnsi="Calibri" w:cs="Calibri"/>
                <w:color w:val="000000"/>
                <w:sz w:val="18"/>
              </w:rPr>
              <w:t>1,002</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16F49370" w14:textId="2A9716E3"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Sep-21</w:t>
            </w:r>
          </w:p>
        </w:tc>
      </w:tr>
      <w:tr w:rsidR="00744072" w:rsidRPr="001F6B18" w14:paraId="395F014D" w14:textId="77777777" w:rsidTr="006F3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3195" w:type="dxa"/>
            <w:tcBorders>
              <w:top w:val="nil"/>
              <w:left w:val="nil"/>
              <w:bottom w:val="nil"/>
              <w:right w:val="nil"/>
              <w:tl2br w:val="nil"/>
              <w:tr2bl w:val="nil"/>
            </w:tcBorders>
            <w:shd w:val="clear" w:color="auto" w:fill="auto"/>
            <w:tcMar>
              <w:left w:w="101" w:type="dxa"/>
              <w:right w:w="101" w:type="dxa"/>
            </w:tcMar>
            <w:vAlign w:val="center"/>
          </w:tcPr>
          <w:p w14:paraId="5F008184" w14:textId="289F6F38" w:rsidR="00744072" w:rsidRDefault="00744072" w:rsidP="00744072">
            <w:pPr>
              <w:pStyle w:val="Normal6"/>
              <w:rPr>
                <w:rFonts w:ascii="Calibri" w:eastAsia="Calibri" w:hAnsi="Calibri" w:cs="Calibri"/>
                <w:color w:val="000000"/>
                <w:sz w:val="18"/>
              </w:rPr>
            </w:pPr>
            <w:r w:rsidRPr="001F6B18">
              <w:rPr>
                <w:rFonts w:ascii="Calibri" w:eastAsia="Calibri" w:hAnsi="Calibri" w:cs="Calibri"/>
                <w:color w:val="000000"/>
                <w:sz w:val="18"/>
              </w:rPr>
              <w:t>Implementing Real Time Prescription Monitoring</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17591D3" w14:textId="03689207" w:rsidR="00744072"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1,315</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06682293" w14:textId="47A7BC8A" w:rsidR="00744072"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247</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403097D" w14:textId="581E20BA"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38FE111" w14:textId="530F1285"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21BA2F28" w14:textId="3B7D0233" w:rsidR="00744072" w:rsidRPr="00A46438" w:rsidRDefault="00744072" w:rsidP="00744072">
            <w:pPr>
              <w:pStyle w:val="Normal6"/>
              <w:jc w:val="right"/>
              <w:rPr>
                <w:rFonts w:ascii="Calibri" w:eastAsia="Calibri" w:hAnsi="Calibri" w:cs="Calibri"/>
                <w:color w:val="000000"/>
                <w:sz w:val="18"/>
              </w:rPr>
            </w:pPr>
            <w:r w:rsidRPr="00A46438">
              <w:rPr>
                <w:rFonts w:ascii="Calibri" w:eastAsia="Calibri" w:hAnsi="Calibri" w:cs="Calibri"/>
                <w:color w:val="000000"/>
                <w:sz w:val="18"/>
              </w:rPr>
              <w:t>1,562</w:t>
            </w: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7EAFCD2C" w14:textId="45CA33B9" w:rsidR="00744072" w:rsidRDefault="00744072" w:rsidP="00744072">
            <w:pPr>
              <w:pStyle w:val="Normal6"/>
              <w:ind w:right="132"/>
              <w:jc w:val="right"/>
              <w:rPr>
                <w:rFonts w:ascii="Calibri" w:eastAsia="Calibri" w:hAnsi="Calibri" w:cs="Calibri"/>
                <w:color w:val="000000"/>
                <w:sz w:val="18"/>
              </w:rPr>
            </w:pPr>
            <w:r w:rsidRPr="001F6B18">
              <w:rPr>
                <w:rFonts w:ascii="Calibri" w:eastAsia="Calibri" w:hAnsi="Calibri" w:cs="Calibri"/>
                <w:color w:val="000000"/>
                <w:sz w:val="18"/>
              </w:rPr>
              <w:t>Jun-22</w:t>
            </w:r>
          </w:p>
        </w:tc>
      </w:tr>
      <w:tr w:rsidR="00744072" w:rsidRPr="001F6B18" w14:paraId="7237756C" w14:textId="77777777" w:rsidTr="006F3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3195" w:type="dxa"/>
            <w:tcBorders>
              <w:top w:val="nil"/>
              <w:left w:val="nil"/>
              <w:bottom w:val="nil"/>
              <w:right w:val="nil"/>
              <w:tl2br w:val="nil"/>
              <w:tr2bl w:val="nil"/>
            </w:tcBorders>
            <w:shd w:val="clear" w:color="auto" w:fill="auto"/>
            <w:tcMar>
              <w:left w:w="101" w:type="dxa"/>
              <w:right w:w="101" w:type="dxa"/>
            </w:tcMar>
            <w:vAlign w:val="center"/>
          </w:tcPr>
          <w:p w14:paraId="0CC1CB9B" w14:textId="1C4C8F76" w:rsidR="00744072" w:rsidRDefault="00744072" w:rsidP="00744072">
            <w:pPr>
              <w:pStyle w:val="Normal6"/>
              <w:rPr>
                <w:rFonts w:ascii="Calibri" w:eastAsia="Calibri" w:hAnsi="Calibri" w:cs="Calibri"/>
                <w:color w:val="000000"/>
                <w:sz w:val="18"/>
              </w:rPr>
            </w:pPr>
            <w:r w:rsidRPr="001F6B18">
              <w:rPr>
                <w:rFonts w:ascii="Calibri" w:eastAsia="Calibri" w:hAnsi="Calibri" w:cs="Calibri"/>
                <w:color w:val="000000"/>
                <w:sz w:val="18"/>
              </w:rPr>
              <w:t>Ngunnawal Bush Healing Farm</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01ACAA9E" w14:textId="66E8DC6E" w:rsidR="00744072"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933</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581A1071" w14:textId="1B657C34"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AF59CDC" w14:textId="6FDCC56C"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B8FA4A6" w14:textId="12A80668"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10AC508B" w14:textId="727A9776" w:rsidR="00744072" w:rsidRPr="00A46438" w:rsidRDefault="00744072" w:rsidP="00744072">
            <w:pPr>
              <w:pStyle w:val="Normal6"/>
              <w:jc w:val="right"/>
              <w:rPr>
                <w:rFonts w:ascii="Calibri" w:eastAsia="Calibri" w:hAnsi="Calibri" w:cs="Calibri"/>
                <w:color w:val="000000"/>
                <w:sz w:val="18"/>
              </w:rPr>
            </w:pPr>
            <w:r w:rsidRPr="00A46438">
              <w:rPr>
                <w:rFonts w:ascii="Calibri" w:eastAsia="Calibri" w:hAnsi="Calibri" w:cs="Calibri"/>
                <w:color w:val="000000"/>
                <w:sz w:val="18"/>
              </w:rPr>
              <w:t>933</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3D9AAEFA" w14:textId="0F0A7060" w:rsidR="00744072" w:rsidRDefault="00744072" w:rsidP="00744072">
            <w:pPr>
              <w:pStyle w:val="Normal6"/>
              <w:ind w:right="23"/>
              <w:jc w:val="right"/>
              <w:rPr>
                <w:rFonts w:ascii="Calibri" w:eastAsia="Calibri" w:hAnsi="Calibri" w:cs="Calibri"/>
                <w:color w:val="000000"/>
                <w:sz w:val="18"/>
              </w:rPr>
            </w:pPr>
            <w:r w:rsidRPr="001F6B18">
              <w:rPr>
                <w:rFonts w:ascii="Calibri" w:eastAsia="Calibri" w:hAnsi="Calibri" w:cs="Calibri"/>
                <w:color w:val="000000"/>
                <w:sz w:val="18"/>
              </w:rPr>
              <w:t>Jun-22</w:t>
            </w:r>
          </w:p>
        </w:tc>
      </w:tr>
      <w:tr w:rsidR="00744072" w:rsidRPr="001F6B18" w14:paraId="00DF975D" w14:textId="77777777" w:rsidTr="005F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54A0B0CF" w14:textId="103EF808" w:rsidR="00744072" w:rsidRDefault="00744072" w:rsidP="00744072">
            <w:pPr>
              <w:pStyle w:val="Normal6"/>
              <w:rPr>
                <w:rFonts w:ascii="Calibri" w:eastAsia="Calibri" w:hAnsi="Calibri" w:cs="Calibri"/>
                <w:color w:val="000000"/>
                <w:sz w:val="18"/>
              </w:rPr>
            </w:pPr>
            <w:r w:rsidRPr="001F6B18">
              <w:rPr>
                <w:rFonts w:ascii="Calibri" w:eastAsia="Calibri" w:hAnsi="Calibri" w:cs="Calibri"/>
                <w:color w:val="000000"/>
                <w:sz w:val="18"/>
              </w:rPr>
              <w:t>Protecting Canberrans from Infectious Diseases</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3ABE9B7" w14:textId="44B27456" w:rsidR="00744072" w:rsidRDefault="00744072" w:rsidP="00744072">
            <w:pPr>
              <w:pStyle w:val="Normal6"/>
              <w:jc w:val="right"/>
              <w:rPr>
                <w:rFonts w:ascii="Calibri" w:eastAsia="Calibri" w:hAnsi="Calibri" w:cs="Calibri"/>
                <w:color w:val="000000"/>
                <w:sz w:val="18"/>
              </w:rPr>
            </w:pPr>
            <w:r w:rsidRPr="001F6B18">
              <w:rPr>
                <w:rFonts w:ascii="Calibri" w:eastAsia="Calibri" w:hAnsi="Calibri" w:cs="Calibri"/>
                <w:color w:val="000000"/>
                <w:sz w:val="18"/>
              </w:rPr>
              <w:t>46</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531D643" w14:textId="578A62BD"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43F5BECD" w14:textId="18C657E0"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45A59EFB" w14:textId="244E7CC4" w:rsidR="00744072"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7DD0DB39" w14:textId="29283572" w:rsidR="00744072" w:rsidRPr="00A46438" w:rsidRDefault="00744072" w:rsidP="00744072">
            <w:pPr>
              <w:pStyle w:val="Normal6"/>
              <w:jc w:val="right"/>
              <w:rPr>
                <w:rFonts w:ascii="Calibri" w:eastAsia="Calibri" w:hAnsi="Calibri" w:cs="Calibri"/>
                <w:color w:val="000000"/>
                <w:sz w:val="18"/>
              </w:rPr>
            </w:pPr>
            <w:r w:rsidRPr="00A46438">
              <w:rPr>
                <w:rFonts w:ascii="Calibri" w:eastAsia="Calibri" w:hAnsi="Calibri" w:cs="Calibri"/>
                <w:color w:val="000000"/>
                <w:sz w:val="18"/>
              </w:rPr>
              <w:t>46</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507703F4" w14:textId="6C579681" w:rsidR="00744072" w:rsidRDefault="00744072" w:rsidP="00744072">
            <w:pPr>
              <w:pStyle w:val="Normal6"/>
              <w:ind w:right="23"/>
              <w:jc w:val="right"/>
              <w:rPr>
                <w:rFonts w:ascii="Calibri" w:eastAsia="Calibri" w:hAnsi="Calibri" w:cs="Calibri"/>
                <w:color w:val="000000"/>
                <w:sz w:val="18"/>
              </w:rPr>
            </w:pPr>
            <w:r w:rsidRPr="001F6B18">
              <w:rPr>
                <w:rFonts w:ascii="Calibri" w:eastAsia="Calibri" w:hAnsi="Calibri" w:cs="Calibri"/>
                <w:color w:val="000000"/>
                <w:sz w:val="18"/>
              </w:rPr>
              <w:t>Feb-22</w:t>
            </w:r>
          </w:p>
        </w:tc>
      </w:tr>
      <w:tr w:rsidR="00677C53" w:rsidRPr="001F6B18" w14:paraId="167A9ACE" w14:textId="77777777" w:rsidTr="005F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04486FDB" w14:textId="77777777" w:rsidR="00677C53" w:rsidRPr="001F6B18" w:rsidRDefault="00677C53" w:rsidP="00744072">
            <w:pPr>
              <w:pStyle w:val="Normal6"/>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9F7CD2B" w14:textId="77777777" w:rsidR="00677C53" w:rsidRPr="001F6B18"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286D5B1" w14:textId="77777777" w:rsidR="00677C53"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9C0D6CB" w14:textId="77777777" w:rsidR="00677C53"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25FD0E60" w14:textId="77777777" w:rsidR="00677C53" w:rsidRDefault="00677C53"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781D508A" w14:textId="77777777" w:rsidR="00677C53" w:rsidRPr="00A46438" w:rsidRDefault="00677C53"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17A7ABE8" w14:textId="77777777" w:rsidR="00677C53" w:rsidRPr="001F6B18" w:rsidRDefault="00677C53" w:rsidP="00744072">
            <w:pPr>
              <w:pStyle w:val="Normal6"/>
              <w:ind w:right="23"/>
              <w:jc w:val="right"/>
              <w:rPr>
                <w:rFonts w:ascii="Calibri" w:eastAsia="Calibri" w:hAnsi="Calibri" w:cs="Calibri"/>
                <w:color w:val="000000"/>
                <w:sz w:val="18"/>
              </w:rPr>
            </w:pPr>
          </w:p>
        </w:tc>
      </w:tr>
      <w:tr w:rsidR="00744072" w14:paraId="08D57747"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195" w:type="dxa"/>
            <w:tcBorders>
              <w:top w:val="nil"/>
              <w:left w:val="nil"/>
              <w:bottom w:val="nil"/>
              <w:right w:val="nil"/>
              <w:tl2br w:val="nil"/>
              <w:tr2bl w:val="nil"/>
            </w:tcBorders>
            <w:shd w:val="clear" w:color="auto" w:fill="auto"/>
            <w:tcMar>
              <w:left w:w="101" w:type="dxa"/>
              <w:right w:w="101" w:type="dxa"/>
            </w:tcMar>
            <w:vAlign w:val="center"/>
          </w:tcPr>
          <w:p w14:paraId="446BBC06" w14:textId="77777777" w:rsidR="00744072" w:rsidRPr="00CE207A" w:rsidRDefault="00744072" w:rsidP="00744072">
            <w:pPr>
              <w:pStyle w:val="Normal5"/>
              <w:rPr>
                <w:rFonts w:ascii="Calibri" w:hAnsi="Calibri" w:cs="Calibri"/>
                <w:b/>
                <w:bCs/>
                <w:color w:val="000000"/>
                <w:sz w:val="18"/>
                <w:szCs w:val="18"/>
              </w:rPr>
            </w:pPr>
            <w:r w:rsidRPr="00CE207A">
              <w:rPr>
                <w:rFonts w:ascii="Calibri" w:hAnsi="Calibri" w:cs="Calibri"/>
                <w:b/>
                <w:bCs/>
                <w:color w:val="000000"/>
                <w:sz w:val="18"/>
                <w:szCs w:val="18"/>
              </w:rPr>
              <w:t>Total Work In Progress </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4191AED" w14:textId="77777777" w:rsidR="00744072" w:rsidRPr="001F6B18" w:rsidRDefault="00744072" w:rsidP="00744072">
            <w:pPr>
              <w:pStyle w:val="Normal5"/>
              <w:jc w:val="right"/>
              <w:rPr>
                <w:rFonts w:ascii="Calibri" w:eastAsia="Calibri" w:hAnsi="Calibri" w:cs="Calibri"/>
                <w:b/>
                <w:color w:val="000000"/>
                <w:sz w:val="18"/>
              </w:rPr>
            </w:pPr>
            <w:r w:rsidRPr="001F6B18">
              <w:rPr>
                <w:rFonts w:ascii="Calibri" w:eastAsia="Calibri" w:hAnsi="Calibri" w:cs="Calibri"/>
                <w:b/>
                <w:color w:val="000000"/>
                <w:sz w:val="18"/>
              </w:rPr>
              <w:t>53,403</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022AF3C2" w14:textId="77777777" w:rsidR="00744072" w:rsidRPr="001F6B18" w:rsidRDefault="00744072" w:rsidP="00744072">
            <w:pPr>
              <w:pStyle w:val="Normal5"/>
              <w:jc w:val="right"/>
              <w:rPr>
                <w:rFonts w:ascii="Calibri" w:eastAsia="Calibri" w:hAnsi="Calibri" w:cs="Calibri"/>
                <w:b/>
                <w:color w:val="000000"/>
                <w:sz w:val="18"/>
              </w:rPr>
            </w:pPr>
            <w:r w:rsidRPr="001F6B18">
              <w:rPr>
                <w:rFonts w:ascii="Calibri" w:eastAsia="Calibri" w:hAnsi="Calibri" w:cs="Calibri"/>
                <w:b/>
                <w:color w:val="000000"/>
                <w:sz w:val="18"/>
              </w:rPr>
              <w:t>46,840</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44D5FE1E" w14:textId="77777777" w:rsidR="00744072" w:rsidRPr="001F6B18" w:rsidRDefault="00744072" w:rsidP="00744072">
            <w:pPr>
              <w:pStyle w:val="Normal5"/>
              <w:jc w:val="right"/>
              <w:rPr>
                <w:rFonts w:ascii="Calibri" w:eastAsia="Calibri" w:hAnsi="Calibri" w:cs="Calibri"/>
                <w:b/>
                <w:color w:val="000000"/>
                <w:sz w:val="18"/>
              </w:rPr>
            </w:pPr>
            <w:r w:rsidRPr="001F6B18">
              <w:rPr>
                <w:rFonts w:ascii="Calibri" w:eastAsia="Calibri" w:hAnsi="Calibri" w:cs="Calibri"/>
                <w:b/>
                <w:color w:val="000000"/>
                <w:sz w:val="18"/>
              </w:rPr>
              <w:t>6,509</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08297EB" w14:textId="77777777" w:rsidR="00744072" w:rsidRPr="001F6B18" w:rsidRDefault="00744072" w:rsidP="00744072">
            <w:pPr>
              <w:pStyle w:val="Normal5"/>
              <w:jc w:val="right"/>
              <w:rPr>
                <w:rFonts w:ascii="Calibri" w:eastAsia="Calibri" w:hAnsi="Calibri" w:cs="Calibri"/>
                <w:b/>
                <w:color w:val="000000"/>
                <w:sz w:val="18"/>
              </w:rPr>
            </w:pPr>
            <w:r w:rsidRPr="001F6B18">
              <w:rPr>
                <w:rFonts w:ascii="Calibri" w:eastAsia="Calibri" w:hAnsi="Calibri" w:cs="Calibri"/>
                <w:b/>
                <w:color w:val="000000"/>
                <w:sz w:val="18"/>
              </w:rPr>
              <w:t>5,009</w:t>
            </w: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0D0B0D1B" w14:textId="77777777" w:rsidR="00744072" w:rsidRPr="001F6B18" w:rsidRDefault="00744072" w:rsidP="00744072">
            <w:pPr>
              <w:pStyle w:val="Normal5"/>
              <w:jc w:val="right"/>
              <w:rPr>
                <w:rFonts w:ascii="Calibri" w:eastAsia="Calibri" w:hAnsi="Calibri" w:cs="Calibri"/>
                <w:b/>
                <w:color w:val="000000"/>
                <w:sz w:val="18"/>
              </w:rPr>
            </w:pPr>
            <w:r w:rsidRPr="001F6B18">
              <w:rPr>
                <w:rFonts w:ascii="Calibri" w:eastAsia="Calibri" w:hAnsi="Calibri" w:cs="Calibri"/>
                <w:b/>
                <w:color w:val="000000"/>
                <w:sz w:val="18"/>
              </w:rPr>
              <w:t>111,761</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7C028C83" w14:textId="77777777" w:rsidR="00744072" w:rsidRDefault="00744072" w:rsidP="00744072">
            <w:pPr>
              <w:pStyle w:val="Normal5"/>
              <w:jc w:val="right"/>
              <w:rPr>
                <w:rFonts w:ascii="Calibri" w:hAnsi="Calibri" w:cs="Calibri"/>
                <w:color w:val="000000"/>
                <w:sz w:val="18"/>
                <w:szCs w:val="18"/>
              </w:rPr>
            </w:pPr>
          </w:p>
        </w:tc>
      </w:tr>
      <w:tr w:rsidR="00744072" w:rsidRPr="001F6B18" w14:paraId="1995C5A2" w14:textId="77777777" w:rsidTr="005F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301CC62F" w14:textId="77777777" w:rsidR="00744072" w:rsidRPr="001F6B18" w:rsidRDefault="00744072" w:rsidP="00744072">
            <w:pPr>
              <w:pStyle w:val="Normal6"/>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5AEBB611"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1FB47E79"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A64A8B1"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2A88C1B" w14:textId="77777777" w:rsidR="00744072" w:rsidRPr="001F6B18" w:rsidRDefault="00744072"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0713C0AD" w14:textId="77777777" w:rsidR="00744072" w:rsidRPr="00A46438" w:rsidRDefault="00744072"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1BD370A9" w14:textId="77777777" w:rsidR="00744072" w:rsidRPr="001F6B18" w:rsidRDefault="00744072" w:rsidP="00744072">
            <w:pPr>
              <w:pStyle w:val="Normal6"/>
              <w:ind w:right="23"/>
              <w:jc w:val="right"/>
              <w:rPr>
                <w:rFonts w:ascii="Calibri" w:eastAsia="Calibri" w:hAnsi="Calibri" w:cs="Calibri"/>
                <w:color w:val="000000"/>
                <w:sz w:val="18"/>
              </w:rPr>
            </w:pPr>
          </w:p>
        </w:tc>
      </w:tr>
      <w:tr w:rsidR="00744072" w:rsidRPr="001F6B18" w14:paraId="055EFEF5"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tcPr>
          <w:p w14:paraId="15F5215D" w14:textId="78FCC973" w:rsidR="00744072" w:rsidRDefault="00744072" w:rsidP="00744072">
            <w:pPr>
              <w:pStyle w:val="Normal6"/>
              <w:rPr>
                <w:rFonts w:ascii="Calibri" w:eastAsia="Calibri" w:hAnsi="Calibri" w:cs="Calibri"/>
                <w:color w:val="000000"/>
                <w:sz w:val="18"/>
              </w:rPr>
            </w:pPr>
            <w:r>
              <w:rPr>
                <w:rFonts w:ascii="Calibri" w:eastAsia="Calibri" w:hAnsi="Calibri" w:cs="Calibri"/>
                <w:b/>
                <w:color w:val="000000"/>
                <w:sz w:val="18"/>
              </w:rPr>
              <w:t>Capital Upgrade Programs</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80DB83C"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4161D2A1"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0DA35A4"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2E48B589" w14:textId="77777777" w:rsidR="00744072" w:rsidRPr="001F6B18" w:rsidRDefault="00744072"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36692442" w14:textId="77777777" w:rsidR="00744072" w:rsidRPr="00A46438" w:rsidRDefault="00744072"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7AA0C97F" w14:textId="77777777" w:rsidR="00744072" w:rsidRPr="001F6B18" w:rsidRDefault="00744072" w:rsidP="00744072">
            <w:pPr>
              <w:pStyle w:val="Normal6"/>
              <w:ind w:right="23"/>
              <w:jc w:val="right"/>
              <w:rPr>
                <w:rFonts w:ascii="Calibri" w:eastAsia="Calibri" w:hAnsi="Calibri" w:cs="Calibri"/>
                <w:color w:val="000000"/>
                <w:sz w:val="18"/>
              </w:rPr>
            </w:pPr>
          </w:p>
        </w:tc>
      </w:tr>
      <w:tr w:rsidR="00677C53" w:rsidRPr="001F6B18" w14:paraId="3789A2D6"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tcPr>
          <w:p w14:paraId="53C8006C" w14:textId="77777777" w:rsidR="00677C53" w:rsidRDefault="00677C53" w:rsidP="00744072">
            <w:pPr>
              <w:pStyle w:val="Normal6"/>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AC5033B" w14:textId="77777777" w:rsidR="00677C53" w:rsidRPr="001F6B18"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319B9AA" w14:textId="77777777" w:rsidR="00677C53" w:rsidRPr="001F6B18"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CF47051" w14:textId="77777777" w:rsidR="00677C53" w:rsidRPr="001F6B18"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4885D128" w14:textId="77777777" w:rsidR="00677C53" w:rsidRPr="001F6B18" w:rsidRDefault="00677C53"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50B5BD94" w14:textId="77777777" w:rsidR="00677C53" w:rsidRPr="00A46438" w:rsidRDefault="00677C53"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6736ACA2" w14:textId="77777777" w:rsidR="00677C53" w:rsidRPr="001F6B18" w:rsidRDefault="00677C53" w:rsidP="00744072">
            <w:pPr>
              <w:pStyle w:val="Normal6"/>
              <w:ind w:right="23"/>
              <w:jc w:val="right"/>
              <w:rPr>
                <w:rFonts w:ascii="Calibri" w:eastAsia="Calibri" w:hAnsi="Calibri" w:cs="Calibri"/>
                <w:color w:val="000000"/>
                <w:sz w:val="18"/>
              </w:rPr>
            </w:pPr>
          </w:p>
        </w:tc>
      </w:tr>
      <w:tr w:rsidR="00744072" w:rsidRPr="001F6B18" w14:paraId="10315307"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tcPr>
          <w:p w14:paraId="3057EECA" w14:textId="14C93B23" w:rsidR="00744072" w:rsidRDefault="00744072" w:rsidP="00744072">
            <w:pPr>
              <w:pStyle w:val="Normal6"/>
              <w:rPr>
                <w:rFonts w:ascii="Calibri" w:eastAsia="Calibri" w:hAnsi="Calibri" w:cs="Calibri"/>
                <w:color w:val="000000"/>
                <w:sz w:val="18"/>
              </w:rPr>
            </w:pPr>
            <w:r>
              <w:rPr>
                <w:rFonts w:ascii="Calibri" w:eastAsia="Calibri" w:hAnsi="Calibri" w:cs="Calibri"/>
                <w:color w:val="000000"/>
                <w:sz w:val="18"/>
              </w:rPr>
              <w:t>Better Infrastructure Fund - Health</w:t>
            </w:r>
          </w:p>
        </w:tc>
        <w:tc>
          <w:tcPr>
            <w:tcW w:w="975" w:type="dxa"/>
            <w:tcBorders>
              <w:top w:val="nil"/>
              <w:left w:val="nil"/>
              <w:bottom w:val="nil"/>
              <w:right w:val="nil"/>
              <w:tl2br w:val="nil"/>
              <w:tr2bl w:val="nil"/>
            </w:tcBorders>
            <w:shd w:val="clear" w:color="auto" w:fill="auto"/>
            <w:noWrap/>
            <w:tcMar>
              <w:left w:w="101" w:type="dxa"/>
              <w:right w:w="161" w:type="dxa"/>
            </w:tcMar>
          </w:tcPr>
          <w:p w14:paraId="387089AF" w14:textId="107DBD13"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766</w:t>
            </w:r>
          </w:p>
        </w:tc>
        <w:tc>
          <w:tcPr>
            <w:tcW w:w="975" w:type="dxa"/>
            <w:tcBorders>
              <w:top w:val="nil"/>
              <w:left w:val="nil"/>
              <w:bottom w:val="nil"/>
              <w:right w:val="nil"/>
              <w:tl2br w:val="nil"/>
              <w:tr2bl w:val="nil"/>
            </w:tcBorders>
            <w:shd w:val="clear" w:color="auto" w:fill="auto"/>
            <w:noWrap/>
            <w:tcMar>
              <w:left w:w="101" w:type="dxa"/>
              <w:right w:w="161" w:type="dxa"/>
            </w:tcMar>
          </w:tcPr>
          <w:p w14:paraId="505ED14B" w14:textId="42CB2FC2"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478</w:t>
            </w:r>
          </w:p>
        </w:tc>
        <w:tc>
          <w:tcPr>
            <w:tcW w:w="975" w:type="dxa"/>
            <w:tcBorders>
              <w:top w:val="nil"/>
              <w:left w:val="nil"/>
              <w:bottom w:val="nil"/>
              <w:right w:val="nil"/>
              <w:tl2br w:val="nil"/>
              <w:tr2bl w:val="nil"/>
            </w:tcBorders>
            <w:shd w:val="clear" w:color="auto" w:fill="auto"/>
            <w:noWrap/>
            <w:tcMar>
              <w:left w:w="101" w:type="dxa"/>
              <w:right w:w="161" w:type="dxa"/>
            </w:tcMar>
          </w:tcPr>
          <w:p w14:paraId="60901877" w14:textId="07F4059D"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490</w:t>
            </w:r>
          </w:p>
        </w:tc>
        <w:tc>
          <w:tcPr>
            <w:tcW w:w="975" w:type="dxa"/>
            <w:tcBorders>
              <w:top w:val="nil"/>
              <w:left w:val="nil"/>
              <w:bottom w:val="nil"/>
              <w:right w:val="nil"/>
              <w:tl2br w:val="nil"/>
              <w:tr2bl w:val="nil"/>
            </w:tcBorders>
            <w:shd w:val="clear" w:color="auto" w:fill="auto"/>
            <w:noWrap/>
            <w:tcMar>
              <w:left w:w="101" w:type="dxa"/>
              <w:right w:w="161" w:type="dxa"/>
            </w:tcMar>
          </w:tcPr>
          <w:p w14:paraId="13076E7E" w14:textId="37880D3C"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503</w:t>
            </w:r>
          </w:p>
        </w:tc>
        <w:tc>
          <w:tcPr>
            <w:tcW w:w="1125" w:type="dxa"/>
            <w:tcBorders>
              <w:top w:val="nil"/>
              <w:left w:val="nil"/>
              <w:bottom w:val="nil"/>
              <w:right w:val="nil"/>
              <w:tl2br w:val="nil"/>
              <w:tr2bl w:val="nil"/>
            </w:tcBorders>
            <w:shd w:val="clear" w:color="auto" w:fill="auto"/>
            <w:noWrap/>
            <w:tcMar>
              <w:left w:w="101" w:type="dxa"/>
              <w:right w:w="161" w:type="dxa"/>
            </w:tcMar>
          </w:tcPr>
          <w:p w14:paraId="1F268269" w14:textId="79708F49" w:rsidR="00744072" w:rsidRPr="00A46438" w:rsidRDefault="00744072" w:rsidP="00744072">
            <w:pPr>
              <w:pStyle w:val="Normal6"/>
              <w:jc w:val="right"/>
              <w:rPr>
                <w:rFonts w:ascii="Calibri" w:eastAsia="Calibri" w:hAnsi="Calibri" w:cs="Calibri"/>
                <w:color w:val="000000"/>
                <w:sz w:val="18"/>
              </w:rPr>
            </w:pPr>
            <w:r w:rsidRPr="00A46438">
              <w:rPr>
                <w:rFonts w:ascii="Calibri" w:eastAsia="Calibri" w:hAnsi="Calibri" w:cs="Calibri"/>
                <w:color w:val="000000"/>
                <w:sz w:val="18"/>
              </w:rPr>
              <w:t>2,237</w:t>
            </w:r>
          </w:p>
        </w:tc>
        <w:tc>
          <w:tcPr>
            <w:tcW w:w="1125" w:type="dxa"/>
            <w:tcBorders>
              <w:top w:val="nil"/>
              <w:left w:val="nil"/>
              <w:bottom w:val="nil"/>
              <w:right w:val="nil"/>
              <w:tl2br w:val="nil"/>
              <w:tr2bl w:val="nil"/>
            </w:tcBorders>
            <w:shd w:val="clear" w:color="auto" w:fill="auto"/>
            <w:noWrap/>
            <w:tcMar>
              <w:left w:w="101" w:type="dxa"/>
              <w:right w:w="101" w:type="dxa"/>
            </w:tcMar>
          </w:tcPr>
          <w:p w14:paraId="2365B72F" w14:textId="67C24414" w:rsidR="00744072" w:rsidRPr="001F6B18" w:rsidRDefault="00744072" w:rsidP="00744072">
            <w:pPr>
              <w:pStyle w:val="Normal6"/>
              <w:ind w:right="23"/>
              <w:jc w:val="right"/>
              <w:rPr>
                <w:rFonts w:ascii="Calibri" w:eastAsia="Calibri" w:hAnsi="Calibri" w:cs="Calibri"/>
                <w:color w:val="000000"/>
                <w:sz w:val="18"/>
              </w:rPr>
            </w:pPr>
            <w:r>
              <w:rPr>
                <w:rFonts w:ascii="Calibri" w:eastAsia="Calibri" w:hAnsi="Calibri" w:cs="Calibri"/>
                <w:color w:val="000000"/>
                <w:sz w:val="18"/>
              </w:rPr>
              <w:t>Ongoing</w:t>
            </w:r>
          </w:p>
        </w:tc>
      </w:tr>
      <w:tr w:rsidR="00744072" w:rsidRPr="001F6B18" w14:paraId="2C6B5E32"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tcPr>
          <w:p w14:paraId="698C87DD" w14:textId="06EE7906" w:rsidR="00744072" w:rsidRDefault="00744072" w:rsidP="00744072">
            <w:pPr>
              <w:pStyle w:val="Normal6"/>
              <w:rPr>
                <w:rFonts w:ascii="Calibri" w:eastAsia="Calibri" w:hAnsi="Calibri" w:cs="Calibri"/>
                <w:color w:val="000000"/>
                <w:sz w:val="18"/>
              </w:rPr>
            </w:pPr>
            <w:r w:rsidRPr="001F2C93">
              <w:rPr>
                <w:rFonts w:ascii="Calibri" w:eastAsia="Calibri" w:hAnsi="Calibri" w:cs="Calibri"/>
                <w:color w:val="000000"/>
                <w:sz w:val="18"/>
              </w:rPr>
              <w:t>Fast-track - Phase 3 - Hydrotherapy Pool in the South of Canberra - Early Planning</w:t>
            </w:r>
          </w:p>
        </w:tc>
        <w:tc>
          <w:tcPr>
            <w:tcW w:w="975" w:type="dxa"/>
            <w:tcBorders>
              <w:top w:val="nil"/>
              <w:left w:val="nil"/>
              <w:bottom w:val="nil"/>
              <w:right w:val="nil"/>
              <w:tl2br w:val="nil"/>
              <w:tr2bl w:val="nil"/>
            </w:tcBorders>
            <w:shd w:val="clear" w:color="auto" w:fill="auto"/>
            <w:noWrap/>
            <w:tcMar>
              <w:left w:w="101" w:type="dxa"/>
              <w:right w:w="161" w:type="dxa"/>
            </w:tcMar>
          </w:tcPr>
          <w:p w14:paraId="4F4525F7" w14:textId="21A801D3"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250</w:t>
            </w:r>
          </w:p>
        </w:tc>
        <w:tc>
          <w:tcPr>
            <w:tcW w:w="975" w:type="dxa"/>
            <w:tcBorders>
              <w:top w:val="nil"/>
              <w:left w:val="nil"/>
              <w:bottom w:val="nil"/>
              <w:right w:val="nil"/>
              <w:tl2br w:val="nil"/>
              <w:tr2bl w:val="nil"/>
            </w:tcBorders>
            <w:shd w:val="clear" w:color="auto" w:fill="auto"/>
            <w:noWrap/>
            <w:tcMar>
              <w:left w:w="101" w:type="dxa"/>
              <w:right w:w="161" w:type="dxa"/>
            </w:tcMar>
          </w:tcPr>
          <w:p w14:paraId="2ACE5829" w14:textId="31A26FBA"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4918F828" w14:textId="36928F95"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5DF4F983" w14:textId="69980671"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1A14EE69" w14:textId="61DB6596" w:rsidR="00744072" w:rsidRPr="00A46438" w:rsidRDefault="00744072" w:rsidP="00744072">
            <w:pPr>
              <w:pStyle w:val="Normal6"/>
              <w:jc w:val="right"/>
              <w:rPr>
                <w:rFonts w:ascii="Calibri" w:eastAsia="Calibri" w:hAnsi="Calibri" w:cs="Calibri"/>
                <w:color w:val="000000"/>
                <w:sz w:val="18"/>
              </w:rPr>
            </w:pPr>
            <w:r w:rsidRPr="00A46438">
              <w:rPr>
                <w:rFonts w:ascii="Calibri" w:eastAsia="Calibri" w:hAnsi="Calibri" w:cs="Calibri"/>
                <w:color w:val="000000"/>
                <w:sz w:val="18"/>
              </w:rPr>
              <w:t>250</w:t>
            </w:r>
          </w:p>
        </w:tc>
        <w:tc>
          <w:tcPr>
            <w:tcW w:w="1125" w:type="dxa"/>
            <w:tcBorders>
              <w:top w:val="nil"/>
              <w:left w:val="nil"/>
              <w:bottom w:val="nil"/>
              <w:right w:val="nil"/>
              <w:tl2br w:val="nil"/>
              <w:tr2bl w:val="nil"/>
            </w:tcBorders>
            <w:shd w:val="clear" w:color="auto" w:fill="auto"/>
            <w:noWrap/>
            <w:tcMar>
              <w:left w:w="101" w:type="dxa"/>
              <w:right w:w="101" w:type="dxa"/>
            </w:tcMar>
          </w:tcPr>
          <w:p w14:paraId="300AE120" w14:textId="38D50688" w:rsidR="00744072" w:rsidRPr="001F6B18" w:rsidRDefault="00744072" w:rsidP="00744072">
            <w:pPr>
              <w:pStyle w:val="Normal6"/>
              <w:ind w:right="23"/>
              <w:jc w:val="right"/>
              <w:rPr>
                <w:rFonts w:ascii="Calibri" w:eastAsia="Calibri" w:hAnsi="Calibri" w:cs="Calibri"/>
                <w:color w:val="000000"/>
                <w:sz w:val="18"/>
              </w:rPr>
            </w:pPr>
            <w:r>
              <w:rPr>
                <w:rFonts w:ascii="Calibri" w:eastAsia="Calibri" w:hAnsi="Calibri" w:cs="Calibri"/>
                <w:color w:val="000000"/>
                <w:sz w:val="18"/>
              </w:rPr>
              <w:t>Dec-21</w:t>
            </w:r>
          </w:p>
        </w:tc>
      </w:tr>
      <w:tr w:rsidR="00744072" w:rsidRPr="001F6B18" w14:paraId="4B104E26"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tcPr>
          <w:p w14:paraId="4197291D" w14:textId="05A57D5A" w:rsidR="00744072" w:rsidRDefault="00744072" w:rsidP="00744072">
            <w:pPr>
              <w:pStyle w:val="Normal6"/>
              <w:rPr>
                <w:rFonts w:ascii="Calibri" w:eastAsia="Calibri" w:hAnsi="Calibri" w:cs="Calibri"/>
                <w:color w:val="000000"/>
                <w:sz w:val="18"/>
              </w:rPr>
            </w:pPr>
            <w:r w:rsidRPr="001F2C93">
              <w:rPr>
                <w:rFonts w:ascii="Calibri" w:eastAsia="Calibri" w:hAnsi="Calibri" w:cs="Calibri"/>
                <w:color w:val="000000"/>
                <w:sz w:val="18"/>
              </w:rPr>
              <w:t>Fast-track - Phase 3 - Ngunnawal Bush Healing Farm - Upgrade to Water Tank Monitoring System</w:t>
            </w:r>
          </w:p>
        </w:tc>
        <w:tc>
          <w:tcPr>
            <w:tcW w:w="975" w:type="dxa"/>
            <w:tcBorders>
              <w:top w:val="nil"/>
              <w:left w:val="nil"/>
              <w:bottom w:val="nil"/>
              <w:right w:val="nil"/>
              <w:tl2br w:val="nil"/>
              <w:tr2bl w:val="nil"/>
            </w:tcBorders>
            <w:shd w:val="clear" w:color="auto" w:fill="auto"/>
            <w:noWrap/>
            <w:tcMar>
              <w:left w:w="101" w:type="dxa"/>
              <w:right w:w="161" w:type="dxa"/>
            </w:tcMar>
          </w:tcPr>
          <w:p w14:paraId="5F11162C" w14:textId="5F685D7B"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50</w:t>
            </w:r>
          </w:p>
        </w:tc>
        <w:tc>
          <w:tcPr>
            <w:tcW w:w="975" w:type="dxa"/>
            <w:tcBorders>
              <w:top w:val="nil"/>
              <w:left w:val="nil"/>
              <w:bottom w:val="nil"/>
              <w:right w:val="nil"/>
              <w:tl2br w:val="nil"/>
              <w:tr2bl w:val="nil"/>
            </w:tcBorders>
            <w:shd w:val="clear" w:color="auto" w:fill="auto"/>
            <w:noWrap/>
            <w:tcMar>
              <w:left w:w="101" w:type="dxa"/>
              <w:right w:w="161" w:type="dxa"/>
            </w:tcMar>
          </w:tcPr>
          <w:p w14:paraId="2D8C919E" w14:textId="01FF3D89"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04BB2901" w14:textId="68ED5B79"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1B20AD3C" w14:textId="1613F96D"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4FA28E2B" w14:textId="25A67F47" w:rsidR="00744072" w:rsidRPr="00A46438" w:rsidRDefault="00744072" w:rsidP="00744072">
            <w:pPr>
              <w:pStyle w:val="Normal6"/>
              <w:jc w:val="right"/>
              <w:rPr>
                <w:rFonts w:ascii="Calibri" w:eastAsia="Calibri" w:hAnsi="Calibri" w:cs="Calibri"/>
                <w:color w:val="000000"/>
                <w:sz w:val="18"/>
              </w:rPr>
            </w:pPr>
            <w:r w:rsidRPr="00A46438">
              <w:rPr>
                <w:rFonts w:ascii="Calibri" w:eastAsia="Calibri" w:hAnsi="Calibri" w:cs="Calibri"/>
                <w:color w:val="000000"/>
                <w:sz w:val="18"/>
              </w:rPr>
              <w:t>50</w:t>
            </w:r>
          </w:p>
        </w:tc>
        <w:tc>
          <w:tcPr>
            <w:tcW w:w="1125" w:type="dxa"/>
            <w:tcBorders>
              <w:top w:val="nil"/>
              <w:left w:val="nil"/>
              <w:bottom w:val="nil"/>
              <w:right w:val="nil"/>
              <w:tl2br w:val="nil"/>
              <w:tr2bl w:val="nil"/>
            </w:tcBorders>
            <w:shd w:val="clear" w:color="auto" w:fill="auto"/>
            <w:noWrap/>
            <w:tcMar>
              <w:left w:w="101" w:type="dxa"/>
              <w:right w:w="101" w:type="dxa"/>
            </w:tcMar>
          </w:tcPr>
          <w:p w14:paraId="2A34EA61" w14:textId="7F6D7FF6" w:rsidR="00744072" w:rsidRPr="001F6B18" w:rsidRDefault="00744072" w:rsidP="00744072">
            <w:pPr>
              <w:pStyle w:val="Normal6"/>
              <w:ind w:right="23"/>
              <w:jc w:val="right"/>
              <w:rPr>
                <w:rFonts w:ascii="Calibri" w:eastAsia="Calibri" w:hAnsi="Calibri" w:cs="Calibri"/>
                <w:color w:val="000000"/>
                <w:sz w:val="18"/>
              </w:rPr>
            </w:pPr>
            <w:r>
              <w:rPr>
                <w:rFonts w:ascii="Calibri" w:eastAsia="Calibri" w:hAnsi="Calibri" w:cs="Calibri"/>
                <w:color w:val="000000"/>
                <w:sz w:val="18"/>
              </w:rPr>
              <w:t>Dec-21</w:t>
            </w:r>
          </w:p>
        </w:tc>
      </w:tr>
      <w:tr w:rsidR="00744072" w:rsidRPr="001F6B18" w14:paraId="2F1C09B6"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tcPr>
          <w:p w14:paraId="756A3313" w14:textId="38C69294" w:rsidR="00744072" w:rsidRDefault="00744072" w:rsidP="00744072">
            <w:pPr>
              <w:pStyle w:val="Normal6"/>
              <w:rPr>
                <w:rFonts w:ascii="Calibri" w:eastAsia="Calibri" w:hAnsi="Calibri" w:cs="Calibri"/>
                <w:color w:val="000000"/>
                <w:sz w:val="18"/>
              </w:rPr>
            </w:pPr>
            <w:r>
              <w:rPr>
                <w:rFonts w:ascii="Calibri" w:eastAsia="Calibri" w:hAnsi="Calibri" w:cs="Calibri"/>
                <w:color w:val="000000"/>
                <w:sz w:val="18"/>
              </w:rPr>
              <w:t>Fast-track – Phase 3 – QEII upgrades</w:t>
            </w:r>
          </w:p>
        </w:tc>
        <w:tc>
          <w:tcPr>
            <w:tcW w:w="975" w:type="dxa"/>
            <w:tcBorders>
              <w:top w:val="nil"/>
              <w:left w:val="nil"/>
              <w:bottom w:val="nil"/>
              <w:right w:val="nil"/>
              <w:tl2br w:val="nil"/>
              <w:tr2bl w:val="nil"/>
            </w:tcBorders>
            <w:shd w:val="clear" w:color="auto" w:fill="auto"/>
            <w:noWrap/>
            <w:tcMar>
              <w:left w:w="101" w:type="dxa"/>
              <w:right w:w="161" w:type="dxa"/>
            </w:tcMar>
          </w:tcPr>
          <w:p w14:paraId="0636565E" w14:textId="26D2F0E9"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65</w:t>
            </w:r>
          </w:p>
        </w:tc>
        <w:tc>
          <w:tcPr>
            <w:tcW w:w="975" w:type="dxa"/>
            <w:tcBorders>
              <w:top w:val="nil"/>
              <w:left w:val="nil"/>
              <w:bottom w:val="nil"/>
              <w:right w:val="nil"/>
              <w:tl2br w:val="nil"/>
              <w:tr2bl w:val="nil"/>
            </w:tcBorders>
            <w:shd w:val="clear" w:color="auto" w:fill="auto"/>
            <w:noWrap/>
            <w:tcMar>
              <w:left w:w="101" w:type="dxa"/>
              <w:right w:w="161" w:type="dxa"/>
            </w:tcMar>
          </w:tcPr>
          <w:p w14:paraId="6D9C0E5E" w14:textId="204A2702"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16E00B29" w14:textId="0F0AB8FB"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2C18E3A9" w14:textId="74A3F7AB"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51E293F9" w14:textId="605B502D" w:rsidR="00744072" w:rsidRPr="00A46438" w:rsidRDefault="00744072" w:rsidP="00744072">
            <w:pPr>
              <w:pStyle w:val="Normal6"/>
              <w:jc w:val="right"/>
              <w:rPr>
                <w:rFonts w:ascii="Calibri" w:eastAsia="Calibri" w:hAnsi="Calibri" w:cs="Calibri"/>
                <w:color w:val="000000"/>
                <w:sz w:val="18"/>
              </w:rPr>
            </w:pPr>
            <w:r w:rsidRPr="00A46438">
              <w:rPr>
                <w:rFonts w:ascii="Calibri" w:eastAsia="Calibri" w:hAnsi="Calibri" w:cs="Calibri"/>
                <w:color w:val="000000"/>
                <w:sz w:val="18"/>
              </w:rPr>
              <w:t>65</w:t>
            </w:r>
          </w:p>
        </w:tc>
        <w:tc>
          <w:tcPr>
            <w:tcW w:w="1125" w:type="dxa"/>
            <w:tcBorders>
              <w:top w:val="nil"/>
              <w:left w:val="nil"/>
              <w:bottom w:val="nil"/>
              <w:right w:val="nil"/>
              <w:tl2br w:val="nil"/>
              <w:tr2bl w:val="nil"/>
            </w:tcBorders>
            <w:shd w:val="clear" w:color="auto" w:fill="auto"/>
            <w:noWrap/>
            <w:tcMar>
              <w:left w:w="101" w:type="dxa"/>
              <w:right w:w="101" w:type="dxa"/>
            </w:tcMar>
          </w:tcPr>
          <w:p w14:paraId="7C539F87" w14:textId="2A1FC376" w:rsidR="00744072" w:rsidRPr="001F6B18" w:rsidRDefault="00744072" w:rsidP="00744072">
            <w:pPr>
              <w:pStyle w:val="Normal6"/>
              <w:ind w:right="23"/>
              <w:jc w:val="right"/>
              <w:rPr>
                <w:rFonts w:ascii="Calibri" w:eastAsia="Calibri" w:hAnsi="Calibri" w:cs="Calibri"/>
                <w:color w:val="000000"/>
                <w:sz w:val="18"/>
              </w:rPr>
            </w:pPr>
            <w:r>
              <w:rPr>
                <w:rFonts w:ascii="Calibri" w:eastAsia="Calibri" w:hAnsi="Calibri" w:cs="Calibri"/>
                <w:color w:val="000000"/>
                <w:sz w:val="18"/>
              </w:rPr>
              <w:t>Dec-21</w:t>
            </w:r>
          </w:p>
        </w:tc>
      </w:tr>
      <w:tr w:rsidR="00677C53" w:rsidRPr="001F6B18" w14:paraId="32972516"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tcPr>
          <w:p w14:paraId="1FABDD21" w14:textId="77777777" w:rsidR="00677C53" w:rsidRDefault="00677C53" w:rsidP="00744072">
            <w:pPr>
              <w:pStyle w:val="Normal6"/>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1F4EFF8D" w14:textId="77777777" w:rsidR="00677C53"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34AE7F6B" w14:textId="77777777" w:rsidR="00677C53"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255AF261" w14:textId="77777777" w:rsidR="00677C53"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2D114A28" w14:textId="77777777" w:rsidR="00677C53" w:rsidRDefault="00677C53"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tcPr>
          <w:p w14:paraId="0B56AEFC" w14:textId="77777777" w:rsidR="00677C53" w:rsidRPr="00A46438" w:rsidRDefault="00677C53"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tcPr>
          <w:p w14:paraId="1783B3D8" w14:textId="77777777" w:rsidR="00677C53" w:rsidRDefault="00677C53" w:rsidP="00744072">
            <w:pPr>
              <w:pStyle w:val="Normal6"/>
              <w:ind w:right="23"/>
              <w:jc w:val="right"/>
              <w:rPr>
                <w:rFonts w:ascii="Calibri" w:eastAsia="Calibri" w:hAnsi="Calibri" w:cs="Calibri"/>
                <w:color w:val="000000"/>
                <w:sz w:val="18"/>
              </w:rPr>
            </w:pPr>
          </w:p>
        </w:tc>
      </w:tr>
      <w:tr w:rsidR="00744072" w:rsidRPr="001F6B18" w14:paraId="0B3AC5FE"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4E43E6A0" w14:textId="7FC99AC2" w:rsidR="00744072" w:rsidRDefault="00744072" w:rsidP="00744072">
            <w:pPr>
              <w:pStyle w:val="Normal6"/>
              <w:rPr>
                <w:rFonts w:ascii="Calibri" w:eastAsia="Calibri" w:hAnsi="Calibri" w:cs="Calibri"/>
                <w:color w:val="000000"/>
                <w:sz w:val="18"/>
              </w:rPr>
            </w:pPr>
            <w:r>
              <w:rPr>
                <w:rFonts w:ascii="Calibri" w:eastAsia="Calibri" w:hAnsi="Calibri" w:cs="Calibri"/>
                <w:b/>
                <w:color w:val="000000"/>
                <w:sz w:val="18"/>
              </w:rPr>
              <w:t>Total Capital Upgrade Programs</w:t>
            </w:r>
            <w:r w:rsidRPr="00CE207A">
              <w:rPr>
                <w:rFonts w:ascii="Calibri" w:hAnsi="Calibri" w:cs="Calibri"/>
                <w:b/>
                <w:bCs/>
                <w:color w:val="000000"/>
                <w:sz w:val="18"/>
                <w:szCs w:val="18"/>
              </w:rPr>
              <w:t> </w:t>
            </w:r>
          </w:p>
        </w:tc>
        <w:tc>
          <w:tcPr>
            <w:tcW w:w="975" w:type="dxa"/>
            <w:tcBorders>
              <w:top w:val="nil"/>
              <w:left w:val="nil"/>
              <w:bottom w:val="nil"/>
              <w:right w:val="nil"/>
              <w:tl2br w:val="nil"/>
              <w:tr2bl w:val="nil"/>
            </w:tcBorders>
            <w:shd w:val="clear" w:color="auto" w:fill="auto"/>
            <w:noWrap/>
            <w:tcMar>
              <w:left w:w="101" w:type="dxa"/>
              <w:right w:w="161" w:type="dxa"/>
            </w:tcMar>
          </w:tcPr>
          <w:p w14:paraId="1DF36410" w14:textId="68E1C5CF"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b/>
                <w:color w:val="000000"/>
                <w:sz w:val="18"/>
              </w:rPr>
              <w:t>1,131</w:t>
            </w:r>
          </w:p>
        </w:tc>
        <w:tc>
          <w:tcPr>
            <w:tcW w:w="975" w:type="dxa"/>
            <w:tcBorders>
              <w:top w:val="nil"/>
              <w:left w:val="nil"/>
              <w:bottom w:val="nil"/>
              <w:right w:val="nil"/>
              <w:tl2br w:val="nil"/>
              <w:tr2bl w:val="nil"/>
            </w:tcBorders>
            <w:shd w:val="clear" w:color="auto" w:fill="auto"/>
            <w:noWrap/>
            <w:tcMar>
              <w:left w:w="101" w:type="dxa"/>
              <w:right w:w="161" w:type="dxa"/>
            </w:tcMar>
          </w:tcPr>
          <w:p w14:paraId="1D528EC9" w14:textId="386E7283"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b/>
                <w:color w:val="000000"/>
                <w:sz w:val="18"/>
              </w:rPr>
              <w:t>478</w:t>
            </w:r>
          </w:p>
        </w:tc>
        <w:tc>
          <w:tcPr>
            <w:tcW w:w="975" w:type="dxa"/>
            <w:tcBorders>
              <w:top w:val="nil"/>
              <w:left w:val="nil"/>
              <w:bottom w:val="nil"/>
              <w:right w:val="nil"/>
              <w:tl2br w:val="nil"/>
              <w:tr2bl w:val="nil"/>
            </w:tcBorders>
            <w:shd w:val="clear" w:color="auto" w:fill="auto"/>
            <w:noWrap/>
            <w:tcMar>
              <w:left w:w="101" w:type="dxa"/>
              <w:right w:w="161" w:type="dxa"/>
            </w:tcMar>
          </w:tcPr>
          <w:p w14:paraId="033C67C0" w14:textId="002BDD0B"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b/>
                <w:color w:val="000000"/>
                <w:sz w:val="18"/>
              </w:rPr>
              <w:t>490</w:t>
            </w:r>
          </w:p>
        </w:tc>
        <w:tc>
          <w:tcPr>
            <w:tcW w:w="975" w:type="dxa"/>
            <w:tcBorders>
              <w:top w:val="nil"/>
              <w:left w:val="nil"/>
              <w:bottom w:val="nil"/>
              <w:right w:val="nil"/>
              <w:tl2br w:val="nil"/>
              <w:tr2bl w:val="nil"/>
            </w:tcBorders>
            <w:shd w:val="clear" w:color="auto" w:fill="auto"/>
            <w:noWrap/>
            <w:tcMar>
              <w:left w:w="101" w:type="dxa"/>
              <w:right w:w="161" w:type="dxa"/>
            </w:tcMar>
          </w:tcPr>
          <w:p w14:paraId="3F64E31A" w14:textId="2DCB8D1E"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b/>
                <w:color w:val="000000"/>
                <w:sz w:val="18"/>
              </w:rPr>
              <w:t>503</w:t>
            </w:r>
          </w:p>
        </w:tc>
        <w:tc>
          <w:tcPr>
            <w:tcW w:w="1125" w:type="dxa"/>
            <w:tcBorders>
              <w:top w:val="nil"/>
              <w:left w:val="nil"/>
              <w:bottom w:val="nil"/>
              <w:right w:val="nil"/>
              <w:tl2br w:val="nil"/>
              <w:tr2bl w:val="nil"/>
            </w:tcBorders>
            <w:shd w:val="clear" w:color="auto" w:fill="auto"/>
            <w:noWrap/>
            <w:tcMar>
              <w:left w:w="101" w:type="dxa"/>
              <w:right w:w="161" w:type="dxa"/>
            </w:tcMar>
          </w:tcPr>
          <w:p w14:paraId="1C6938B0" w14:textId="74F1927C" w:rsidR="00744072" w:rsidRPr="00A46438" w:rsidRDefault="00744072" w:rsidP="00744072">
            <w:pPr>
              <w:pStyle w:val="Normal6"/>
              <w:jc w:val="right"/>
              <w:rPr>
                <w:rFonts w:ascii="Calibri" w:eastAsia="Calibri" w:hAnsi="Calibri" w:cs="Calibri"/>
                <w:color w:val="000000"/>
                <w:sz w:val="18"/>
              </w:rPr>
            </w:pPr>
            <w:r>
              <w:rPr>
                <w:rFonts w:ascii="Calibri" w:eastAsia="Calibri" w:hAnsi="Calibri" w:cs="Calibri"/>
                <w:b/>
                <w:color w:val="000000"/>
                <w:sz w:val="18"/>
              </w:rPr>
              <w:t>2,602</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0BB0730F" w14:textId="77777777" w:rsidR="00744072" w:rsidRPr="001F6B18" w:rsidRDefault="00744072" w:rsidP="00744072">
            <w:pPr>
              <w:pStyle w:val="Normal6"/>
              <w:ind w:right="23"/>
              <w:jc w:val="right"/>
              <w:rPr>
                <w:rFonts w:ascii="Calibri" w:eastAsia="Calibri" w:hAnsi="Calibri" w:cs="Calibri"/>
                <w:color w:val="000000"/>
                <w:sz w:val="18"/>
              </w:rPr>
            </w:pPr>
          </w:p>
        </w:tc>
      </w:tr>
      <w:tr w:rsidR="00744072" w:rsidRPr="001F6B18" w14:paraId="44E63E53" w14:textId="77777777" w:rsidTr="005F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0245CA67" w14:textId="77777777" w:rsidR="00744072" w:rsidRDefault="00744072" w:rsidP="00744072">
            <w:pPr>
              <w:pStyle w:val="Normal6"/>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4A727801"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2472AD1D"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5E67E77B"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5328517E" w14:textId="77777777" w:rsidR="00744072" w:rsidRPr="001F6B18" w:rsidRDefault="00744072"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4CCB399F" w14:textId="77777777" w:rsidR="00744072" w:rsidRPr="00A46438" w:rsidRDefault="00744072"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2B6E635A" w14:textId="77777777" w:rsidR="00744072" w:rsidRPr="001F6B18" w:rsidRDefault="00744072" w:rsidP="00744072">
            <w:pPr>
              <w:pStyle w:val="Normal6"/>
              <w:ind w:right="23"/>
              <w:jc w:val="right"/>
              <w:rPr>
                <w:rFonts w:ascii="Calibri" w:eastAsia="Calibri" w:hAnsi="Calibri" w:cs="Calibri"/>
                <w:color w:val="000000"/>
                <w:sz w:val="18"/>
              </w:rPr>
            </w:pPr>
          </w:p>
        </w:tc>
      </w:tr>
      <w:tr w:rsidR="00744072" w:rsidRPr="001F6B18" w14:paraId="7AC2BD4A"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tcPr>
          <w:p w14:paraId="79CA66B8" w14:textId="4D35D968" w:rsidR="00744072" w:rsidRDefault="00744072" w:rsidP="00744072">
            <w:pPr>
              <w:pStyle w:val="Normal6"/>
              <w:rPr>
                <w:rFonts w:ascii="Calibri" w:eastAsia="Calibri" w:hAnsi="Calibri" w:cs="Calibri"/>
                <w:color w:val="000000"/>
                <w:sz w:val="18"/>
              </w:rPr>
            </w:pPr>
            <w:r>
              <w:rPr>
                <w:rFonts w:ascii="Calibri" w:eastAsia="Calibri" w:hAnsi="Calibri" w:cs="Calibri"/>
                <w:b/>
                <w:color w:val="000000"/>
                <w:sz w:val="18"/>
              </w:rPr>
              <w:t>New Work</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4D39D26"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2540A1D5"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B8D38DA"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3CAE02F" w14:textId="77777777" w:rsidR="00744072" w:rsidRPr="001F6B18" w:rsidRDefault="00744072"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09072E83" w14:textId="77777777" w:rsidR="00744072" w:rsidRPr="00A46438" w:rsidRDefault="00744072"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73901D58" w14:textId="77777777" w:rsidR="00744072" w:rsidRPr="001F6B18" w:rsidRDefault="00744072" w:rsidP="00744072">
            <w:pPr>
              <w:pStyle w:val="Normal6"/>
              <w:ind w:right="23"/>
              <w:jc w:val="right"/>
              <w:rPr>
                <w:rFonts w:ascii="Calibri" w:eastAsia="Calibri" w:hAnsi="Calibri" w:cs="Calibri"/>
                <w:color w:val="000000"/>
                <w:sz w:val="18"/>
              </w:rPr>
            </w:pPr>
          </w:p>
        </w:tc>
      </w:tr>
      <w:tr w:rsidR="00677C53" w:rsidRPr="001F6B18" w14:paraId="41A9C3C1"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tcPr>
          <w:p w14:paraId="696F52C6" w14:textId="77777777" w:rsidR="00677C53" w:rsidRDefault="00677C53" w:rsidP="00744072">
            <w:pPr>
              <w:pStyle w:val="Normal6"/>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EC75802" w14:textId="77777777" w:rsidR="00677C53" w:rsidRPr="001F6B18"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0883C02" w14:textId="77777777" w:rsidR="00677C53" w:rsidRPr="001F6B18"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5731F86" w14:textId="77777777" w:rsidR="00677C53" w:rsidRPr="001F6B18"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1C8D28D4" w14:textId="77777777" w:rsidR="00677C53" w:rsidRPr="001F6B18" w:rsidRDefault="00677C53"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6E641BFD" w14:textId="77777777" w:rsidR="00677C53" w:rsidRPr="00A46438" w:rsidRDefault="00677C53"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1192A3FC" w14:textId="77777777" w:rsidR="00677C53" w:rsidRPr="001F6B18" w:rsidRDefault="00677C53" w:rsidP="00744072">
            <w:pPr>
              <w:pStyle w:val="Normal6"/>
              <w:ind w:right="23"/>
              <w:jc w:val="right"/>
              <w:rPr>
                <w:rFonts w:ascii="Calibri" w:eastAsia="Calibri" w:hAnsi="Calibri" w:cs="Calibri"/>
                <w:color w:val="000000"/>
                <w:sz w:val="18"/>
              </w:rPr>
            </w:pPr>
          </w:p>
        </w:tc>
      </w:tr>
      <w:tr w:rsidR="00744072" w:rsidRPr="001F6B18" w14:paraId="0D8627D6"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3FC7481B" w14:textId="456D89BE" w:rsidR="00744072" w:rsidRDefault="00744072" w:rsidP="00744072">
            <w:pPr>
              <w:pStyle w:val="Normal6"/>
              <w:rPr>
                <w:rFonts w:ascii="Calibri" w:eastAsia="Calibri" w:hAnsi="Calibri" w:cs="Calibri"/>
                <w:color w:val="000000"/>
                <w:sz w:val="18"/>
              </w:rPr>
            </w:pPr>
            <w:r w:rsidRPr="005F1919">
              <w:rPr>
                <w:rFonts w:ascii="Calibri" w:hAnsi="Calibri" w:cs="Calibri"/>
                <w:color w:val="000000"/>
                <w:sz w:val="18"/>
                <w:szCs w:val="18"/>
              </w:rPr>
              <w:t xml:space="preserve">A </w:t>
            </w:r>
            <w:r w:rsidR="00680036">
              <w:rPr>
                <w:rFonts w:ascii="Calibri" w:hAnsi="Calibri" w:cs="Calibri"/>
                <w:color w:val="000000"/>
                <w:sz w:val="18"/>
                <w:szCs w:val="18"/>
              </w:rPr>
              <w:t>n</w:t>
            </w:r>
            <w:r w:rsidRPr="005F1919">
              <w:rPr>
                <w:rFonts w:ascii="Calibri" w:hAnsi="Calibri" w:cs="Calibri"/>
                <w:color w:val="000000"/>
                <w:sz w:val="18"/>
                <w:szCs w:val="18"/>
              </w:rPr>
              <w:t xml:space="preserve">ew </w:t>
            </w:r>
            <w:r w:rsidR="00680036">
              <w:rPr>
                <w:rFonts w:ascii="Calibri" w:hAnsi="Calibri" w:cs="Calibri"/>
                <w:color w:val="000000"/>
                <w:sz w:val="18"/>
                <w:szCs w:val="18"/>
              </w:rPr>
              <w:t>c</w:t>
            </w:r>
            <w:r w:rsidRPr="005F1919">
              <w:rPr>
                <w:rFonts w:ascii="Calibri" w:hAnsi="Calibri" w:cs="Calibri"/>
                <w:color w:val="000000"/>
                <w:sz w:val="18"/>
                <w:szCs w:val="18"/>
              </w:rPr>
              <w:t>arpark at Canberra Hospital</w:t>
            </w:r>
          </w:p>
        </w:tc>
        <w:tc>
          <w:tcPr>
            <w:tcW w:w="975" w:type="dxa"/>
            <w:tcBorders>
              <w:top w:val="nil"/>
              <w:left w:val="nil"/>
              <w:bottom w:val="nil"/>
              <w:right w:val="nil"/>
              <w:tl2br w:val="nil"/>
              <w:tr2bl w:val="nil"/>
            </w:tcBorders>
            <w:shd w:val="clear" w:color="auto" w:fill="auto"/>
            <w:noWrap/>
            <w:tcMar>
              <w:left w:w="101" w:type="dxa"/>
              <w:right w:w="161" w:type="dxa"/>
            </w:tcMar>
          </w:tcPr>
          <w:p w14:paraId="5B260328" w14:textId="665F80E1" w:rsidR="00744072" w:rsidRPr="001F6B18" w:rsidRDefault="00744072" w:rsidP="00744072">
            <w:pPr>
              <w:pStyle w:val="Normal6"/>
              <w:jc w:val="right"/>
              <w:rPr>
                <w:rFonts w:ascii="Calibri" w:eastAsia="Calibri" w:hAnsi="Calibri" w:cs="Calibri"/>
                <w:color w:val="000000"/>
                <w:sz w:val="18"/>
              </w:rPr>
            </w:pPr>
            <w:r w:rsidRPr="005F1919">
              <w:rPr>
                <w:rFonts w:ascii="Calibri" w:eastAsia="Calibri" w:hAnsi="Calibri" w:cs="Calibri"/>
                <w:color w:val="000000"/>
                <w:sz w:val="18"/>
              </w:rPr>
              <w:t>500</w:t>
            </w:r>
          </w:p>
        </w:tc>
        <w:tc>
          <w:tcPr>
            <w:tcW w:w="975" w:type="dxa"/>
            <w:tcBorders>
              <w:top w:val="nil"/>
              <w:left w:val="nil"/>
              <w:bottom w:val="nil"/>
              <w:right w:val="nil"/>
              <w:tl2br w:val="nil"/>
              <w:tr2bl w:val="nil"/>
            </w:tcBorders>
            <w:shd w:val="clear" w:color="auto" w:fill="auto"/>
            <w:noWrap/>
            <w:tcMar>
              <w:left w:w="101" w:type="dxa"/>
              <w:right w:w="161" w:type="dxa"/>
            </w:tcMar>
          </w:tcPr>
          <w:p w14:paraId="5C53FD15" w14:textId="78E0365D" w:rsidR="00744072" w:rsidRPr="001F6B18" w:rsidRDefault="00744072" w:rsidP="00744072">
            <w:pPr>
              <w:pStyle w:val="Normal6"/>
              <w:jc w:val="right"/>
              <w:rPr>
                <w:rFonts w:ascii="Calibri" w:eastAsia="Calibri" w:hAnsi="Calibri" w:cs="Calibri"/>
                <w:color w:val="000000"/>
                <w:sz w:val="18"/>
              </w:rPr>
            </w:pPr>
            <w:r w:rsidRPr="005F1919">
              <w:rPr>
                <w:rFonts w:ascii="Calibri" w:eastAsia="Calibri" w:hAnsi="Calibri" w:cs="Calibri"/>
                <w:color w:val="000000"/>
                <w:sz w:val="18"/>
              </w:rPr>
              <w:t>2,500</w:t>
            </w:r>
          </w:p>
        </w:tc>
        <w:tc>
          <w:tcPr>
            <w:tcW w:w="975" w:type="dxa"/>
            <w:tcBorders>
              <w:top w:val="nil"/>
              <w:left w:val="nil"/>
              <w:bottom w:val="nil"/>
              <w:right w:val="nil"/>
              <w:tl2br w:val="nil"/>
              <w:tr2bl w:val="nil"/>
            </w:tcBorders>
            <w:shd w:val="clear" w:color="auto" w:fill="auto"/>
            <w:noWrap/>
            <w:tcMar>
              <w:left w:w="101" w:type="dxa"/>
              <w:right w:w="161" w:type="dxa"/>
            </w:tcMar>
          </w:tcPr>
          <w:p w14:paraId="1D20E985" w14:textId="0351C885"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12AB5375" w14:textId="0250DC59"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51AD7590" w14:textId="00A5E6ED" w:rsidR="00744072" w:rsidRPr="00A46438" w:rsidRDefault="00744072" w:rsidP="00744072">
            <w:pPr>
              <w:pStyle w:val="Normal6"/>
              <w:jc w:val="right"/>
              <w:rPr>
                <w:rFonts w:ascii="Calibri" w:eastAsia="Calibri" w:hAnsi="Calibri" w:cs="Calibri"/>
                <w:color w:val="000000"/>
                <w:sz w:val="18"/>
              </w:rPr>
            </w:pPr>
            <w:r w:rsidRPr="005F1919">
              <w:rPr>
                <w:rFonts w:ascii="Calibri" w:eastAsia="Calibri" w:hAnsi="Calibri" w:cs="Calibri"/>
                <w:color w:val="000000"/>
                <w:sz w:val="18"/>
              </w:rPr>
              <w:t>3,000</w:t>
            </w:r>
          </w:p>
        </w:tc>
        <w:tc>
          <w:tcPr>
            <w:tcW w:w="1125" w:type="dxa"/>
            <w:tcBorders>
              <w:top w:val="nil"/>
              <w:left w:val="nil"/>
              <w:bottom w:val="nil"/>
              <w:right w:val="nil"/>
              <w:tl2br w:val="nil"/>
              <w:tr2bl w:val="nil"/>
            </w:tcBorders>
            <w:shd w:val="clear" w:color="auto" w:fill="auto"/>
            <w:noWrap/>
            <w:tcMar>
              <w:left w:w="101" w:type="dxa"/>
              <w:right w:w="101" w:type="dxa"/>
            </w:tcMar>
          </w:tcPr>
          <w:p w14:paraId="0683E8C9" w14:textId="16AD6989" w:rsidR="00744072" w:rsidRPr="001F6B18" w:rsidRDefault="00744072" w:rsidP="00744072">
            <w:pPr>
              <w:pStyle w:val="Normal6"/>
              <w:ind w:right="23"/>
              <w:jc w:val="right"/>
              <w:rPr>
                <w:rFonts w:ascii="Calibri" w:eastAsia="Calibri" w:hAnsi="Calibri" w:cs="Calibri"/>
                <w:color w:val="000000"/>
                <w:sz w:val="18"/>
              </w:rPr>
            </w:pPr>
            <w:r>
              <w:rPr>
                <w:rFonts w:ascii="Calibri" w:eastAsia="Calibri" w:hAnsi="Calibri" w:cs="Calibri"/>
                <w:color w:val="000000"/>
                <w:sz w:val="18"/>
              </w:rPr>
              <w:t>Jun</w:t>
            </w:r>
            <w:r w:rsidRPr="000273A6">
              <w:rPr>
                <w:rFonts w:ascii="Calibri" w:eastAsia="Calibri" w:hAnsi="Calibri" w:cs="Calibri"/>
                <w:color w:val="000000"/>
                <w:sz w:val="18"/>
              </w:rPr>
              <w:t>-2</w:t>
            </w:r>
            <w:r w:rsidR="000273A6" w:rsidRPr="000273A6">
              <w:rPr>
                <w:rFonts w:ascii="Calibri" w:eastAsia="Calibri" w:hAnsi="Calibri" w:cs="Calibri"/>
                <w:color w:val="000000"/>
                <w:sz w:val="18"/>
              </w:rPr>
              <w:t>2</w:t>
            </w:r>
          </w:p>
        </w:tc>
      </w:tr>
      <w:tr w:rsidR="002A2525" w:rsidRPr="001F6B18" w14:paraId="6F4C5D35"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21154DA2" w14:textId="78B438F3" w:rsidR="002A2525" w:rsidRDefault="002A2525" w:rsidP="00D177B8">
            <w:pPr>
              <w:pStyle w:val="Normal7"/>
              <w:rPr>
                <w:rFonts w:ascii="Calibri" w:eastAsia="Calibri" w:hAnsi="Calibri" w:cs="Calibri"/>
                <w:color w:val="000000"/>
                <w:sz w:val="18"/>
              </w:rPr>
            </w:pPr>
            <w:r w:rsidRPr="002A2525">
              <w:rPr>
                <w:rFonts w:ascii="Calibri" w:hAnsi="Calibri" w:cs="Calibri"/>
                <w:color w:val="000000"/>
                <w:sz w:val="18"/>
                <w:szCs w:val="18"/>
              </w:rPr>
              <w:t>Calvary critical infrastructure</w:t>
            </w:r>
            <w:r>
              <w:rPr>
                <w:rFonts w:ascii="Calibri" w:hAnsi="Calibri" w:cs="Calibri"/>
                <w:color w:val="000000"/>
                <w:sz w:val="18"/>
                <w:szCs w:val="18"/>
              </w:rPr>
              <w:t xml:space="preserve"> phase 2</w:t>
            </w:r>
          </w:p>
        </w:tc>
        <w:tc>
          <w:tcPr>
            <w:tcW w:w="975" w:type="dxa"/>
            <w:tcBorders>
              <w:top w:val="nil"/>
              <w:left w:val="nil"/>
              <w:bottom w:val="nil"/>
              <w:right w:val="nil"/>
              <w:tl2br w:val="nil"/>
              <w:tr2bl w:val="nil"/>
            </w:tcBorders>
            <w:shd w:val="clear" w:color="auto" w:fill="auto"/>
            <w:noWrap/>
            <w:tcMar>
              <w:left w:w="101" w:type="dxa"/>
              <w:right w:w="161" w:type="dxa"/>
            </w:tcMar>
          </w:tcPr>
          <w:p w14:paraId="494FFBF2" w14:textId="77777777" w:rsidR="002A2525" w:rsidRPr="001F6B18" w:rsidRDefault="002A2525" w:rsidP="00D177B8">
            <w:pPr>
              <w:pStyle w:val="Normal6"/>
              <w:jc w:val="right"/>
              <w:rPr>
                <w:rFonts w:ascii="Calibri" w:eastAsia="Calibri" w:hAnsi="Calibri" w:cs="Calibri"/>
                <w:color w:val="000000"/>
                <w:sz w:val="18"/>
              </w:rPr>
            </w:pPr>
            <w:r>
              <w:rPr>
                <w:rFonts w:ascii="Calibri" w:eastAsia="Calibri" w:hAnsi="Calibri" w:cs="Calibri"/>
                <w:color w:val="000000"/>
                <w:sz w:val="18"/>
              </w:rPr>
              <w:t>1,270</w:t>
            </w:r>
          </w:p>
        </w:tc>
        <w:tc>
          <w:tcPr>
            <w:tcW w:w="975" w:type="dxa"/>
            <w:tcBorders>
              <w:top w:val="nil"/>
              <w:left w:val="nil"/>
              <w:bottom w:val="nil"/>
              <w:right w:val="nil"/>
              <w:tl2br w:val="nil"/>
              <w:tr2bl w:val="nil"/>
            </w:tcBorders>
            <w:shd w:val="clear" w:color="auto" w:fill="auto"/>
            <w:noWrap/>
            <w:tcMar>
              <w:left w:w="101" w:type="dxa"/>
              <w:right w:w="161" w:type="dxa"/>
            </w:tcMar>
          </w:tcPr>
          <w:p w14:paraId="1C814051" w14:textId="77777777" w:rsidR="002A2525" w:rsidRPr="001F6B18" w:rsidRDefault="002A2525" w:rsidP="00D177B8">
            <w:pPr>
              <w:pStyle w:val="Normal6"/>
              <w:jc w:val="right"/>
              <w:rPr>
                <w:rFonts w:ascii="Calibri" w:eastAsia="Calibri" w:hAnsi="Calibri" w:cs="Calibri"/>
                <w:color w:val="000000"/>
                <w:sz w:val="18"/>
              </w:rPr>
            </w:pPr>
            <w:r>
              <w:rPr>
                <w:rFonts w:ascii="Calibri" w:eastAsia="Calibri" w:hAnsi="Calibri" w:cs="Calibri"/>
                <w:color w:val="000000"/>
                <w:sz w:val="18"/>
              </w:rPr>
              <w:t>1,169</w:t>
            </w:r>
          </w:p>
        </w:tc>
        <w:tc>
          <w:tcPr>
            <w:tcW w:w="975" w:type="dxa"/>
            <w:tcBorders>
              <w:top w:val="nil"/>
              <w:left w:val="nil"/>
              <w:bottom w:val="nil"/>
              <w:right w:val="nil"/>
              <w:tl2br w:val="nil"/>
              <w:tr2bl w:val="nil"/>
            </w:tcBorders>
            <w:shd w:val="clear" w:color="auto" w:fill="auto"/>
            <w:noWrap/>
            <w:tcMar>
              <w:left w:w="101" w:type="dxa"/>
              <w:right w:w="161" w:type="dxa"/>
            </w:tcMar>
          </w:tcPr>
          <w:p w14:paraId="258D2F41" w14:textId="77777777" w:rsidR="002A2525" w:rsidRPr="001F6B18" w:rsidRDefault="002A2525" w:rsidP="00D177B8">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345AA38F" w14:textId="77777777" w:rsidR="002A2525" w:rsidRPr="001F6B18" w:rsidRDefault="002A2525" w:rsidP="00D177B8">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144181B7" w14:textId="77777777" w:rsidR="002A2525" w:rsidRPr="00A46438" w:rsidRDefault="002A2525" w:rsidP="00D177B8">
            <w:pPr>
              <w:pStyle w:val="Normal6"/>
              <w:jc w:val="right"/>
              <w:rPr>
                <w:rFonts w:ascii="Calibri" w:eastAsia="Calibri" w:hAnsi="Calibri" w:cs="Calibri"/>
                <w:color w:val="000000"/>
                <w:sz w:val="18"/>
              </w:rPr>
            </w:pPr>
            <w:r w:rsidRPr="006D4C3C">
              <w:rPr>
                <w:rFonts w:ascii="Calibri" w:eastAsia="Calibri" w:hAnsi="Calibri" w:cs="Calibri"/>
                <w:color w:val="000000"/>
                <w:sz w:val="18"/>
              </w:rPr>
              <w:t>2,439</w:t>
            </w:r>
          </w:p>
        </w:tc>
        <w:tc>
          <w:tcPr>
            <w:tcW w:w="1125" w:type="dxa"/>
            <w:tcBorders>
              <w:top w:val="nil"/>
              <w:left w:val="nil"/>
              <w:bottom w:val="nil"/>
              <w:right w:val="nil"/>
              <w:tl2br w:val="nil"/>
              <w:tr2bl w:val="nil"/>
            </w:tcBorders>
            <w:shd w:val="clear" w:color="auto" w:fill="auto"/>
            <w:noWrap/>
            <w:tcMar>
              <w:left w:w="101" w:type="dxa"/>
              <w:right w:w="101" w:type="dxa"/>
            </w:tcMar>
          </w:tcPr>
          <w:p w14:paraId="3019F803" w14:textId="77777777" w:rsidR="002A2525" w:rsidRPr="001F6B18" w:rsidRDefault="002A2525" w:rsidP="00D177B8">
            <w:pPr>
              <w:pStyle w:val="Normal6"/>
              <w:ind w:right="23"/>
              <w:jc w:val="right"/>
              <w:rPr>
                <w:rFonts w:ascii="Calibri" w:eastAsia="Calibri" w:hAnsi="Calibri" w:cs="Calibri"/>
                <w:color w:val="000000"/>
                <w:sz w:val="18"/>
              </w:rPr>
            </w:pPr>
            <w:r>
              <w:rPr>
                <w:rFonts w:ascii="Calibri" w:eastAsia="Calibri" w:hAnsi="Calibri" w:cs="Calibri"/>
                <w:color w:val="000000"/>
                <w:sz w:val="18"/>
              </w:rPr>
              <w:t>Dec-22</w:t>
            </w:r>
          </w:p>
        </w:tc>
      </w:tr>
      <w:tr w:rsidR="00744072" w:rsidRPr="001F6B18" w14:paraId="1D63C7FD" w14:textId="77777777" w:rsidTr="009B4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5A65B463" w14:textId="275B2119" w:rsidR="00744072" w:rsidRDefault="002A2525" w:rsidP="00744072">
            <w:pPr>
              <w:pStyle w:val="Normal6"/>
              <w:rPr>
                <w:rFonts w:ascii="Calibri" w:eastAsia="Calibri" w:hAnsi="Calibri" w:cs="Calibri"/>
                <w:color w:val="000000"/>
                <w:sz w:val="18"/>
              </w:rPr>
            </w:pPr>
            <w:r w:rsidRPr="002A2525">
              <w:rPr>
                <w:rFonts w:ascii="Calibri" w:hAnsi="Calibri" w:cs="Calibri"/>
                <w:color w:val="000000"/>
                <w:sz w:val="18"/>
                <w:szCs w:val="18"/>
              </w:rPr>
              <w:t>Expanded COVID-19 Vaccination program</w:t>
            </w:r>
          </w:p>
        </w:tc>
        <w:tc>
          <w:tcPr>
            <w:tcW w:w="975" w:type="dxa"/>
            <w:tcBorders>
              <w:top w:val="nil"/>
              <w:left w:val="nil"/>
              <w:bottom w:val="nil"/>
              <w:right w:val="nil"/>
              <w:tl2br w:val="nil"/>
              <w:tr2bl w:val="nil"/>
            </w:tcBorders>
            <w:shd w:val="clear" w:color="auto" w:fill="auto"/>
            <w:noWrap/>
            <w:tcMar>
              <w:left w:w="101" w:type="dxa"/>
              <w:right w:w="161" w:type="dxa"/>
            </w:tcMar>
          </w:tcPr>
          <w:p w14:paraId="0AC61BAD" w14:textId="77777777"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480</w:t>
            </w:r>
          </w:p>
        </w:tc>
        <w:tc>
          <w:tcPr>
            <w:tcW w:w="975" w:type="dxa"/>
            <w:tcBorders>
              <w:top w:val="nil"/>
              <w:left w:val="nil"/>
              <w:bottom w:val="nil"/>
              <w:right w:val="nil"/>
              <w:tl2br w:val="nil"/>
              <w:tr2bl w:val="nil"/>
            </w:tcBorders>
            <w:shd w:val="clear" w:color="auto" w:fill="auto"/>
            <w:noWrap/>
            <w:tcMar>
              <w:left w:w="101" w:type="dxa"/>
              <w:right w:w="161" w:type="dxa"/>
            </w:tcMar>
          </w:tcPr>
          <w:p w14:paraId="6D2069ED" w14:textId="77777777"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0F8C9E24" w14:textId="77777777"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209B7411" w14:textId="77777777"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06C0715E" w14:textId="77777777" w:rsidR="00744072" w:rsidRPr="00A46438" w:rsidRDefault="00744072" w:rsidP="00744072">
            <w:pPr>
              <w:pStyle w:val="Normal6"/>
              <w:jc w:val="right"/>
              <w:rPr>
                <w:rFonts w:ascii="Calibri" w:eastAsia="Calibri" w:hAnsi="Calibri" w:cs="Calibri"/>
                <w:color w:val="000000"/>
                <w:sz w:val="18"/>
              </w:rPr>
            </w:pPr>
            <w:r w:rsidRPr="006D4C3C">
              <w:rPr>
                <w:rFonts w:ascii="Calibri" w:eastAsia="Calibri" w:hAnsi="Calibri" w:cs="Calibri"/>
                <w:color w:val="000000"/>
                <w:sz w:val="18"/>
              </w:rPr>
              <w:t>480</w:t>
            </w:r>
          </w:p>
        </w:tc>
        <w:tc>
          <w:tcPr>
            <w:tcW w:w="1125" w:type="dxa"/>
            <w:tcBorders>
              <w:top w:val="nil"/>
              <w:left w:val="nil"/>
              <w:bottom w:val="nil"/>
              <w:right w:val="nil"/>
              <w:tl2br w:val="nil"/>
              <w:tr2bl w:val="nil"/>
            </w:tcBorders>
            <w:shd w:val="clear" w:color="auto" w:fill="auto"/>
            <w:noWrap/>
            <w:tcMar>
              <w:left w:w="101" w:type="dxa"/>
              <w:right w:w="101" w:type="dxa"/>
            </w:tcMar>
          </w:tcPr>
          <w:p w14:paraId="1FC9D7AD" w14:textId="77777777" w:rsidR="00744072" w:rsidRPr="001F6B18" w:rsidRDefault="00744072" w:rsidP="00744072">
            <w:pPr>
              <w:pStyle w:val="Normal6"/>
              <w:ind w:right="23"/>
              <w:jc w:val="right"/>
              <w:rPr>
                <w:rFonts w:ascii="Calibri" w:eastAsia="Calibri" w:hAnsi="Calibri" w:cs="Calibri"/>
                <w:color w:val="000000"/>
                <w:sz w:val="18"/>
              </w:rPr>
            </w:pPr>
            <w:r>
              <w:rPr>
                <w:rFonts w:ascii="Calibri" w:eastAsia="Calibri" w:hAnsi="Calibri" w:cs="Calibri"/>
                <w:color w:val="000000"/>
                <w:sz w:val="18"/>
              </w:rPr>
              <w:t>Dec-21</w:t>
            </w:r>
          </w:p>
        </w:tc>
      </w:tr>
      <w:tr w:rsidR="00744072" w:rsidRPr="001F6B18" w14:paraId="55A4A1E6" w14:textId="77777777" w:rsidTr="002A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1D28763E" w14:textId="3A41EDCD" w:rsidR="00744072" w:rsidRPr="009764BE" w:rsidRDefault="00744072" w:rsidP="00744072">
            <w:pPr>
              <w:pStyle w:val="Normal6"/>
              <w:rPr>
                <w:rFonts w:ascii="Calibri" w:eastAsia="Calibri" w:hAnsi="Calibri" w:cs="Calibri"/>
                <w:color w:val="000000"/>
                <w:sz w:val="18"/>
              </w:rPr>
            </w:pPr>
            <w:r w:rsidRPr="009764BE">
              <w:rPr>
                <w:rFonts w:ascii="Calibri" w:hAnsi="Calibri" w:cs="Calibri"/>
                <w:color w:val="000000"/>
                <w:sz w:val="18"/>
                <w:szCs w:val="18"/>
              </w:rPr>
              <w:t>Northside hospital development</w:t>
            </w:r>
          </w:p>
        </w:tc>
        <w:tc>
          <w:tcPr>
            <w:tcW w:w="975" w:type="dxa"/>
            <w:tcBorders>
              <w:top w:val="nil"/>
              <w:left w:val="nil"/>
              <w:bottom w:val="nil"/>
              <w:right w:val="nil"/>
              <w:tl2br w:val="nil"/>
              <w:tr2bl w:val="nil"/>
            </w:tcBorders>
            <w:shd w:val="clear" w:color="auto" w:fill="auto"/>
            <w:noWrap/>
            <w:tcMar>
              <w:left w:w="101" w:type="dxa"/>
              <w:right w:w="161" w:type="dxa"/>
            </w:tcMar>
          </w:tcPr>
          <w:p w14:paraId="344CEA63" w14:textId="659E8C4B" w:rsidR="00744072" w:rsidRPr="009764BE" w:rsidRDefault="00744072" w:rsidP="00744072">
            <w:pPr>
              <w:pStyle w:val="Normal6"/>
              <w:jc w:val="right"/>
              <w:rPr>
                <w:rFonts w:ascii="Calibri" w:eastAsia="Calibri" w:hAnsi="Calibri" w:cs="Calibri"/>
                <w:color w:val="000000"/>
                <w:sz w:val="18"/>
              </w:rPr>
            </w:pPr>
            <w:r w:rsidRPr="009764BE">
              <w:rPr>
                <w:rFonts w:ascii="Calibri" w:eastAsia="Calibri" w:hAnsi="Calibri" w:cs="Calibri"/>
                <w:color w:val="000000"/>
                <w:sz w:val="18"/>
              </w:rPr>
              <w:t>2,676</w:t>
            </w:r>
          </w:p>
        </w:tc>
        <w:tc>
          <w:tcPr>
            <w:tcW w:w="975" w:type="dxa"/>
            <w:tcBorders>
              <w:top w:val="nil"/>
              <w:left w:val="nil"/>
              <w:bottom w:val="nil"/>
              <w:right w:val="nil"/>
              <w:tl2br w:val="nil"/>
              <w:tr2bl w:val="nil"/>
            </w:tcBorders>
            <w:shd w:val="clear" w:color="auto" w:fill="auto"/>
            <w:noWrap/>
            <w:tcMar>
              <w:left w:w="101" w:type="dxa"/>
              <w:right w:w="161" w:type="dxa"/>
            </w:tcMar>
          </w:tcPr>
          <w:p w14:paraId="05C8A4D8" w14:textId="0E78FD47" w:rsidR="00744072" w:rsidRPr="009764BE" w:rsidRDefault="00744072" w:rsidP="00744072">
            <w:pPr>
              <w:pStyle w:val="Normal6"/>
              <w:jc w:val="right"/>
              <w:rPr>
                <w:rFonts w:ascii="Calibri" w:eastAsia="Calibri" w:hAnsi="Calibri" w:cs="Calibri"/>
                <w:color w:val="000000"/>
                <w:sz w:val="18"/>
              </w:rPr>
            </w:pPr>
            <w:r w:rsidRPr="009764BE">
              <w:rPr>
                <w:rFonts w:ascii="Calibri" w:eastAsia="Calibri" w:hAnsi="Calibri" w:cs="Calibri"/>
                <w:color w:val="000000"/>
                <w:sz w:val="18"/>
              </w:rPr>
              <w:t>7,870</w:t>
            </w:r>
          </w:p>
        </w:tc>
        <w:tc>
          <w:tcPr>
            <w:tcW w:w="975" w:type="dxa"/>
            <w:tcBorders>
              <w:top w:val="nil"/>
              <w:left w:val="nil"/>
              <w:bottom w:val="nil"/>
              <w:right w:val="nil"/>
              <w:tl2br w:val="nil"/>
              <w:tr2bl w:val="nil"/>
            </w:tcBorders>
            <w:shd w:val="clear" w:color="auto" w:fill="auto"/>
            <w:noWrap/>
            <w:tcMar>
              <w:left w:w="101" w:type="dxa"/>
              <w:right w:w="161" w:type="dxa"/>
            </w:tcMar>
          </w:tcPr>
          <w:p w14:paraId="7D68B3E1" w14:textId="0DC2987E" w:rsidR="00744072" w:rsidRPr="009764BE" w:rsidRDefault="00744072" w:rsidP="00744072">
            <w:pPr>
              <w:pStyle w:val="Normal6"/>
              <w:jc w:val="right"/>
              <w:rPr>
                <w:rFonts w:ascii="Calibri" w:eastAsia="Calibri" w:hAnsi="Calibri" w:cs="Calibri"/>
                <w:color w:val="000000"/>
                <w:sz w:val="18"/>
              </w:rPr>
            </w:pPr>
            <w:r w:rsidRPr="009764BE">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34C9AE88" w14:textId="059DA2B4" w:rsidR="00744072" w:rsidRPr="009764BE" w:rsidRDefault="00744072" w:rsidP="00744072">
            <w:pPr>
              <w:pStyle w:val="Normal6"/>
              <w:jc w:val="right"/>
              <w:rPr>
                <w:rFonts w:ascii="Calibri" w:eastAsia="Calibri" w:hAnsi="Calibri" w:cs="Calibri"/>
                <w:color w:val="000000"/>
                <w:sz w:val="18"/>
              </w:rPr>
            </w:pPr>
            <w:r w:rsidRPr="009764BE">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3839718C" w14:textId="401FC69B" w:rsidR="00744072" w:rsidRPr="009764BE" w:rsidRDefault="00744072" w:rsidP="00744072">
            <w:pPr>
              <w:pStyle w:val="Normal6"/>
              <w:jc w:val="right"/>
              <w:rPr>
                <w:rFonts w:ascii="Calibri" w:eastAsia="Calibri" w:hAnsi="Calibri" w:cs="Calibri"/>
                <w:color w:val="000000"/>
                <w:sz w:val="18"/>
              </w:rPr>
            </w:pPr>
            <w:r w:rsidRPr="009764BE">
              <w:rPr>
                <w:rFonts w:ascii="Calibri" w:eastAsia="Calibri" w:hAnsi="Calibri" w:cs="Calibri"/>
                <w:color w:val="000000"/>
                <w:sz w:val="18"/>
              </w:rPr>
              <w:t>10,546</w:t>
            </w:r>
          </w:p>
        </w:tc>
        <w:tc>
          <w:tcPr>
            <w:tcW w:w="1125" w:type="dxa"/>
            <w:tcBorders>
              <w:top w:val="nil"/>
              <w:left w:val="nil"/>
              <w:bottom w:val="nil"/>
              <w:right w:val="nil"/>
              <w:tl2br w:val="nil"/>
              <w:tr2bl w:val="nil"/>
            </w:tcBorders>
            <w:shd w:val="clear" w:color="auto" w:fill="auto"/>
            <w:noWrap/>
            <w:tcMar>
              <w:left w:w="101" w:type="dxa"/>
              <w:right w:w="101" w:type="dxa"/>
            </w:tcMar>
          </w:tcPr>
          <w:p w14:paraId="0EC5CF0B" w14:textId="6C524386" w:rsidR="00744072" w:rsidRPr="001F6B18" w:rsidRDefault="0098713D" w:rsidP="00744072">
            <w:pPr>
              <w:pStyle w:val="Normal6"/>
              <w:ind w:right="23"/>
              <w:jc w:val="right"/>
              <w:rPr>
                <w:rFonts w:ascii="Calibri" w:eastAsia="Calibri" w:hAnsi="Calibri" w:cs="Calibri"/>
                <w:color w:val="000000"/>
                <w:sz w:val="18"/>
              </w:rPr>
            </w:pPr>
            <w:r>
              <w:rPr>
                <w:rFonts w:ascii="Calibri" w:eastAsia="Calibri" w:hAnsi="Calibri" w:cs="Calibri"/>
                <w:color w:val="000000"/>
                <w:sz w:val="18"/>
              </w:rPr>
              <w:t>Jun-23</w:t>
            </w:r>
          </w:p>
        </w:tc>
      </w:tr>
      <w:tr w:rsidR="00744072" w:rsidRPr="001F6B18" w14:paraId="5878652F" w14:textId="77777777" w:rsidTr="002A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64286B47" w14:textId="1DC86FBF" w:rsidR="00744072" w:rsidRDefault="002A2525" w:rsidP="00744072">
            <w:pPr>
              <w:pStyle w:val="Normal6"/>
              <w:rPr>
                <w:rFonts w:ascii="Calibri" w:eastAsia="Calibri" w:hAnsi="Calibri" w:cs="Calibri"/>
                <w:color w:val="000000"/>
                <w:sz w:val="18"/>
              </w:rPr>
            </w:pPr>
            <w:r w:rsidRPr="002A2525">
              <w:rPr>
                <w:rFonts w:ascii="Calibri" w:hAnsi="Calibri" w:cs="Calibri"/>
                <w:color w:val="000000"/>
                <w:sz w:val="18"/>
                <w:szCs w:val="18"/>
              </w:rPr>
              <w:t>Watson Health Precinct redevelopment</w:t>
            </w:r>
          </w:p>
        </w:tc>
        <w:tc>
          <w:tcPr>
            <w:tcW w:w="975" w:type="dxa"/>
            <w:tcBorders>
              <w:top w:val="nil"/>
              <w:left w:val="nil"/>
              <w:bottom w:val="nil"/>
              <w:right w:val="nil"/>
              <w:tl2br w:val="nil"/>
              <w:tr2bl w:val="nil"/>
            </w:tcBorders>
            <w:shd w:val="clear" w:color="auto" w:fill="auto"/>
            <w:noWrap/>
            <w:tcMar>
              <w:left w:w="101" w:type="dxa"/>
              <w:right w:w="161" w:type="dxa"/>
            </w:tcMar>
          </w:tcPr>
          <w:p w14:paraId="7DA87475" w14:textId="5B20B3A5"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300</w:t>
            </w:r>
          </w:p>
        </w:tc>
        <w:tc>
          <w:tcPr>
            <w:tcW w:w="975" w:type="dxa"/>
            <w:tcBorders>
              <w:top w:val="nil"/>
              <w:left w:val="nil"/>
              <w:bottom w:val="nil"/>
              <w:right w:val="nil"/>
              <w:tl2br w:val="nil"/>
              <w:tr2bl w:val="nil"/>
            </w:tcBorders>
            <w:shd w:val="clear" w:color="auto" w:fill="auto"/>
            <w:noWrap/>
            <w:tcMar>
              <w:left w:w="101" w:type="dxa"/>
              <w:right w:w="161" w:type="dxa"/>
            </w:tcMar>
          </w:tcPr>
          <w:p w14:paraId="42889B66" w14:textId="1DCE5E5A"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0DBE6B4E" w14:textId="3D1BB106"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5D273B3E" w14:textId="760E1DF1"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4518A44C" w14:textId="44B8B713" w:rsidR="00744072" w:rsidRPr="00A46438" w:rsidRDefault="00744072" w:rsidP="00744072">
            <w:pPr>
              <w:pStyle w:val="Normal6"/>
              <w:jc w:val="right"/>
              <w:rPr>
                <w:rFonts w:ascii="Calibri" w:eastAsia="Calibri" w:hAnsi="Calibri" w:cs="Calibri"/>
                <w:color w:val="000000"/>
                <w:sz w:val="18"/>
              </w:rPr>
            </w:pPr>
            <w:r w:rsidRPr="006D4C3C">
              <w:rPr>
                <w:rFonts w:ascii="Calibri" w:eastAsia="Calibri" w:hAnsi="Calibri" w:cs="Calibri"/>
                <w:color w:val="000000"/>
                <w:sz w:val="18"/>
              </w:rPr>
              <w:t>300</w:t>
            </w:r>
          </w:p>
        </w:tc>
        <w:tc>
          <w:tcPr>
            <w:tcW w:w="1125" w:type="dxa"/>
            <w:tcBorders>
              <w:top w:val="nil"/>
              <w:left w:val="nil"/>
              <w:bottom w:val="nil"/>
              <w:right w:val="nil"/>
              <w:tl2br w:val="nil"/>
              <w:tr2bl w:val="nil"/>
            </w:tcBorders>
            <w:shd w:val="clear" w:color="auto" w:fill="auto"/>
            <w:noWrap/>
            <w:tcMar>
              <w:left w:w="101" w:type="dxa"/>
              <w:right w:w="101" w:type="dxa"/>
            </w:tcMar>
          </w:tcPr>
          <w:p w14:paraId="5D63CB3A" w14:textId="0BE746CA" w:rsidR="00744072" w:rsidRPr="001F6B18" w:rsidRDefault="00744072" w:rsidP="002A2525">
            <w:pPr>
              <w:pStyle w:val="Normal6"/>
              <w:ind w:right="23"/>
              <w:jc w:val="right"/>
              <w:rPr>
                <w:rFonts w:ascii="Calibri" w:eastAsia="Calibri" w:hAnsi="Calibri" w:cs="Calibri"/>
                <w:color w:val="000000"/>
                <w:sz w:val="18"/>
              </w:rPr>
            </w:pPr>
            <w:r>
              <w:rPr>
                <w:rFonts w:ascii="Calibri" w:eastAsia="Calibri" w:hAnsi="Calibri" w:cs="Calibri"/>
                <w:color w:val="000000"/>
                <w:sz w:val="18"/>
              </w:rPr>
              <w:t>Sep-22</w:t>
            </w:r>
          </w:p>
        </w:tc>
      </w:tr>
      <w:tr w:rsidR="00677C53" w:rsidRPr="001F6B18" w14:paraId="0F04E468" w14:textId="77777777" w:rsidTr="002A2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37E89792" w14:textId="77777777" w:rsidR="00677C53" w:rsidRPr="002A2525" w:rsidRDefault="00677C53" w:rsidP="00744072">
            <w:pPr>
              <w:pStyle w:val="Normal6"/>
              <w:rPr>
                <w:rFonts w:ascii="Calibri" w:hAnsi="Calibri" w:cs="Calibri"/>
                <w:color w:val="000000"/>
                <w:sz w:val="18"/>
                <w:szCs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710B7F79" w14:textId="77777777" w:rsidR="00677C53"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61263114" w14:textId="77777777" w:rsidR="00677C53"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1135AA4E" w14:textId="77777777" w:rsidR="00677C53" w:rsidRDefault="00677C53"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52D3243D" w14:textId="77777777" w:rsidR="00677C53" w:rsidRDefault="00677C53"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tcPr>
          <w:p w14:paraId="092210F4" w14:textId="77777777" w:rsidR="00677C53" w:rsidRPr="006D4C3C" w:rsidRDefault="00677C53"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tcPr>
          <w:p w14:paraId="7AF11D7B" w14:textId="77777777" w:rsidR="00677C53" w:rsidRDefault="00677C53" w:rsidP="002A2525">
            <w:pPr>
              <w:pStyle w:val="Normal6"/>
              <w:ind w:right="23"/>
              <w:jc w:val="right"/>
              <w:rPr>
                <w:rFonts w:ascii="Calibri" w:eastAsia="Calibri" w:hAnsi="Calibri" w:cs="Calibri"/>
                <w:color w:val="000000"/>
                <w:sz w:val="18"/>
              </w:rPr>
            </w:pPr>
          </w:p>
        </w:tc>
      </w:tr>
      <w:tr w:rsidR="00744072" w:rsidRPr="001F6B18" w14:paraId="6FB7E5A9"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1E66BF21" w14:textId="1F4ECEF1" w:rsidR="00744072" w:rsidRDefault="00744072" w:rsidP="00744072">
            <w:pPr>
              <w:pStyle w:val="Normal6"/>
              <w:rPr>
                <w:rFonts w:ascii="Calibri" w:eastAsia="Calibri" w:hAnsi="Calibri" w:cs="Calibri"/>
                <w:color w:val="000000"/>
                <w:sz w:val="18"/>
              </w:rPr>
            </w:pPr>
            <w:r w:rsidRPr="00CE207A">
              <w:rPr>
                <w:rFonts w:ascii="Calibri" w:hAnsi="Calibri" w:cs="Calibri"/>
                <w:b/>
                <w:bCs/>
                <w:color w:val="000000"/>
                <w:sz w:val="18"/>
                <w:szCs w:val="18"/>
              </w:rPr>
              <w:t>Total New Capital</w:t>
            </w:r>
          </w:p>
        </w:tc>
        <w:tc>
          <w:tcPr>
            <w:tcW w:w="975" w:type="dxa"/>
            <w:tcBorders>
              <w:top w:val="nil"/>
              <w:left w:val="nil"/>
              <w:bottom w:val="nil"/>
              <w:right w:val="nil"/>
              <w:tl2br w:val="nil"/>
              <w:tr2bl w:val="nil"/>
            </w:tcBorders>
            <w:shd w:val="clear" w:color="auto" w:fill="auto"/>
            <w:noWrap/>
            <w:tcMar>
              <w:left w:w="101" w:type="dxa"/>
              <w:right w:w="161" w:type="dxa"/>
            </w:tcMar>
          </w:tcPr>
          <w:p w14:paraId="66BF14FA" w14:textId="20D06AAE" w:rsidR="00744072" w:rsidRPr="001F6B18" w:rsidRDefault="00744072" w:rsidP="00744072">
            <w:pPr>
              <w:pStyle w:val="Normal6"/>
              <w:jc w:val="right"/>
              <w:rPr>
                <w:rFonts w:ascii="Calibri" w:eastAsia="Calibri" w:hAnsi="Calibri" w:cs="Calibri"/>
                <w:color w:val="000000"/>
                <w:sz w:val="18"/>
              </w:rPr>
            </w:pPr>
            <w:r w:rsidRPr="00CE207A">
              <w:rPr>
                <w:rFonts w:ascii="Calibri" w:eastAsia="Calibri" w:hAnsi="Calibri" w:cs="Calibri"/>
                <w:b/>
                <w:bCs/>
                <w:color w:val="000000"/>
                <w:sz w:val="18"/>
              </w:rPr>
              <w:t>5,226</w:t>
            </w:r>
          </w:p>
        </w:tc>
        <w:tc>
          <w:tcPr>
            <w:tcW w:w="975" w:type="dxa"/>
            <w:tcBorders>
              <w:top w:val="nil"/>
              <w:left w:val="nil"/>
              <w:bottom w:val="nil"/>
              <w:right w:val="nil"/>
              <w:tl2br w:val="nil"/>
              <w:tr2bl w:val="nil"/>
            </w:tcBorders>
            <w:shd w:val="clear" w:color="auto" w:fill="auto"/>
            <w:noWrap/>
            <w:tcMar>
              <w:left w:w="101" w:type="dxa"/>
              <w:right w:w="161" w:type="dxa"/>
            </w:tcMar>
          </w:tcPr>
          <w:p w14:paraId="4B94994E" w14:textId="769966F4" w:rsidR="00744072" w:rsidRPr="001F6B18" w:rsidRDefault="00744072" w:rsidP="00744072">
            <w:pPr>
              <w:pStyle w:val="Normal6"/>
              <w:jc w:val="right"/>
              <w:rPr>
                <w:rFonts w:ascii="Calibri" w:eastAsia="Calibri" w:hAnsi="Calibri" w:cs="Calibri"/>
                <w:color w:val="000000"/>
                <w:sz w:val="18"/>
              </w:rPr>
            </w:pPr>
            <w:r w:rsidRPr="00CE207A">
              <w:rPr>
                <w:rFonts w:ascii="Calibri" w:eastAsia="Calibri" w:hAnsi="Calibri" w:cs="Calibri"/>
                <w:b/>
                <w:bCs/>
                <w:color w:val="000000"/>
                <w:sz w:val="18"/>
              </w:rPr>
              <w:t>11,539</w:t>
            </w:r>
          </w:p>
        </w:tc>
        <w:tc>
          <w:tcPr>
            <w:tcW w:w="975" w:type="dxa"/>
            <w:tcBorders>
              <w:top w:val="nil"/>
              <w:left w:val="nil"/>
              <w:bottom w:val="nil"/>
              <w:right w:val="nil"/>
              <w:tl2br w:val="nil"/>
              <w:tr2bl w:val="nil"/>
            </w:tcBorders>
            <w:shd w:val="clear" w:color="auto" w:fill="auto"/>
            <w:noWrap/>
            <w:tcMar>
              <w:left w:w="101" w:type="dxa"/>
              <w:right w:w="161" w:type="dxa"/>
            </w:tcMar>
          </w:tcPr>
          <w:p w14:paraId="1ECA210D" w14:textId="01615CA3"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b/>
                <w:bCs/>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4B62AFC9" w14:textId="15CF67D2" w:rsidR="00744072" w:rsidRPr="001F6B18" w:rsidRDefault="00744072" w:rsidP="00744072">
            <w:pPr>
              <w:pStyle w:val="Normal6"/>
              <w:jc w:val="right"/>
              <w:rPr>
                <w:rFonts w:ascii="Calibri" w:eastAsia="Calibri" w:hAnsi="Calibri" w:cs="Calibri"/>
                <w:color w:val="000000"/>
                <w:sz w:val="18"/>
              </w:rPr>
            </w:pPr>
            <w:r>
              <w:rPr>
                <w:rFonts w:ascii="Calibri" w:eastAsia="Calibri" w:hAnsi="Calibri" w:cs="Calibri"/>
                <w:b/>
                <w:bCs/>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23FE9779" w14:textId="25E78740" w:rsidR="00744072" w:rsidRPr="00A46438" w:rsidRDefault="00744072" w:rsidP="00744072">
            <w:pPr>
              <w:pStyle w:val="Normal6"/>
              <w:jc w:val="right"/>
              <w:rPr>
                <w:rFonts w:ascii="Calibri" w:eastAsia="Calibri" w:hAnsi="Calibri" w:cs="Calibri"/>
                <w:color w:val="000000"/>
                <w:sz w:val="18"/>
              </w:rPr>
            </w:pPr>
            <w:r w:rsidRPr="00CE207A">
              <w:rPr>
                <w:rFonts w:ascii="Calibri" w:eastAsia="Calibri" w:hAnsi="Calibri" w:cs="Calibri"/>
                <w:b/>
                <w:bCs/>
                <w:color w:val="000000"/>
                <w:sz w:val="18"/>
              </w:rPr>
              <w:t>16,7</w:t>
            </w:r>
            <w:r>
              <w:rPr>
                <w:rFonts w:ascii="Calibri" w:eastAsia="Calibri" w:hAnsi="Calibri" w:cs="Calibri"/>
                <w:b/>
                <w:bCs/>
                <w:color w:val="000000"/>
                <w:sz w:val="18"/>
              </w:rPr>
              <w:t>65</w:t>
            </w:r>
          </w:p>
        </w:tc>
        <w:tc>
          <w:tcPr>
            <w:tcW w:w="1125" w:type="dxa"/>
            <w:tcBorders>
              <w:top w:val="nil"/>
              <w:left w:val="nil"/>
              <w:bottom w:val="nil"/>
              <w:right w:val="nil"/>
              <w:tl2br w:val="nil"/>
              <w:tr2bl w:val="nil"/>
            </w:tcBorders>
            <w:shd w:val="clear" w:color="auto" w:fill="auto"/>
            <w:noWrap/>
            <w:tcMar>
              <w:left w:w="101" w:type="dxa"/>
              <w:right w:w="101" w:type="dxa"/>
            </w:tcMar>
          </w:tcPr>
          <w:p w14:paraId="7905D48C" w14:textId="77777777" w:rsidR="00744072" w:rsidRPr="001F6B18" w:rsidRDefault="00744072" w:rsidP="00744072">
            <w:pPr>
              <w:pStyle w:val="Normal6"/>
              <w:ind w:right="23"/>
              <w:jc w:val="right"/>
              <w:rPr>
                <w:rFonts w:ascii="Calibri" w:eastAsia="Calibri" w:hAnsi="Calibri" w:cs="Calibri"/>
                <w:color w:val="000000"/>
                <w:sz w:val="18"/>
              </w:rPr>
            </w:pPr>
          </w:p>
        </w:tc>
      </w:tr>
      <w:tr w:rsidR="00744072" w:rsidRPr="001F6B18" w14:paraId="19C13AEA" w14:textId="77777777" w:rsidTr="005F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3062E701" w14:textId="77777777" w:rsidR="00744072" w:rsidRDefault="00744072" w:rsidP="00744072">
            <w:pPr>
              <w:pStyle w:val="Normal6"/>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5D44E881"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7988038"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07BB8A3" w14:textId="77777777" w:rsidR="00744072" w:rsidRPr="001F6B18" w:rsidRDefault="00744072" w:rsidP="00744072">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55672C51" w14:textId="77777777" w:rsidR="00744072" w:rsidRPr="001F6B18" w:rsidRDefault="00744072"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721BF6DD" w14:textId="77777777" w:rsidR="00744072" w:rsidRPr="00A46438" w:rsidRDefault="00744072" w:rsidP="00744072">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35DA7B84" w14:textId="77777777" w:rsidR="00744072" w:rsidRPr="001F6B18" w:rsidRDefault="00744072" w:rsidP="00744072">
            <w:pPr>
              <w:pStyle w:val="Normal6"/>
              <w:ind w:right="23"/>
              <w:jc w:val="right"/>
              <w:rPr>
                <w:rFonts w:ascii="Calibri" w:eastAsia="Calibri" w:hAnsi="Calibri" w:cs="Calibri"/>
                <w:color w:val="000000"/>
                <w:sz w:val="18"/>
              </w:rPr>
            </w:pPr>
          </w:p>
        </w:tc>
      </w:tr>
    </w:tbl>
    <w:p w14:paraId="42BF0381" w14:textId="49B78A57" w:rsidR="007D20EC" w:rsidRDefault="007D20EC" w:rsidP="007D20EC">
      <w:pPr>
        <w:pStyle w:val="Caption"/>
        <w:pBdr>
          <w:top w:val="nil"/>
          <w:left w:val="nil"/>
          <w:bottom w:val="nil"/>
          <w:right w:val="nil"/>
          <w:between w:val="nil"/>
          <w:bar w:val="nil"/>
        </w:pBdr>
        <w:spacing w:after="0"/>
        <w:rPr>
          <w:bdr w:val="nil"/>
        </w:rPr>
      </w:pPr>
      <w:r w:rsidRPr="005F1919">
        <w:rPr>
          <w:bdr w:val="nil"/>
        </w:rPr>
        <w:lastRenderedPageBreak/>
        <w:t>Table 22: 2021-22 ACT Health Directorate Infrastructure Program</w:t>
      </w:r>
      <w:r>
        <w:rPr>
          <w:bdr w:val="nil"/>
        </w:rPr>
        <w:t xml:space="preserve"> (continu</w:t>
      </w:r>
      <w:r w:rsidR="000F4EA2">
        <w:rPr>
          <w:bdr w:val="nil"/>
        </w:rPr>
        <w:t>ed</w:t>
      </w:r>
      <w:r>
        <w:rPr>
          <w:bdr w:val="nil"/>
        </w:rPr>
        <w:t>)</w:t>
      </w:r>
    </w:p>
    <w:p w14:paraId="532E5DD5" w14:textId="34D28E85" w:rsidR="007D20EC" w:rsidRDefault="007D20EC" w:rsidP="007D20EC">
      <w:pPr>
        <w:spacing w:before="0" w:after="0"/>
      </w:pPr>
    </w:p>
    <w:tbl>
      <w:tblPr>
        <w:tblStyle w:val="CDMRange20"/>
        <w:tblW w:w="9345" w:type="dxa"/>
        <w:tblLayout w:type="fixed"/>
        <w:tblLook w:val="04A0" w:firstRow="1" w:lastRow="0" w:firstColumn="1" w:lastColumn="0" w:noHBand="0" w:noVBand="1"/>
      </w:tblPr>
      <w:tblGrid>
        <w:gridCol w:w="3195"/>
        <w:gridCol w:w="975"/>
        <w:gridCol w:w="975"/>
        <w:gridCol w:w="975"/>
        <w:gridCol w:w="975"/>
        <w:gridCol w:w="1125"/>
        <w:gridCol w:w="1125"/>
      </w:tblGrid>
      <w:tr w:rsidR="007D20EC" w14:paraId="56B7869C" w14:textId="77777777" w:rsidTr="007D20EC">
        <w:trPr>
          <w:trHeight w:val="750"/>
        </w:trPr>
        <w:tc>
          <w:tcPr>
            <w:tcW w:w="3195" w:type="dxa"/>
            <w:tcBorders>
              <w:top w:val="single" w:sz="4" w:space="0" w:color="auto"/>
              <w:bottom w:val="single" w:sz="4" w:space="0" w:color="auto"/>
            </w:tcBorders>
          </w:tcPr>
          <w:p w14:paraId="70D42247" w14:textId="77777777" w:rsidR="007D20EC" w:rsidRDefault="007D20EC" w:rsidP="00287AA2">
            <w:pPr>
              <w:pStyle w:val="Normal5"/>
              <w:rPr>
                <w:rFonts w:ascii="Calibri" w:eastAsia="Calibri" w:hAnsi="Calibri" w:cs="Calibri"/>
                <w:b/>
                <w:color w:val="000000"/>
                <w:sz w:val="18"/>
              </w:rPr>
            </w:pPr>
            <w:r>
              <w:rPr>
                <w:rFonts w:ascii="Calibri" w:eastAsia="Calibri" w:hAnsi="Calibri" w:cs="Calibri"/>
                <w:b/>
                <w:color w:val="000000"/>
                <w:sz w:val="18"/>
              </w:rPr>
              <w:t>Project</w:t>
            </w:r>
          </w:p>
        </w:tc>
        <w:tc>
          <w:tcPr>
            <w:tcW w:w="975" w:type="dxa"/>
            <w:tcBorders>
              <w:top w:val="single" w:sz="4" w:space="0" w:color="auto"/>
              <w:bottom w:val="single" w:sz="4" w:space="0" w:color="auto"/>
            </w:tcBorders>
          </w:tcPr>
          <w:p w14:paraId="1534038B"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2021-22</w:t>
            </w:r>
          </w:p>
          <w:p w14:paraId="0778A7D1"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4" w:space="0" w:color="auto"/>
              <w:bottom w:val="single" w:sz="4" w:space="0" w:color="auto"/>
            </w:tcBorders>
          </w:tcPr>
          <w:p w14:paraId="3ACAB8DE"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2022-23</w:t>
            </w:r>
          </w:p>
          <w:p w14:paraId="0E23027B"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4" w:space="0" w:color="auto"/>
              <w:bottom w:val="single" w:sz="4" w:space="0" w:color="auto"/>
            </w:tcBorders>
          </w:tcPr>
          <w:p w14:paraId="7022D663"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2023-24</w:t>
            </w:r>
          </w:p>
          <w:p w14:paraId="03878C87"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4" w:space="0" w:color="auto"/>
              <w:bottom w:val="single" w:sz="4" w:space="0" w:color="auto"/>
            </w:tcBorders>
          </w:tcPr>
          <w:p w14:paraId="0226D490"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2024-25</w:t>
            </w:r>
          </w:p>
          <w:p w14:paraId="26B550A9"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125" w:type="dxa"/>
            <w:tcBorders>
              <w:top w:val="single" w:sz="4" w:space="0" w:color="auto"/>
              <w:bottom w:val="single" w:sz="4" w:space="0" w:color="auto"/>
            </w:tcBorders>
          </w:tcPr>
          <w:p w14:paraId="14E42DA7"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Four Year</w:t>
            </w:r>
          </w:p>
          <w:p w14:paraId="10B82A60"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Investment</w:t>
            </w:r>
          </w:p>
          <w:p w14:paraId="043E5C07"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$'000</w:t>
            </w:r>
          </w:p>
          <w:p w14:paraId="675D2007" w14:textId="77777777" w:rsidR="007D20EC" w:rsidRDefault="007D20EC" w:rsidP="00287AA2">
            <w:pPr>
              <w:pStyle w:val="Normal5"/>
              <w:jc w:val="right"/>
              <w:rPr>
                <w:rFonts w:ascii="Calibri" w:eastAsia="Calibri" w:hAnsi="Calibri" w:cs="Calibri"/>
                <w:b/>
                <w:color w:val="000000"/>
                <w:sz w:val="18"/>
              </w:rPr>
            </w:pPr>
          </w:p>
        </w:tc>
        <w:tc>
          <w:tcPr>
            <w:tcW w:w="1125" w:type="dxa"/>
            <w:tcBorders>
              <w:top w:val="single" w:sz="4" w:space="0" w:color="auto"/>
              <w:bottom w:val="single" w:sz="4" w:space="0" w:color="auto"/>
            </w:tcBorders>
          </w:tcPr>
          <w:p w14:paraId="7AA2A22D"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Physical</w:t>
            </w:r>
          </w:p>
          <w:p w14:paraId="4C349F4B"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Completion</w:t>
            </w:r>
          </w:p>
          <w:p w14:paraId="19CFDF55" w14:textId="77777777" w:rsidR="007D20EC" w:rsidRDefault="007D20EC" w:rsidP="00287AA2">
            <w:pPr>
              <w:pStyle w:val="Normal5"/>
              <w:jc w:val="right"/>
              <w:rPr>
                <w:rFonts w:ascii="Calibri" w:eastAsia="Calibri" w:hAnsi="Calibri" w:cs="Calibri"/>
                <w:b/>
                <w:color w:val="000000"/>
                <w:sz w:val="18"/>
              </w:rPr>
            </w:pPr>
            <w:r>
              <w:rPr>
                <w:rFonts w:ascii="Calibri" w:eastAsia="Calibri" w:hAnsi="Calibri" w:cs="Calibri"/>
                <w:b/>
                <w:color w:val="000000"/>
                <w:sz w:val="18"/>
              </w:rPr>
              <w:t>Date</w:t>
            </w:r>
          </w:p>
        </w:tc>
      </w:tr>
      <w:tr w:rsidR="007D20EC" w:rsidRPr="001F6B18" w14:paraId="24CC60FB" w14:textId="77777777" w:rsidTr="007D2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single" w:sz="4" w:space="0" w:color="auto"/>
              <w:left w:val="nil"/>
              <w:bottom w:val="nil"/>
              <w:right w:val="nil"/>
              <w:tl2br w:val="nil"/>
              <w:tr2bl w:val="nil"/>
            </w:tcBorders>
            <w:shd w:val="clear" w:color="auto" w:fill="auto"/>
            <w:tcMar>
              <w:left w:w="101" w:type="dxa"/>
              <w:right w:w="101" w:type="dxa"/>
            </w:tcMar>
            <w:vAlign w:val="center"/>
          </w:tcPr>
          <w:p w14:paraId="2AE7F2E5" w14:textId="4FB13F0C" w:rsidR="007D20EC" w:rsidRDefault="007D20EC" w:rsidP="007D20EC">
            <w:pPr>
              <w:pStyle w:val="Normal6"/>
              <w:rPr>
                <w:rFonts w:ascii="Calibri" w:eastAsia="Calibri" w:hAnsi="Calibri" w:cs="Calibri"/>
                <w:color w:val="000000"/>
                <w:sz w:val="18"/>
              </w:rPr>
            </w:pPr>
          </w:p>
        </w:tc>
        <w:tc>
          <w:tcPr>
            <w:tcW w:w="975" w:type="dxa"/>
            <w:tcBorders>
              <w:top w:val="single" w:sz="4" w:space="0" w:color="auto"/>
              <w:left w:val="nil"/>
              <w:bottom w:val="nil"/>
              <w:right w:val="nil"/>
              <w:tl2br w:val="nil"/>
              <w:tr2bl w:val="nil"/>
            </w:tcBorders>
            <w:shd w:val="clear" w:color="auto" w:fill="auto"/>
            <w:noWrap/>
            <w:tcMar>
              <w:left w:w="101" w:type="dxa"/>
              <w:right w:w="161" w:type="dxa"/>
            </w:tcMar>
            <w:vAlign w:val="center"/>
          </w:tcPr>
          <w:p w14:paraId="1F5E127C" w14:textId="77777777" w:rsidR="007D20EC" w:rsidRPr="001F6B18" w:rsidRDefault="007D20EC" w:rsidP="007D20EC">
            <w:pPr>
              <w:pStyle w:val="Normal6"/>
              <w:jc w:val="right"/>
              <w:rPr>
                <w:rFonts w:ascii="Calibri" w:eastAsia="Calibri" w:hAnsi="Calibri" w:cs="Calibri"/>
                <w:color w:val="000000"/>
                <w:sz w:val="18"/>
              </w:rPr>
            </w:pPr>
          </w:p>
        </w:tc>
        <w:tc>
          <w:tcPr>
            <w:tcW w:w="975" w:type="dxa"/>
            <w:tcBorders>
              <w:top w:val="single" w:sz="4" w:space="0" w:color="auto"/>
              <w:left w:val="nil"/>
              <w:bottom w:val="nil"/>
              <w:right w:val="nil"/>
              <w:tl2br w:val="nil"/>
              <w:tr2bl w:val="nil"/>
            </w:tcBorders>
            <w:shd w:val="clear" w:color="auto" w:fill="auto"/>
            <w:noWrap/>
            <w:tcMar>
              <w:left w:w="101" w:type="dxa"/>
              <w:right w:w="161" w:type="dxa"/>
            </w:tcMar>
            <w:vAlign w:val="center"/>
          </w:tcPr>
          <w:p w14:paraId="76F7E9F9" w14:textId="77777777" w:rsidR="007D20EC" w:rsidRPr="001F6B18" w:rsidRDefault="007D20EC" w:rsidP="007D20EC">
            <w:pPr>
              <w:pStyle w:val="Normal6"/>
              <w:jc w:val="right"/>
              <w:rPr>
                <w:rFonts w:ascii="Calibri" w:eastAsia="Calibri" w:hAnsi="Calibri" w:cs="Calibri"/>
                <w:color w:val="000000"/>
                <w:sz w:val="18"/>
              </w:rPr>
            </w:pPr>
          </w:p>
        </w:tc>
        <w:tc>
          <w:tcPr>
            <w:tcW w:w="975" w:type="dxa"/>
            <w:tcBorders>
              <w:top w:val="single" w:sz="4" w:space="0" w:color="auto"/>
              <w:left w:val="nil"/>
              <w:bottom w:val="nil"/>
              <w:right w:val="nil"/>
              <w:tl2br w:val="nil"/>
              <w:tr2bl w:val="nil"/>
            </w:tcBorders>
            <w:shd w:val="clear" w:color="auto" w:fill="auto"/>
            <w:noWrap/>
            <w:tcMar>
              <w:left w:w="101" w:type="dxa"/>
              <w:right w:w="161" w:type="dxa"/>
            </w:tcMar>
            <w:vAlign w:val="center"/>
          </w:tcPr>
          <w:p w14:paraId="1FD7E7E0" w14:textId="77777777" w:rsidR="007D20EC" w:rsidRPr="001F6B18" w:rsidRDefault="007D20EC" w:rsidP="007D20EC">
            <w:pPr>
              <w:pStyle w:val="Normal6"/>
              <w:jc w:val="right"/>
              <w:rPr>
                <w:rFonts w:ascii="Calibri" w:eastAsia="Calibri" w:hAnsi="Calibri" w:cs="Calibri"/>
                <w:color w:val="000000"/>
                <w:sz w:val="18"/>
              </w:rPr>
            </w:pPr>
          </w:p>
        </w:tc>
        <w:tc>
          <w:tcPr>
            <w:tcW w:w="975" w:type="dxa"/>
            <w:tcBorders>
              <w:top w:val="single" w:sz="4" w:space="0" w:color="auto"/>
              <w:left w:val="nil"/>
              <w:bottom w:val="nil"/>
              <w:right w:val="nil"/>
              <w:tl2br w:val="nil"/>
              <w:tr2bl w:val="nil"/>
            </w:tcBorders>
            <w:shd w:val="clear" w:color="auto" w:fill="auto"/>
            <w:noWrap/>
            <w:tcMar>
              <w:left w:w="101" w:type="dxa"/>
              <w:right w:w="161" w:type="dxa"/>
            </w:tcMar>
            <w:vAlign w:val="center"/>
          </w:tcPr>
          <w:p w14:paraId="38E73DF0" w14:textId="77777777" w:rsidR="007D20EC" w:rsidRPr="001F6B18" w:rsidRDefault="007D20EC" w:rsidP="007D20EC">
            <w:pPr>
              <w:pStyle w:val="Normal6"/>
              <w:jc w:val="right"/>
              <w:rPr>
                <w:rFonts w:ascii="Calibri" w:eastAsia="Calibri" w:hAnsi="Calibri" w:cs="Calibri"/>
                <w:color w:val="000000"/>
                <w:sz w:val="18"/>
              </w:rPr>
            </w:pPr>
          </w:p>
        </w:tc>
        <w:tc>
          <w:tcPr>
            <w:tcW w:w="1125" w:type="dxa"/>
            <w:tcBorders>
              <w:top w:val="single" w:sz="4" w:space="0" w:color="auto"/>
              <w:left w:val="nil"/>
              <w:bottom w:val="nil"/>
              <w:right w:val="nil"/>
              <w:tl2br w:val="nil"/>
              <w:tr2bl w:val="nil"/>
            </w:tcBorders>
            <w:shd w:val="clear" w:color="auto" w:fill="auto"/>
            <w:noWrap/>
            <w:tcMar>
              <w:left w:w="101" w:type="dxa"/>
              <w:right w:w="161" w:type="dxa"/>
            </w:tcMar>
            <w:vAlign w:val="center"/>
          </w:tcPr>
          <w:p w14:paraId="1A3FF78E" w14:textId="77777777" w:rsidR="007D20EC" w:rsidRPr="00A46438" w:rsidRDefault="007D20EC" w:rsidP="007D20EC">
            <w:pPr>
              <w:pStyle w:val="Normal6"/>
              <w:jc w:val="right"/>
              <w:rPr>
                <w:rFonts w:ascii="Calibri" w:eastAsia="Calibri" w:hAnsi="Calibri" w:cs="Calibri"/>
                <w:color w:val="000000"/>
                <w:sz w:val="18"/>
              </w:rPr>
            </w:pPr>
          </w:p>
        </w:tc>
        <w:tc>
          <w:tcPr>
            <w:tcW w:w="1125" w:type="dxa"/>
            <w:tcBorders>
              <w:top w:val="single" w:sz="4" w:space="0" w:color="auto"/>
              <w:left w:val="nil"/>
              <w:bottom w:val="nil"/>
              <w:right w:val="nil"/>
              <w:tl2br w:val="nil"/>
              <w:tr2bl w:val="nil"/>
            </w:tcBorders>
            <w:shd w:val="clear" w:color="auto" w:fill="auto"/>
            <w:noWrap/>
            <w:tcMar>
              <w:left w:w="101" w:type="dxa"/>
              <w:right w:w="101" w:type="dxa"/>
            </w:tcMar>
            <w:vAlign w:val="center"/>
          </w:tcPr>
          <w:p w14:paraId="2308D47C" w14:textId="77777777" w:rsidR="007D20EC" w:rsidRPr="001F6B18" w:rsidRDefault="007D20EC" w:rsidP="007D20EC">
            <w:pPr>
              <w:pStyle w:val="Normal6"/>
              <w:ind w:right="23"/>
              <w:jc w:val="right"/>
              <w:rPr>
                <w:rFonts w:ascii="Calibri" w:eastAsia="Calibri" w:hAnsi="Calibri" w:cs="Calibri"/>
                <w:color w:val="000000"/>
                <w:sz w:val="18"/>
              </w:rPr>
            </w:pPr>
          </w:p>
        </w:tc>
      </w:tr>
      <w:tr w:rsidR="007D20EC" w:rsidRPr="001F6B18" w14:paraId="03207598" w14:textId="77777777" w:rsidTr="005F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5DC51B32" w14:textId="73BA1D0C" w:rsidR="007D20EC" w:rsidRDefault="007D20EC" w:rsidP="007D20EC">
            <w:pPr>
              <w:pStyle w:val="Normal6"/>
              <w:rPr>
                <w:rFonts w:ascii="Calibri" w:eastAsia="Calibri" w:hAnsi="Calibri" w:cs="Calibri"/>
                <w:color w:val="000000"/>
                <w:sz w:val="18"/>
              </w:rPr>
            </w:pPr>
            <w:r>
              <w:rPr>
                <w:rFonts w:ascii="Calibri" w:eastAsia="Calibri" w:hAnsi="Calibri" w:cs="Calibri"/>
                <w:b/>
                <w:color w:val="000000"/>
                <w:sz w:val="18"/>
              </w:rPr>
              <w:t>Territorial Capital Grants</w:t>
            </w: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6DB13649" w14:textId="77777777" w:rsidR="007D20EC" w:rsidRPr="001F6B18" w:rsidRDefault="007D20EC" w:rsidP="007D20EC">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427C88A7" w14:textId="77777777" w:rsidR="007D20EC" w:rsidRPr="001F6B18" w:rsidRDefault="007D20EC" w:rsidP="007D20EC">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E934B81" w14:textId="77777777" w:rsidR="007D20EC" w:rsidRPr="001F6B18" w:rsidRDefault="007D20EC" w:rsidP="007D20EC">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33C46FBA" w14:textId="77777777" w:rsidR="007D20EC" w:rsidRPr="001F6B18" w:rsidRDefault="007D20EC" w:rsidP="007D20EC">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11FF0093" w14:textId="77777777" w:rsidR="007D20EC" w:rsidRPr="00A46438" w:rsidRDefault="007D20EC" w:rsidP="007D20EC">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7EC5BE3F" w14:textId="77777777" w:rsidR="007D20EC" w:rsidRPr="001F6B18" w:rsidRDefault="007D20EC" w:rsidP="007D20EC">
            <w:pPr>
              <w:pStyle w:val="Normal6"/>
              <w:ind w:right="23"/>
              <w:jc w:val="right"/>
              <w:rPr>
                <w:rFonts w:ascii="Calibri" w:eastAsia="Calibri" w:hAnsi="Calibri" w:cs="Calibri"/>
                <w:color w:val="000000"/>
                <w:sz w:val="18"/>
              </w:rPr>
            </w:pPr>
          </w:p>
        </w:tc>
      </w:tr>
      <w:tr w:rsidR="00677C53" w:rsidRPr="001F6B18" w14:paraId="7C786C43" w14:textId="77777777" w:rsidTr="005F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3FDC60B5" w14:textId="77777777" w:rsidR="00677C53" w:rsidRDefault="00677C53" w:rsidP="007D20EC">
            <w:pPr>
              <w:pStyle w:val="Normal6"/>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0476D6D3" w14:textId="77777777" w:rsidR="00677C53" w:rsidRPr="001F6B18" w:rsidRDefault="00677C53" w:rsidP="007D20EC">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5E1C12AD" w14:textId="77777777" w:rsidR="00677C53" w:rsidRPr="001F6B18" w:rsidRDefault="00677C53" w:rsidP="007D20EC">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76054F43" w14:textId="77777777" w:rsidR="00677C53" w:rsidRPr="001F6B18" w:rsidRDefault="00677C53" w:rsidP="007D20EC">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vAlign w:val="center"/>
          </w:tcPr>
          <w:p w14:paraId="44BEA411" w14:textId="77777777" w:rsidR="00677C53" w:rsidRPr="001F6B18" w:rsidRDefault="00677C53" w:rsidP="007D20EC">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vAlign w:val="center"/>
          </w:tcPr>
          <w:p w14:paraId="60A8FB36" w14:textId="77777777" w:rsidR="00677C53" w:rsidRPr="00A46438" w:rsidRDefault="00677C53" w:rsidP="007D20EC">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4DBA3B0E" w14:textId="77777777" w:rsidR="00677C53" w:rsidRPr="001F6B18" w:rsidRDefault="00677C53" w:rsidP="007D20EC">
            <w:pPr>
              <w:pStyle w:val="Normal6"/>
              <w:ind w:right="23"/>
              <w:jc w:val="right"/>
              <w:rPr>
                <w:rFonts w:ascii="Calibri" w:eastAsia="Calibri" w:hAnsi="Calibri" w:cs="Calibri"/>
                <w:color w:val="000000"/>
                <w:sz w:val="18"/>
              </w:rPr>
            </w:pPr>
          </w:p>
        </w:tc>
      </w:tr>
      <w:tr w:rsidR="007D20EC" w:rsidRPr="001F6B18" w14:paraId="0144F755"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41A878C0" w14:textId="45F95902" w:rsidR="007D20EC" w:rsidRDefault="007D20EC" w:rsidP="007D20EC">
            <w:pPr>
              <w:pStyle w:val="Normal6"/>
              <w:rPr>
                <w:rFonts w:ascii="Calibri" w:eastAsia="Calibri" w:hAnsi="Calibri" w:cs="Calibri"/>
                <w:color w:val="000000"/>
                <w:sz w:val="18"/>
              </w:rPr>
            </w:pPr>
            <w:r w:rsidRPr="00F8610C">
              <w:rPr>
                <w:rFonts w:ascii="Calibri" w:hAnsi="Calibri" w:cs="Calibri"/>
                <w:color w:val="000000"/>
                <w:sz w:val="18"/>
                <w:szCs w:val="18"/>
              </w:rPr>
              <w:t xml:space="preserve">Better Infrastructure Fund </w:t>
            </w:r>
            <w:r>
              <w:rPr>
                <w:rFonts w:ascii="Calibri" w:hAnsi="Calibri" w:cs="Calibri"/>
                <w:color w:val="000000"/>
                <w:sz w:val="18"/>
                <w:szCs w:val="18"/>
              </w:rPr>
              <w:t>–</w:t>
            </w:r>
            <w:r w:rsidRPr="00F8610C">
              <w:rPr>
                <w:rFonts w:ascii="Calibri" w:hAnsi="Calibri" w:cs="Calibri"/>
                <w:color w:val="000000"/>
                <w:sz w:val="18"/>
                <w:szCs w:val="18"/>
              </w:rPr>
              <w:t xml:space="preserve"> Calvary</w:t>
            </w:r>
          </w:p>
        </w:tc>
        <w:tc>
          <w:tcPr>
            <w:tcW w:w="975" w:type="dxa"/>
            <w:tcBorders>
              <w:top w:val="nil"/>
              <w:left w:val="nil"/>
              <w:bottom w:val="nil"/>
              <w:right w:val="nil"/>
              <w:tl2br w:val="nil"/>
              <w:tr2bl w:val="nil"/>
            </w:tcBorders>
            <w:shd w:val="clear" w:color="auto" w:fill="auto"/>
            <w:noWrap/>
            <w:tcMar>
              <w:left w:w="101" w:type="dxa"/>
              <w:right w:w="161" w:type="dxa"/>
            </w:tcMar>
          </w:tcPr>
          <w:p w14:paraId="772D485F" w14:textId="57B99B8E" w:rsidR="007D20EC" w:rsidRPr="001F6B18" w:rsidRDefault="007D20EC" w:rsidP="007D20EC">
            <w:pPr>
              <w:pStyle w:val="Normal6"/>
              <w:jc w:val="right"/>
              <w:rPr>
                <w:rFonts w:ascii="Calibri" w:eastAsia="Calibri" w:hAnsi="Calibri" w:cs="Calibri"/>
                <w:color w:val="000000"/>
                <w:sz w:val="18"/>
              </w:rPr>
            </w:pPr>
            <w:r w:rsidRPr="00F8610C">
              <w:rPr>
                <w:rFonts w:ascii="Calibri" w:hAnsi="Calibri" w:cs="Calibri"/>
                <w:color w:val="000000"/>
                <w:sz w:val="18"/>
                <w:szCs w:val="18"/>
              </w:rPr>
              <w:t>931</w:t>
            </w:r>
          </w:p>
        </w:tc>
        <w:tc>
          <w:tcPr>
            <w:tcW w:w="975" w:type="dxa"/>
            <w:tcBorders>
              <w:top w:val="nil"/>
              <w:left w:val="nil"/>
              <w:bottom w:val="nil"/>
              <w:right w:val="nil"/>
              <w:tl2br w:val="nil"/>
              <w:tr2bl w:val="nil"/>
            </w:tcBorders>
            <w:shd w:val="clear" w:color="auto" w:fill="auto"/>
            <w:noWrap/>
            <w:tcMar>
              <w:left w:w="101" w:type="dxa"/>
              <w:right w:w="161" w:type="dxa"/>
            </w:tcMar>
          </w:tcPr>
          <w:p w14:paraId="1F3E5090" w14:textId="069174A0" w:rsidR="007D20EC" w:rsidRPr="001F6B18" w:rsidRDefault="007D20EC" w:rsidP="007D20EC">
            <w:pPr>
              <w:pStyle w:val="Normal6"/>
              <w:jc w:val="right"/>
              <w:rPr>
                <w:rFonts w:ascii="Calibri" w:eastAsia="Calibri" w:hAnsi="Calibri" w:cs="Calibri"/>
                <w:color w:val="000000"/>
                <w:sz w:val="18"/>
              </w:rPr>
            </w:pPr>
            <w:r w:rsidRPr="00F8610C">
              <w:rPr>
                <w:rFonts w:ascii="Calibri" w:hAnsi="Calibri" w:cs="Calibri"/>
                <w:color w:val="000000"/>
                <w:sz w:val="18"/>
                <w:szCs w:val="18"/>
              </w:rPr>
              <w:t>954</w:t>
            </w:r>
          </w:p>
        </w:tc>
        <w:tc>
          <w:tcPr>
            <w:tcW w:w="975" w:type="dxa"/>
            <w:tcBorders>
              <w:top w:val="nil"/>
              <w:left w:val="nil"/>
              <w:bottom w:val="nil"/>
              <w:right w:val="nil"/>
              <w:tl2br w:val="nil"/>
              <w:tr2bl w:val="nil"/>
            </w:tcBorders>
            <w:shd w:val="clear" w:color="auto" w:fill="auto"/>
            <w:noWrap/>
            <w:tcMar>
              <w:left w:w="101" w:type="dxa"/>
              <w:right w:w="161" w:type="dxa"/>
            </w:tcMar>
          </w:tcPr>
          <w:p w14:paraId="34A55518" w14:textId="1533D008" w:rsidR="007D20EC" w:rsidRPr="001F6B18" w:rsidRDefault="007D20EC" w:rsidP="007D20EC">
            <w:pPr>
              <w:pStyle w:val="Normal6"/>
              <w:jc w:val="right"/>
              <w:rPr>
                <w:rFonts w:ascii="Calibri" w:eastAsia="Calibri" w:hAnsi="Calibri" w:cs="Calibri"/>
                <w:color w:val="000000"/>
                <w:sz w:val="18"/>
              </w:rPr>
            </w:pPr>
            <w:r w:rsidRPr="00F8610C">
              <w:rPr>
                <w:rFonts w:ascii="Calibri" w:hAnsi="Calibri" w:cs="Calibri"/>
                <w:color w:val="000000"/>
                <w:sz w:val="18"/>
                <w:szCs w:val="18"/>
              </w:rPr>
              <w:t>978</w:t>
            </w:r>
          </w:p>
        </w:tc>
        <w:tc>
          <w:tcPr>
            <w:tcW w:w="975" w:type="dxa"/>
            <w:tcBorders>
              <w:top w:val="nil"/>
              <w:left w:val="nil"/>
              <w:bottom w:val="nil"/>
              <w:right w:val="nil"/>
              <w:tl2br w:val="nil"/>
              <w:tr2bl w:val="nil"/>
            </w:tcBorders>
            <w:shd w:val="clear" w:color="auto" w:fill="auto"/>
            <w:noWrap/>
            <w:tcMar>
              <w:left w:w="101" w:type="dxa"/>
              <w:right w:w="161" w:type="dxa"/>
            </w:tcMar>
          </w:tcPr>
          <w:p w14:paraId="45BE36B6" w14:textId="7FC07554" w:rsidR="007D20EC" w:rsidRPr="001F6B18" w:rsidRDefault="007D20EC" w:rsidP="007D20EC">
            <w:pPr>
              <w:pStyle w:val="Normal6"/>
              <w:jc w:val="right"/>
              <w:rPr>
                <w:rFonts w:ascii="Calibri" w:eastAsia="Calibri" w:hAnsi="Calibri" w:cs="Calibri"/>
                <w:color w:val="000000"/>
                <w:sz w:val="18"/>
              </w:rPr>
            </w:pPr>
            <w:r w:rsidRPr="00F8610C">
              <w:rPr>
                <w:rFonts w:ascii="Calibri" w:hAnsi="Calibri" w:cs="Calibri"/>
                <w:color w:val="000000"/>
                <w:sz w:val="18"/>
                <w:szCs w:val="18"/>
              </w:rPr>
              <w:t>1,002</w:t>
            </w:r>
          </w:p>
        </w:tc>
        <w:tc>
          <w:tcPr>
            <w:tcW w:w="1125" w:type="dxa"/>
            <w:tcBorders>
              <w:top w:val="nil"/>
              <w:left w:val="nil"/>
              <w:bottom w:val="nil"/>
              <w:right w:val="nil"/>
              <w:tl2br w:val="nil"/>
              <w:tr2bl w:val="nil"/>
            </w:tcBorders>
            <w:shd w:val="clear" w:color="auto" w:fill="auto"/>
            <w:noWrap/>
            <w:tcMar>
              <w:left w:w="101" w:type="dxa"/>
              <w:right w:w="161" w:type="dxa"/>
            </w:tcMar>
          </w:tcPr>
          <w:p w14:paraId="2D45B86A" w14:textId="15622116" w:rsidR="007D20EC" w:rsidRPr="00A46438" w:rsidRDefault="007D20EC" w:rsidP="007D20EC">
            <w:pPr>
              <w:pStyle w:val="Normal6"/>
              <w:jc w:val="right"/>
              <w:rPr>
                <w:rFonts w:ascii="Calibri" w:eastAsia="Calibri" w:hAnsi="Calibri" w:cs="Calibri"/>
                <w:color w:val="000000"/>
                <w:sz w:val="18"/>
              </w:rPr>
            </w:pPr>
            <w:r w:rsidRPr="006D4C3C">
              <w:rPr>
                <w:rFonts w:ascii="Calibri" w:hAnsi="Calibri" w:cs="Calibri"/>
                <w:color w:val="000000"/>
                <w:sz w:val="18"/>
                <w:szCs w:val="18"/>
              </w:rPr>
              <w:t>3,865</w:t>
            </w:r>
          </w:p>
        </w:tc>
        <w:tc>
          <w:tcPr>
            <w:tcW w:w="1125" w:type="dxa"/>
            <w:tcBorders>
              <w:top w:val="nil"/>
              <w:left w:val="nil"/>
              <w:bottom w:val="nil"/>
              <w:right w:val="nil"/>
              <w:tl2br w:val="nil"/>
              <w:tr2bl w:val="nil"/>
            </w:tcBorders>
            <w:shd w:val="clear" w:color="auto" w:fill="auto"/>
            <w:noWrap/>
            <w:tcMar>
              <w:left w:w="101" w:type="dxa"/>
              <w:right w:w="101" w:type="dxa"/>
            </w:tcMar>
          </w:tcPr>
          <w:p w14:paraId="66C07B3E" w14:textId="22BAA921" w:rsidR="007D20EC" w:rsidRPr="001F6B18" w:rsidRDefault="00447E73" w:rsidP="007D20EC">
            <w:pPr>
              <w:pStyle w:val="Normal6"/>
              <w:ind w:right="23"/>
              <w:jc w:val="right"/>
              <w:rPr>
                <w:rFonts w:ascii="Calibri" w:eastAsia="Calibri" w:hAnsi="Calibri" w:cs="Calibri"/>
                <w:color w:val="000000"/>
                <w:sz w:val="18"/>
              </w:rPr>
            </w:pPr>
            <w:r>
              <w:rPr>
                <w:rFonts w:ascii="Calibri" w:eastAsia="Calibri" w:hAnsi="Calibri" w:cs="Calibri"/>
                <w:color w:val="000000"/>
                <w:sz w:val="18"/>
              </w:rPr>
              <w:t>Ongoing</w:t>
            </w:r>
          </w:p>
        </w:tc>
      </w:tr>
      <w:tr w:rsidR="007D20EC" w:rsidRPr="00436199" w14:paraId="5D8226C2"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2BE24DC4" w14:textId="7264F0B2" w:rsidR="007D20EC" w:rsidRPr="00436199" w:rsidRDefault="00C76DDB" w:rsidP="007D20EC">
            <w:pPr>
              <w:pStyle w:val="Normal6"/>
              <w:rPr>
                <w:rFonts w:ascii="Calibri" w:eastAsia="Calibri" w:hAnsi="Calibri" w:cs="Calibri"/>
                <w:color w:val="000000"/>
                <w:sz w:val="18"/>
              </w:rPr>
            </w:pPr>
            <w:r w:rsidRPr="00436199">
              <w:rPr>
                <w:rFonts w:ascii="Calibri" w:hAnsi="Calibri" w:cs="Calibri"/>
                <w:color w:val="000000"/>
                <w:sz w:val="18"/>
                <w:szCs w:val="18"/>
              </w:rPr>
              <w:t xml:space="preserve">Calvary </w:t>
            </w:r>
            <w:r w:rsidR="002A2525">
              <w:rPr>
                <w:rFonts w:ascii="Calibri" w:hAnsi="Calibri" w:cs="Calibri"/>
                <w:color w:val="000000"/>
                <w:sz w:val="18"/>
                <w:szCs w:val="18"/>
              </w:rPr>
              <w:t>c</w:t>
            </w:r>
            <w:r>
              <w:rPr>
                <w:rFonts w:ascii="Calibri" w:hAnsi="Calibri" w:cs="Calibri"/>
                <w:color w:val="000000"/>
                <w:sz w:val="18"/>
                <w:szCs w:val="18"/>
              </w:rPr>
              <w:t xml:space="preserve">ritical </w:t>
            </w:r>
            <w:r w:rsidR="002A2525">
              <w:rPr>
                <w:rFonts w:ascii="Calibri" w:hAnsi="Calibri" w:cs="Calibri"/>
                <w:color w:val="000000"/>
                <w:sz w:val="18"/>
                <w:szCs w:val="18"/>
              </w:rPr>
              <w:t>i</w:t>
            </w:r>
            <w:r w:rsidRPr="00436199">
              <w:rPr>
                <w:rFonts w:ascii="Calibri" w:hAnsi="Calibri" w:cs="Calibri"/>
                <w:color w:val="000000"/>
                <w:sz w:val="18"/>
                <w:szCs w:val="18"/>
              </w:rPr>
              <w:t>nfrastructure</w:t>
            </w:r>
            <w:r w:rsidR="002A2525">
              <w:rPr>
                <w:rFonts w:ascii="Calibri" w:hAnsi="Calibri" w:cs="Calibri"/>
                <w:color w:val="000000"/>
                <w:sz w:val="18"/>
                <w:szCs w:val="18"/>
              </w:rPr>
              <w:t xml:space="preserve"> phase 1</w:t>
            </w:r>
          </w:p>
        </w:tc>
        <w:tc>
          <w:tcPr>
            <w:tcW w:w="975" w:type="dxa"/>
            <w:tcBorders>
              <w:top w:val="nil"/>
              <w:left w:val="nil"/>
              <w:bottom w:val="nil"/>
              <w:right w:val="nil"/>
              <w:tl2br w:val="nil"/>
              <w:tr2bl w:val="nil"/>
            </w:tcBorders>
            <w:shd w:val="clear" w:color="auto" w:fill="auto"/>
            <w:noWrap/>
            <w:tcMar>
              <w:left w:w="101" w:type="dxa"/>
              <w:right w:w="161" w:type="dxa"/>
            </w:tcMar>
          </w:tcPr>
          <w:p w14:paraId="23CE2E00" w14:textId="2E05B8AD" w:rsidR="007D20EC" w:rsidRPr="00436199" w:rsidRDefault="007D20EC" w:rsidP="007D20EC">
            <w:pPr>
              <w:pStyle w:val="Normal6"/>
              <w:jc w:val="right"/>
              <w:rPr>
                <w:rFonts w:ascii="Calibri" w:eastAsia="Calibri" w:hAnsi="Calibri" w:cs="Calibri"/>
                <w:color w:val="000000"/>
                <w:sz w:val="18"/>
              </w:rPr>
            </w:pPr>
            <w:r w:rsidRPr="00436199">
              <w:rPr>
                <w:rFonts w:ascii="Calibri" w:hAnsi="Calibri" w:cs="Calibri"/>
                <w:color w:val="000000"/>
                <w:sz w:val="18"/>
                <w:szCs w:val="18"/>
              </w:rPr>
              <w:t>6,603</w:t>
            </w:r>
          </w:p>
        </w:tc>
        <w:tc>
          <w:tcPr>
            <w:tcW w:w="975" w:type="dxa"/>
            <w:tcBorders>
              <w:top w:val="nil"/>
              <w:left w:val="nil"/>
              <w:bottom w:val="nil"/>
              <w:right w:val="nil"/>
              <w:tl2br w:val="nil"/>
              <w:tr2bl w:val="nil"/>
            </w:tcBorders>
            <w:shd w:val="clear" w:color="auto" w:fill="auto"/>
            <w:noWrap/>
            <w:tcMar>
              <w:left w:w="101" w:type="dxa"/>
              <w:right w:w="161" w:type="dxa"/>
            </w:tcMar>
          </w:tcPr>
          <w:p w14:paraId="37C768A7" w14:textId="46594B3C" w:rsidR="007D20EC" w:rsidRPr="00436199" w:rsidRDefault="001F1FBA" w:rsidP="007D20EC">
            <w:pPr>
              <w:pStyle w:val="Normal6"/>
              <w:jc w:val="right"/>
              <w:rPr>
                <w:rFonts w:ascii="Calibri" w:eastAsia="Calibri" w:hAnsi="Calibri" w:cs="Calibri"/>
                <w:color w:val="000000"/>
                <w:sz w:val="18"/>
              </w:rPr>
            </w:pPr>
            <w:r>
              <w:rPr>
                <w:rFonts w:ascii="Calibri" w:hAnsi="Calibri" w:cs="Calibri"/>
                <w:color w:val="000000"/>
                <w:sz w:val="18"/>
                <w:szCs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7806A069" w14:textId="4ACFFB89" w:rsidR="007D20EC" w:rsidRPr="00436199" w:rsidRDefault="001F1FBA" w:rsidP="007D20EC">
            <w:pPr>
              <w:pStyle w:val="Normal6"/>
              <w:jc w:val="right"/>
              <w:rPr>
                <w:rFonts w:ascii="Calibri" w:eastAsia="Calibri" w:hAnsi="Calibri" w:cs="Calibri"/>
                <w:color w:val="000000"/>
                <w:sz w:val="18"/>
              </w:rPr>
            </w:pPr>
            <w:r>
              <w:rPr>
                <w:rFonts w:ascii="Calibri" w:hAnsi="Calibri" w:cs="Calibri"/>
                <w:color w:val="000000"/>
                <w:sz w:val="18"/>
                <w:szCs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3144E2DE" w14:textId="7BD7C4BA" w:rsidR="007D20EC" w:rsidRPr="00436199" w:rsidRDefault="001F1FBA" w:rsidP="007D20EC">
            <w:pPr>
              <w:pStyle w:val="Normal6"/>
              <w:jc w:val="right"/>
              <w:rPr>
                <w:rFonts w:ascii="Calibri" w:eastAsia="Calibri" w:hAnsi="Calibri" w:cs="Calibri"/>
                <w:color w:val="000000"/>
                <w:sz w:val="18"/>
              </w:rPr>
            </w:pPr>
            <w:r>
              <w:rPr>
                <w:rFonts w:ascii="Calibri" w:hAnsi="Calibri" w:cs="Calibri"/>
                <w:color w:val="000000"/>
                <w:sz w:val="18"/>
                <w:szCs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3AC028E7" w14:textId="07FF4CEE" w:rsidR="007D20EC" w:rsidRPr="00436199" w:rsidRDefault="007D20EC" w:rsidP="007D20EC">
            <w:pPr>
              <w:pStyle w:val="Normal6"/>
              <w:jc w:val="right"/>
              <w:rPr>
                <w:rFonts w:ascii="Calibri" w:eastAsia="Calibri" w:hAnsi="Calibri" w:cs="Calibri"/>
                <w:color w:val="000000"/>
                <w:sz w:val="18"/>
              </w:rPr>
            </w:pPr>
            <w:r w:rsidRPr="00436199">
              <w:rPr>
                <w:rFonts w:ascii="Calibri" w:hAnsi="Calibri" w:cs="Calibri"/>
                <w:color w:val="000000"/>
                <w:sz w:val="18"/>
                <w:szCs w:val="18"/>
              </w:rPr>
              <w:t>6,603</w:t>
            </w:r>
          </w:p>
        </w:tc>
        <w:tc>
          <w:tcPr>
            <w:tcW w:w="1125" w:type="dxa"/>
            <w:tcBorders>
              <w:top w:val="nil"/>
              <w:left w:val="nil"/>
              <w:bottom w:val="nil"/>
              <w:right w:val="nil"/>
              <w:tl2br w:val="nil"/>
              <w:tr2bl w:val="nil"/>
            </w:tcBorders>
            <w:shd w:val="clear" w:color="auto" w:fill="auto"/>
            <w:noWrap/>
            <w:tcMar>
              <w:left w:w="101" w:type="dxa"/>
              <w:right w:w="101" w:type="dxa"/>
            </w:tcMar>
          </w:tcPr>
          <w:p w14:paraId="78EDFFFB" w14:textId="683705A0" w:rsidR="007D20EC" w:rsidRPr="00436199" w:rsidRDefault="007D20EC" w:rsidP="007D20EC">
            <w:pPr>
              <w:pStyle w:val="Normal6"/>
              <w:ind w:right="23"/>
              <w:jc w:val="right"/>
              <w:rPr>
                <w:rFonts w:ascii="Calibri" w:eastAsia="Calibri" w:hAnsi="Calibri" w:cs="Calibri"/>
                <w:color w:val="000000"/>
                <w:sz w:val="18"/>
              </w:rPr>
            </w:pPr>
            <w:r w:rsidRPr="00436199">
              <w:rPr>
                <w:rFonts w:ascii="Calibri" w:eastAsia="Calibri" w:hAnsi="Calibri" w:cs="Calibri"/>
                <w:color w:val="000000"/>
                <w:sz w:val="18"/>
              </w:rPr>
              <w:t>Jun-22</w:t>
            </w:r>
          </w:p>
        </w:tc>
      </w:tr>
      <w:tr w:rsidR="007D20EC" w:rsidRPr="001F6B18" w14:paraId="57DB0724"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429AD9A0" w14:textId="74D15D59" w:rsidR="007D20EC" w:rsidRPr="00436199" w:rsidRDefault="002A2525" w:rsidP="007D20EC">
            <w:pPr>
              <w:pStyle w:val="Normal6"/>
              <w:rPr>
                <w:rFonts w:ascii="Calibri" w:eastAsia="Calibri" w:hAnsi="Calibri" w:cs="Calibri"/>
                <w:color w:val="000000"/>
                <w:sz w:val="18"/>
              </w:rPr>
            </w:pPr>
            <w:r w:rsidRPr="002A2525">
              <w:rPr>
                <w:rFonts w:ascii="Calibri" w:hAnsi="Calibri" w:cs="Calibri"/>
                <w:color w:val="000000"/>
                <w:sz w:val="18"/>
                <w:szCs w:val="18"/>
              </w:rPr>
              <w:t>Calvary critical infrastructure</w:t>
            </w:r>
            <w:r>
              <w:rPr>
                <w:rFonts w:ascii="Calibri" w:hAnsi="Calibri" w:cs="Calibri"/>
                <w:color w:val="000000"/>
                <w:sz w:val="18"/>
                <w:szCs w:val="18"/>
              </w:rPr>
              <w:t xml:space="preserve"> phase 2</w:t>
            </w:r>
          </w:p>
        </w:tc>
        <w:tc>
          <w:tcPr>
            <w:tcW w:w="975" w:type="dxa"/>
            <w:tcBorders>
              <w:top w:val="nil"/>
              <w:left w:val="nil"/>
              <w:bottom w:val="nil"/>
              <w:right w:val="nil"/>
              <w:tl2br w:val="nil"/>
              <w:tr2bl w:val="nil"/>
            </w:tcBorders>
            <w:shd w:val="clear" w:color="auto" w:fill="auto"/>
            <w:noWrap/>
            <w:tcMar>
              <w:left w:w="101" w:type="dxa"/>
              <w:right w:w="161" w:type="dxa"/>
            </w:tcMar>
          </w:tcPr>
          <w:p w14:paraId="499BAB23" w14:textId="21DFA9B0" w:rsidR="007D20EC" w:rsidRPr="00436199" w:rsidRDefault="007D20EC" w:rsidP="007D20EC">
            <w:pPr>
              <w:pStyle w:val="Normal6"/>
              <w:jc w:val="right"/>
              <w:rPr>
                <w:rFonts w:ascii="Calibri" w:eastAsia="Calibri" w:hAnsi="Calibri" w:cs="Calibri"/>
                <w:color w:val="000000"/>
                <w:sz w:val="18"/>
              </w:rPr>
            </w:pPr>
            <w:r w:rsidRPr="00436199">
              <w:rPr>
                <w:rFonts w:ascii="Calibri" w:eastAsia="Calibri" w:hAnsi="Calibri" w:cs="Calibri"/>
                <w:color w:val="000000"/>
                <w:sz w:val="18"/>
              </w:rPr>
              <w:t>8,645</w:t>
            </w:r>
          </w:p>
        </w:tc>
        <w:tc>
          <w:tcPr>
            <w:tcW w:w="975" w:type="dxa"/>
            <w:tcBorders>
              <w:top w:val="nil"/>
              <w:left w:val="nil"/>
              <w:bottom w:val="nil"/>
              <w:right w:val="nil"/>
              <w:tl2br w:val="nil"/>
              <w:tr2bl w:val="nil"/>
            </w:tcBorders>
            <w:shd w:val="clear" w:color="auto" w:fill="auto"/>
            <w:noWrap/>
            <w:tcMar>
              <w:left w:w="101" w:type="dxa"/>
              <w:right w:w="161" w:type="dxa"/>
            </w:tcMar>
          </w:tcPr>
          <w:p w14:paraId="740139A6" w14:textId="1C7D8142" w:rsidR="007D20EC" w:rsidRPr="00436199" w:rsidRDefault="007D20EC" w:rsidP="007D20EC">
            <w:pPr>
              <w:pStyle w:val="Normal6"/>
              <w:jc w:val="right"/>
              <w:rPr>
                <w:rFonts w:ascii="Calibri" w:eastAsia="Calibri" w:hAnsi="Calibri" w:cs="Calibri"/>
                <w:color w:val="000000"/>
                <w:sz w:val="18"/>
              </w:rPr>
            </w:pPr>
            <w:r w:rsidRPr="00436199">
              <w:rPr>
                <w:rFonts w:ascii="Calibri" w:eastAsia="Calibri" w:hAnsi="Calibri" w:cs="Calibri"/>
                <w:color w:val="000000"/>
                <w:sz w:val="18"/>
              </w:rPr>
              <w:t>10,171</w:t>
            </w:r>
          </w:p>
        </w:tc>
        <w:tc>
          <w:tcPr>
            <w:tcW w:w="975" w:type="dxa"/>
            <w:tcBorders>
              <w:top w:val="nil"/>
              <w:left w:val="nil"/>
              <w:bottom w:val="nil"/>
              <w:right w:val="nil"/>
              <w:tl2br w:val="nil"/>
              <w:tr2bl w:val="nil"/>
            </w:tcBorders>
            <w:shd w:val="clear" w:color="auto" w:fill="auto"/>
            <w:noWrap/>
            <w:tcMar>
              <w:left w:w="101" w:type="dxa"/>
              <w:right w:w="161" w:type="dxa"/>
            </w:tcMar>
          </w:tcPr>
          <w:p w14:paraId="6E0D90A2" w14:textId="15D47CEC" w:rsidR="007D20EC" w:rsidRPr="00436199" w:rsidRDefault="007D20EC" w:rsidP="007D20EC">
            <w:pPr>
              <w:pStyle w:val="Normal6"/>
              <w:jc w:val="right"/>
              <w:rPr>
                <w:rFonts w:ascii="Calibri" w:eastAsia="Calibri" w:hAnsi="Calibri" w:cs="Calibri"/>
                <w:color w:val="000000"/>
                <w:sz w:val="18"/>
              </w:rPr>
            </w:pPr>
            <w:r w:rsidRPr="00436199">
              <w:rPr>
                <w:rFonts w:ascii="Calibri" w:eastAsia="Calibri" w:hAnsi="Calibri" w:cs="Calibri"/>
                <w:color w:val="000000"/>
                <w:sz w:val="18"/>
              </w:rPr>
              <w:t>1,000</w:t>
            </w:r>
          </w:p>
        </w:tc>
        <w:tc>
          <w:tcPr>
            <w:tcW w:w="975" w:type="dxa"/>
            <w:tcBorders>
              <w:top w:val="nil"/>
              <w:left w:val="nil"/>
              <w:bottom w:val="nil"/>
              <w:right w:val="nil"/>
              <w:tl2br w:val="nil"/>
              <w:tr2bl w:val="nil"/>
            </w:tcBorders>
            <w:shd w:val="clear" w:color="auto" w:fill="auto"/>
            <w:noWrap/>
            <w:tcMar>
              <w:left w:w="101" w:type="dxa"/>
              <w:right w:w="161" w:type="dxa"/>
            </w:tcMar>
          </w:tcPr>
          <w:p w14:paraId="19729675" w14:textId="4AB6AD3B" w:rsidR="007D20EC" w:rsidRPr="00436199" w:rsidRDefault="001F1FBA" w:rsidP="007D20EC">
            <w:pPr>
              <w:pStyle w:val="Normal6"/>
              <w:jc w:val="right"/>
              <w:rPr>
                <w:rFonts w:ascii="Calibri" w:eastAsia="Calibri" w:hAnsi="Calibri" w:cs="Calibri"/>
                <w:color w:val="000000"/>
                <w:sz w:val="18"/>
              </w:rPr>
            </w:pPr>
            <w:r>
              <w:rPr>
                <w:rFonts w:ascii="Calibri" w:hAnsi="Calibri" w:cs="Calibri"/>
                <w:color w:val="000000"/>
                <w:sz w:val="18"/>
                <w:szCs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5C02C6DE" w14:textId="273E5D99" w:rsidR="007D20EC" w:rsidRPr="00436199" w:rsidRDefault="007D20EC" w:rsidP="007D20EC">
            <w:pPr>
              <w:pStyle w:val="Normal6"/>
              <w:jc w:val="right"/>
              <w:rPr>
                <w:rFonts w:ascii="Calibri" w:eastAsia="Calibri" w:hAnsi="Calibri" w:cs="Calibri"/>
                <w:color w:val="000000"/>
                <w:sz w:val="18"/>
              </w:rPr>
            </w:pPr>
            <w:r w:rsidRPr="00436199">
              <w:rPr>
                <w:rFonts w:ascii="Calibri" w:hAnsi="Calibri" w:cs="Calibri"/>
                <w:color w:val="000000"/>
                <w:sz w:val="18"/>
                <w:szCs w:val="18"/>
              </w:rPr>
              <w:t>19,816</w:t>
            </w:r>
          </w:p>
        </w:tc>
        <w:tc>
          <w:tcPr>
            <w:tcW w:w="1125" w:type="dxa"/>
            <w:tcBorders>
              <w:top w:val="nil"/>
              <w:left w:val="nil"/>
              <w:bottom w:val="nil"/>
              <w:right w:val="nil"/>
              <w:tl2br w:val="nil"/>
              <w:tr2bl w:val="nil"/>
            </w:tcBorders>
            <w:shd w:val="clear" w:color="auto" w:fill="auto"/>
            <w:noWrap/>
            <w:tcMar>
              <w:left w:w="101" w:type="dxa"/>
              <w:right w:w="101" w:type="dxa"/>
            </w:tcMar>
          </w:tcPr>
          <w:p w14:paraId="71940D9C" w14:textId="1E9988C8" w:rsidR="007D20EC" w:rsidRPr="001F6B18" w:rsidRDefault="007D20EC" w:rsidP="007D20EC">
            <w:pPr>
              <w:pStyle w:val="Normal6"/>
              <w:ind w:right="23"/>
              <w:jc w:val="right"/>
              <w:rPr>
                <w:rFonts w:ascii="Calibri" w:eastAsia="Calibri" w:hAnsi="Calibri" w:cs="Calibri"/>
                <w:color w:val="000000"/>
                <w:sz w:val="18"/>
              </w:rPr>
            </w:pPr>
            <w:r w:rsidRPr="00436199">
              <w:rPr>
                <w:rFonts w:ascii="Calibri" w:eastAsia="Calibri" w:hAnsi="Calibri" w:cs="Calibri"/>
                <w:color w:val="000000"/>
                <w:sz w:val="18"/>
              </w:rPr>
              <w:t>Jun-24</w:t>
            </w:r>
          </w:p>
        </w:tc>
      </w:tr>
      <w:tr w:rsidR="002A2525" w:rsidRPr="001F6B18" w14:paraId="7B9A6897" w14:textId="77777777" w:rsidTr="00D17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24CDF9C5" w14:textId="77777777" w:rsidR="002A2525" w:rsidRDefault="002A2525" w:rsidP="00D177B8">
            <w:pPr>
              <w:pStyle w:val="Normal6"/>
              <w:rPr>
                <w:rFonts w:ascii="Calibri" w:eastAsia="Calibri" w:hAnsi="Calibri" w:cs="Calibri"/>
                <w:color w:val="000000"/>
                <w:sz w:val="18"/>
              </w:rPr>
            </w:pPr>
            <w:r w:rsidRPr="002A2525">
              <w:rPr>
                <w:rFonts w:ascii="Calibri" w:hAnsi="Calibri" w:cs="Calibri"/>
                <w:color w:val="000000"/>
                <w:sz w:val="18"/>
                <w:szCs w:val="18"/>
              </w:rPr>
              <w:t>Expansion of palliative care services at Clare Holland House Hospice</w:t>
            </w:r>
          </w:p>
        </w:tc>
        <w:tc>
          <w:tcPr>
            <w:tcW w:w="975" w:type="dxa"/>
            <w:tcBorders>
              <w:top w:val="nil"/>
              <w:left w:val="nil"/>
              <w:bottom w:val="nil"/>
              <w:right w:val="nil"/>
              <w:tl2br w:val="nil"/>
              <w:tr2bl w:val="nil"/>
            </w:tcBorders>
            <w:shd w:val="clear" w:color="auto" w:fill="auto"/>
            <w:noWrap/>
            <w:tcMar>
              <w:left w:w="101" w:type="dxa"/>
              <w:right w:w="161" w:type="dxa"/>
            </w:tcMar>
          </w:tcPr>
          <w:p w14:paraId="0CF3C5F3" w14:textId="77777777" w:rsidR="002A2525" w:rsidRPr="001F6B18" w:rsidRDefault="002A2525" w:rsidP="00D177B8">
            <w:pPr>
              <w:pStyle w:val="Normal6"/>
              <w:jc w:val="right"/>
              <w:rPr>
                <w:rFonts w:ascii="Calibri" w:eastAsia="Calibri" w:hAnsi="Calibri" w:cs="Calibri"/>
                <w:color w:val="000000"/>
                <w:sz w:val="18"/>
              </w:rPr>
            </w:pPr>
            <w:r>
              <w:rPr>
                <w:rFonts w:ascii="Calibri" w:eastAsia="Calibri" w:hAnsi="Calibri" w:cs="Calibri"/>
                <w:color w:val="000000"/>
                <w:sz w:val="18"/>
              </w:rPr>
              <w:t>46</w:t>
            </w:r>
          </w:p>
        </w:tc>
        <w:tc>
          <w:tcPr>
            <w:tcW w:w="975" w:type="dxa"/>
            <w:tcBorders>
              <w:top w:val="nil"/>
              <w:left w:val="nil"/>
              <w:bottom w:val="nil"/>
              <w:right w:val="nil"/>
              <w:tl2br w:val="nil"/>
              <w:tr2bl w:val="nil"/>
            </w:tcBorders>
            <w:shd w:val="clear" w:color="auto" w:fill="auto"/>
            <w:noWrap/>
            <w:tcMar>
              <w:left w:w="101" w:type="dxa"/>
              <w:right w:w="161" w:type="dxa"/>
            </w:tcMar>
          </w:tcPr>
          <w:p w14:paraId="7EFDA469" w14:textId="77777777" w:rsidR="002A2525" w:rsidRPr="001F6B18" w:rsidRDefault="002A2525" w:rsidP="00D177B8">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639945A1" w14:textId="77777777" w:rsidR="002A2525" w:rsidRPr="001F6B18" w:rsidRDefault="002A2525" w:rsidP="00D177B8">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0A112A80" w14:textId="77777777" w:rsidR="002A2525" w:rsidRPr="001F6B18" w:rsidRDefault="002A2525" w:rsidP="00D177B8">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4F983163" w14:textId="77777777" w:rsidR="002A2525" w:rsidRPr="00A46438" w:rsidRDefault="002A2525" w:rsidP="00D177B8">
            <w:pPr>
              <w:pStyle w:val="Normal6"/>
              <w:jc w:val="right"/>
              <w:rPr>
                <w:rFonts w:ascii="Calibri" w:eastAsia="Calibri" w:hAnsi="Calibri" w:cs="Calibri"/>
                <w:color w:val="000000"/>
                <w:sz w:val="18"/>
              </w:rPr>
            </w:pPr>
            <w:r w:rsidRPr="006D4C3C">
              <w:rPr>
                <w:rFonts w:ascii="Calibri" w:hAnsi="Calibri" w:cs="Calibri"/>
                <w:color w:val="000000"/>
                <w:sz w:val="18"/>
                <w:szCs w:val="18"/>
              </w:rPr>
              <w:t>46</w:t>
            </w:r>
          </w:p>
        </w:tc>
        <w:tc>
          <w:tcPr>
            <w:tcW w:w="1125" w:type="dxa"/>
            <w:tcBorders>
              <w:top w:val="nil"/>
              <w:left w:val="nil"/>
              <w:bottom w:val="nil"/>
              <w:right w:val="nil"/>
              <w:tl2br w:val="nil"/>
              <w:tr2bl w:val="nil"/>
            </w:tcBorders>
            <w:shd w:val="clear" w:color="auto" w:fill="auto"/>
            <w:noWrap/>
            <w:tcMar>
              <w:left w:w="101" w:type="dxa"/>
              <w:right w:w="101" w:type="dxa"/>
            </w:tcMar>
          </w:tcPr>
          <w:p w14:paraId="1CAB8858" w14:textId="150A4C23" w:rsidR="002A2525" w:rsidRPr="001F6B18" w:rsidRDefault="0025132F" w:rsidP="00D177B8">
            <w:pPr>
              <w:pStyle w:val="Normal6"/>
              <w:ind w:right="23"/>
              <w:jc w:val="right"/>
              <w:rPr>
                <w:rFonts w:ascii="Calibri" w:eastAsia="Calibri" w:hAnsi="Calibri" w:cs="Calibri"/>
                <w:color w:val="000000"/>
                <w:sz w:val="18"/>
              </w:rPr>
            </w:pPr>
            <w:r>
              <w:rPr>
                <w:rFonts w:ascii="Calibri" w:eastAsia="Calibri" w:hAnsi="Calibri" w:cs="Calibri"/>
                <w:color w:val="000000"/>
                <w:sz w:val="18"/>
              </w:rPr>
              <w:t>Apr-22</w:t>
            </w:r>
          </w:p>
        </w:tc>
      </w:tr>
      <w:tr w:rsidR="007D20EC" w:rsidRPr="001F6B18" w14:paraId="0BC5130C"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16468BD2" w14:textId="32B443A4" w:rsidR="007D20EC" w:rsidRDefault="00F61006" w:rsidP="007D20EC">
            <w:pPr>
              <w:pStyle w:val="Normal6"/>
              <w:rPr>
                <w:rFonts w:ascii="Calibri" w:eastAsia="Calibri" w:hAnsi="Calibri" w:cs="Calibri"/>
                <w:color w:val="000000"/>
                <w:sz w:val="18"/>
              </w:rPr>
            </w:pPr>
            <w:r w:rsidRPr="00F61006">
              <w:rPr>
                <w:rFonts w:ascii="Calibri" w:hAnsi="Calibri" w:cs="Calibri"/>
                <w:color w:val="000000"/>
                <w:sz w:val="18"/>
                <w:szCs w:val="18"/>
              </w:rPr>
              <w:t>Watson Health Precinct redevelopment</w:t>
            </w:r>
          </w:p>
        </w:tc>
        <w:tc>
          <w:tcPr>
            <w:tcW w:w="975" w:type="dxa"/>
            <w:tcBorders>
              <w:top w:val="nil"/>
              <w:left w:val="nil"/>
              <w:bottom w:val="nil"/>
              <w:right w:val="nil"/>
              <w:tl2br w:val="nil"/>
              <w:tr2bl w:val="nil"/>
            </w:tcBorders>
            <w:shd w:val="clear" w:color="auto" w:fill="auto"/>
            <w:noWrap/>
            <w:tcMar>
              <w:left w:w="101" w:type="dxa"/>
              <w:right w:w="161" w:type="dxa"/>
            </w:tcMar>
          </w:tcPr>
          <w:p w14:paraId="2B6EB927" w14:textId="2438F23D" w:rsidR="007D20EC" w:rsidRPr="001F6B18" w:rsidRDefault="007D20EC" w:rsidP="007D20EC">
            <w:pPr>
              <w:pStyle w:val="Normal6"/>
              <w:jc w:val="right"/>
              <w:rPr>
                <w:rFonts w:ascii="Calibri" w:eastAsia="Calibri" w:hAnsi="Calibri" w:cs="Calibri"/>
                <w:color w:val="000000"/>
                <w:sz w:val="18"/>
              </w:rPr>
            </w:pPr>
            <w:r>
              <w:rPr>
                <w:rFonts w:ascii="Calibri" w:eastAsia="Calibri" w:hAnsi="Calibri" w:cs="Calibri"/>
                <w:color w:val="000000"/>
                <w:sz w:val="18"/>
              </w:rPr>
              <w:t>250</w:t>
            </w:r>
          </w:p>
        </w:tc>
        <w:tc>
          <w:tcPr>
            <w:tcW w:w="975" w:type="dxa"/>
            <w:tcBorders>
              <w:top w:val="nil"/>
              <w:left w:val="nil"/>
              <w:bottom w:val="nil"/>
              <w:right w:val="nil"/>
              <w:tl2br w:val="nil"/>
              <w:tr2bl w:val="nil"/>
            </w:tcBorders>
            <w:shd w:val="clear" w:color="auto" w:fill="auto"/>
            <w:noWrap/>
            <w:tcMar>
              <w:left w:w="101" w:type="dxa"/>
              <w:right w:w="161" w:type="dxa"/>
            </w:tcMar>
          </w:tcPr>
          <w:p w14:paraId="51C1DA0B" w14:textId="651C6C0C" w:rsidR="007D20EC" w:rsidRPr="001F6B18" w:rsidRDefault="001F1FBA" w:rsidP="007D20EC">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14D6BFC6" w14:textId="12A9A714" w:rsidR="007D20EC" w:rsidRPr="001F6B18" w:rsidRDefault="001F1FBA" w:rsidP="007D20EC">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975" w:type="dxa"/>
            <w:tcBorders>
              <w:top w:val="nil"/>
              <w:left w:val="nil"/>
              <w:bottom w:val="nil"/>
              <w:right w:val="nil"/>
              <w:tl2br w:val="nil"/>
              <w:tr2bl w:val="nil"/>
            </w:tcBorders>
            <w:shd w:val="clear" w:color="auto" w:fill="auto"/>
            <w:noWrap/>
            <w:tcMar>
              <w:left w:w="101" w:type="dxa"/>
              <w:right w:w="161" w:type="dxa"/>
            </w:tcMar>
          </w:tcPr>
          <w:p w14:paraId="0D87D85D" w14:textId="43CB1F13" w:rsidR="007D20EC" w:rsidRPr="001F6B18" w:rsidRDefault="001F1FBA" w:rsidP="007D20EC">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125" w:type="dxa"/>
            <w:tcBorders>
              <w:top w:val="nil"/>
              <w:left w:val="nil"/>
              <w:bottom w:val="nil"/>
              <w:right w:val="nil"/>
              <w:tl2br w:val="nil"/>
              <w:tr2bl w:val="nil"/>
            </w:tcBorders>
            <w:shd w:val="clear" w:color="auto" w:fill="auto"/>
            <w:noWrap/>
            <w:tcMar>
              <w:left w:w="101" w:type="dxa"/>
              <w:right w:w="161" w:type="dxa"/>
            </w:tcMar>
          </w:tcPr>
          <w:p w14:paraId="2F841B90" w14:textId="45E46F40" w:rsidR="007D20EC" w:rsidRPr="00A46438" w:rsidRDefault="007D20EC" w:rsidP="007D20EC">
            <w:pPr>
              <w:pStyle w:val="Normal6"/>
              <w:jc w:val="right"/>
              <w:rPr>
                <w:rFonts w:ascii="Calibri" w:eastAsia="Calibri" w:hAnsi="Calibri" w:cs="Calibri"/>
                <w:color w:val="000000"/>
                <w:sz w:val="18"/>
              </w:rPr>
            </w:pPr>
            <w:r w:rsidRPr="006D4C3C">
              <w:rPr>
                <w:rFonts w:ascii="Calibri" w:eastAsia="Calibri" w:hAnsi="Calibri" w:cs="Calibri"/>
                <w:color w:val="000000"/>
                <w:sz w:val="18"/>
              </w:rPr>
              <w:t>250</w:t>
            </w:r>
          </w:p>
        </w:tc>
        <w:tc>
          <w:tcPr>
            <w:tcW w:w="1125" w:type="dxa"/>
            <w:tcBorders>
              <w:top w:val="nil"/>
              <w:left w:val="nil"/>
              <w:bottom w:val="nil"/>
              <w:right w:val="nil"/>
              <w:tl2br w:val="nil"/>
              <w:tr2bl w:val="nil"/>
            </w:tcBorders>
            <w:shd w:val="clear" w:color="auto" w:fill="auto"/>
            <w:noWrap/>
            <w:tcMar>
              <w:left w:w="101" w:type="dxa"/>
              <w:right w:w="101" w:type="dxa"/>
            </w:tcMar>
          </w:tcPr>
          <w:p w14:paraId="7A222A7E" w14:textId="78057A8F" w:rsidR="007D20EC" w:rsidRPr="001F6B18" w:rsidRDefault="007D0ACC" w:rsidP="007D20EC">
            <w:pPr>
              <w:pStyle w:val="Normal6"/>
              <w:ind w:right="23"/>
              <w:jc w:val="right"/>
              <w:rPr>
                <w:rFonts w:ascii="Calibri" w:eastAsia="Calibri" w:hAnsi="Calibri" w:cs="Calibri"/>
                <w:color w:val="000000"/>
                <w:sz w:val="18"/>
              </w:rPr>
            </w:pPr>
            <w:r>
              <w:rPr>
                <w:rFonts w:ascii="Calibri" w:eastAsia="Calibri" w:hAnsi="Calibri" w:cs="Calibri"/>
                <w:color w:val="000000"/>
                <w:sz w:val="18"/>
              </w:rPr>
              <w:t>Jun-22</w:t>
            </w:r>
          </w:p>
        </w:tc>
      </w:tr>
      <w:tr w:rsidR="00677C53" w:rsidRPr="001F6B18" w14:paraId="60B2C370"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28D93294" w14:textId="77777777" w:rsidR="00677C53" w:rsidRPr="00F61006" w:rsidRDefault="00677C53" w:rsidP="007D20EC">
            <w:pPr>
              <w:pStyle w:val="Normal6"/>
              <w:rPr>
                <w:rFonts w:ascii="Calibri" w:hAnsi="Calibri" w:cs="Calibri"/>
                <w:color w:val="000000"/>
                <w:sz w:val="18"/>
                <w:szCs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2F761702" w14:textId="77777777" w:rsidR="00677C53" w:rsidRDefault="00677C53" w:rsidP="007D20EC">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605D66E4" w14:textId="77777777" w:rsidR="00677C53" w:rsidRDefault="00677C53" w:rsidP="007D20EC">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7A411762" w14:textId="77777777" w:rsidR="00677C53" w:rsidRDefault="00677C53" w:rsidP="007D20EC">
            <w:pPr>
              <w:pStyle w:val="Normal6"/>
              <w:jc w:val="right"/>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101" w:type="dxa"/>
              <w:right w:w="161" w:type="dxa"/>
            </w:tcMar>
          </w:tcPr>
          <w:p w14:paraId="2E2B13A6" w14:textId="77777777" w:rsidR="00677C53" w:rsidRDefault="00677C53" w:rsidP="007D20EC">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61" w:type="dxa"/>
            </w:tcMar>
          </w:tcPr>
          <w:p w14:paraId="459D8352" w14:textId="77777777" w:rsidR="00677C53" w:rsidRPr="006D4C3C" w:rsidRDefault="00677C53" w:rsidP="007D20EC">
            <w:pPr>
              <w:pStyle w:val="Normal6"/>
              <w:jc w:val="right"/>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101" w:type="dxa"/>
              <w:right w:w="101" w:type="dxa"/>
            </w:tcMar>
          </w:tcPr>
          <w:p w14:paraId="46C3CD96" w14:textId="77777777" w:rsidR="00677C53" w:rsidRDefault="00677C53" w:rsidP="007D20EC">
            <w:pPr>
              <w:pStyle w:val="Normal6"/>
              <w:ind w:right="23"/>
              <w:jc w:val="right"/>
              <w:rPr>
                <w:rFonts w:ascii="Calibri" w:eastAsia="Calibri" w:hAnsi="Calibri" w:cs="Calibri"/>
                <w:color w:val="000000"/>
                <w:sz w:val="18"/>
              </w:rPr>
            </w:pPr>
          </w:p>
        </w:tc>
      </w:tr>
      <w:tr w:rsidR="007D20EC" w:rsidRPr="001F6B18" w14:paraId="4D257866" w14:textId="77777777" w:rsidTr="0028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nil"/>
              <w:left w:val="nil"/>
              <w:bottom w:val="nil"/>
              <w:right w:val="nil"/>
              <w:tl2br w:val="nil"/>
              <w:tr2bl w:val="nil"/>
            </w:tcBorders>
            <w:shd w:val="clear" w:color="auto" w:fill="auto"/>
            <w:tcMar>
              <w:left w:w="101" w:type="dxa"/>
              <w:right w:w="101" w:type="dxa"/>
            </w:tcMar>
            <w:vAlign w:val="center"/>
          </w:tcPr>
          <w:p w14:paraId="55677EF8" w14:textId="00E6C863" w:rsidR="007D20EC" w:rsidRDefault="007D20EC" w:rsidP="007D20EC">
            <w:pPr>
              <w:pStyle w:val="Normal6"/>
              <w:rPr>
                <w:rFonts w:ascii="Calibri" w:eastAsia="Calibri" w:hAnsi="Calibri" w:cs="Calibri"/>
                <w:color w:val="000000"/>
                <w:sz w:val="18"/>
              </w:rPr>
            </w:pPr>
            <w:r w:rsidRPr="00F8610C">
              <w:rPr>
                <w:rFonts w:ascii="Calibri" w:hAnsi="Calibri" w:cs="Calibri"/>
                <w:b/>
                <w:bCs/>
                <w:color w:val="000000"/>
                <w:sz w:val="18"/>
                <w:szCs w:val="18"/>
              </w:rPr>
              <w:t>Total Territorial Grants</w:t>
            </w:r>
          </w:p>
        </w:tc>
        <w:tc>
          <w:tcPr>
            <w:tcW w:w="975" w:type="dxa"/>
            <w:tcBorders>
              <w:top w:val="nil"/>
              <w:left w:val="nil"/>
              <w:bottom w:val="nil"/>
              <w:right w:val="nil"/>
              <w:tl2br w:val="nil"/>
              <w:tr2bl w:val="nil"/>
            </w:tcBorders>
            <w:shd w:val="clear" w:color="auto" w:fill="auto"/>
            <w:noWrap/>
            <w:tcMar>
              <w:left w:w="101" w:type="dxa"/>
              <w:right w:w="161" w:type="dxa"/>
            </w:tcMar>
          </w:tcPr>
          <w:p w14:paraId="7E7EC6A2" w14:textId="1D4303ED" w:rsidR="007D20EC" w:rsidRPr="001F6B18" w:rsidRDefault="007D20EC" w:rsidP="007D20EC">
            <w:pPr>
              <w:pStyle w:val="Normal6"/>
              <w:jc w:val="right"/>
              <w:rPr>
                <w:rFonts w:ascii="Calibri" w:eastAsia="Calibri" w:hAnsi="Calibri" w:cs="Calibri"/>
                <w:color w:val="000000"/>
                <w:sz w:val="18"/>
              </w:rPr>
            </w:pPr>
            <w:r w:rsidRPr="0014646D">
              <w:rPr>
                <w:rFonts w:ascii="Calibri" w:eastAsia="Calibri" w:hAnsi="Calibri" w:cs="Calibri"/>
                <w:b/>
                <w:bCs/>
                <w:color w:val="000000"/>
                <w:sz w:val="18"/>
              </w:rPr>
              <w:t>16,475</w:t>
            </w:r>
          </w:p>
        </w:tc>
        <w:tc>
          <w:tcPr>
            <w:tcW w:w="975" w:type="dxa"/>
            <w:tcBorders>
              <w:top w:val="nil"/>
              <w:left w:val="nil"/>
              <w:bottom w:val="nil"/>
              <w:right w:val="nil"/>
              <w:tl2br w:val="nil"/>
              <w:tr2bl w:val="nil"/>
            </w:tcBorders>
            <w:shd w:val="clear" w:color="auto" w:fill="auto"/>
            <w:noWrap/>
            <w:tcMar>
              <w:left w:w="101" w:type="dxa"/>
              <w:right w:w="161" w:type="dxa"/>
            </w:tcMar>
          </w:tcPr>
          <w:p w14:paraId="60972D2F" w14:textId="2EFA6FFE" w:rsidR="007D20EC" w:rsidRPr="001F6B18" w:rsidRDefault="007D20EC" w:rsidP="007D20EC">
            <w:pPr>
              <w:pStyle w:val="Normal6"/>
              <w:jc w:val="right"/>
              <w:rPr>
                <w:rFonts w:ascii="Calibri" w:eastAsia="Calibri" w:hAnsi="Calibri" w:cs="Calibri"/>
                <w:color w:val="000000"/>
                <w:sz w:val="18"/>
              </w:rPr>
            </w:pPr>
            <w:r w:rsidRPr="0014646D">
              <w:rPr>
                <w:rFonts w:ascii="Calibri" w:eastAsia="Calibri" w:hAnsi="Calibri" w:cs="Calibri"/>
                <w:b/>
                <w:bCs/>
                <w:color w:val="000000"/>
                <w:sz w:val="18"/>
              </w:rPr>
              <w:t>11,125</w:t>
            </w:r>
          </w:p>
        </w:tc>
        <w:tc>
          <w:tcPr>
            <w:tcW w:w="975" w:type="dxa"/>
            <w:tcBorders>
              <w:top w:val="nil"/>
              <w:left w:val="nil"/>
              <w:bottom w:val="nil"/>
              <w:right w:val="nil"/>
              <w:tl2br w:val="nil"/>
              <w:tr2bl w:val="nil"/>
            </w:tcBorders>
            <w:shd w:val="clear" w:color="auto" w:fill="auto"/>
            <w:noWrap/>
            <w:tcMar>
              <w:left w:w="101" w:type="dxa"/>
              <w:right w:w="161" w:type="dxa"/>
            </w:tcMar>
          </w:tcPr>
          <w:p w14:paraId="22AD597D" w14:textId="58A73565" w:rsidR="007D20EC" w:rsidRPr="001F6B18" w:rsidRDefault="007D20EC" w:rsidP="007D20EC">
            <w:pPr>
              <w:pStyle w:val="Normal6"/>
              <w:jc w:val="right"/>
              <w:rPr>
                <w:rFonts w:ascii="Calibri" w:eastAsia="Calibri" w:hAnsi="Calibri" w:cs="Calibri"/>
                <w:color w:val="000000"/>
                <w:sz w:val="18"/>
              </w:rPr>
            </w:pPr>
            <w:r w:rsidRPr="0014646D">
              <w:rPr>
                <w:rFonts w:ascii="Calibri" w:eastAsia="Calibri" w:hAnsi="Calibri" w:cs="Calibri"/>
                <w:b/>
                <w:bCs/>
                <w:color w:val="000000"/>
                <w:sz w:val="18"/>
              </w:rPr>
              <w:t>1,978</w:t>
            </w:r>
          </w:p>
        </w:tc>
        <w:tc>
          <w:tcPr>
            <w:tcW w:w="975" w:type="dxa"/>
            <w:tcBorders>
              <w:top w:val="nil"/>
              <w:left w:val="nil"/>
              <w:bottom w:val="nil"/>
              <w:right w:val="nil"/>
              <w:tl2br w:val="nil"/>
              <w:tr2bl w:val="nil"/>
            </w:tcBorders>
            <w:shd w:val="clear" w:color="auto" w:fill="auto"/>
            <w:noWrap/>
            <w:tcMar>
              <w:left w:w="101" w:type="dxa"/>
              <w:right w:w="161" w:type="dxa"/>
            </w:tcMar>
          </w:tcPr>
          <w:p w14:paraId="6F4EDC16" w14:textId="21B84088" w:rsidR="007D20EC" w:rsidRPr="001F6B18" w:rsidRDefault="007D20EC" w:rsidP="007D20EC">
            <w:pPr>
              <w:pStyle w:val="Normal6"/>
              <w:jc w:val="right"/>
              <w:rPr>
                <w:rFonts w:ascii="Calibri" w:eastAsia="Calibri" w:hAnsi="Calibri" w:cs="Calibri"/>
                <w:color w:val="000000"/>
                <w:sz w:val="18"/>
              </w:rPr>
            </w:pPr>
            <w:r w:rsidRPr="0014646D">
              <w:rPr>
                <w:rFonts w:ascii="Calibri" w:eastAsia="Calibri" w:hAnsi="Calibri" w:cs="Calibri"/>
                <w:b/>
                <w:bCs/>
                <w:color w:val="000000"/>
                <w:sz w:val="18"/>
              </w:rPr>
              <w:t>1,002</w:t>
            </w:r>
          </w:p>
        </w:tc>
        <w:tc>
          <w:tcPr>
            <w:tcW w:w="1125" w:type="dxa"/>
            <w:tcBorders>
              <w:top w:val="nil"/>
              <w:left w:val="nil"/>
              <w:bottom w:val="nil"/>
              <w:right w:val="nil"/>
              <w:tl2br w:val="nil"/>
              <w:tr2bl w:val="nil"/>
            </w:tcBorders>
            <w:shd w:val="clear" w:color="auto" w:fill="auto"/>
            <w:noWrap/>
            <w:tcMar>
              <w:left w:w="101" w:type="dxa"/>
              <w:right w:w="161" w:type="dxa"/>
            </w:tcMar>
          </w:tcPr>
          <w:p w14:paraId="3F5E235D" w14:textId="349056E8" w:rsidR="007D20EC" w:rsidRPr="00A46438" w:rsidRDefault="007D20EC" w:rsidP="007D20EC">
            <w:pPr>
              <w:pStyle w:val="Normal6"/>
              <w:jc w:val="right"/>
              <w:rPr>
                <w:rFonts w:ascii="Calibri" w:eastAsia="Calibri" w:hAnsi="Calibri" w:cs="Calibri"/>
                <w:color w:val="000000"/>
                <w:sz w:val="18"/>
              </w:rPr>
            </w:pPr>
            <w:r w:rsidRPr="0014646D">
              <w:rPr>
                <w:rFonts w:ascii="Calibri" w:eastAsia="Calibri" w:hAnsi="Calibri" w:cs="Calibri"/>
                <w:b/>
                <w:bCs/>
                <w:color w:val="000000"/>
                <w:sz w:val="18"/>
              </w:rPr>
              <w:t>30,580</w:t>
            </w:r>
          </w:p>
        </w:tc>
        <w:tc>
          <w:tcPr>
            <w:tcW w:w="1125" w:type="dxa"/>
            <w:tcBorders>
              <w:top w:val="nil"/>
              <w:left w:val="nil"/>
              <w:bottom w:val="nil"/>
              <w:right w:val="nil"/>
              <w:tl2br w:val="nil"/>
              <w:tr2bl w:val="nil"/>
            </w:tcBorders>
            <w:shd w:val="clear" w:color="auto" w:fill="auto"/>
            <w:noWrap/>
            <w:tcMar>
              <w:left w:w="101" w:type="dxa"/>
              <w:right w:w="101" w:type="dxa"/>
            </w:tcMar>
          </w:tcPr>
          <w:p w14:paraId="197F8BDE" w14:textId="77777777" w:rsidR="007D20EC" w:rsidRPr="001F6B18" w:rsidRDefault="007D20EC" w:rsidP="007D20EC">
            <w:pPr>
              <w:pStyle w:val="Normal6"/>
              <w:ind w:right="23"/>
              <w:jc w:val="right"/>
              <w:rPr>
                <w:rFonts w:ascii="Calibri" w:eastAsia="Calibri" w:hAnsi="Calibri" w:cs="Calibri"/>
                <w:color w:val="000000"/>
                <w:sz w:val="18"/>
              </w:rPr>
            </w:pPr>
          </w:p>
        </w:tc>
      </w:tr>
      <w:tr w:rsidR="007D20EC" w:rsidRPr="001F6B18" w14:paraId="26166612" w14:textId="77777777" w:rsidTr="007D2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nil"/>
              <w:left w:val="nil"/>
              <w:bottom w:val="single" w:sz="4" w:space="0" w:color="auto"/>
              <w:right w:val="nil"/>
              <w:tl2br w:val="nil"/>
              <w:tr2bl w:val="nil"/>
            </w:tcBorders>
            <w:shd w:val="clear" w:color="auto" w:fill="auto"/>
            <w:tcMar>
              <w:left w:w="101" w:type="dxa"/>
              <w:right w:w="101" w:type="dxa"/>
            </w:tcMar>
            <w:vAlign w:val="center"/>
          </w:tcPr>
          <w:p w14:paraId="6F4A7EA7" w14:textId="77777777" w:rsidR="007D20EC" w:rsidRDefault="007D20EC" w:rsidP="007D20EC">
            <w:pPr>
              <w:pStyle w:val="Normal6"/>
              <w:rPr>
                <w:rFonts w:ascii="Calibri" w:eastAsia="Calibri" w:hAnsi="Calibri" w:cs="Calibri"/>
                <w:color w:val="000000"/>
                <w:sz w:val="18"/>
              </w:rPr>
            </w:pPr>
          </w:p>
        </w:tc>
        <w:tc>
          <w:tcPr>
            <w:tcW w:w="975" w:type="dxa"/>
            <w:tcBorders>
              <w:top w:val="nil"/>
              <w:left w:val="nil"/>
              <w:bottom w:val="single" w:sz="4" w:space="0" w:color="auto"/>
              <w:right w:val="nil"/>
              <w:tl2br w:val="nil"/>
              <w:tr2bl w:val="nil"/>
            </w:tcBorders>
            <w:shd w:val="clear" w:color="auto" w:fill="auto"/>
            <w:noWrap/>
            <w:tcMar>
              <w:left w:w="101" w:type="dxa"/>
              <w:right w:w="161" w:type="dxa"/>
            </w:tcMar>
            <w:vAlign w:val="center"/>
          </w:tcPr>
          <w:p w14:paraId="17E9B379" w14:textId="77777777" w:rsidR="007D20EC" w:rsidRPr="001F6B18" w:rsidRDefault="007D20EC" w:rsidP="007D20EC">
            <w:pPr>
              <w:pStyle w:val="Normal6"/>
              <w:jc w:val="right"/>
              <w:rPr>
                <w:rFonts w:ascii="Calibri" w:eastAsia="Calibri" w:hAnsi="Calibri" w:cs="Calibri"/>
                <w:color w:val="000000"/>
                <w:sz w:val="18"/>
              </w:rPr>
            </w:pPr>
          </w:p>
        </w:tc>
        <w:tc>
          <w:tcPr>
            <w:tcW w:w="975" w:type="dxa"/>
            <w:tcBorders>
              <w:top w:val="nil"/>
              <w:left w:val="nil"/>
              <w:bottom w:val="single" w:sz="4" w:space="0" w:color="auto"/>
              <w:right w:val="nil"/>
              <w:tl2br w:val="nil"/>
              <w:tr2bl w:val="nil"/>
            </w:tcBorders>
            <w:shd w:val="clear" w:color="auto" w:fill="auto"/>
            <w:noWrap/>
            <w:tcMar>
              <w:left w:w="101" w:type="dxa"/>
              <w:right w:w="161" w:type="dxa"/>
            </w:tcMar>
            <w:vAlign w:val="center"/>
          </w:tcPr>
          <w:p w14:paraId="7B96E486" w14:textId="77777777" w:rsidR="007D20EC" w:rsidRPr="001F6B18" w:rsidRDefault="007D20EC" w:rsidP="007D20EC">
            <w:pPr>
              <w:pStyle w:val="Normal6"/>
              <w:jc w:val="right"/>
              <w:rPr>
                <w:rFonts w:ascii="Calibri" w:eastAsia="Calibri" w:hAnsi="Calibri" w:cs="Calibri"/>
                <w:color w:val="000000"/>
                <w:sz w:val="18"/>
              </w:rPr>
            </w:pPr>
          </w:p>
        </w:tc>
        <w:tc>
          <w:tcPr>
            <w:tcW w:w="975" w:type="dxa"/>
            <w:tcBorders>
              <w:top w:val="nil"/>
              <w:left w:val="nil"/>
              <w:bottom w:val="single" w:sz="4" w:space="0" w:color="auto"/>
              <w:right w:val="nil"/>
              <w:tl2br w:val="nil"/>
              <w:tr2bl w:val="nil"/>
            </w:tcBorders>
            <w:shd w:val="clear" w:color="auto" w:fill="auto"/>
            <w:noWrap/>
            <w:tcMar>
              <w:left w:w="101" w:type="dxa"/>
              <w:right w:w="161" w:type="dxa"/>
            </w:tcMar>
            <w:vAlign w:val="center"/>
          </w:tcPr>
          <w:p w14:paraId="66C9D207" w14:textId="77777777" w:rsidR="007D20EC" w:rsidRPr="001F6B18" w:rsidRDefault="007D20EC" w:rsidP="007D20EC">
            <w:pPr>
              <w:pStyle w:val="Normal6"/>
              <w:jc w:val="right"/>
              <w:rPr>
                <w:rFonts w:ascii="Calibri" w:eastAsia="Calibri" w:hAnsi="Calibri" w:cs="Calibri"/>
                <w:color w:val="000000"/>
                <w:sz w:val="18"/>
              </w:rPr>
            </w:pPr>
          </w:p>
        </w:tc>
        <w:tc>
          <w:tcPr>
            <w:tcW w:w="975" w:type="dxa"/>
            <w:tcBorders>
              <w:top w:val="nil"/>
              <w:left w:val="nil"/>
              <w:bottom w:val="single" w:sz="4" w:space="0" w:color="auto"/>
              <w:right w:val="nil"/>
              <w:tl2br w:val="nil"/>
              <w:tr2bl w:val="nil"/>
            </w:tcBorders>
            <w:shd w:val="clear" w:color="auto" w:fill="auto"/>
            <w:noWrap/>
            <w:tcMar>
              <w:left w:w="101" w:type="dxa"/>
              <w:right w:w="161" w:type="dxa"/>
            </w:tcMar>
            <w:vAlign w:val="center"/>
          </w:tcPr>
          <w:p w14:paraId="678B3F5E" w14:textId="77777777" w:rsidR="007D20EC" w:rsidRPr="001F6B18" w:rsidRDefault="007D20EC" w:rsidP="007D20EC">
            <w:pPr>
              <w:pStyle w:val="Normal6"/>
              <w:jc w:val="right"/>
              <w:rPr>
                <w:rFonts w:ascii="Calibri" w:eastAsia="Calibri" w:hAnsi="Calibri" w:cs="Calibri"/>
                <w:color w:val="000000"/>
                <w:sz w:val="18"/>
              </w:rPr>
            </w:pPr>
          </w:p>
        </w:tc>
        <w:tc>
          <w:tcPr>
            <w:tcW w:w="1125" w:type="dxa"/>
            <w:tcBorders>
              <w:top w:val="nil"/>
              <w:left w:val="nil"/>
              <w:bottom w:val="single" w:sz="4" w:space="0" w:color="auto"/>
              <w:right w:val="nil"/>
              <w:tl2br w:val="nil"/>
              <w:tr2bl w:val="nil"/>
            </w:tcBorders>
            <w:shd w:val="clear" w:color="auto" w:fill="auto"/>
            <w:noWrap/>
            <w:tcMar>
              <w:left w:w="101" w:type="dxa"/>
              <w:right w:w="161" w:type="dxa"/>
            </w:tcMar>
            <w:vAlign w:val="center"/>
          </w:tcPr>
          <w:p w14:paraId="640AD768" w14:textId="77777777" w:rsidR="007D20EC" w:rsidRPr="00A46438" w:rsidRDefault="007D20EC" w:rsidP="007D20EC">
            <w:pPr>
              <w:pStyle w:val="Normal6"/>
              <w:jc w:val="right"/>
              <w:rPr>
                <w:rFonts w:ascii="Calibri" w:eastAsia="Calibri" w:hAnsi="Calibri" w:cs="Calibri"/>
                <w:color w:val="000000"/>
                <w:sz w:val="18"/>
              </w:rPr>
            </w:pPr>
          </w:p>
        </w:tc>
        <w:tc>
          <w:tcPr>
            <w:tcW w:w="1125" w:type="dxa"/>
            <w:tcBorders>
              <w:top w:val="nil"/>
              <w:left w:val="nil"/>
              <w:bottom w:val="single" w:sz="4" w:space="0" w:color="auto"/>
              <w:right w:val="nil"/>
              <w:tl2br w:val="nil"/>
              <w:tr2bl w:val="nil"/>
            </w:tcBorders>
            <w:shd w:val="clear" w:color="auto" w:fill="auto"/>
            <w:noWrap/>
            <w:tcMar>
              <w:left w:w="101" w:type="dxa"/>
              <w:right w:w="101" w:type="dxa"/>
            </w:tcMar>
            <w:vAlign w:val="center"/>
          </w:tcPr>
          <w:p w14:paraId="0EF69DF5" w14:textId="77777777" w:rsidR="007D20EC" w:rsidRPr="001F6B18" w:rsidRDefault="007D20EC" w:rsidP="007D20EC">
            <w:pPr>
              <w:pStyle w:val="Normal6"/>
              <w:ind w:right="23"/>
              <w:jc w:val="right"/>
              <w:rPr>
                <w:rFonts w:ascii="Calibri" w:eastAsia="Calibri" w:hAnsi="Calibri" w:cs="Calibri"/>
                <w:color w:val="000000"/>
                <w:sz w:val="18"/>
              </w:rPr>
            </w:pPr>
          </w:p>
        </w:tc>
      </w:tr>
      <w:tr w:rsidR="007D20EC" w:rsidRPr="001F6B18" w14:paraId="57A5F732" w14:textId="77777777" w:rsidTr="007D2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80"/>
        </w:trPr>
        <w:tc>
          <w:tcPr>
            <w:tcW w:w="3195" w:type="dxa"/>
            <w:tcBorders>
              <w:top w:val="single" w:sz="4" w:space="0" w:color="auto"/>
              <w:left w:val="nil"/>
              <w:bottom w:val="single" w:sz="4" w:space="0" w:color="auto"/>
              <w:right w:val="nil"/>
              <w:tl2br w:val="nil"/>
              <w:tr2bl w:val="nil"/>
            </w:tcBorders>
            <w:shd w:val="clear" w:color="auto" w:fill="auto"/>
            <w:tcMar>
              <w:left w:w="101" w:type="dxa"/>
              <w:right w:w="101" w:type="dxa"/>
            </w:tcMar>
            <w:vAlign w:val="center"/>
          </w:tcPr>
          <w:p w14:paraId="31242128" w14:textId="09DD375F" w:rsidR="007D20EC" w:rsidRDefault="007D20EC" w:rsidP="007D20EC">
            <w:pPr>
              <w:pStyle w:val="Normal6"/>
              <w:rPr>
                <w:rFonts w:ascii="Calibri" w:eastAsia="Calibri" w:hAnsi="Calibri" w:cs="Calibri"/>
                <w:color w:val="000000"/>
                <w:sz w:val="18"/>
              </w:rPr>
            </w:pPr>
            <w:r>
              <w:rPr>
                <w:rFonts w:ascii="Calibri" w:eastAsia="Calibri" w:hAnsi="Calibri" w:cs="Calibri"/>
                <w:b/>
                <w:color w:val="000000"/>
                <w:sz w:val="18"/>
              </w:rPr>
              <w:t>TOTAL INFRASTRUCTURE INVESTMENT PROGRAM</w:t>
            </w:r>
          </w:p>
        </w:tc>
        <w:tc>
          <w:tcPr>
            <w:tcW w:w="975" w:type="dxa"/>
            <w:tcBorders>
              <w:top w:val="single" w:sz="4" w:space="0" w:color="auto"/>
              <w:left w:val="nil"/>
              <w:bottom w:val="single" w:sz="4" w:space="0" w:color="auto"/>
              <w:right w:val="nil"/>
              <w:tl2br w:val="nil"/>
              <w:tr2bl w:val="nil"/>
            </w:tcBorders>
            <w:shd w:val="clear" w:color="auto" w:fill="auto"/>
            <w:noWrap/>
            <w:tcMar>
              <w:left w:w="101" w:type="dxa"/>
              <w:right w:w="161" w:type="dxa"/>
            </w:tcMar>
          </w:tcPr>
          <w:p w14:paraId="5218C9FB" w14:textId="4C05D319" w:rsidR="007D20EC" w:rsidRPr="001F6B18" w:rsidRDefault="007D20EC" w:rsidP="007D20EC">
            <w:pPr>
              <w:pStyle w:val="Normal6"/>
              <w:jc w:val="right"/>
              <w:rPr>
                <w:rFonts w:ascii="Calibri" w:eastAsia="Calibri" w:hAnsi="Calibri" w:cs="Calibri"/>
                <w:color w:val="000000"/>
                <w:sz w:val="18"/>
              </w:rPr>
            </w:pPr>
            <w:r>
              <w:rPr>
                <w:rFonts w:ascii="Calibri" w:eastAsia="Calibri" w:hAnsi="Calibri" w:cs="Calibri"/>
                <w:b/>
                <w:color w:val="000000"/>
                <w:sz w:val="18"/>
              </w:rPr>
              <w:t>76,235</w:t>
            </w:r>
          </w:p>
        </w:tc>
        <w:tc>
          <w:tcPr>
            <w:tcW w:w="975" w:type="dxa"/>
            <w:tcBorders>
              <w:top w:val="single" w:sz="4" w:space="0" w:color="auto"/>
              <w:left w:val="nil"/>
              <w:bottom w:val="single" w:sz="4" w:space="0" w:color="auto"/>
              <w:right w:val="nil"/>
              <w:tl2br w:val="nil"/>
              <w:tr2bl w:val="nil"/>
            </w:tcBorders>
            <w:shd w:val="clear" w:color="auto" w:fill="auto"/>
            <w:noWrap/>
            <w:tcMar>
              <w:left w:w="101" w:type="dxa"/>
              <w:right w:w="161" w:type="dxa"/>
            </w:tcMar>
          </w:tcPr>
          <w:p w14:paraId="1C0982D8" w14:textId="168047DE" w:rsidR="007D20EC" w:rsidRPr="001F6B18" w:rsidRDefault="007D20EC" w:rsidP="007D20EC">
            <w:pPr>
              <w:pStyle w:val="Normal6"/>
              <w:jc w:val="right"/>
              <w:rPr>
                <w:rFonts w:ascii="Calibri" w:eastAsia="Calibri" w:hAnsi="Calibri" w:cs="Calibri"/>
                <w:color w:val="000000"/>
                <w:sz w:val="18"/>
              </w:rPr>
            </w:pPr>
            <w:r>
              <w:rPr>
                <w:rFonts w:ascii="Calibri" w:eastAsia="Calibri" w:hAnsi="Calibri" w:cs="Calibri"/>
                <w:b/>
                <w:color w:val="000000"/>
                <w:sz w:val="18"/>
              </w:rPr>
              <w:t>69,982</w:t>
            </w:r>
          </w:p>
        </w:tc>
        <w:tc>
          <w:tcPr>
            <w:tcW w:w="975" w:type="dxa"/>
            <w:tcBorders>
              <w:top w:val="single" w:sz="4" w:space="0" w:color="auto"/>
              <w:left w:val="nil"/>
              <w:bottom w:val="single" w:sz="4" w:space="0" w:color="auto"/>
              <w:right w:val="nil"/>
              <w:tl2br w:val="nil"/>
              <w:tr2bl w:val="nil"/>
            </w:tcBorders>
            <w:shd w:val="clear" w:color="auto" w:fill="auto"/>
            <w:noWrap/>
            <w:tcMar>
              <w:left w:w="101" w:type="dxa"/>
              <w:right w:w="161" w:type="dxa"/>
            </w:tcMar>
          </w:tcPr>
          <w:p w14:paraId="33ED5815" w14:textId="5251C4B2" w:rsidR="007D20EC" w:rsidRPr="001F6B18" w:rsidRDefault="007D20EC" w:rsidP="007D20EC">
            <w:pPr>
              <w:pStyle w:val="Normal6"/>
              <w:jc w:val="right"/>
              <w:rPr>
                <w:rFonts w:ascii="Calibri" w:eastAsia="Calibri" w:hAnsi="Calibri" w:cs="Calibri"/>
                <w:color w:val="000000"/>
                <w:sz w:val="18"/>
              </w:rPr>
            </w:pPr>
            <w:r>
              <w:rPr>
                <w:rFonts w:ascii="Calibri" w:eastAsia="Calibri" w:hAnsi="Calibri" w:cs="Calibri"/>
                <w:b/>
                <w:color w:val="000000"/>
                <w:sz w:val="18"/>
              </w:rPr>
              <w:t>8,977</w:t>
            </w:r>
          </w:p>
        </w:tc>
        <w:tc>
          <w:tcPr>
            <w:tcW w:w="975" w:type="dxa"/>
            <w:tcBorders>
              <w:top w:val="single" w:sz="4" w:space="0" w:color="auto"/>
              <w:left w:val="nil"/>
              <w:bottom w:val="single" w:sz="4" w:space="0" w:color="auto"/>
              <w:right w:val="nil"/>
              <w:tl2br w:val="nil"/>
              <w:tr2bl w:val="nil"/>
            </w:tcBorders>
            <w:shd w:val="clear" w:color="auto" w:fill="auto"/>
            <w:noWrap/>
            <w:tcMar>
              <w:left w:w="101" w:type="dxa"/>
              <w:right w:w="161" w:type="dxa"/>
            </w:tcMar>
          </w:tcPr>
          <w:p w14:paraId="3358FFA3" w14:textId="25F3D195" w:rsidR="007D20EC" w:rsidRPr="001F6B18" w:rsidRDefault="007D20EC" w:rsidP="007D20EC">
            <w:pPr>
              <w:pStyle w:val="Normal6"/>
              <w:jc w:val="right"/>
              <w:rPr>
                <w:rFonts w:ascii="Calibri" w:eastAsia="Calibri" w:hAnsi="Calibri" w:cs="Calibri"/>
                <w:color w:val="000000"/>
                <w:sz w:val="18"/>
              </w:rPr>
            </w:pPr>
            <w:r>
              <w:rPr>
                <w:rFonts w:ascii="Calibri" w:eastAsia="Calibri" w:hAnsi="Calibri" w:cs="Calibri"/>
                <w:b/>
                <w:color w:val="000000"/>
                <w:sz w:val="18"/>
              </w:rPr>
              <w:t>6,514</w:t>
            </w:r>
          </w:p>
        </w:tc>
        <w:tc>
          <w:tcPr>
            <w:tcW w:w="1125" w:type="dxa"/>
            <w:tcBorders>
              <w:top w:val="single" w:sz="4" w:space="0" w:color="auto"/>
              <w:left w:val="nil"/>
              <w:bottom w:val="single" w:sz="4" w:space="0" w:color="auto"/>
              <w:right w:val="nil"/>
              <w:tl2br w:val="nil"/>
              <w:tr2bl w:val="nil"/>
            </w:tcBorders>
            <w:shd w:val="clear" w:color="auto" w:fill="auto"/>
            <w:noWrap/>
            <w:tcMar>
              <w:left w:w="101" w:type="dxa"/>
              <w:right w:w="161" w:type="dxa"/>
            </w:tcMar>
          </w:tcPr>
          <w:p w14:paraId="7853DA2A" w14:textId="15BC10B5" w:rsidR="007D20EC" w:rsidRPr="00A46438" w:rsidRDefault="007D20EC" w:rsidP="007D20EC">
            <w:pPr>
              <w:pStyle w:val="Normal6"/>
              <w:jc w:val="right"/>
              <w:rPr>
                <w:rFonts w:ascii="Calibri" w:eastAsia="Calibri" w:hAnsi="Calibri" w:cs="Calibri"/>
                <w:color w:val="000000"/>
                <w:sz w:val="18"/>
              </w:rPr>
            </w:pPr>
            <w:r>
              <w:rPr>
                <w:rFonts w:ascii="Calibri" w:eastAsia="Calibri" w:hAnsi="Calibri" w:cs="Calibri"/>
                <w:b/>
                <w:color w:val="000000"/>
                <w:sz w:val="18"/>
              </w:rPr>
              <w:t>161,708</w:t>
            </w:r>
          </w:p>
        </w:tc>
        <w:tc>
          <w:tcPr>
            <w:tcW w:w="112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center"/>
          </w:tcPr>
          <w:p w14:paraId="43E5882D" w14:textId="77777777" w:rsidR="007D20EC" w:rsidRPr="001F6B18" w:rsidRDefault="007D20EC" w:rsidP="007D20EC">
            <w:pPr>
              <w:pStyle w:val="Normal6"/>
              <w:ind w:right="23"/>
              <w:jc w:val="right"/>
              <w:rPr>
                <w:rFonts w:ascii="Calibri" w:eastAsia="Calibri" w:hAnsi="Calibri" w:cs="Calibri"/>
                <w:color w:val="000000"/>
                <w:sz w:val="18"/>
              </w:rPr>
            </w:pPr>
          </w:p>
        </w:tc>
      </w:tr>
    </w:tbl>
    <w:p w14:paraId="1D7FDE04" w14:textId="77777777" w:rsidR="005F1919" w:rsidRPr="005F1919" w:rsidRDefault="005F1919" w:rsidP="005F1919">
      <w:pPr>
        <w:spacing w:before="0" w:after="0"/>
      </w:pPr>
    </w:p>
    <w:p w14:paraId="6855247A" w14:textId="7D90A6BF" w:rsidR="001F6B18" w:rsidRDefault="0027723F" w:rsidP="001F6B18">
      <w:pPr>
        <w:pStyle w:val="Heading2"/>
        <w:pageBreakBefore/>
        <w:pBdr>
          <w:top w:val="nil"/>
          <w:left w:val="nil"/>
          <w:bottom w:val="nil"/>
          <w:right w:val="nil"/>
          <w:between w:val="nil"/>
          <w:bar w:val="nil"/>
        </w:pBdr>
        <w:ind w:left="-426" w:firstLine="426"/>
        <w:rPr>
          <w:bdr w:val="nil"/>
        </w:rPr>
      </w:pPr>
      <w:bookmarkStart w:id="34" w:name="_Toc452467803"/>
      <w:bookmarkStart w:id="35" w:name="_Toc83910744"/>
      <w:bookmarkEnd w:id="33"/>
      <w:r>
        <w:rPr>
          <w:bdr w:val="nil"/>
        </w:rPr>
        <w:lastRenderedPageBreak/>
        <w:t>Financial Statements</w:t>
      </w:r>
      <w:bookmarkEnd w:id="34"/>
      <w:r>
        <w:rPr>
          <w:bdr w:val="nil"/>
        </w:rPr>
        <w:t xml:space="preserve"> – Controlled</w:t>
      </w:r>
      <w:bookmarkEnd w:id="35"/>
    </w:p>
    <w:p w14:paraId="256551A9" w14:textId="1C6DCF63" w:rsidR="001F6B18" w:rsidRDefault="0027723F" w:rsidP="003C587A">
      <w:pPr>
        <w:pStyle w:val="Caption"/>
        <w:pBdr>
          <w:top w:val="nil"/>
          <w:left w:val="nil"/>
          <w:bottom w:val="nil"/>
          <w:right w:val="nil"/>
          <w:between w:val="nil"/>
          <w:bar w:val="nil"/>
        </w:pBdr>
        <w:jc w:val="both"/>
        <w:rPr>
          <w:bdr w:val="nil"/>
        </w:rPr>
      </w:pPr>
      <w:r w:rsidRPr="00905426">
        <w:rPr>
          <w:b w:val="0"/>
          <w:bCs w:val="0"/>
          <w:color w:val="auto"/>
          <w:sz w:val="24"/>
          <w:szCs w:val="20"/>
          <w:bdr w:val="nil"/>
        </w:rPr>
        <w:t xml:space="preserve">Due </w:t>
      </w:r>
      <w:r w:rsidRPr="003A4EA2">
        <w:rPr>
          <w:b w:val="0"/>
          <w:bCs w:val="0"/>
          <w:color w:val="auto"/>
          <w:sz w:val="24"/>
          <w:szCs w:val="20"/>
          <w:bdr w:val="nil"/>
        </w:rPr>
        <w:t>to the release of the 2021-22 Budget on 6 October 2021, the 2020-21 Interim Outcome column reflects the interim outcome included in the draft 2020</w:t>
      </w:r>
      <w:r w:rsidR="003C587A">
        <w:rPr>
          <w:b w:val="0"/>
          <w:bCs w:val="0"/>
          <w:color w:val="auto"/>
          <w:sz w:val="24"/>
          <w:szCs w:val="20"/>
          <w:bdr w:val="nil"/>
        </w:rPr>
        <w:t>-</w:t>
      </w:r>
      <w:r w:rsidRPr="003A4EA2">
        <w:rPr>
          <w:b w:val="0"/>
          <w:bCs w:val="0"/>
          <w:color w:val="auto"/>
          <w:sz w:val="24"/>
          <w:szCs w:val="20"/>
          <w:bdr w:val="nil"/>
        </w:rPr>
        <w:t xml:space="preserve">21 Financial Statements, which were unaudited at the time of </w:t>
      </w:r>
      <w:r>
        <w:rPr>
          <w:b w:val="0"/>
          <w:bCs w:val="0"/>
          <w:color w:val="auto"/>
          <w:sz w:val="24"/>
          <w:szCs w:val="20"/>
          <w:bdr w:val="nil"/>
        </w:rPr>
        <w:t>preparing</w:t>
      </w:r>
      <w:r w:rsidRPr="003A4EA2">
        <w:rPr>
          <w:b w:val="0"/>
          <w:bCs w:val="0"/>
          <w:color w:val="auto"/>
          <w:sz w:val="24"/>
          <w:szCs w:val="20"/>
          <w:bdr w:val="nil"/>
        </w:rPr>
        <w:t xml:space="preserve"> these budget statements.</w:t>
      </w:r>
    </w:p>
    <w:p w14:paraId="3AFA851B" w14:textId="77777777" w:rsidR="001F6B18" w:rsidRPr="00625775" w:rsidRDefault="0027723F" w:rsidP="001F6B18">
      <w:pPr>
        <w:pStyle w:val="Caption"/>
        <w:pBdr>
          <w:top w:val="nil"/>
          <w:left w:val="nil"/>
          <w:bottom w:val="nil"/>
          <w:right w:val="nil"/>
          <w:between w:val="nil"/>
          <w:bar w:val="nil"/>
        </w:pBdr>
        <w:rPr>
          <w:bdr w:val="nil"/>
        </w:rPr>
      </w:pPr>
      <w:r>
        <w:rPr>
          <w:bdr w:val="nil"/>
        </w:rPr>
        <w:t xml:space="preserve">Table 23: ACT Health Directorate: Operating Statement </w:t>
      </w:r>
    </w:p>
    <w:tbl>
      <w:tblPr>
        <w:tblStyle w:val="CDMRange2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496618" w14:paraId="0112E6F5" w14:textId="77777777">
        <w:trPr>
          <w:trHeight w:val="100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7D125F0"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6DA94CD0" w14:textId="77777777" w:rsidR="00496618" w:rsidRDefault="00496618">
            <w:pPr>
              <w:pStyle w:val="Normal9"/>
              <w:jc w:val="right"/>
              <w:rPr>
                <w:rFonts w:ascii="Calibri" w:eastAsia="Calibri" w:hAnsi="Calibri" w:cs="Calibri"/>
                <w:b/>
                <w:color w:val="000000"/>
                <w:sz w:val="18"/>
              </w:rPr>
            </w:pPr>
          </w:p>
          <w:p w14:paraId="12F4C598"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34D1FC6" w14:textId="77777777" w:rsidR="00496618" w:rsidRDefault="00496618">
            <w:pPr>
              <w:pStyle w:val="Normal9"/>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0C8DAAD"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47A0054"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176B7C6C" w14:textId="77777777" w:rsidR="00496618" w:rsidRDefault="00496618">
            <w:pPr>
              <w:pStyle w:val="Normal9"/>
              <w:jc w:val="right"/>
              <w:rPr>
                <w:rFonts w:ascii="Calibri" w:eastAsia="Calibri" w:hAnsi="Calibri" w:cs="Calibri"/>
                <w:b/>
                <w:color w:val="000000"/>
                <w:sz w:val="18"/>
              </w:rPr>
            </w:pPr>
          </w:p>
          <w:p w14:paraId="1190EFEA"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0508BB9"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Var</w:t>
            </w:r>
          </w:p>
          <w:p w14:paraId="2D0CF606"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5471866"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737FEF92" w14:textId="77777777" w:rsidR="00496618" w:rsidRDefault="00496618">
            <w:pPr>
              <w:pStyle w:val="Normal9"/>
              <w:jc w:val="right"/>
              <w:rPr>
                <w:rFonts w:ascii="Calibri" w:eastAsia="Calibri" w:hAnsi="Calibri" w:cs="Calibri"/>
                <w:b/>
                <w:color w:val="000000"/>
                <w:sz w:val="18"/>
              </w:rPr>
            </w:pPr>
          </w:p>
          <w:p w14:paraId="0E16B12C"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797A5A6"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2FBAA1C7" w14:textId="77777777" w:rsidR="00496618" w:rsidRDefault="00496618">
            <w:pPr>
              <w:pStyle w:val="Normal9"/>
              <w:jc w:val="right"/>
              <w:rPr>
                <w:rFonts w:ascii="Calibri" w:eastAsia="Calibri" w:hAnsi="Calibri" w:cs="Calibri"/>
                <w:b/>
                <w:color w:val="000000"/>
                <w:sz w:val="18"/>
              </w:rPr>
            </w:pPr>
          </w:p>
          <w:p w14:paraId="25DD2C48"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0F88998"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49C351FA" w14:textId="77777777" w:rsidR="00496618" w:rsidRDefault="00496618">
            <w:pPr>
              <w:pStyle w:val="Normal9"/>
              <w:jc w:val="right"/>
              <w:rPr>
                <w:rFonts w:ascii="Calibri" w:eastAsia="Calibri" w:hAnsi="Calibri" w:cs="Calibri"/>
                <w:b/>
                <w:color w:val="000000"/>
                <w:sz w:val="18"/>
              </w:rPr>
            </w:pPr>
          </w:p>
          <w:p w14:paraId="652CC1C7"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496618" w14:paraId="3ACE56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D32FB8D" w14:textId="77777777" w:rsidR="00496618" w:rsidRDefault="00496618">
            <w:pPr>
              <w:pStyle w:val="Normal9"/>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7E9330E" w14:textId="77777777" w:rsidR="00496618" w:rsidRDefault="00496618">
            <w:pPr>
              <w:pStyle w:val="Normal9"/>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858756F" w14:textId="77777777" w:rsidR="00496618" w:rsidRDefault="00496618">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49DD287" w14:textId="77777777" w:rsidR="00496618" w:rsidRDefault="00496618">
            <w:pPr>
              <w:pStyle w:val="Normal9"/>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5A26F83" w14:textId="77777777" w:rsidR="00496618" w:rsidRDefault="00496618">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39CF90F" w14:textId="77777777" w:rsidR="00496618" w:rsidRDefault="00496618">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80BBA0B" w14:textId="77777777" w:rsidR="00496618" w:rsidRDefault="00496618">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4ED331B" w14:textId="77777777" w:rsidR="00496618" w:rsidRDefault="00496618">
            <w:pPr>
              <w:pStyle w:val="Normal9"/>
              <w:jc w:val="right"/>
              <w:rPr>
                <w:rFonts w:ascii="Calibri" w:eastAsia="Calibri" w:hAnsi="Calibri" w:cs="Calibri"/>
                <w:b/>
                <w:i/>
                <w:color w:val="000000"/>
                <w:sz w:val="18"/>
              </w:rPr>
            </w:pPr>
          </w:p>
        </w:tc>
      </w:tr>
      <w:tr w:rsidR="00496618" w14:paraId="17EC1C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8EC335B" w14:textId="77777777" w:rsidR="00496618" w:rsidRDefault="00496618">
            <w:pPr>
              <w:pStyle w:val="Normal9"/>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87ADECF" w14:textId="77777777" w:rsidR="00496618" w:rsidRDefault="0027723F">
            <w:pPr>
              <w:pStyle w:val="Normal9"/>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5CC2803E" w14:textId="77777777" w:rsidR="00496618" w:rsidRDefault="00496618">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BEAA95" w14:textId="77777777" w:rsidR="00496618" w:rsidRDefault="00496618">
            <w:pPr>
              <w:pStyle w:val="Normal9"/>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A2EABA" w14:textId="77777777" w:rsidR="00496618" w:rsidRDefault="00496618">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1397D1" w14:textId="77777777" w:rsidR="00496618" w:rsidRDefault="00496618">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B41A40" w14:textId="77777777" w:rsidR="00496618" w:rsidRDefault="00496618">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5FBD3F" w14:textId="77777777" w:rsidR="00496618" w:rsidRDefault="00496618">
            <w:pPr>
              <w:pStyle w:val="Normal9"/>
              <w:jc w:val="right"/>
              <w:rPr>
                <w:rFonts w:ascii="Calibri" w:eastAsia="Calibri" w:hAnsi="Calibri" w:cs="Calibri"/>
                <w:b/>
                <w:i/>
                <w:color w:val="000000"/>
                <w:sz w:val="18"/>
              </w:rPr>
            </w:pPr>
          </w:p>
        </w:tc>
      </w:tr>
      <w:tr w:rsidR="00496618" w14:paraId="274375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807F239" w14:textId="77777777" w:rsidR="00496618" w:rsidRDefault="00496618">
            <w:pPr>
              <w:pStyle w:val="Normal9"/>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3E44C86"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588606" w14:textId="77777777" w:rsidR="00496618" w:rsidRDefault="00496618">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1A69BF" w14:textId="77777777" w:rsidR="00496618" w:rsidRDefault="00496618">
            <w:pPr>
              <w:pStyle w:val="Normal9"/>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B57AEDB" w14:textId="77777777" w:rsidR="00496618" w:rsidRDefault="00496618">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DC0C08" w14:textId="77777777" w:rsidR="00496618" w:rsidRDefault="00496618">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C66E24" w14:textId="77777777" w:rsidR="00496618" w:rsidRDefault="00496618">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7C2FD3" w14:textId="77777777" w:rsidR="00496618" w:rsidRDefault="00496618">
            <w:pPr>
              <w:pStyle w:val="Normal9"/>
              <w:jc w:val="right"/>
              <w:rPr>
                <w:rFonts w:ascii="Calibri" w:eastAsia="Calibri" w:hAnsi="Calibri" w:cs="Calibri"/>
                <w:b/>
                <w:i/>
                <w:color w:val="000000"/>
                <w:sz w:val="18"/>
              </w:rPr>
            </w:pPr>
          </w:p>
        </w:tc>
      </w:tr>
      <w:tr w:rsidR="00496618" w14:paraId="24B46B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0C77D2" w14:textId="77777777" w:rsidR="00496618" w:rsidRDefault="00496618">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35D8E68" w14:textId="77777777" w:rsidR="00496618" w:rsidRDefault="0027723F">
            <w:pPr>
              <w:pStyle w:val="Normal9"/>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072CDA77"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C5C0EC" w14:textId="77777777" w:rsidR="00496618" w:rsidRDefault="00496618">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8718B1"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CB1AE9"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D449F8"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266318" w14:textId="77777777" w:rsidR="00496618" w:rsidRDefault="00496618">
            <w:pPr>
              <w:pStyle w:val="Normal9"/>
              <w:rPr>
                <w:rFonts w:ascii="Calibri" w:eastAsia="Calibri" w:hAnsi="Calibri" w:cs="Calibri"/>
                <w:color w:val="000000"/>
                <w:sz w:val="18"/>
              </w:rPr>
            </w:pPr>
          </w:p>
        </w:tc>
      </w:tr>
      <w:tr w:rsidR="00496618" w14:paraId="7809BD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898A0BE"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263,923</w:t>
            </w:r>
          </w:p>
        </w:tc>
        <w:tc>
          <w:tcPr>
            <w:tcW w:w="2385" w:type="dxa"/>
            <w:tcBorders>
              <w:top w:val="nil"/>
              <w:left w:val="nil"/>
              <w:bottom w:val="nil"/>
              <w:right w:val="nil"/>
              <w:tl2br w:val="nil"/>
              <w:tr2bl w:val="nil"/>
            </w:tcBorders>
            <w:shd w:val="clear" w:color="auto" w:fill="auto"/>
            <w:noWrap/>
            <w:tcMar>
              <w:left w:w="101" w:type="dxa"/>
              <w:right w:w="101" w:type="dxa"/>
            </w:tcMar>
          </w:tcPr>
          <w:p w14:paraId="525B69DF"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17F9697B"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249,100</w:t>
            </w:r>
          </w:p>
        </w:tc>
        <w:tc>
          <w:tcPr>
            <w:tcW w:w="1035" w:type="dxa"/>
            <w:tcBorders>
              <w:top w:val="nil"/>
              <w:left w:val="nil"/>
              <w:bottom w:val="nil"/>
              <w:right w:val="nil"/>
              <w:tl2br w:val="nil"/>
              <w:tr2bl w:val="nil"/>
            </w:tcBorders>
            <w:shd w:val="clear" w:color="FFFFFF" w:fill="FFFFFF"/>
            <w:noWrap/>
            <w:tcMar>
              <w:left w:w="101" w:type="dxa"/>
              <w:right w:w="101" w:type="dxa"/>
            </w:tcMar>
          </w:tcPr>
          <w:p w14:paraId="56504283"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274,523</w:t>
            </w:r>
          </w:p>
        </w:tc>
        <w:tc>
          <w:tcPr>
            <w:tcW w:w="600" w:type="dxa"/>
            <w:tcBorders>
              <w:top w:val="nil"/>
              <w:left w:val="nil"/>
              <w:bottom w:val="nil"/>
              <w:right w:val="nil"/>
              <w:tl2br w:val="nil"/>
              <w:tr2bl w:val="nil"/>
            </w:tcBorders>
            <w:shd w:val="clear" w:color="FFFFFF" w:fill="FFFFFF"/>
            <w:tcMar>
              <w:left w:w="101" w:type="dxa"/>
              <w:right w:w="101" w:type="dxa"/>
            </w:tcMar>
          </w:tcPr>
          <w:p w14:paraId="60148995"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noWrap/>
            <w:tcMar>
              <w:left w:w="101" w:type="dxa"/>
              <w:right w:w="101" w:type="dxa"/>
            </w:tcMar>
          </w:tcPr>
          <w:p w14:paraId="0EEF0BD9"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254,638</w:t>
            </w:r>
          </w:p>
        </w:tc>
        <w:tc>
          <w:tcPr>
            <w:tcW w:w="1035" w:type="dxa"/>
            <w:tcBorders>
              <w:top w:val="nil"/>
              <w:left w:val="nil"/>
              <w:bottom w:val="nil"/>
              <w:right w:val="nil"/>
              <w:tl2br w:val="nil"/>
              <w:tr2bl w:val="nil"/>
            </w:tcBorders>
            <w:shd w:val="clear" w:color="FFFFFF" w:fill="FFFFFF"/>
            <w:noWrap/>
            <w:tcMar>
              <w:left w:w="101" w:type="dxa"/>
              <w:right w:w="101" w:type="dxa"/>
            </w:tcMar>
          </w:tcPr>
          <w:p w14:paraId="03A63AD5"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250,532</w:t>
            </w:r>
          </w:p>
        </w:tc>
        <w:tc>
          <w:tcPr>
            <w:tcW w:w="1035" w:type="dxa"/>
            <w:tcBorders>
              <w:top w:val="nil"/>
              <w:left w:val="nil"/>
              <w:bottom w:val="nil"/>
              <w:right w:val="nil"/>
              <w:tl2br w:val="nil"/>
              <w:tr2bl w:val="nil"/>
            </w:tcBorders>
            <w:shd w:val="clear" w:color="FFFFFF" w:fill="FFFFFF"/>
            <w:noWrap/>
            <w:tcMar>
              <w:left w:w="101" w:type="dxa"/>
              <w:right w:w="101" w:type="dxa"/>
            </w:tcMar>
          </w:tcPr>
          <w:p w14:paraId="1B2BBD4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252,553</w:t>
            </w:r>
          </w:p>
        </w:tc>
      </w:tr>
      <w:tr w:rsidR="00496618" w14:paraId="3FD219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8C1C1AD"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107,614</w:t>
            </w:r>
          </w:p>
        </w:tc>
        <w:tc>
          <w:tcPr>
            <w:tcW w:w="2385" w:type="dxa"/>
            <w:tcBorders>
              <w:top w:val="nil"/>
              <w:left w:val="nil"/>
              <w:bottom w:val="nil"/>
              <w:right w:val="nil"/>
              <w:tl2br w:val="nil"/>
              <w:tr2bl w:val="nil"/>
            </w:tcBorders>
            <w:shd w:val="clear" w:color="auto" w:fill="auto"/>
            <w:noWrap/>
            <w:tcMar>
              <w:left w:w="101" w:type="dxa"/>
              <w:right w:w="101" w:type="dxa"/>
            </w:tcMar>
          </w:tcPr>
          <w:p w14:paraId="2C2FC99D"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4056559D"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17,954</w:t>
            </w:r>
          </w:p>
        </w:tc>
        <w:tc>
          <w:tcPr>
            <w:tcW w:w="1035" w:type="dxa"/>
            <w:tcBorders>
              <w:top w:val="nil"/>
              <w:left w:val="nil"/>
              <w:bottom w:val="nil"/>
              <w:right w:val="nil"/>
              <w:tl2br w:val="nil"/>
              <w:tr2bl w:val="nil"/>
            </w:tcBorders>
            <w:shd w:val="clear" w:color="FFFFFF" w:fill="FFFFFF"/>
            <w:tcMar>
              <w:left w:w="101" w:type="dxa"/>
              <w:right w:w="101" w:type="dxa"/>
            </w:tcMar>
          </w:tcPr>
          <w:p w14:paraId="4B1F501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9,887</w:t>
            </w:r>
          </w:p>
        </w:tc>
        <w:tc>
          <w:tcPr>
            <w:tcW w:w="600" w:type="dxa"/>
            <w:tcBorders>
              <w:top w:val="nil"/>
              <w:left w:val="nil"/>
              <w:bottom w:val="nil"/>
              <w:right w:val="nil"/>
              <w:tl2br w:val="nil"/>
              <w:tr2bl w:val="nil"/>
            </w:tcBorders>
            <w:shd w:val="clear" w:color="FFFFFF" w:fill="FFFFFF"/>
            <w:tcMar>
              <w:left w:w="101" w:type="dxa"/>
              <w:right w:w="101" w:type="dxa"/>
            </w:tcMar>
          </w:tcPr>
          <w:p w14:paraId="0B51277A"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-45 </w:t>
            </w:r>
          </w:p>
        </w:tc>
        <w:tc>
          <w:tcPr>
            <w:tcW w:w="1035" w:type="dxa"/>
            <w:tcBorders>
              <w:top w:val="nil"/>
              <w:left w:val="nil"/>
              <w:bottom w:val="nil"/>
              <w:right w:val="nil"/>
              <w:tl2br w:val="nil"/>
              <w:tr2bl w:val="nil"/>
            </w:tcBorders>
            <w:shd w:val="clear" w:color="FFFFFF" w:fill="FFFFFF"/>
            <w:tcMar>
              <w:left w:w="101" w:type="dxa"/>
              <w:right w:w="101" w:type="dxa"/>
            </w:tcMar>
          </w:tcPr>
          <w:p w14:paraId="43643CFA"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10,453</w:t>
            </w:r>
          </w:p>
        </w:tc>
        <w:tc>
          <w:tcPr>
            <w:tcW w:w="1035" w:type="dxa"/>
            <w:tcBorders>
              <w:top w:val="nil"/>
              <w:left w:val="nil"/>
              <w:bottom w:val="nil"/>
              <w:right w:val="nil"/>
              <w:tl2br w:val="nil"/>
              <w:tr2bl w:val="nil"/>
            </w:tcBorders>
            <w:shd w:val="clear" w:color="FFFFFF" w:fill="FFFFFF"/>
            <w:tcMar>
              <w:left w:w="101" w:type="dxa"/>
              <w:right w:w="101" w:type="dxa"/>
            </w:tcMar>
          </w:tcPr>
          <w:p w14:paraId="77840B7F"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11,054</w:t>
            </w:r>
          </w:p>
        </w:tc>
        <w:tc>
          <w:tcPr>
            <w:tcW w:w="1035" w:type="dxa"/>
            <w:tcBorders>
              <w:top w:val="nil"/>
              <w:left w:val="nil"/>
              <w:bottom w:val="nil"/>
              <w:right w:val="nil"/>
              <w:tl2br w:val="nil"/>
              <w:tr2bl w:val="nil"/>
            </w:tcBorders>
            <w:shd w:val="clear" w:color="FFFFFF" w:fill="FFFFFF"/>
            <w:tcMar>
              <w:left w:w="101" w:type="dxa"/>
              <w:right w:w="101" w:type="dxa"/>
            </w:tcMar>
          </w:tcPr>
          <w:p w14:paraId="1FBA0EAF"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11,682</w:t>
            </w:r>
          </w:p>
        </w:tc>
      </w:tr>
      <w:tr w:rsidR="00496618" w14:paraId="222881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2FF456"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2,636</w:t>
            </w:r>
          </w:p>
        </w:tc>
        <w:tc>
          <w:tcPr>
            <w:tcW w:w="2385" w:type="dxa"/>
            <w:tcBorders>
              <w:top w:val="nil"/>
              <w:left w:val="nil"/>
              <w:bottom w:val="nil"/>
              <w:right w:val="nil"/>
              <w:tl2br w:val="nil"/>
              <w:tr2bl w:val="nil"/>
            </w:tcBorders>
            <w:shd w:val="clear" w:color="auto" w:fill="auto"/>
            <w:noWrap/>
            <w:tcMar>
              <w:left w:w="101" w:type="dxa"/>
              <w:right w:w="101" w:type="dxa"/>
            </w:tcMar>
          </w:tcPr>
          <w:p w14:paraId="1CBD7610"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2B67102A"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3,770</w:t>
            </w:r>
          </w:p>
        </w:tc>
        <w:tc>
          <w:tcPr>
            <w:tcW w:w="1035" w:type="dxa"/>
            <w:tcBorders>
              <w:top w:val="nil"/>
              <w:left w:val="nil"/>
              <w:bottom w:val="nil"/>
              <w:right w:val="nil"/>
              <w:tl2br w:val="nil"/>
              <w:tr2bl w:val="nil"/>
            </w:tcBorders>
            <w:shd w:val="clear" w:color="FFFFFF" w:fill="FFFFFF"/>
            <w:tcMar>
              <w:left w:w="101" w:type="dxa"/>
              <w:right w:w="101" w:type="dxa"/>
            </w:tcMar>
          </w:tcPr>
          <w:p w14:paraId="2BE3F89F"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2,785</w:t>
            </w:r>
          </w:p>
        </w:tc>
        <w:tc>
          <w:tcPr>
            <w:tcW w:w="600" w:type="dxa"/>
            <w:tcBorders>
              <w:top w:val="nil"/>
              <w:left w:val="nil"/>
              <w:bottom w:val="nil"/>
              <w:right w:val="nil"/>
              <w:tl2br w:val="nil"/>
              <w:tr2bl w:val="nil"/>
            </w:tcBorders>
            <w:shd w:val="clear" w:color="FFFFFF" w:fill="FFFFFF"/>
            <w:tcMar>
              <w:left w:w="101" w:type="dxa"/>
              <w:right w:w="101" w:type="dxa"/>
            </w:tcMar>
          </w:tcPr>
          <w:p w14:paraId="63C5ABA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-26 </w:t>
            </w:r>
          </w:p>
        </w:tc>
        <w:tc>
          <w:tcPr>
            <w:tcW w:w="1035" w:type="dxa"/>
            <w:tcBorders>
              <w:top w:val="nil"/>
              <w:left w:val="nil"/>
              <w:bottom w:val="nil"/>
              <w:right w:val="nil"/>
              <w:tl2br w:val="nil"/>
              <w:tr2bl w:val="nil"/>
            </w:tcBorders>
            <w:shd w:val="clear" w:color="FFFFFF" w:fill="FFFFFF"/>
            <w:tcMar>
              <w:left w:w="101" w:type="dxa"/>
              <w:right w:w="101" w:type="dxa"/>
            </w:tcMar>
          </w:tcPr>
          <w:p w14:paraId="3157E35D"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2,854</w:t>
            </w:r>
          </w:p>
        </w:tc>
        <w:tc>
          <w:tcPr>
            <w:tcW w:w="1035" w:type="dxa"/>
            <w:tcBorders>
              <w:top w:val="nil"/>
              <w:left w:val="nil"/>
              <w:bottom w:val="nil"/>
              <w:right w:val="nil"/>
              <w:tl2br w:val="nil"/>
              <w:tr2bl w:val="nil"/>
            </w:tcBorders>
            <w:shd w:val="clear" w:color="FFFFFF" w:fill="FFFFFF"/>
            <w:tcMar>
              <w:left w:w="101" w:type="dxa"/>
              <w:right w:w="101" w:type="dxa"/>
            </w:tcMar>
          </w:tcPr>
          <w:p w14:paraId="13BA469F"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2,924</w:t>
            </w:r>
          </w:p>
        </w:tc>
        <w:tc>
          <w:tcPr>
            <w:tcW w:w="1035" w:type="dxa"/>
            <w:tcBorders>
              <w:top w:val="nil"/>
              <w:left w:val="nil"/>
              <w:bottom w:val="nil"/>
              <w:right w:val="nil"/>
              <w:tl2br w:val="nil"/>
              <w:tr2bl w:val="nil"/>
            </w:tcBorders>
            <w:shd w:val="clear" w:color="FFFFFF" w:fill="FFFFFF"/>
            <w:tcMar>
              <w:left w:w="101" w:type="dxa"/>
              <w:right w:w="101" w:type="dxa"/>
            </w:tcMar>
          </w:tcPr>
          <w:p w14:paraId="6C340173"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2,996</w:t>
            </w:r>
          </w:p>
        </w:tc>
      </w:tr>
      <w:tr w:rsidR="00496618" w14:paraId="498687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7068F06"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5,098</w:t>
            </w:r>
          </w:p>
        </w:tc>
        <w:tc>
          <w:tcPr>
            <w:tcW w:w="2385" w:type="dxa"/>
            <w:tcBorders>
              <w:top w:val="nil"/>
              <w:left w:val="nil"/>
              <w:bottom w:val="nil"/>
              <w:right w:val="nil"/>
              <w:tl2br w:val="nil"/>
              <w:tr2bl w:val="nil"/>
            </w:tcBorders>
            <w:shd w:val="clear" w:color="auto" w:fill="auto"/>
            <w:noWrap/>
            <w:tcMar>
              <w:left w:w="101" w:type="dxa"/>
              <w:right w:w="101" w:type="dxa"/>
            </w:tcMar>
          </w:tcPr>
          <w:p w14:paraId="21A99EB7"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033A9B8A"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99,126</w:t>
            </w:r>
          </w:p>
        </w:tc>
        <w:tc>
          <w:tcPr>
            <w:tcW w:w="1035" w:type="dxa"/>
            <w:tcBorders>
              <w:top w:val="nil"/>
              <w:left w:val="nil"/>
              <w:bottom w:val="nil"/>
              <w:right w:val="nil"/>
              <w:tl2br w:val="nil"/>
              <w:tr2bl w:val="nil"/>
            </w:tcBorders>
            <w:shd w:val="clear" w:color="FFFFFF" w:fill="FFFFFF"/>
            <w:tcMar>
              <w:left w:w="101" w:type="dxa"/>
              <w:right w:w="101" w:type="dxa"/>
            </w:tcMar>
          </w:tcPr>
          <w:p w14:paraId="7A6DB46D"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131,991</w:t>
            </w:r>
          </w:p>
        </w:tc>
        <w:tc>
          <w:tcPr>
            <w:tcW w:w="600" w:type="dxa"/>
            <w:tcBorders>
              <w:top w:val="nil"/>
              <w:left w:val="nil"/>
              <w:bottom w:val="nil"/>
              <w:right w:val="nil"/>
              <w:tl2br w:val="nil"/>
              <w:tr2bl w:val="nil"/>
            </w:tcBorders>
            <w:shd w:val="clear" w:color="FFFFFF" w:fill="FFFFFF"/>
            <w:tcMar>
              <w:left w:w="101" w:type="dxa"/>
              <w:right w:w="101" w:type="dxa"/>
            </w:tcMar>
          </w:tcPr>
          <w:p w14:paraId="5DAFBBC0"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33 </w:t>
            </w:r>
          </w:p>
        </w:tc>
        <w:tc>
          <w:tcPr>
            <w:tcW w:w="1035" w:type="dxa"/>
            <w:tcBorders>
              <w:top w:val="nil"/>
              <w:left w:val="nil"/>
              <w:bottom w:val="nil"/>
              <w:right w:val="nil"/>
              <w:tl2br w:val="nil"/>
              <w:tr2bl w:val="nil"/>
            </w:tcBorders>
            <w:shd w:val="clear" w:color="FFFFFF" w:fill="FFFFFF"/>
            <w:tcMar>
              <w:left w:w="101" w:type="dxa"/>
              <w:right w:w="101" w:type="dxa"/>
            </w:tcMar>
          </w:tcPr>
          <w:p w14:paraId="39C292C9"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123,285</w:t>
            </w:r>
          </w:p>
        </w:tc>
        <w:tc>
          <w:tcPr>
            <w:tcW w:w="1035" w:type="dxa"/>
            <w:tcBorders>
              <w:top w:val="nil"/>
              <w:left w:val="nil"/>
              <w:bottom w:val="nil"/>
              <w:right w:val="nil"/>
              <w:tl2br w:val="nil"/>
              <w:tr2bl w:val="nil"/>
            </w:tcBorders>
            <w:shd w:val="clear" w:color="FFFFFF" w:fill="FFFFFF"/>
            <w:tcMar>
              <w:left w:w="101" w:type="dxa"/>
              <w:right w:w="101" w:type="dxa"/>
            </w:tcMar>
          </w:tcPr>
          <w:p w14:paraId="78860148"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126,367</w:t>
            </w:r>
          </w:p>
        </w:tc>
        <w:tc>
          <w:tcPr>
            <w:tcW w:w="1035" w:type="dxa"/>
            <w:tcBorders>
              <w:top w:val="nil"/>
              <w:left w:val="nil"/>
              <w:bottom w:val="nil"/>
              <w:right w:val="nil"/>
              <w:tl2br w:val="nil"/>
              <w:tr2bl w:val="nil"/>
            </w:tcBorders>
            <w:shd w:val="clear" w:color="FFFFFF" w:fill="FFFFFF"/>
            <w:tcMar>
              <w:left w:w="101" w:type="dxa"/>
              <w:right w:w="101" w:type="dxa"/>
            </w:tcMar>
          </w:tcPr>
          <w:p w14:paraId="47EC264F"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128,894</w:t>
            </w:r>
          </w:p>
        </w:tc>
      </w:tr>
      <w:tr w:rsidR="00496618" w14:paraId="2788B1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1B7582" w14:textId="77777777" w:rsidR="00496618" w:rsidRDefault="00496618">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D77E773"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F6FDD8"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7523DC" w14:textId="77777777" w:rsidR="00496618" w:rsidRDefault="00496618">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ED60F9"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AE172E"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BC410A"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17E3BD" w14:textId="77777777" w:rsidR="00496618" w:rsidRDefault="00496618">
            <w:pPr>
              <w:pStyle w:val="Normal9"/>
              <w:rPr>
                <w:rFonts w:ascii="Calibri" w:eastAsia="Calibri" w:hAnsi="Calibri" w:cs="Calibri"/>
                <w:color w:val="000000"/>
                <w:sz w:val="18"/>
              </w:rPr>
            </w:pPr>
          </w:p>
        </w:tc>
      </w:tr>
      <w:tr w:rsidR="00496618" w14:paraId="4C1F51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1FFE36"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379,271</w:t>
            </w:r>
          </w:p>
        </w:tc>
        <w:tc>
          <w:tcPr>
            <w:tcW w:w="2385" w:type="dxa"/>
            <w:tcBorders>
              <w:top w:val="nil"/>
              <w:left w:val="nil"/>
              <w:bottom w:val="nil"/>
              <w:right w:val="nil"/>
              <w:tl2br w:val="nil"/>
              <w:tr2bl w:val="nil"/>
            </w:tcBorders>
            <w:shd w:val="clear" w:color="FFFFFF" w:fill="FFFFFF"/>
            <w:noWrap/>
            <w:tcMar>
              <w:left w:w="101" w:type="dxa"/>
              <w:right w:w="101" w:type="dxa"/>
            </w:tcMar>
          </w:tcPr>
          <w:p w14:paraId="60684145" w14:textId="77777777" w:rsidR="00496618" w:rsidRDefault="0027723F">
            <w:pPr>
              <w:pStyle w:val="Normal9"/>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1A9CE43D"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369,950</w:t>
            </w:r>
          </w:p>
        </w:tc>
        <w:tc>
          <w:tcPr>
            <w:tcW w:w="1035" w:type="dxa"/>
            <w:tcBorders>
              <w:top w:val="nil"/>
              <w:left w:val="nil"/>
              <w:bottom w:val="nil"/>
              <w:right w:val="nil"/>
              <w:tl2br w:val="nil"/>
              <w:tr2bl w:val="nil"/>
            </w:tcBorders>
            <w:shd w:val="clear" w:color="FFFFFF" w:fill="FFFFFF"/>
            <w:tcMar>
              <w:left w:w="101" w:type="dxa"/>
              <w:right w:w="101" w:type="dxa"/>
            </w:tcMar>
          </w:tcPr>
          <w:p w14:paraId="0FECA86B"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419,186</w:t>
            </w:r>
          </w:p>
        </w:tc>
        <w:tc>
          <w:tcPr>
            <w:tcW w:w="600" w:type="dxa"/>
            <w:tcBorders>
              <w:top w:val="nil"/>
              <w:left w:val="nil"/>
              <w:bottom w:val="nil"/>
              <w:right w:val="nil"/>
              <w:tl2br w:val="nil"/>
              <w:tr2bl w:val="nil"/>
            </w:tcBorders>
            <w:shd w:val="clear" w:color="FFFFFF" w:fill="FFFFFF"/>
            <w:tcMar>
              <w:left w:w="101" w:type="dxa"/>
              <w:right w:w="101" w:type="dxa"/>
            </w:tcMar>
          </w:tcPr>
          <w:p w14:paraId="0505C374"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4927DD8E"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391,230</w:t>
            </w:r>
          </w:p>
        </w:tc>
        <w:tc>
          <w:tcPr>
            <w:tcW w:w="1035" w:type="dxa"/>
            <w:tcBorders>
              <w:top w:val="nil"/>
              <w:left w:val="nil"/>
              <w:bottom w:val="nil"/>
              <w:right w:val="nil"/>
              <w:tl2br w:val="nil"/>
              <w:tr2bl w:val="nil"/>
            </w:tcBorders>
            <w:shd w:val="clear" w:color="FFFFFF" w:fill="FFFFFF"/>
            <w:tcMar>
              <w:left w:w="101" w:type="dxa"/>
              <w:right w:w="101" w:type="dxa"/>
            </w:tcMar>
          </w:tcPr>
          <w:p w14:paraId="196B7511"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390,877</w:t>
            </w:r>
          </w:p>
        </w:tc>
        <w:tc>
          <w:tcPr>
            <w:tcW w:w="1035" w:type="dxa"/>
            <w:tcBorders>
              <w:top w:val="nil"/>
              <w:left w:val="nil"/>
              <w:bottom w:val="nil"/>
              <w:right w:val="nil"/>
              <w:tl2br w:val="nil"/>
              <w:tr2bl w:val="nil"/>
            </w:tcBorders>
            <w:shd w:val="clear" w:color="FFFFFF" w:fill="FFFFFF"/>
            <w:tcMar>
              <w:left w:w="101" w:type="dxa"/>
              <w:right w:w="101" w:type="dxa"/>
            </w:tcMar>
          </w:tcPr>
          <w:p w14:paraId="4A76D6E8"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396,125</w:t>
            </w:r>
          </w:p>
        </w:tc>
      </w:tr>
      <w:tr w:rsidR="00496618" w14:paraId="51D35D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96F485" w14:textId="77777777" w:rsidR="00496618" w:rsidRDefault="00496618">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22F8316"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C4A4A0"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EC92D3" w14:textId="77777777" w:rsidR="00496618" w:rsidRDefault="00496618">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C98D6E"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439A90"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8D6BD8"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6EF5AB" w14:textId="77777777" w:rsidR="00496618" w:rsidRDefault="00496618">
            <w:pPr>
              <w:pStyle w:val="Normal9"/>
              <w:rPr>
                <w:rFonts w:ascii="Calibri" w:eastAsia="Calibri" w:hAnsi="Calibri" w:cs="Calibri"/>
                <w:color w:val="000000"/>
                <w:sz w:val="18"/>
              </w:rPr>
            </w:pPr>
          </w:p>
        </w:tc>
      </w:tr>
      <w:tr w:rsidR="00496618" w14:paraId="50D072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B473FF" w14:textId="77777777" w:rsidR="00496618" w:rsidRDefault="00496618">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9D2BD1B" w14:textId="77777777" w:rsidR="00496618" w:rsidRDefault="0027723F">
            <w:pPr>
              <w:pStyle w:val="Normal9"/>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74AD6283"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A93426" w14:textId="77777777" w:rsidR="00496618" w:rsidRDefault="00496618">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84279B0"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430D48"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6173C7"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A34D11" w14:textId="77777777" w:rsidR="00496618" w:rsidRDefault="00496618">
            <w:pPr>
              <w:pStyle w:val="Normal9"/>
              <w:rPr>
                <w:rFonts w:ascii="Calibri" w:eastAsia="Calibri" w:hAnsi="Calibri" w:cs="Calibri"/>
                <w:color w:val="000000"/>
                <w:sz w:val="18"/>
              </w:rPr>
            </w:pPr>
          </w:p>
        </w:tc>
      </w:tr>
      <w:tr w:rsidR="00496618" w14:paraId="2DB327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CDEC1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1E7E442"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Other Gains</w:t>
            </w:r>
          </w:p>
        </w:tc>
        <w:tc>
          <w:tcPr>
            <w:tcW w:w="1035" w:type="dxa"/>
            <w:tcBorders>
              <w:top w:val="nil"/>
              <w:left w:val="nil"/>
              <w:bottom w:val="nil"/>
              <w:right w:val="nil"/>
              <w:tl2br w:val="nil"/>
              <w:tr2bl w:val="nil"/>
            </w:tcBorders>
            <w:shd w:val="clear" w:color="FFFFFF" w:fill="FFFFFF"/>
            <w:tcMar>
              <w:left w:w="101" w:type="dxa"/>
              <w:right w:w="101" w:type="dxa"/>
            </w:tcMar>
          </w:tcPr>
          <w:p w14:paraId="182C9C02"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31</w:t>
            </w:r>
          </w:p>
        </w:tc>
        <w:tc>
          <w:tcPr>
            <w:tcW w:w="1035" w:type="dxa"/>
            <w:tcBorders>
              <w:top w:val="nil"/>
              <w:left w:val="nil"/>
              <w:bottom w:val="nil"/>
              <w:right w:val="nil"/>
              <w:tl2br w:val="nil"/>
              <w:tr2bl w:val="nil"/>
            </w:tcBorders>
            <w:shd w:val="clear" w:color="FFFFFF" w:fill="FFFFFF"/>
            <w:tcMar>
              <w:left w:w="101" w:type="dxa"/>
              <w:right w:w="101" w:type="dxa"/>
            </w:tcMar>
          </w:tcPr>
          <w:p w14:paraId="0269BF03"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DD1981A"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CC4F842"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B74F284"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0887311"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0</w:t>
            </w:r>
          </w:p>
        </w:tc>
      </w:tr>
      <w:tr w:rsidR="00496618" w14:paraId="69F9E6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CEFAE57" w14:textId="77777777" w:rsidR="00496618" w:rsidRDefault="00496618">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2002BA7"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977CA8"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9634CF" w14:textId="77777777" w:rsidR="00496618" w:rsidRDefault="00496618">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674EC1A"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926182"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B39DAE"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B4F3CD" w14:textId="77777777" w:rsidR="00496618" w:rsidRDefault="00496618">
            <w:pPr>
              <w:pStyle w:val="Normal9"/>
              <w:rPr>
                <w:rFonts w:ascii="Calibri" w:eastAsia="Calibri" w:hAnsi="Calibri" w:cs="Calibri"/>
                <w:color w:val="000000"/>
                <w:sz w:val="18"/>
              </w:rPr>
            </w:pPr>
          </w:p>
        </w:tc>
      </w:tr>
      <w:tr w:rsidR="00496618" w14:paraId="276A6F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03ED5D"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8B5CBC6" w14:textId="77777777" w:rsidR="00496618" w:rsidRDefault="0027723F">
            <w:pPr>
              <w:pStyle w:val="Normal9"/>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31572D3E"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31</w:t>
            </w:r>
          </w:p>
        </w:tc>
        <w:tc>
          <w:tcPr>
            <w:tcW w:w="1035" w:type="dxa"/>
            <w:tcBorders>
              <w:top w:val="nil"/>
              <w:left w:val="nil"/>
              <w:bottom w:val="nil"/>
              <w:right w:val="nil"/>
              <w:tl2br w:val="nil"/>
              <w:tr2bl w:val="nil"/>
            </w:tcBorders>
            <w:shd w:val="clear" w:color="FFFFFF" w:fill="FFFFFF"/>
            <w:tcMar>
              <w:left w:w="101" w:type="dxa"/>
              <w:right w:w="101" w:type="dxa"/>
            </w:tcMar>
          </w:tcPr>
          <w:p w14:paraId="786F73D8"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6BC1AE1"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9601BDA"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7196C89"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565A4A8"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0</w:t>
            </w:r>
          </w:p>
        </w:tc>
      </w:tr>
      <w:tr w:rsidR="00496618" w14:paraId="0566BD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9385A15" w14:textId="77777777" w:rsidR="00496618" w:rsidRDefault="00496618">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1E4A2B5"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42D3BD"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C1FFA2" w14:textId="77777777" w:rsidR="00496618" w:rsidRDefault="00496618">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678BB00"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AABDFB"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46E488"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B9FE8B" w14:textId="77777777" w:rsidR="00496618" w:rsidRDefault="00496618">
            <w:pPr>
              <w:pStyle w:val="Normal9"/>
              <w:rPr>
                <w:rFonts w:ascii="Calibri" w:eastAsia="Calibri" w:hAnsi="Calibri" w:cs="Calibri"/>
                <w:color w:val="000000"/>
                <w:sz w:val="18"/>
              </w:rPr>
            </w:pPr>
          </w:p>
        </w:tc>
      </w:tr>
      <w:tr w:rsidR="00496618" w14:paraId="1987E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9006DE"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379,271</w:t>
            </w:r>
          </w:p>
        </w:tc>
        <w:tc>
          <w:tcPr>
            <w:tcW w:w="2385" w:type="dxa"/>
            <w:tcBorders>
              <w:top w:val="nil"/>
              <w:left w:val="nil"/>
              <w:bottom w:val="nil"/>
              <w:right w:val="nil"/>
              <w:tl2br w:val="nil"/>
              <w:tr2bl w:val="nil"/>
            </w:tcBorders>
            <w:shd w:val="clear" w:color="FFFFFF" w:fill="FFFFFF"/>
            <w:noWrap/>
            <w:tcMar>
              <w:left w:w="101" w:type="dxa"/>
              <w:right w:w="101" w:type="dxa"/>
            </w:tcMar>
          </w:tcPr>
          <w:p w14:paraId="1D6460D5" w14:textId="77777777" w:rsidR="00496618" w:rsidRDefault="0027723F">
            <w:pPr>
              <w:pStyle w:val="Normal9"/>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2EE39602"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369,981</w:t>
            </w:r>
          </w:p>
        </w:tc>
        <w:tc>
          <w:tcPr>
            <w:tcW w:w="1035" w:type="dxa"/>
            <w:tcBorders>
              <w:top w:val="nil"/>
              <w:left w:val="nil"/>
              <w:bottom w:val="nil"/>
              <w:right w:val="nil"/>
              <w:tl2br w:val="nil"/>
              <w:tr2bl w:val="nil"/>
            </w:tcBorders>
            <w:shd w:val="clear" w:color="FFFFFF" w:fill="FFFFFF"/>
            <w:tcMar>
              <w:left w:w="101" w:type="dxa"/>
              <w:right w:w="101" w:type="dxa"/>
            </w:tcMar>
          </w:tcPr>
          <w:p w14:paraId="6BFEA144"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419,186</w:t>
            </w:r>
          </w:p>
        </w:tc>
        <w:tc>
          <w:tcPr>
            <w:tcW w:w="600" w:type="dxa"/>
            <w:tcBorders>
              <w:top w:val="nil"/>
              <w:left w:val="nil"/>
              <w:bottom w:val="nil"/>
              <w:right w:val="nil"/>
              <w:tl2br w:val="nil"/>
              <w:tr2bl w:val="nil"/>
            </w:tcBorders>
            <w:shd w:val="clear" w:color="FFFFFF" w:fill="FFFFFF"/>
            <w:tcMar>
              <w:left w:w="101" w:type="dxa"/>
              <w:right w:w="101" w:type="dxa"/>
            </w:tcMar>
          </w:tcPr>
          <w:p w14:paraId="227DA60A"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49579CAF"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391,230</w:t>
            </w:r>
          </w:p>
        </w:tc>
        <w:tc>
          <w:tcPr>
            <w:tcW w:w="1035" w:type="dxa"/>
            <w:tcBorders>
              <w:top w:val="nil"/>
              <w:left w:val="nil"/>
              <w:bottom w:val="nil"/>
              <w:right w:val="nil"/>
              <w:tl2br w:val="nil"/>
              <w:tr2bl w:val="nil"/>
            </w:tcBorders>
            <w:shd w:val="clear" w:color="FFFFFF" w:fill="FFFFFF"/>
            <w:tcMar>
              <w:left w:w="101" w:type="dxa"/>
              <w:right w:w="101" w:type="dxa"/>
            </w:tcMar>
          </w:tcPr>
          <w:p w14:paraId="4122B141"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390,877</w:t>
            </w:r>
          </w:p>
        </w:tc>
        <w:tc>
          <w:tcPr>
            <w:tcW w:w="1035" w:type="dxa"/>
            <w:tcBorders>
              <w:top w:val="nil"/>
              <w:left w:val="nil"/>
              <w:bottom w:val="nil"/>
              <w:right w:val="nil"/>
              <w:tl2br w:val="nil"/>
              <w:tr2bl w:val="nil"/>
            </w:tcBorders>
            <w:shd w:val="clear" w:color="FFFFFF" w:fill="FFFFFF"/>
            <w:tcMar>
              <w:left w:w="101" w:type="dxa"/>
              <w:right w:w="101" w:type="dxa"/>
            </w:tcMar>
          </w:tcPr>
          <w:p w14:paraId="6AF6CF9F"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396,125</w:t>
            </w:r>
          </w:p>
        </w:tc>
      </w:tr>
      <w:tr w:rsidR="00496618" w14:paraId="5E44B5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E6C925A" w14:textId="77777777" w:rsidR="00496618" w:rsidRDefault="00496618">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637397E"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A59CD2"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7DFC7B" w14:textId="77777777" w:rsidR="00496618" w:rsidRDefault="00496618">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F4BCC82"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F15831"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D115CA"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3D8C86" w14:textId="77777777" w:rsidR="00496618" w:rsidRDefault="00496618">
            <w:pPr>
              <w:pStyle w:val="Normal9"/>
              <w:rPr>
                <w:rFonts w:ascii="Calibri" w:eastAsia="Calibri" w:hAnsi="Calibri" w:cs="Calibri"/>
                <w:color w:val="000000"/>
                <w:sz w:val="18"/>
              </w:rPr>
            </w:pPr>
          </w:p>
        </w:tc>
      </w:tr>
      <w:tr w:rsidR="00496618" w14:paraId="2DDF56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CF82613" w14:textId="77777777" w:rsidR="00496618" w:rsidRDefault="00496618">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6D958CE" w14:textId="77777777" w:rsidR="00496618" w:rsidRDefault="0027723F">
            <w:pPr>
              <w:pStyle w:val="Normal9"/>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7B30AF9F"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CE7055" w14:textId="77777777" w:rsidR="00496618" w:rsidRDefault="00496618">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BB8333D"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927424"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7E5FC6"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2CE87A" w14:textId="77777777" w:rsidR="00496618" w:rsidRDefault="00496618">
            <w:pPr>
              <w:pStyle w:val="Normal9"/>
              <w:rPr>
                <w:rFonts w:ascii="Calibri" w:eastAsia="Calibri" w:hAnsi="Calibri" w:cs="Calibri"/>
                <w:color w:val="000000"/>
                <w:sz w:val="18"/>
              </w:rPr>
            </w:pPr>
          </w:p>
        </w:tc>
      </w:tr>
      <w:tr w:rsidR="00496618" w14:paraId="2C16D1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1899A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89,946</w:t>
            </w:r>
          </w:p>
        </w:tc>
        <w:tc>
          <w:tcPr>
            <w:tcW w:w="2385" w:type="dxa"/>
            <w:tcBorders>
              <w:top w:val="nil"/>
              <w:left w:val="nil"/>
              <w:bottom w:val="nil"/>
              <w:right w:val="nil"/>
              <w:tl2br w:val="nil"/>
              <w:tr2bl w:val="nil"/>
            </w:tcBorders>
            <w:shd w:val="clear" w:color="FFFFFF" w:fill="FFFFFF"/>
            <w:noWrap/>
            <w:tcMar>
              <w:left w:w="101" w:type="dxa"/>
              <w:right w:w="101" w:type="dxa"/>
            </w:tcMar>
          </w:tcPr>
          <w:p w14:paraId="06CC480F"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65F52291"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87,312</w:t>
            </w:r>
          </w:p>
        </w:tc>
        <w:tc>
          <w:tcPr>
            <w:tcW w:w="1035" w:type="dxa"/>
            <w:tcBorders>
              <w:top w:val="nil"/>
              <w:left w:val="nil"/>
              <w:bottom w:val="nil"/>
              <w:right w:val="nil"/>
              <w:tl2br w:val="nil"/>
              <w:tr2bl w:val="nil"/>
            </w:tcBorders>
            <w:shd w:val="clear" w:color="FFFFFF" w:fill="FFFFFF"/>
            <w:tcMar>
              <w:left w:w="101" w:type="dxa"/>
              <w:right w:w="101" w:type="dxa"/>
            </w:tcMar>
          </w:tcPr>
          <w:p w14:paraId="083BFA95"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101,402</w:t>
            </w:r>
          </w:p>
        </w:tc>
        <w:tc>
          <w:tcPr>
            <w:tcW w:w="600" w:type="dxa"/>
            <w:tcBorders>
              <w:top w:val="nil"/>
              <w:left w:val="nil"/>
              <w:bottom w:val="nil"/>
              <w:right w:val="nil"/>
              <w:tl2br w:val="nil"/>
              <w:tr2bl w:val="nil"/>
            </w:tcBorders>
            <w:shd w:val="clear" w:color="FFFFFF" w:fill="FFFFFF"/>
            <w:tcMar>
              <w:left w:w="101" w:type="dxa"/>
              <w:right w:w="101" w:type="dxa"/>
            </w:tcMar>
          </w:tcPr>
          <w:p w14:paraId="0008DACF"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6EBEDEE9"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86,645</w:t>
            </w:r>
          </w:p>
        </w:tc>
        <w:tc>
          <w:tcPr>
            <w:tcW w:w="1035" w:type="dxa"/>
            <w:tcBorders>
              <w:top w:val="nil"/>
              <w:left w:val="nil"/>
              <w:bottom w:val="nil"/>
              <w:right w:val="nil"/>
              <w:tl2br w:val="nil"/>
              <w:tr2bl w:val="nil"/>
            </w:tcBorders>
            <w:shd w:val="clear" w:color="FFFFFF" w:fill="FFFFFF"/>
            <w:tcMar>
              <w:left w:w="101" w:type="dxa"/>
              <w:right w:w="101" w:type="dxa"/>
            </w:tcMar>
          </w:tcPr>
          <w:p w14:paraId="2B7A74D4"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88,109</w:t>
            </w:r>
          </w:p>
        </w:tc>
        <w:tc>
          <w:tcPr>
            <w:tcW w:w="1035" w:type="dxa"/>
            <w:tcBorders>
              <w:top w:val="nil"/>
              <w:left w:val="nil"/>
              <w:bottom w:val="nil"/>
              <w:right w:val="nil"/>
              <w:tl2br w:val="nil"/>
              <w:tr2bl w:val="nil"/>
            </w:tcBorders>
            <w:shd w:val="clear" w:color="FFFFFF" w:fill="FFFFFF"/>
            <w:tcMar>
              <w:left w:w="101" w:type="dxa"/>
              <w:right w:w="101" w:type="dxa"/>
            </w:tcMar>
          </w:tcPr>
          <w:p w14:paraId="13E0A496"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90,498</w:t>
            </w:r>
          </w:p>
        </w:tc>
      </w:tr>
      <w:tr w:rsidR="00496618" w14:paraId="116ADD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6F1E00"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12,213</w:t>
            </w:r>
          </w:p>
        </w:tc>
        <w:tc>
          <w:tcPr>
            <w:tcW w:w="2385" w:type="dxa"/>
            <w:tcBorders>
              <w:top w:val="nil"/>
              <w:left w:val="nil"/>
              <w:bottom w:val="nil"/>
              <w:right w:val="nil"/>
              <w:tl2br w:val="nil"/>
              <w:tr2bl w:val="nil"/>
            </w:tcBorders>
            <w:shd w:val="clear" w:color="FFFFFF" w:fill="FFFFFF"/>
            <w:noWrap/>
            <w:tcMar>
              <w:left w:w="101" w:type="dxa"/>
              <w:right w:w="101" w:type="dxa"/>
            </w:tcMar>
          </w:tcPr>
          <w:p w14:paraId="7BDE8FF5"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24459F6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14,068</w:t>
            </w:r>
          </w:p>
        </w:tc>
        <w:tc>
          <w:tcPr>
            <w:tcW w:w="1035" w:type="dxa"/>
            <w:tcBorders>
              <w:top w:val="nil"/>
              <w:left w:val="nil"/>
              <w:bottom w:val="nil"/>
              <w:right w:val="nil"/>
              <w:tl2br w:val="nil"/>
              <w:tr2bl w:val="nil"/>
            </w:tcBorders>
            <w:shd w:val="clear" w:color="FFFFFF" w:fill="FFFFFF"/>
            <w:tcMar>
              <w:left w:w="101" w:type="dxa"/>
              <w:right w:w="101" w:type="dxa"/>
            </w:tcMar>
          </w:tcPr>
          <w:p w14:paraId="1E01AE8E"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13,699</w:t>
            </w:r>
          </w:p>
        </w:tc>
        <w:tc>
          <w:tcPr>
            <w:tcW w:w="600" w:type="dxa"/>
            <w:tcBorders>
              <w:top w:val="nil"/>
              <w:left w:val="nil"/>
              <w:bottom w:val="nil"/>
              <w:right w:val="nil"/>
              <w:tl2br w:val="nil"/>
              <w:tr2bl w:val="nil"/>
            </w:tcBorders>
            <w:shd w:val="clear" w:color="FFFFFF" w:fill="FFFFFF"/>
            <w:tcMar>
              <w:left w:w="101" w:type="dxa"/>
              <w:right w:w="101" w:type="dxa"/>
            </w:tcMar>
          </w:tcPr>
          <w:p w14:paraId="41923987"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21B5D5DF"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12,190</w:t>
            </w:r>
          </w:p>
        </w:tc>
        <w:tc>
          <w:tcPr>
            <w:tcW w:w="1035" w:type="dxa"/>
            <w:tcBorders>
              <w:top w:val="nil"/>
              <w:left w:val="nil"/>
              <w:bottom w:val="nil"/>
              <w:right w:val="nil"/>
              <w:tl2br w:val="nil"/>
              <w:tr2bl w:val="nil"/>
            </w:tcBorders>
            <w:shd w:val="clear" w:color="FFFFFF" w:fill="FFFFFF"/>
            <w:tcMar>
              <w:left w:w="101" w:type="dxa"/>
              <w:right w:w="101" w:type="dxa"/>
            </w:tcMar>
          </w:tcPr>
          <w:p w14:paraId="57DAA015"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12,372</w:t>
            </w:r>
          </w:p>
        </w:tc>
        <w:tc>
          <w:tcPr>
            <w:tcW w:w="1035" w:type="dxa"/>
            <w:tcBorders>
              <w:top w:val="nil"/>
              <w:left w:val="nil"/>
              <w:bottom w:val="nil"/>
              <w:right w:val="nil"/>
              <w:tl2br w:val="nil"/>
              <w:tr2bl w:val="nil"/>
            </w:tcBorders>
            <w:shd w:val="clear" w:color="FFFFFF" w:fill="FFFFFF"/>
            <w:tcMar>
              <w:left w:w="101" w:type="dxa"/>
              <w:right w:w="101" w:type="dxa"/>
            </w:tcMar>
          </w:tcPr>
          <w:p w14:paraId="793C17D2"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12,509</w:t>
            </w:r>
          </w:p>
        </w:tc>
      </w:tr>
      <w:tr w:rsidR="00496618" w14:paraId="495BE7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BEA93F"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110,324</w:t>
            </w:r>
          </w:p>
        </w:tc>
        <w:tc>
          <w:tcPr>
            <w:tcW w:w="2385" w:type="dxa"/>
            <w:tcBorders>
              <w:top w:val="nil"/>
              <w:left w:val="nil"/>
              <w:bottom w:val="nil"/>
              <w:right w:val="nil"/>
              <w:tl2br w:val="nil"/>
              <w:tr2bl w:val="nil"/>
            </w:tcBorders>
            <w:shd w:val="clear" w:color="FFFFFF" w:fill="FFFFFF"/>
            <w:noWrap/>
            <w:tcMar>
              <w:left w:w="101" w:type="dxa"/>
              <w:right w:w="101" w:type="dxa"/>
            </w:tcMar>
          </w:tcPr>
          <w:p w14:paraId="6C6FA442"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1FD7808"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101,355</w:t>
            </w:r>
          </w:p>
        </w:tc>
        <w:tc>
          <w:tcPr>
            <w:tcW w:w="1035" w:type="dxa"/>
            <w:tcBorders>
              <w:top w:val="nil"/>
              <w:left w:val="nil"/>
              <w:bottom w:val="nil"/>
              <w:right w:val="nil"/>
              <w:tl2br w:val="nil"/>
              <w:tr2bl w:val="nil"/>
            </w:tcBorders>
            <w:shd w:val="clear" w:color="FFFFFF" w:fill="FFFFFF"/>
            <w:tcMar>
              <w:left w:w="101" w:type="dxa"/>
              <w:right w:w="101" w:type="dxa"/>
            </w:tcMar>
          </w:tcPr>
          <w:p w14:paraId="43F28EB7"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108,376</w:t>
            </w:r>
          </w:p>
        </w:tc>
        <w:tc>
          <w:tcPr>
            <w:tcW w:w="600" w:type="dxa"/>
            <w:tcBorders>
              <w:top w:val="nil"/>
              <w:left w:val="nil"/>
              <w:bottom w:val="nil"/>
              <w:right w:val="nil"/>
              <w:tl2br w:val="nil"/>
              <w:tr2bl w:val="nil"/>
            </w:tcBorders>
            <w:shd w:val="clear" w:color="FFFFFF" w:fill="FFFFFF"/>
            <w:tcMar>
              <w:left w:w="101" w:type="dxa"/>
              <w:right w:w="101" w:type="dxa"/>
            </w:tcMar>
          </w:tcPr>
          <w:p w14:paraId="4B59EB14"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539C4DF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100,391</w:t>
            </w:r>
          </w:p>
        </w:tc>
        <w:tc>
          <w:tcPr>
            <w:tcW w:w="1035" w:type="dxa"/>
            <w:tcBorders>
              <w:top w:val="nil"/>
              <w:left w:val="nil"/>
              <w:bottom w:val="nil"/>
              <w:right w:val="nil"/>
              <w:tl2br w:val="nil"/>
              <w:tr2bl w:val="nil"/>
            </w:tcBorders>
            <w:shd w:val="clear" w:color="FFFFFF" w:fill="FFFFFF"/>
            <w:tcMar>
              <w:left w:w="101" w:type="dxa"/>
              <w:right w:w="101" w:type="dxa"/>
            </w:tcMar>
          </w:tcPr>
          <w:p w14:paraId="2E688FB8"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96,380</w:t>
            </w:r>
          </w:p>
        </w:tc>
        <w:tc>
          <w:tcPr>
            <w:tcW w:w="1035" w:type="dxa"/>
            <w:tcBorders>
              <w:top w:val="nil"/>
              <w:left w:val="nil"/>
              <w:bottom w:val="nil"/>
              <w:right w:val="nil"/>
              <w:tl2br w:val="nil"/>
              <w:tr2bl w:val="nil"/>
            </w:tcBorders>
            <w:shd w:val="clear" w:color="FFFFFF" w:fill="FFFFFF"/>
            <w:tcMar>
              <w:left w:w="101" w:type="dxa"/>
              <w:right w:w="101" w:type="dxa"/>
            </w:tcMar>
          </w:tcPr>
          <w:p w14:paraId="7C5E5125"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95,480</w:t>
            </w:r>
          </w:p>
        </w:tc>
      </w:tr>
      <w:tr w:rsidR="00496618" w14:paraId="282A33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5C6A17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24,202</w:t>
            </w:r>
          </w:p>
        </w:tc>
        <w:tc>
          <w:tcPr>
            <w:tcW w:w="2385" w:type="dxa"/>
            <w:tcBorders>
              <w:top w:val="nil"/>
              <w:left w:val="nil"/>
              <w:bottom w:val="nil"/>
              <w:right w:val="nil"/>
              <w:tl2br w:val="nil"/>
              <w:tr2bl w:val="nil"/>
            </w:tcBorders>
            <w:shd w:val="clear" w:color="FFFFFF" w:fill="FFFFFF"/>
            <w:noWrap/>
            <w:tcMar>
              <w:left w:w="101" w:type="dxa"/>
              <w:right w:w="101" w:type="dxa"/>
            </w:tcMar>
          </w:tcPr>
          <w:p w14:paraId="102E0AAF"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515C9FF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21,393</w:t>
            </w:r>
          </w:p>
        </w:tc>
        <w:tc>
          <w:tcPr>
            <w:tcW w:w="1035" w:type="dxa"/>
            <w:tcBorders>
              <w:top w:val="nil"/>
              <w:left w:val="nil"/>
              <w:bottom w:val="nil"/>
              <w:right w:val="nil"/>
              <w:tl2br w:val="nil"/>
              <w:tr2bl w:val="nil"/>
            </w:tcBorders>
            <w:shd w:val="clear" w:color="FFFFFF" w:fill="FFFFFF"/>
            <w:tcMar>
              <w:left w:w="101" w:type="dxa"/>
              <w:right w:w="101" w:type="dxa"/>
            </w:tcMar>
          </w:tcPr>
          <w:p w14:paraId="69725A2A"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28,025</w:t>
            </w:r>
          </w:p>
        </w:tc>
        <w:tc>
          <w:tcPr>
            <w:tcW w:w="600" w:type="dxa"/>
            <w:tcBorders>
              <w:top w:val="nil"/>
              <w:left w:val="nil"/>
              <w:bottom w:val="nil"/>
              <w:right w:val="nil"/>
              <w:tl2br w:val="nil"/>
              <w:tr2bl w:val="nil"/>
            </w:tcBorders>
            <w:shd w:val="clear" w:color="FFFFFF" w:fill="FFFFFF"/>
            <w:tcMar>
              <w:left w:w="101" w:type="dxa"/>
              <w:right w:w="101" w:type="dxa"/>
            </w:tcMar>
          </w:tcPr>
          <w:p w14:paraId="62F9F25E"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31 </w:t>
            </w:r>
          </w:p>
        </w:tc>
        <w:tc>
          <w:tcPr>
            <w:tcW w:w="1035" w:type="dxa"/>
            <w:tcBorders>
              <w:top w:val="nil"/>
              <w:left w:val="nil"/>
              <w:bottom w:val="nil"/>
              <w:right w:val="nil"/>
              <w:tl2br w:val="nil"/>
              <w:tr2bl w:val="nil"/>
            </w:tcBorders>
            <w:shd w:val="clear" w:color="FFFFFF" w:fill="FFFFFF"/>
            <w:tcMar>
              <w:left w:w="101" w:type="dxa"/>
              <w:right w:w="101" w:type="dxa"/>
            </w:tcMar>
          </w:tcPr>
          <w:p w14:paraId="29D3FCAE"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33,258</w:t>
            </w:r>
          </w:p>
        </w:tc>
        <w:tc>
          <w:tcPr>
            <w:tcW w:w="1035" w:type="dxa"/>
            <w:tcBorders>
              <w:top w:val="nil"/>
              <w:left w:val="nil"/>
              <w:bottom w:val="nil"/>
              <w:right w:val="nil"/>
              <w:tl2br w:val="nil"/>
              <w:tr2bl w:val="nil"/>
            </w:tcBorders>
            <w:shd w:val="clear" w:color="FFFFFF" w:fill="FFFFFF"/>
            <w:tcMar>
              <w:left w:w="101" w:type="dxa"/>
              <w:right w:w="101" w:type="dxa"/>
            </w:tcMar>
          </w:tcPr>
          <w:p w14:paraId="449174B4"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37,412</w:t>
            </w:r>
          </w:p>
        </w:tc>
        <w:tc>
          <w:tcPr>
            <w:tcW w:w="1035" w:type="dxa"/>
            <w:tcBorders>
              <w:top w:val="nil"/>
              <w:left w:val="nil"/>
              <w:bottom w:val="nil"/>
              <w:right w:val="nil"/>
              <w:tl2br w:val="nil"/>
              <w:tr2bl w:val="nil"/>
            </w:tcBorders>
            <w:shd w:val="clear" w:color="FFFFFF" w:fill="FFFFFF"/>
            <w:tcMar>
              <w:left w:w="101" w:type="dxa"/>
              <w:right w:w="101" w:type="dxa"/>
            </w:tcMar>
          </w:tcPr>
          <w:p w14:paraId="1B3700E6"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39,885</w:t>
            </w:r>
          </w:p>
        </w:tc>
      </w:tr>
      <w:tr w:rsidR="00496618" w14:paraId="6058F3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6039517"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165,752</w:t>
            </w:r>
          </w:p>
        </w:tc>
        <w:tc>
          <w:tcPr>
            <w:tcW w:w="2385" w:type="dxa"/>
            <w:tcBorders>
              <w:top w:val="nil"/>
              <w:left w:val="nil"/>
              <w:bottom w:val="nil"/>
              <w:right w:val="nil"/>
              <w:tl2br w:val="nil"/>
              <w:tr2bl w:val="nil"/>
            </w:tcBorders>
            <w:shd w:val="clear" w:color="FFFFFF" w:fill="FFFFFF"/>
            <w:noWrap/>
            <w:tcMar>
              <w:left w:w="101" w:type="dxa"/>
              <w:right w:w="101" w:type="dxa"/>
            </w:tcMar>
          </w:tcPr>
          <w:p w14:paraId="027B91EA"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5999698A"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164,138</w:t>
            </w:r>
          </w:p>
        </w:tc>
        <w:tc>
          <w:tcPr>
            <w:tcW w:w="1035" w:type="dxa"/>
            <w:tcBorders>
              <w:top w:val="nil"/>
              <w:left w:val="nil"/>
              <w:bottom w:val="nil"/>
              <w:right w:val="nil"/>
              <w:tl2br w:val="nil"/>
              <w:tr2bl w:val="nil"/>
            </w:tcBorders>
            <w:shd w:val="clear" w:color="FFFFFF" w:fill="FFFFFF"/>
            <w:tcMar>
              <w:left w:w="101" w:type="dxa"/>
              <w:right w:w="101" w:type="dxa"/>
            </w:tcMar>
          </w:tcPr>
          <w:p w14:paraId="6D72C16D"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196,912</w:t>
            </w:r>
          </w:p>
        </w:tc>
        <w:tc>
          <w:tcPr>
            <w:tcW w:w="600" w:type="dxa"/>
            <w:tcBorders>
              <w:top w:val="nil"/>
              <w:left w:val="nil"/>
              <w:bottom w:val="nil"/>
              <w:right w:val="nil"/>
              <w:tl2br w:val="nil"/>
              <w:tr2bl w:val="nil"/>
            </w:tcBorders>
            <w:shd w:val="clear" w:color="FFFFFF" w:fill="FFFFFF"/>
            <w:tcMar>
              <w:left w:w="101" w:type="dxa"/>
              <w:right w:w="101" w:type="dxa"/>
            </w:tcMar>
          </w:tcPr>
          <w:p w14:paraId="667371D3"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75E295F9"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193,204</w:t>
            </w:r>
          </w:p>
        </w:tc>
        <w:tc>
          <w:tcPr>
            <w:tcW w:w="1035" w:type="dxa"/>
            <w:tcBorders>
              <w:top w:val="nil"/>
              <w:left w:val="nil"/>
              <w:bottom w:val="nil"/>
              <w:right w:val="nil"/>
              <w:tl2br w:val="nil"/>
              <w:tr2bl w:val="nil"/>
            </w:tcBorders>
            <w:shd w:val="clear" w:color="FFFFFF" w:fill="FFFFFF"/>
            <w:tcMar>
              <w:left w:w="101" w:type="dxa"/>
              <w:right w:w="101" w:type="dxa"/>
            </w:tcMar>
          </w:tcPr>
          <w:p w14:paraId="10A067FF"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195,250</w:t>
            </w:r>
          </w:p>
        </w:tc>
        <w:tc>
          <w:tcPr>
            <w:tcW w:w="1035" w:type="dxa"/>
            <w:tcBorders>
              <w:top w:val="nil"/>
              <w:left w:val="nil"/>
              <w:bottom w:val="nil"/>
              <w:right w:val="nil"/>
              <w:tl2br w:val="nil"/>
              <w:tr2bl w:val="nil"/>
            </w:tcBorders>
            <w:shd w:val="clear" w:color="FFFFFF" w:fill="FFFFFF"/>
            <w:tcMar>
              <w:left w:w="101" w:type="dxa"/>
              <w:right w:w="101" w:type="dxa"/>
            </w:tcMar>
          </w:tcPr>
          <w:p w14:paraId="74C262E5"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198,947</w:t>
            </w:r>
          </w:p>
        </w:tc>
      </w:tr>
      <w:tr w:rsidR="00496618" w14:paraId="5C48CF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7EE5AD"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w:t>
            </w:r>
          </w:p>
        </w:tc>
        <w:tc>
          <w:tcPr>
            <w:tcW w:w="2385" w:type="dxa"/>
            <w:tcBorders>
              <w:top w:val="nil"/>
              <w:left w:val="nil"/>
              <w:bottom w:val="nil"/>
              <w:right w:val="nil"/>
              <w:tl2br w:val="nil"/>
              <w:tr2bl w:val="nil"/>
            </w:tcBorders>
            <w:shd w:val="clear" w:color="FFFFFF" w:fill="FFFFFF"/>
            <w:noWrap/>
            <w:tcMar>
              <w:left w:w="101" w:type="dxa"/>
              <w:right w:w="101" w:type="dxa"/>
            </w:tcMar>
          </w:tcPr>
          <w:p w14:paraId="523DF237"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2D82160D"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45</w:t>
            </w:r>
          </w:p>
        </w:tc>
        <w:tc>
          <w:tcPr>
            <w:tcW w:w="1035" w:type="dxa"/>
            <w:tcBorders>
              <w:top w:val="nil"/>
              <w:left w:val="nil"/>
              <w:bottom w:val="nil"/>
              <w:right w:val="nil"/>
              <w:tl2br w:val="nil"/>
              <w:tr2bl w:val="nil"/>
            </w:tcBorders>
            <w:shd w:val="clear" w:color="FFFFFF" w:fill="FFFFFF"/>
            <w:tcMar>
              <w:left w:w="101" w:type="dxa"/>
              <w:right w:w="101" w:type="dxa"/>
            </w:tcMar>
          </w:tcPr>
          <w:p w14:paraId="7294C40A"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w:t>
            </w:r>
          </w:p>
        </w:tc>
        <w:tc>
          <w:tcPr>
            <w:tcW w:w="600" w:type="dxa"/>
            <w:tcBorders>
              <w:top w:val="nil"/>
              <w:left w:val="nil"/>
              <w:bottom w:val="nil"/>
              <w:right w:val="nil"/>
              <w:tl2br w:val="nil"/>
              <w:tr2bl w:val="nil"/>
            </w:tcBorders>
            <w:shd w:val="clear" w:color="FFFFFF" w:fill="FFFFFF"/>
            <w:tcMar>
              <w:left w:w="101" w:type="dxa"/>
              <w:right w:w="101" w:type="dxa"/>
            </w:tcMar>
          </w:tcPr>
          <w:p w14:paraId="5031B33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-96 </w:t>
            </w:r>
          </w:p>
        </w:tc>
        <w:tc>
          <w:tcPr>
            <w:tcW w:w="1035" w:type="dxa"/>
            <w:tcBorders>
              <w:top w:val="nil"/>
              <w:left w:val="nil"/>
              <w:bottom w:val="nil"/>
              <w:right w:val="nil"/>
              <w:tl2br w:val="nil"/>
              <w:tr2bl w:val="nil"/>
            </w:tcBorders>
            <w:shd w:val="clear" w:color="FFFFFF" w:fill="FFFFFF"/>
            <w:tcMar>
              <w:left w:w="101" w:type="dxa"/>
              <w:right w:w="101" w:type="dxa"/>
            </w:tcMar>
          </w:tcPr>
          <w:p w14:paraId="1DB5EB87"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67194EA4"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50EAD70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w:t>
            </w:r>
          </w:p>
        </w:tc>
      </w:tr>
      <w:tr w:rsidR="00496618" w14:paraId="7DAA9A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535A3D"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1,982</w:t>
            </w:r>
          </w:p>
        </w:tc>
        <w:tc>
          <w:tcPr>
            <w:tcW w:w="2385" w:type="dxa"/>
            <w:tcBorders>
              <w:top w:val="nil"/>
              <w:left w:val="nil"/>
              <w:bottom w:val="nil"/>
              <w:right w:val="nil"/>
              <w:tl2br w:val="nil"/>
              <w:tr2bl w:val="nil"/>
            </w:tcBorders>
            <w:shd w:val="clear" w:color="FFFFFF" w:fill="FFFFFF"/>
            <w:noWrap/>
            <w:tcMar>
              <w:left w:w="101" w:type="dxa"/>
              <w:right w:w="101" w:type="dxa"/>
            </w:tcMar>
          </w:tcPr>
          <w:p w14:paraId="48B9B9D1" w14:textId="77777777" w:rsidR="00496618" w:rsidRDefault="0027723F">
            <w:pPr>
              <w:pStyle w:val="Normal9"/>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181A50E2"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2,563</w:t>
            </w:r>
          </w:p>
        </w:tc>
        <w:tc>
          <w:tcPr>
            <w:tcW w:w="1035" w:type="dxa"/>
            <w:tcBorders>
              <w:top w:val="nil"/>
              <w:left w:val="nil"/>
              <w:bottom w:val="nil"/>
              <w:right w:val="nil"/>
              <w:tl2br w:val="nil"/>
              <w:tr2bl w:val="nil"/>
            </w:tcBorders>
            <w:shd w:val="clear" w:color="FFFFFF" w:fill="FFFFFF"/>
            <w:tcMar>
              <w:left w:w="101" w:type="dxa"/>
              <w:right w:w="101" w:type="dxa"/>
            </w:tcMar>
          </w:tcPr>
          <w:p w14:paraId="449DAC4B"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2,031</w:t>
            </w:r>
          </w:p>
        </w:tc>
        <w:tc>
          <w:tcPr>
            <w:tcW w:w="600" w:type="dxa"/>
            <w:tcBorders>
              <w:top w:val="nil"/>
              <w:left w:val="nil"/>
              <w:bottom w:val="nil"/>
              <w:right w:val="nil"/>
              <w:tl2br w:val="nil"/>
              <w:tr2bl w:val="nil"/>
            </w:tcBorders>
            <w:shd w:val="clear" w:color="FFFFFF" w:fill="FFFFFF"/>
            <w:tcMar>
              <w:left w:w="101" w:type="dxa"/>
              <w:right w:w="101" w:type="dxa"/>
            </w:tcMar>
          </w:tcPr>
          <w:p w14:paraId="6FE789F1"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20A3D472"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2,082</w:t>
            </w:r>
          </w:p>
        </w:tc>
        <w:tc>
          <w:tcPr>
            <w:tcW w:w="1035" w:type="dxa"/>
            <w:tcBorders>
              <w:top w:val="nil"/>
              <w:left w:val="nil"/>
              <w:bottom w:val="nil"/>
              <w:right w:val="nil"/>
              <w:tl2br w:val="nil"/>
              <w:tr2bl w:val="nil"/>
            </w:tcBorders>
            <w:shd w:val="clear" w:color="FFFFFF" w:fill="FFFFFF"/>
            <w:tcMar>
              <w:left w:w="101" w:type="dxa"/>
              <w:right w:w="101" w:type="dxa"/>
            </w:tcMar>
          </w:tcPr>
          <w:p w14:paraId="4819D07C"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2,134</w:t>
            </w:r>
          </w:p>
        </w:tc>
        <w:tc>
          <w:tcPr>
            <w:tcW w:w="1035" w:type="dxa"/>
            <w:tcBorders>
              <w:top w:val="nil"/>
              <w:left w:val="nil"/>
              <w:bottom w:val="nil"/>
              <w:right w:val="nil"/>
              <w:tl2br w:val="nil"/>
              <w:tr2bl w:val="nil"/>
            </w:tcBorders>
            <w:shd w:val="clear" w:color="FFFFFF" w:fill="FFFFFF"/>
            <w:tcMar>
              <w:left w:w="101" w:type="dxa"/>
              <w:right w:w="101" w:type="dxa"/>
            </w:tcMar>
          </w:tcPr>
          <w:p w14:paraId="2160124B" w14:textId="77777777" w:rsidR="00496618" w:rsidRDefault="0027723F">
            <w:pPr>
              <w:pStyle w:val="Normal9"/>
              <w:jc w:val="right"/>
              <w:rPr>
                <w:rFonts w:ascii="Calibri" w:eastAsia="Calibri" w:hAnsi="Calibri" w:cs="Calibri"/>
                <w:color w:val="000000"/>
                <w:sz w:val="18"/>
              </w:rPr>
            </w:pPr>
            <w:r>
              <w:rPr>
                <w:rFonts w:ascii="Calibri" w:eastAsia="Calibri" w:hAnsi="Calibri" w:cs="Calibri"/>
                <w:color w:val="000000"/>
                <w:sz w:val="18"/>
              </w:rPr>
              <w:t>2,171</w:t>
            </w:r>
          </w:p>
        </w:tc>
      </w:tr>
      <w:tr w:rsidR="00496618" w14:paraId="70B51B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FB65CA" w14:textId="77777777" w:rsidR="00496618" w:rsidRDefault="00496618">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B7CB28E"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DA9F97"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2951EC" w14:textId="77777777" w:rsidR="00496618" w:rsidRDefault="00496618">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38C46B"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D4161C"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6116D3"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B570CB" w14:textId="77777777" w:rsidR="00496618" w:rsidRDefault="00496618">
            <w:pPr>
              <w:pStyle w:val="Normal9"/>
              <w:rPr>
                <w:rFonts w:ascii="Calibri" w:eastAsia="Calibri" w:hAnsi="Calibri" w:cs="Calibri"/>
                <w:color w:val="000000"/>
                <w:sz w:val="18"/>
              </w:rPr>
            </w:pPr>
          </w:p>
        </w:tc>
      </w:tr>
      <w:tr w:rsidR="00496618" w14:paraId="0A8CCF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E42C1C"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404,421</w:t>
            </w:r>
          </w:p>
        </w:tc>
        <w:tc>
          <w:tcPr>
            <w:tcW w:w="2385" w:type="dxa"/>
            <w:tcBorders>
              <w:top w:val="nil"/>
              <w:left w:val="nil"/>
              <w:bottom w:val="nil"/>
              <w:right w:val="nil"/>
              <w:tl2br w:val="nil"/>
              <w:tr2bl w:val="nil"/>
            </w:tcBorders>
            <w:shd w:val="clear" w:color="FFFFFF" w:fill="FFFFFF"/>
            <w:noWrap/>
            <w:tcMar>
              <w:left w:w="101" w:type="dxa"/>
              <w:right w:w="101" w:type="dxa"/>
            </w:tcMar>
          </w:tcPr>
          <w:p w14:paraId="427D2CBA" w14:textId="77777777" w:rsidR="00496618" w:rsidRDefault="0027723F">
            <w:pPr>
              <w:pStyle w:val="Normal9"/>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5729AD77"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390,874</w:t>
            </w:r>
          </w:p>
        </w:tc>
        <w:tc>
          <w:tcPr>
            <w:tcW w:w="1035" w:type="dxa"/>
            <w:tcBorders>
              <w:top w:val="nil"/>
              <w:left w:val="nil"/>
              <w:bottom w:val="nil"/>
              <w:right w:val="nil"/>
              <w:tl2br w:val="nil"/>
              <w:tr2bl w:val="nil"/>
            </w:tcBorders>
            <w:shd w:val="clear" w:color="FFFFFF" w:fill="FFFFFF"/>
            <w:tcMar>
              <w:left w:w="101" w:type="dxa"/>
              <w:right w:w="101" w:type="dxa"/>
            </w:tcMar>
          </w:tcPr>
          <w:p w14:paraId="74F09C86"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450,447</w:t>
            </w:r>
          </w:p>
        </w:tc>
        <w:tc>
          <w:tcPr>
            <w:tcW w:w="600" w:type="dxa"/>
            <w:tcBorders>
              <w:top w:val="nil"/>
              <w:left w:val="nil"/>
              <w:bottom w:val="nil"/>
              <w:right w:val="nil"/>
              <w:tl2br w:val="nil"/>
              <w:tr2bl w:val="nil"/>
            </w:tcBorders>
            <w:shd w:val="clear" w:color="FFFFFF" w:fill="FFFFFF"/>
            <w:tcMar>
              <w:left w:w="101" w:type="dxa"/>
              <w:right w:w="101" w:type="dxa"/>
            </w:tcMar>
          </w:tcPr>
          <w:p w14:paraId="4DB1A8E8"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33A9993C"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427,772</w:t>
            </w:r>
          </w:p>
        </w:tc>
        <w:tc>
          <w:tcPr>
            <w:tcW w:w="1035" w:type="dxa"/>
            <w:tcBorders>
              <w:top w:val="nil"/>
              <w:left w:val="nil"/>
              <w:bottom w:val="nil"/>
              <w:right w:val="nil"/>
              <w:tl2br w:val="nil"/>
              <w:tr2bl w:val="nil"/>
            </w:tcBorders>
            <w:shd w:val="clear" w:color="FFFFFF" w:fill="FFFFFF"/>
            <w:tcMar>
              <w:left w:w="101" w:type="dxa"/>
              <w:right w:w="101" w:type="dxa"/>
            </w:tcMar>
          </w:tcPr>
          <w:p w14:paraId="0C685B2E"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431,659</w:t>
            </w:r>
          </w:p>
        </w:tc>
        <w:tc>
          <w:tcPr>
            <w:tcW w:w="1035" w:type="dxa"/>
            <w:tcBorders>
              <w:top w:val="nil"/>
              <w:left w:val="nil"/>
              <w:bottom w:val="nil"/>
              <w:right w:val="nil"/>
              <w:tl2br w:val="nil"/>
              <w:tr2bl w:val="nil"/>
            </w:tcBorders>
            <w:shd w:val="clear" w:color="FFFFFF" w:fill="FFFFFF"/>
            <w:tcMar>
              <w:left w:w="101" w:type="dxa"/>
              <w:right w:w="101" w:type="dxa"/>
            </w:tcMar>
          </w:tcPr>
          <w:p w14:paraId="1A7EB906"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439,492</w:t>
            </w:r>
          </w:p>
        </w:tc>
      </w:tr>
      <w:tr w:rsidR="00496618" w14:paraId="41EB6F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FAB38A" w14:textId="77777777" w:rsidR="00496618" w:rsidRDefault="00496618">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AC68FCB"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8756B4"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163041" w14:textId="77777777" w:rsidR="00496618" w:rsidRDefault="00496618">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45E091"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C4E1EF"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1C5DB3" w14:textId="77777777" w:rsidR="00496618" w:rsidRDefault="00496618">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4367A1" w14:textId="77777777" w:rsidR="00496618" w:rsidRDefault="00496618">
            <w:pPr>
              <w:pStyle w:val="Normal9"/>
              <w:rPr>
                <w:rFonts w:ascii="Calibri" w:eastAsia="Calibri" w:hAnsi="Calibri" w:cs="Calibri"/>
                <w:color w:val="000000"/>
                <w:sz w:val="18"/>
              </w:rPr>
            </w:pPr>
          </w:p>
        </w:tc>
      </w:tr>
      <w:tr w:rsidR="00496618" w14:paraId="7B0778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3066F5"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-25,150</w:t>
            </w:r>
          </w:p>
        </w:tc>
        <w:tc>
          <w:tcPr>
            <w:tcW w:w="2385" w:type="dxa"/>
            <w:tcBorders>
              <w:top w:val="nil"/>
              <w:left w:val="nil"/>
              <w:bottom w:val="nil"/>
              <w:right w:val="nil"/>
              <w:tl2br w:val="nil"/>
              <w:tr2bl w:val="nil"/>
            </w:tcBorders>
            <w:shd w:val="clear" w:color="FFFFFF" w:fill="FFFFFF"/>
            <w:noWrap/>
            <w:tcMar>
              <w:left w:w="101" w:type="dxa"/>
              <w:right w:w="101" w:type="dxa"/>
            </w:tcMar>
          </w:tcPr>
          <w:p w14:paraId="5BEA7269" w14:textId="77777777" w:rsidR="00496618" w:rsidRDefault="0027723F">
            <w:pPr>
              <w:pStyle w:val="Normal9"/>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4C3402D5"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-20,893</w:t>
            </w:r>
          </w:p>
        </w:tc>
        <w:tc>
          <w:tcPr>
            <w:tcW w:w="1035" w:type="dxa"/>
            <w:tcBorders>
              <w:top w:val="nil"/>
              <w:left w:val="nil"/>
              <w:bottom w:val="nil"/>
              <w:right w:val="nil"/>
              <w:tl2br w:val="nil"/>
              <w:tr2bl w:val="nil"/>
            </w:tcBorders>
            <w:shd w:val="clear" w:color="FFFFFF" w:fill="FFFFFF"/>
            <w:tcMar>
              <w:left w:w="101" w:type="dxa"/>
              <w:right w:w="101" w:type="dxa"/>
            </w:tcMar>
          </w:tcPr>
          <w:p w14:paraId="025D81B2"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-31,261</w:t>
            </w:r>
          </w:p>
        </w:tc>
        <w:tc>
          <w:tcPr>
            <w:tcW w:w="600" w:type="dxa"/>
            <w:tcBorders>
              <w:top w:val="nil"/>
              <w:left w:val="nil"/>
              <w:bottom w:val="nil"/>
              <w:right w:val="nil"/>
              <w:tl2br w:val="nil"/>
              <w:tr2bl w:val="nil"/>
            </w:tcBorders>
            <w:shd w:val="clear" w:color="FFFFFF" w:fill="FFFFFF"/>
            <w:tcMar>
              <w:left w:w="101" w:type="dxa"/>
              <w:right w:w="101" w:type="dxa"/>
            </w:tcMar>
          </w:tcPr>
          <w:p w14:paraId="584534BF"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-50</w:t>
            </w:r>
          </w:p>
        </w:tc>
        <w:tc>
          <w:tcPr>
            <w:tcW w:w="1035" w:type="dxa"/>
            <w:tcBorders>
              <w:top w:val="nil"/>
              <w:left w:val="nil"/>
              <w:bottom w:val="nil"/>
              <w:right w:val="nil"/>
              <w:tl2br w:val="nil"/>
              <w:tr2bl w:val="nil"/>
            </w:tcBorders>
            <w:shd w:val="clear" w:color="FFFFFF" w:fill="FFFFFF"/>
            <w:tcMar>
              <w:left w:w="101" w:type="dxa"/>
              <w:right w:w="101" w:type="dxa"/>
            </w:tcMar>
          </w:tcPr>
          <w:p w14:paraId="72056E3C"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-36,542</w:t>
            </w:r>
          </w:p>
        </w:tc>
        <w:tc>
          <w:tcPr>
            <w:tcW w:w="1035" w:type="dxa"/>
            <w:tcBorders>
              <w:top w:val="nil"/>
              <w:left w:val="nil"/>
              <w:bottom w:val="nil"/>
              <w:right w:val="nil"/>
              <w:tl2br w:val="nil"/>
              <w:tr2bl w:val="nil"/>
            </w:tcBorders>
            <w:shd w:val="clear" w:color="FFFFFF" w:fill="FFFFFF"/>
            <w:tcMar>
              <w:left w:w="101" w:type="dxa"/>
              <w:right w:w="101" w:type="dxa"/>
            </w:tcMar>
          </w:tcPr>
          <w:p w14:paraId="5562E563"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-40,782</w:t>
            </w:r>
          </w:p>
        </w:tc>
        <w:tc>
          <w:tcPr>
            <w:tcW w:w="1035" w:type="dxa"/>
            <w:tcBorders>
              <w:top w:val="nil"/>
              <w:left w:val="nil"/>
              <w:bottom w:val="nil"/>
              <w:right w:val="nil"/>
              <w:tl2br w:val="nil"/>
              <w:tr2bl w:val="nil"/>
            </w:tcBorders>
            <w:shd w:val="clear" w:color="FFFFFF" w:fill="FFFFFF"/>
            <w:tcMar>
              <w:left w:w="101" w:type="dxa"/>
              <w:right w:w="101" w:type="dxa"/>
            </w:tcMar>
          </w:tcPr>
          <w:p w14:paraId="4E06EEE4"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-43,367</w:t>
            </w:r>
          </w:p>
        </w:tc>
      </w:tr>
      <w:tr w:rsidR="00496618" w14:paraId="35EE13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9AE80F" w14:textId="77777777" w:rsidR="00496618" w:rsidRDefault="00496618">
            <w:pPr>
              <w:pStyle w:val="Normal9"/>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9C575D2"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45C21F"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34E804" w14:textId="77777777" w:rsidR="00496618" w:rsidRDefault="00496618">
            <w:pPr>
              <w:pStyle w:val="Normal9"/>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B5C99B"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040537"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48FAE1" w14:textId="77777777" w:rsidR="00496618" w:rsidRDefault="00496618">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CD52CB" w14:textId="77777777" w:rsidR="00496618" w:rsidRDefault="00496618">
            <w:pPr>
              <w:pStyle w:val="Normal9"/>
              <w:rPr>
                <w:rFonts w:ascii="Calibri" w:eastAsia="Calibri" w:hAnsi="Calibri" w:cs="Calibri"/>
                <w:b/>
                <w:color w:val="000000"/>
                <w:sz w:val="18"/>
              </w:rPr>
            </w:pPr>
          </w:p>
        </w:tc>
      </w:tr>
      <w:tr w:rsidR="00496618" w14:paraId="0BBF00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6B5892"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-25,150</w:t>
            </w:r>
          </w:p>
        </w:tc>
        <w:tc>
          <w:tcPr>
            <w:tcW w:w="2385" w:type="dxa"/>
            <w:tcBorders>
              <w:top w:val="nil"/>
              <w:left w:val="nil"/>
              <w:bottom w:val="nil"/>
              <w:right w:val="nil"/>
              <w:tl2br w:val="nil"/>
              <w:tr2bl w:val="nil"/>
            </w:tcBorders>
            <w:shd w:val="clear" w:color="FFFFFF" w:fill="FFFFFF"/>
            <w:noWrap/>
            <w:tcMar>
              <w:left w:w="101" w:type="dxa"/>
              <w:right w:w="101" w:type="dxa"/>
            </w:tcMar>
          </w:tcPr>
          <w:p w14:paraId="7631A011" w14:textId="77777777" w:rsidR="00496618" w:rsidRDefault="0027723F">
            <w:pPr>
              <w:pStyle w:val="Normal9"/>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68D6B3DE"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-21,377</w:t>
            </w:r>
          </w:p>
        </w:tc>
        <w:tc>
          <w:tcPr>
            <w:tcW w:w="1035" w:type="dxa"/>
            <w:tcBorders>
              <w:top w:val="nil"/>
              <w:left w:val="nil"/>
              <w:bottom w:val="nil"/>
              <w:right w:val="nil"/>
              <w:tl2br w:val="nil"/>
              <w:tr2bl w:val="nil"/>
            </w:tcBorders>
            <w:shd w:val="clear" w:color="FFFFFF" w:fill="FFFFFF"/>
            <w:tcMar>
              <w:left w:w="101" w:type="dxa"/>
              <w:right w:w="101" w:type="dxa"/>
            </w:tcMar>
          </w:tcPr>
          <w:p w14:paraId="0FBF4A0E"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-31,261</w:t>
            </w:r>
          </w:p>
        </w:tc>
        <w:tc>
          <w:tcPr>
            <w:tcW w:w="600" w:type="dxa"/>
            <w:tcBorders>
              <w:top w:val="nil"/>
              <w:left w:val="nil"/>
              <w:bottom w:val="nil"/>
              <w:right w:val="nil"/>
              <w:tl2br w:val="nil"/>
              <w:tr2bl w:val="nil"/>
            </w:tcBorders>
            <w:shd w:val="clear" w:color="FFFFFF" w:fill="FFFFFF"/>
            <w:tcMar>
              <w:left w:w="101" w:type="dxa"/>
              <w:right w:w="101" w:type="dxa"/>
            </w:tcMar>
          </w:tcPr>
          <w:p w14:paraId="3888BEF9"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 xml:space="preserve">-46 </w:t>
            </w:r>
          </w:p>
        </w:tc>
        <w:tc>
          <w:tcPr>
            <w:tcW w:w="1035" w:type="dxa"/>
            <w:tcBorders>
              <w:top w:val="nil"/>
              <w:left w:val="nil"/>
              <w:bottom w:val="nil"/>
              <w:right w:val="nil"/>
              <w:tl2br w:val="nil"/>
              <w:tr2bl w:val="nil"/>
            </w:tcBorders>
            <w:shd w:val="clear" w:color="FFFFFF" w:fill="FFFFFF"/>
            <w:tcMar>
              <w:left w:w="101" w:type="dxa"/>
              <w:right w:w="101" w:type="dxa"/>
            </w:tcMar>
          </w:tcPr>
          <w:p w14:paraId="71131FA9"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-36,542</w:t>
            </w:r>
          </w:p>
        </w:tc>
        <w:tc>
          <w:tcPr>
            <w:tcW w:w="1035" w:type="dxa"/>
            <w:tcBorders>
              <w:top w:val="nil"/>
              <w:left w:val="nil"/>
              <w:bottom w:val="nil"/>
              <w:right w:val="nil"/>
              <w:tl2br w:val="nil"/>
              <w:tr2bl w:val="nil"/>
            </w:tcBorders>
            <w:shd w:val="clear" w:color="FFFFFF" w:fill="FFFFFF"/>
            <w:tcMar>
              <w:left w:w="101" w:type="dxa"/>
              <w:right w:w="101" w:type="dxa"/>
            </w:tcMar>
          </w:tcPr>
          <w:p w14:paraId="05B281FF"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-40,782</w:t>
            </w:r>
          </w:p>
        </w:tc>
        <w:tc>
          <w:tcPr>
            <w:tcW w:w="1035" w:type="dxa"/>
            <w:tcBorders>
              <w:top w:val="nil"/>
              <w:left w:val="nil"/>
              <w:bottom w:val="nil"/>
              <w:right w:val="nil"/>
              <w:tl2br w:val="nil"/>
              <w:tr2bl w:val="nil"/>
            </w:tcBorders>
            <w:shd w:val="clear" w:color="FFFFFF" w:fill="FFFFFF"/>
            <w:tcMar>
              <w:left w:w="101" w:type="dxa"/>
              <w:right w:w="101" w:type="dxa"/>
            </w:tcMar>
          </w:tcPr>
          <w:p w14:paraId="2C31C0D2" w14:textId="77777777" w:rsidR="00496618" w:rsidRDefault="0027723F">
            <w:pPr>
              <w:pStyle w:val="Normal9"/>
              <w:jc w:val="right"/>
              <w:rPr>
                <w:rFonts w:ascii="Calibri" w:eastAsia="Calibri" w:hAnsi="Calibri" w:cs="Calibri"/>
                <w:b/>
                <w:color w:val="000000"/>
                <w:sz w:val="18"/>
              </w:rPr>
            </w:pPr>
            <w:r>
              <w:rPr>
                <w:rFonts w:ascii="Calibri" w:eastAsia="Calibri" w:hAnsi="Calibri" w:cs="Calibri"/>
                <w:b/>
                <w:color w:val="000000"/>
                <w:sz w:val="18"/>
              </w:rPr>
              <w:t>-43,367</w:t>
            </w:r>
          </w:p>
        </w:tc>
      </w:tr>
      <w:tr w:rsidR="00496618" w14:paraId="1CD38B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9728CD4" w14:textId="77777777" w:rsidR="00496618" w:rsidRDefault="00496618">
            <w:pPr>
              <w:pStyle w:val="Normal9"/>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7A917622" w14:textId="77777777" w:rsidR="00496618" w:rsidRDefault="00496618">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96DDD61" w14:textId="77777777" w:rsidR="00496618" w:rsidRDefault="00496618">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6D2A2C9" w14:textId="77777777" w:rsidR="00496618" w:rsidRDefault="00496618">
            <w:pPr>
              <w:pStyle w:val="Normal9"/>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9BBDCFA" w14:textId="77777777" w:rsidR="00496618" w:rsidRDefault="00496618">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7192222" w14:textId="77777777" w:rsidR="00496618" w:rsidRDefault="00496618">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A3F5ED8" w14:textId="77777777" w:rsidR="00496618" w:rsidRDefault="00496618">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C268545" w14:textId="77777777" w:rsidR="00496618" w:rsidRDefault="00496618">
            <w:pPr>
              <w:pStyle w:val="Normal9"/>
              <w:rPr>
                <w:rFonts w:ascii="Calibri" w:eastAsia="Calibri" w:hAnsi="Calibri" w:cs="Calibri"/>
                <w:color w:val="000000"/>
                <w:sz w:val="18"/>
              </w:rPr>
            </w:pPr>
          </w:p>
        </w:tc>
      </w:tr>
    </w:tbl>
    <w:tbl>
      <w:tblPr>
        <w:tblStyle w:val="CDMRange1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496618" w14:paraId="3D7AD767" w14:textId="77777777">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8FE2FD" w14:textId="77777777" w:rsidR="00496618" w:rsidRDefault="0027723F">
            <w:pPr>
              <w:pStyle w:val="Normal10"/>
              <w:jc w:val="right"/>
              <w:rPr>
                <w:rFonts w:ascii="Calibri" w:eastAsia="Calibri" w:hAnsi="Calibri" w:cs="Calibri"/>
                <w:b/>
                <w:color w:val="000000"/>
                <w:sz w:val="18"/>
              </w:rPr>
            </w:pPr>
            <w:r>
              <w:rPr>
                <w:rFonts w:ascii="Calibri" w:eastAsia="Calibri" w:hAnsi="Calibri" w:cs="Calibri"/>
                <w:b/>
                <w:color w:val="000000"/>
                <w:sz w:val="18"/>
              </w:rPr>
              <w:t>-25,150</w:t>
            </w:r>
          </w:p>
        </w:tc>
        <w:tc>
          <w:tcPr>
            <w:tcW w:w="2385" w:type="dxa"/>
            <w:tcBorders>
              <w:top w:val="nil"/>
              <w:left w:val="nil"/>
              <w:bottom w:val="nil"/>
              <w:right w:val="nil"/>
              <w:tl2br w:val="nil"/>
              <w:tr2bl w:val="nil"/>
            </w:tcBorders>
            <w:shd w:val="clear" w:color="FFFFFF" w:fill="FFFFFF"/>
            <w:noWrap/>
            <w:tcMar>
              <w:left w:w="101" w:type="dxa"/>
              <w:right w:w="101" w:type="dxa"/>
            </w:tcMar>
          </w:tcPr>
          <w:p w14:paraId="7D03FE57" w14:textId="77777777" w:rsidR="00496618" w:rsidRDefault="0027723F">
            <w:pPr>
              <w:pStyle w:val="Normal10"/>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1D414851" w14:textId="77777777" w:rsidR="00496618" w:rsidRDefault="0027723F">
            <w:pPr>
              <w:pStyle w:val="Normal10"/>
              <w:jc w:val="right"/>
              <w:rPr>
                <w:rFonts w:ascii="Calibri" w:eastAsia="Calibri" w:hAnsi="Calibri" w:cs="Calibri"/>
                <w:b/>
                <w:color w:val="000000"/>
                <w:sz w:val="18"/>
              </w:rPr>
            </w:pPr>
            <w:r>
              <w:rPr>
                <w:rFonts w:ascii="Calibri" w:eastAsia="Calibri" w:hAnsi="Calibri" w:cs="Calibri"/>
                <w:b/>
                <w:color w:val="000000"/>
                <w:sz w:val="18"/>
              </w:rPr>
              <w:t>-21,377</w:t>
            </w:r>
          </w:p>
        </w:tc>
        <w:tc>
          <w:tcPr>
            <w:tcW w:w="1035" w:type="dxa"/>
            <w:tcBorders>
              <w:top w:val="nil"/>
              <w:left w:val="nil"/>
              <w:bottom w:val="nil"/>
              <w:right w:val="nil"/>
              <w:tl2br w:val="nil"/>
              <w:tr2bl w:val="nil"/>
            </w:tcBorders>
            <w:shd w:val="clear" w:color="FFFFFF" w:fill="FFFFFF"/>
            <w:tcMar>
              <w:left w:w="101" w:type="dxa"/>
              <w:right w:w="101" w:type="dxa"/>
            </w:tcMar>
          </w:tcPr>
          <w:p w14:paraId="6C8016E0" w14:textId="77777777" w:rsidR="00496618" w:rsidRDefault="0027723F">
            <w:pPr>
              <w:pStyle w:val="Normal10"/>
              <w:jc w:val="right"/>
              <w:rPr>
                <w:rFonts w:ascii="Calibri" w:eastAsia="Calibri" w:hAnsi="Calibri" w:cs="Calibri"/>
                <w:b/>
                <w:color w:val="000000"/>
                <w:sz w:val="18"/>
              </w:rPr>
            </w:pPr>
            <w:r>
              <w:rPr>
                <w:rFonts w:ascii="Calibri" w:eastAsia="Calibri" w:hAnsi="Calibri" w:cs="Calibri"/>
                <w:b/>
                <w:color w:val="000000"/>
                <w:sz w:val="18"/>
              </w:rPr>
              <w:t>-31,261</w:t>
            </w:r>
          </w:p>
        </w:tc>
        <w:tc>
          <w:tcPr>
            <w:tcW w:w="600" w:type="dxa"/>
            <w:tcBorders>
              <w:top w:val="nil"/>
              <w:left w:val="nil"/>
              <w:bottom w:val="nil"/>
              <w:right w:val="nil"/>
              <w:tl2br w:val="nil"/>
              <w:tr2bl w:val="nil"/>
            </w:tcBorders>
            <w:shd w:val="clear" w:color="FFFFFF" w:fill="FFFFFF"/>
            <w:tcMar>
              <w:left w:w="101" w:type="dxa"/>
              <w:right w:w="101" w:type="dxa"/>
            </w:tcMar>
          </w:tcPr>
          <w:p w14:paraId="08FA8C36" w14:textId="77777777" w:rsidR="00496618" w:rsidRDefault="0027723F">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-46 </w:t>
            </w:r>
          </w:p>
        </w:tc>
        <w:tc>
          <w:tcPr>
            <w:tcW w:w="1035" w:type="dxa"/>
            <w:tcBorders>
              <w:top w:val="nil"/>
              <w:left w:val="nil"/>
              <w:bottom w:val="nil"/>
              <w:right w:val="nil"/>
              <w:tl2br w:val="nil"/>
              <w:tr2bl w:val="nil"/>
            </w:tcBorders>
            <w:shd w:val="clear" w:color="FFFFFF" w:fill="FFFFFF"/>
            <w:tcMar>
              <w:left w:w="101" w:type="dxa"/>
              <w:right w:w="101" w:type="dxa"/>
            </w:tcMar>
          </w:tcPr>
          <w:p w14:paraId="0EE19869" w14:textId="77777777" w:rsidR="00496618" w:rsidRDefault="0027723F">
            <w:pPr>
              <w:pStyle w:val="Normal10"/>
              <w:jc w:val="right"/>
              <w:rPr>
                <w:rFonts w:ascii="Calibri" w:eastAsia="Calibri" w:hAnsi="Calibri" w:cs="Calibri"/>
                <w:b/>
                <w:color w:val="000000"/>
                <w:sz w:val="18"/>
              </w:rPr>
            </w:pPr>
            <w:r>
              <w:rPr>
                <w:rFonts w:ascii="Calibri" w:eastAsia="Calibri" w:hAnsi="Calibri" w:cs="Calibri"/>
                <w:b/>
                <w:color w:val="000000"/>
                <w:sz w:val="18"/>
              </w:rPr>
              <w:t>-36,542</w:t>
            </w:r>
          </w:p>
        </w:tc>
        <w:tc>
          <w:tcPr>
            <w:tcW w:w="1035" w:type="dxa"/>
            <w:tcBorders>
              <w:top w:val="nil"/>
              <w:left w:val="nil"/>
              <w:bottom w:val="nil"/>
              <w:right w:val="nil"/>
              <w:tl2br w:val="nil"/>
              <w:tr2bl w:val="nil"/>
            </w:tcBorders>
            <w:shd w:val="clear" w:color="FFFFFF" w:fill="FFFFFF"/>
            <w:tcMar>
              <w:left w:w="101" w:type="dxa"/>
              <w:right w:w="101" w:type="dxa"/>
            </w:tcMar>
          </w:tcPr>
          <w:p w14:paraId="7FA0AEBC" w14:textId="77777777" w:rsidR="00496618" w:rsidRDefault="0027723F">
            <w:pPr>
              <w:pStyle w:val="Normal10"/>
              <w:jc w:val="right"/>
              <w:rPr>
                <w:rFonts w:ascii="Calibri" w:eastAsia="Calibri" w:hAnsi="Calibri" w:cs="Calibri"/>
                <w:b/>
                <w:color w:val="000000"/>
                <w:sz w:val="18"/>
              </w:rPr>
            </w:pPr>
            <w:r>
              <w:rPr>
                <w:rFonts w:ascii="Calibri" w:eastAsia="Calibri" w:hAnsi="Calibri" w:cs="Calibri"/>
                <w:b/>
                <w:color w:val="000000"/>
                <w:sz w:val="18"/>
              </w:rPr>
              <w:t>-40,782</w:t>
            </w:r>
          </w:p>
        </w:tc>
        <w:tc>
          <w:tcPr>
            <w:tcW w:w="1035" w:type="dxa"/>
            <w:tcBorders>
              <w:top w:val="nil"/>
              <w:left w:val="nil"/>
              <w:bottom w:val="nil"/>
              <w:right w:val="nil"/>
              <w:tl2br w:val="nil"/>
              <w:tr2bl w:val="nil"/>
            </w:tcBorders>
            <w:shd w:val="clear" w:color="FFFFFF" w:fill="FFFFFF"/>
            <w:tcMar>
              <w:left w:w="101" w:type="dxa"/>
              <w:right w:w="101" w:type="dxa"/>
            </w:tcMar>
          </w:tcPr>
          <w:p w14:paraId="525C6426" w14:textId="77777777" w:rsidR="00496618" w:rsidRDefault="0027723F">
            <w:pPr>
              <w:pStyle w:val="Normal10"/>
              <w:jc w:val="right"/>
              <w:rPr>
                <w:rFonts w:ascii="Calibri" w:eastAsia="Calibri" w:hAnsi="Calibri" w:cs="Calibri"/>
                <w:b/>
                <w:color w:val="000000"/>
                <w:sz w:val="18"/>
              </w:rPr>
            </w:pPr>
            <w:r>
              <w:rPr>
                <w:rFonts w:ascii="Calibri" w:eastAsia="Calibri" w:hAnsi="Calibri" w:cs="Calibri"/>
                <w:b/>
                <w:color w:val="000000"/>
                <w:sz w:val="18"/>
              </w:rPr>
              <w:t>-43,367</w:t>
            </w:r>
          </w:p>
        </w:tc>
      </w:tr>
      <w:tr w:rsidR="00496618" w14:paraId="544CA3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CA65CD7" w14:textId="77777777" w:rsidR="00496618" w:rsidRDefault="00496618">
            <w:pPr>
              <w:pStyle w:val="Normal10"/>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5447675" w14:textId="77777777" w:rsidR="00496618" w:rsidRDefault="00496618">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E810B85" w14:textId="77777777" w:rsidR="00496618" w:rsidRDefault="00496618">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7A3BCD1" w14:textId="77777777" w:rsidR="00496618" w:rsidRDefault="00496618">
            <w:pPr>
              <w:pStyle w:val="Normal10"/>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4F8F6D0D" w14:textId="77777777" w:rsidR="00496618" w:rsidRDefault="00496618">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C575E5E" w14:textId="77777777" w:rsidR="00496618" w:rsidRDefault="00496618">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ECC2366" w14:textId="77777777" w:rsidR="00496618" w:rsidRDefault="00496618">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876E570" w14:textId="77777777" w:rsidR="00496618" w:rsidRDefault="00496618">
            <w:pPr>
              <w:pStyle w:val="Normal10"/>
              <w:rPr>
                <w:rFonts w:ascii="Calibri" w:eastAsia="Calibri" w:hAnsi="Calibri" w:cs="Calibri"/>
                <w:color w:val="000000"/>
                <w:sz w:val="18"/>
              </w:rPr>
            </w:pPr>
          </w:p>
        </w:tc>
      </w:tr>
    </w:tbl>
    <w:p w14:paraId="1B3A65D7" w14:textId="77777777" w:rsidR="001F6B18" w:rsidRPr="00EB585F" w:rsidRDefault="0027723F" w:rsidP="00EB585F">
      <w:pPr>
        <w:pStyle w:val="Caption"/>
      </w:pPr>
      <w:r w:rsidRPr="00EB585F">
        <w:lastRenderedPageBreak/>
        <w:t xml:space="preserve">Table 24: ACT Health Directorate: Balance Sheet </w:t>
      </w:r>
    </w:p>
    <w:tbl>
      <w:tblPr>
        <w:tblStyle w:val="CDMRange2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496618" w14:paraId="5AEC6678" w14:textId="77777777">
        <w:trPr>
          <w:trHeight w:val="945"/>
        </w:trPr>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2A61A44D"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Budget</w:t>
            </w:r>
          </w:p>
          <w:p w14:paraId="7EE8E47A"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4792199A"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4AECF765"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FDBBE58" w14:textId="77777777" w:rsidR="00496618" w:rsidRDefault="00496618">
            <w:pPr>
              <w:pStyle w:val="Normal11"/>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2C224250"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Interim</w:t>
            </w:r>
          </w:p>
          <w:p w14:paraId="3956B2C8"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Outcome at</w:t>
            </w:r>
          </w:p>
          <w:p w14:paraId="4E157394"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30/6/21</w:t>
            </w:r>
          </w:p>
          <w:p w14:paraId="27FFD533"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1CA2D69A"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Budget</w:t>
            </w:r>
          </w:p>
          <w:p w14:paraId="2E0F99F4"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2791EE79"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247660B7"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6C690E44"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Var</w:t>
            </w:r>
          </w:p>
          <w:p w14:paraId="155532FA"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0091666F"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651359FB"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326FF217"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0BA71D9F"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25281842"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0E3757FF"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7C379811"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7BD1BA7C"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37EC200F"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7896A069"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4594C87E"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77DC566C"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r>
      <w:tr w:rsidR="00496618" w14:paraId="598717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A23DF8A" w14:textId="77777777" w:rsidR="00496618" w:rsidRDefault="00496618">
            <w:pPr>
              <w:pStyle w:val="Normal11"/>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D4371B9" w14:textId="77777777" w:rsidR="00496618" w:rsidRDefault="00496618">
            <w:pPr>
              <w:pStyle w:val="Normal11"/>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F6E8FB6" w14:textId="77777777" w:rsidR="00496618" w:rsidRDefault="00496618">
            <w:pPr>
              <w:pStyle w:val="Normal1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F8C1A38" w14:textId="77777777" w:rsidR="00496618" w:rsidRDefault="00496618">
            <w:pPr>
              <w:pStyle w:val="Normal11"/>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3CD6E622" w14:textId="77777777" w:rsidR="00496618" w:rsidRDefault="00496618">
            <w:pPr>
              <w:pStyle w:val="Normal1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B476FB5" w14:textId="77777777" w:rsidR="00496618" w:rsidRDefault="00496618">
            <w:pPr>
              <w:pStyle w:val="Normal1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E9545ED" w14:textId="77777777" w:rsidR="00496618" w:rsidRDefault="00496618">
            <w:pPr>
              <w:pStyle w:val="Normal11"/>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FA86066" w14:textId="77777777" w:rsidR="00496618" w:rsidRDefault="00496618">
            <w:pPr>
              <w:pStyle w:val="Normal11"/>
              <w:jc w:val="right"/>
              <w:rPr>
                <w:rFonts w:ascii="Calibri" w:eastAsia="Calibri" w:hAnsi="Calibri" w:cs="Calibri"/>
                <w:b/>
                <w:i/>
                <w:color w:val="000000"/>
                <w:sz w:val="18"/>
              </w:rPr>
            </w:pPr>
          </w:p>
        </w:tc>
      </w:tr>
      <w:tr w:rsidR="00496618" w14:paraId="6A49D4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EAE9886"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40" w:type="dxa"/>
              <w:right w:w="40" w:type="dxa"/>
            </w:tcMar>
          </w:tcPr>
          <w:p w14:paraId="7B1E1EF3"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4D963B0D"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64356C"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621F96"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62B5E7"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E934DC"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9DC2E0" w14:textId="77777777" w:rsidR="00496618" w:rsidRDefault="00496618">
            <w:pPr>
              <w:pStyle w:val="Normal11"/>
              <w:rPr>
                <w:rFonts w:ascii="Calibri" w:eastAsia="Calibri" w:hAnsi="Calibri" w:cs="Calibri"/>
                <w:color w:val="000000"/>
                <w:sz w:val="18"/>
              </w:rPr>
            </w:pPr>
          </w:p>
        </w:tc>
      </w:tr>
      <w:tr w:rsidR="00496618" w14:paraId="6CBCC8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2D789CD9"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7,519</w:t>
            </w:r>
          </w:p>
        </w:tc>
        <w:tc>
          <w:tcPr>
            <w:tcW w:w="2385" w:type="dxa"/>
            <w:tcBorders>
              <w:top w:val="nil"/>
              <w:left w:val="nil"/>
              <w:bottom w:val="nil"/>
              <w:right w:val="nil"/>
              <w:tl2br w:val="nil"/>
              <w:tr2bl w:val="nil"/>
            </w:tcBorders>
            <w:shd w:val="clear" w:color="auto" w:fill="auto"/>
            <w:noWrap/>
            <w:tcMar>
              <w:left w:w="40" w:type="dxa"/>
              <w:right w:w="40" w:type="dxa"/>
            </w:tcMar>
          </w:tcPr>
          <w:p w14:paraId="0725F3E6"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40" w:type="dxa"/>
              <w:right w:w="40" w:type="dxa"/>
            </w:tcMar>
          </w:tcPr>
          <w:p w14:paraId="560A6178"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17,671</w:t>
            </w:r>
          </w:p>
        </w:tc>
        <w:tc>
          <w:tcPr>
            <w:tcW w:w="1035" w:type="dxa"/>
            <w:tcBorders>
              <w:top w:val="nil"/>
              <w:left w:val="nil"/>
              <w:bottom w:val="nil"/>
              <w:right w:val="nil"/>
              <w:tl2br w:val="nil"/>
              <w:tr2bl w:val="nil"/>
            </w:tcBorders>
            <w:shd w:val="clear" w:color="FFFFFF" w:fill="FFFFFF"/>
            <w:tcMar>
              <w:left w:w="40" w:type="dxa"/>
              <w:right w:w="40" w:type="dxa"/>
            </w:tcMar>
          </w:tcPr>
          <w:p w14:paraId="674A2B28"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17,455</w:t>
            </w:r>
          </w:p>
        </w:tc>
        <w:tc>
          <w:tcPr>
            <w:tcW w:w="600" w:type="dxa"/>
            <w:tcBorders>
              <w:top w:val="nil"/>
              <w:left w:val="nil"/>
              <w:bottom w:val="nil"/>
              <w:right w:val="nil"/>
              <w:tl2br w:val="nil"/>
              <w:tr2bl w:val="nil"/>
            </w:tcBorders>
            <w:shd w:val="clear" w:color="FFFFFF" w:fill="FFFFFF"/>
            <w:tcMar>
              <w:left w:w="40" w:type="dxa"/>
              <w:right w:w="40" w:type="dxa"/>
            </w:tcMar>
          </w:tcPr>
          <w:p w14:paraId="23669352"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312E78F2"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17,225</w:t>
            </w:r>
          </w:p>
        </w:tc>
        <w:tc>
          <w:tcPr>
            <w:tcW w:w="1035" w:type="dxa"/>
            <w:tcBorders>
              <w:top w:val="nil"/>
              <w:left w:val="nil"/>
              <w:bottom w:val="nil"/>
              <w:right w:val="nil"/>
              <w:tl2br w:val="nil"/>
              <w:tr2bl w:val="nil"/>
            </w:tcBorders>
            <w:shd w:val="clear" w:color="FFFFFF" w:fill="FFFFFF"/>
            <w:tcMar>
              <w:left w:w="40" w:type="dxa"/>
              <w:right w:w="40" w:type="dxa"/>
            </w:tcMar>
          </w:tcPr>
          <w:p w14:paraId="5EE2B2AE"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16,985</w:t>
            </w:r>
          </w:p>
        </w:tc>
        <w:tc>
          <w:tcPr>
            <w:tcW w:w="1035" w:type="dxa"/>
            <w:tcBorders>
              <w:top w:val="nil"/>
              <w:left w:val="nil"/>
              <w:bottom w:val="nil"/>
              <w:right w:val="nil"/>
              <w:tl2br w:val="nil"/>
              <w:tr2bl w:val="nil"/>
            </w:tcBorders>
            <w:shd w:val="clear" w:color="FFFFFF" w:fill="FFFFFF"/>
            <w:tcMar>
              <w:left w:w="40" w:type="dxa"/>
              <w:right w:w="40" w:type="dxa"/>
            </w:tcMar>
          </w:tcPr>
          <w:p w14:paraId="39EDA417"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16,735</w:t>
            </w:r>
          </w:p>
        </w:tc>
      </w:tr>
      <w:tr w:rsidR="00496618" w14:paraId="20F247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2173B80F"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4,950</w:t>
            </w:r>
          </w:p>
        </w:tc>
        <w:tc>
          <w:tcPr>
            <w:tcW w:w="2385" w:type="dxa"/>
            <w:tcBorders>
              <w:top w:val="nil"/>
              <w:left w:val="nil"/>
              <w:bottom w:val="nil"/>
              <w:right w:val="nil"/>
              <w:tl2br w:val="nil"/>
              <w:tr2bl w:val="nil"/>
            </w:tcBorders>
            <w:shd w:val="clear" w:color="auto" w:fill="auto"/>
            <w:noWrap/>
            <w:tcMar>
              <w:left w:w="40" w:type="dxa"/>
              <w:right w:w="40" w:type="dxa"/>
            </w:tcMar>
          </w:tcPr>
          <w:p w14:paraId="6F68DA35"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40" w:type="dxa"/>
              <w:right w:w="40" w:type="dxa"/>
            </w:tcMar>
          </w:tcPr>
          <w:p w14:paraId="24881D64"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3,665</w:t>
            </w:r>
          </w:p>
        </w:tc>
        <w:tc>
          <w:tcPr>
            <w:tcW w:w="1035" w:type="dxa"/>
            <w:tcBorders>
              <w:top w:val="nil"/>
              <w:left w:val="nil"/>
              <w:bottom w:val="nil"/>
              <w:right w:val="nil"/>
              <w:tl2br w:val="nil"/>
              <w:tr2bl w:val="nil"/>
            </w:tcBorders>
            <w:shd w:val="clear" w:color="FFFFFF" w:fill="FFFFFF"/>
            <w:tcMar>
              <w:left w:w="40" w:type="dxa"/>
              <w:right w:w="40" w:type="dxa"/>
            </w:tcMar>
          </w:tcPr>
          <w:p w14:paraId="14DC3BCE"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3,749</w:t>
            </w:r>
          </w:p>
        </w:tc>
        <w:tc>
          <w:tcPr>
            <w:tcW w:w="600" w:type="dxa"/>
            <w:tcBorders>
              <w:top w:val="nil"/>
              <w:left w:val="nil"/>
              <w:bottom w:val="nil"/>
              <w:right w:val="nil"/>
              <w:tl2br w:val="nil"/>
              <w:tr2bl w:val="nil"/>
            </w:tcBorders>
            <w:shd w:val="clear" w:color="FFFFFF" w:fill="FFFFFF"/>
            <w:tcMar>
              <w:left w:w="40" w:type="dxa"/>
              <w:right w:w="40" w:type="dxa"/>
            </w:tcMar>
          </w:tcPr>
          <w:p w14:paraId="5FEF035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6F5FC83D"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3,835</w:t>
            </w:r>
          </w:p>
        </w:tc>
        <w:tc>
          <w:tcPr>
            <w:tcW w:w="1035" w:type="dxa"/>
            <w:tcBorders>
              <w:top w:val="nil"/>
              <w:left w:val="nil"/>
              <w:bottom w:val="nil"/>
              <w:right w:val="nil"/>
              <w:tl2br w:val="nil"/>
              <w:tr2bl w:val="nil"/>
            </w:tcBorders>
            <w:shd w:val="clear" w:color="FFFFFF" w:fill="FFFFFF"/>
            <w:tcMar>
              <w:left w:w="40" w:type="dxa"/>
              <w:right w:w="40" w:type="dxa"/>
            </w:tcMar>
          </w:tcPr>
          <w:p w14:paraId="4891CFBC"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3,921</w:t>
            </w:r>
          </w:p>
        </w:tc>
        <w:tc>
          <w:tcPr>
            <w:tcW w:w="1035" w:type="dxa"/>
            <w:tcBorders>
              <w:top w:val="nil"/>
              <w:left w:val="nil"/>
              <w:bottom w:val="nil"/>
              <w:right w:val="nil"/>
              <w:tl2br w:val="nil"/>
              <w:tr2bl w:val="nil"/>
            </w:tcBorders>
            <w:shd w:val="clear" w:color="FFFFFF" w:fill="FFFFFF"/>
            <w:tcMar>
              <w:left w:w="40" w:type="dxa"/>
              <w:right w:w="40" w:type="dxa"/>
            </w:tcMar>
          </w:tcPr>
          <w:p w14:paraId="1CDB37A4"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4,007</w:t>
            </w:r>
          </w:p>
        </w:tc>
      </w:tr>
      <w:tr w:rsidR="00496618" w14:paraId="2B8EFF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09BFFA8B"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2,637</w:t>
            </w:r>
          </w:p>
        </w:tc>
        <w:tc>
          <w:tcPr>
            <w:tcW w:w="2385" w:type="dxa"/>
            <w:tcBorders>
              <w:top w:val="nil"/>
              <w:left w:val="nil"/>
              <w:bottom w:val="nil"/>
              <w:right w:val="nil"/>
              <w:tl2br w:val="nil"/>
              <w:tr2bl w:val="nil"/>
            </w:tcBorders>
            <w:shd w:val="clear" w:color="auto" w:fill="auto"/>
            <w:noWrap/>
            <w:tcMar>
              <w:left w:w="40" w:type="dxa"/>
              <w:right w:w="40" w:type="dxa"/>
            </w:tcMar>
          </w:tcPr>
          <w:p w14:paraId="24FB6D3B"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40" w:type="dxa"/>
              <w:right w:w="40" w:type="dxa"/>
            </w:tcMar>
          </w:tcPr>
          <w:p w14:paraId="5C9A35E4"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4,562</w:t>
            </w:r>
          </w:p>
        </w:tc>
        <w:tc>
          <w:tcPr>
            <w:tcW w:w="1035" w:type="dxa"/>
            <w:tcBorders>
              <w:top w:val="nil"/>
              <w:left w:val="nil"/>
              <w:bottom w:val="nil"/>
              <w:right w:val="nil"/>
              <w:tl2br w:val="nil"/>
              <w:tr2bl w:val="nil"/>
            </w:tcBorders>
            <w:shd w:val="clear" w:color="FFFFFF" w:fill="FFFFFF"/>
            <w:tcMar>
              <w:left w:w="40" w:type="dxa"/>
              <w:right w:w="40" w:type="dxa"/>
            </w:tcMar>
          </w:tcPr>
          <w:p w14:paraId="23125448"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4,597</w:t>
            </w:r>
          </w:p>
        </w:tc>
        <w:tc>
          <w:tcPr>
            <w:tcW w:w="600" w:type="dxa"/>
            <w:tcBorders>
              <w:top w:val="nil"/>
              <w:left w:val="nil"/>
              <w:bottom w:val="nil"/>
              <w:right w:val="nil"/>
              <w:tl2br w:val="nil"/>
              <w:tr2bl w:val="nil"/>
            </w:tcBorders>
            <w:shd w:val="clear" w:color="FFFFFF" w:fill="FFFFFF"/>
            <w:tcMar>
              <w:left w:w="40" w:type="dxa"/>
              <w:right w:w="40" w:type="dxa"/>
            </w:tcMar>
          </w:tcPr>
          <w:p w14:paraId="11380994"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2DD427D1"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4,632</w:t>
            </w:r>
          </w:p>
        </w:tc>
        <w:tc>
          <w:tcPr>
            <w:tcW w:w="1035" w:type="dxa"/>
            <w:tcBorders>
              <w:top w:val="nil"/>
              <w:left w:val="nil"/>
              <w:bottom w:val="nil"/>
              <w:right w:val="nil"/>
              <w:tl2br w:val="nil"/>
              <w:tr2bl w:val="nil"/>
            </w:tcBorders>
            <w:shd w:val="clear" w:color="FFFFFF" w:fill="FFFFFF"/>
            <w:tcMar>
              <w:left w:w="40" w:type="dxa"/>
              <w:right w:w="40" w:type="dxa"/>
            </w:tcMar>
          </w:tcPr>
          <w:p w14:paraId="3F08477B"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4,667</w:t>
            </w:r>
          </w:p>
        </w:tc>
        <w:tc>
          <w:tcPr>
            <w:tcW w:w="1035" w:type="dxa"/>
            <w:tcBorders>
              <w:top w:val="nil"/>
              <w:left w:val="nil"/>
              <w:bottom w:val="nil"/>
              <w:right w:val="nil"/>
              <w:tl2br w:val="nil"/>
              <w:tr2bl w:val="nil"/>
            </w:tcBorders>
            <w:shd w:val="clear" w:color="FFFFFF" w:fill="FFFFFF"/>
            <w:tcMar>
              <w:left w:w="40" w:type="dxa"/>
              <w:right w:w="40" w:type="dxa"/>
            </w:tcMar>
          </w:tcPr>
          <w:p w14:paraId="3BAB0942"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4,702</w:t>
            </w:r>
          </w:p>
        </w:tc>
      </w:tr>
      <w:tr w:rsidR="00496618" w14:paraId="206BDC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7DC2411"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3606170" w14:textId="77777777" w:rsidR="00496618" w:rsidRDefault="00496618">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86E78B"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6DA1E0"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DE7FB2D"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9B96F0"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FA2165"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DFFFFA" w14:textId="77777777" w:rsidR="00496618" w:rsidRDefault="00496618">
            <w:pPr>
              <w:pStyle w:val="Normal11"/>
              <w:rPr>
                <w:rFonts w:ascii="Calibri" w:eastAsia="Calibri" w:hAnsi="Calibri" w:cs="Calibri"/>
                <w:color w:val="000000"/>
                <w:sz w:val="18"/>
              </w:rPr>
            </w:pPr>
          </w:p>
        </w:tc>
      </w:tr>
      <w:tr w:rsidR="00496618" w14:paraId="5EE975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65087340"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15,106</w:t>
            </w:r>
          </w:p>
        </w:tc>
        <w:tc>
          <w:tcPr>
            <w:tcW w:w="2385" w:type="dxa"/>
            <w:tcBorders>
              <w:top w:val="nil"/>
              <w:left w:val="nil"/>
              <w:bottom w:val="nil"/>
              <w:right w:val="nil"/>
              <w:tl2br w:val="nil"/>
              <w:tr2bl w:val="nil"/>
            </w:tcBorders>
            <w:shd w:val="clear" w:color="FFFFFF" w:fill="FFFFFF"/>
            <w:tcMar>
              <w:left w:w="40" w:type="dxa"/>
              <w:right w:w="40" w:type="dxa"/>
            </w:tcMar>
          </w:tcPr>
          <w:p w14:paraId="103A4CB3"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40" w:type="dxa"/>
              <w:right w:w="40" w:type="dxa"/>
            </w:tcMar>
          </w:tcPr>
          <w:p w14:paraId="279D1877"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25,898</w:t>
            </w:r>
          </w:p>
        </w:tc>
        <w:tc>
          <w:tcPr>
            <w:tcW w:w="1035" w:type="dxa"/>
            <w:tcBorders>
              <w:top w:val="nil"/>
              <w:left w:val="nil"/>
              <w:bottom w:val="nil"/>
              <w:right w:val="nil"/>
              <w:tl2br w:val="nil"/>
              <w:tr2bl w:val="nil"/>
            </w:tcBorders>
            <w:shd w:val="clear" w:color="FFFFFF" w:fill="FFFFFF"/>
            <w:tcMar>
              <w:left w:w="40" w:type="dxa"/>
              <w:right w:w="40" w:type="dxa"/>
            </w:tcMar>
          </w:tcPr>
          <w:p w14:paraId="50C051DD"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25,801</w:t>
            </w:r>
          </w:p>
        </w:tc>
        <w:tc>
          <w:tcPr>
            <w:tcW w:w="600" w:type="dxa"/>
            <w:tcBorders>
              <w:top w:val="nil"/>
              <w:left w:val="nil"/>
              <w:bottom w:val="nil"/>
              <w:right w:val="nil"/>
              <w:tl2br w:val="nil"/>
              <w:tr2bl w:val="nil"/>
            </w:tcBorders>
            <w:shd w:val="clear" w:color="FFFFFF" w:fill="FFFFFF"/>
            <w:tcMar>
              <w:left w:w="40" w:type="dxa"/>
              <w:right w:w="40" w:type="dxa"/>
            </w:tcMar>
          </w:tcPr>
          <w:p w14:paraId="7D1173CF"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2194B4F3"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25,692</w:t>
            </w:r>
          </w:p>
        </w:tc>
        <w:tc>
          <w:tcPr>
            <w:tcW w:w="1035" w:type="dxa"/>
            <w:tcBorders>
              <w:top w:val="nil"/>
              <w:left w:val="nil"/>
              <w:bottom w:val="nil"/>
              <w:right w:val="nil"/>
              <w:tl2br w:val="nil"/>
              <w:tr2bl w:val="nil"/>
            </w:tcBorders>
            <w:shd w:val="clear" w:color="FFFFFF" w:fill="FFFFFF"/>
            <w:tcMar>
              <w:left w:w="40" w:type="dxa"/>
              <w:right w:w="40" w:type="dxa"/>
            </w:tcMar>
          </w:tcPr>
          <w:p w14:paraId="60EEA5B8"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25,573</w:t>
            </w:r>
          </w:p>
        </w:tc>
        <w:tc>
          <w:tcPr>
            <w:tcW w:w="1035" w:type="dxa"/>
            <w:tcBorders>
              <w:top w:val="nil"/>
              <w:left w:val="nil"/>
              <w:bottom w:val="nil"/>
              <w:right w:val="nil"/>
              <w:tl2br w:val="nil"/>
              <w:tr2bl w:val="nil"/>
            </w:tcBorders>
            <w:shd w:val="clear" w:color="FFFFFF" w:fill="FFFFFF"/>
            <w:tcMar>
              <w:left w:w="40" w:type="dxa"/>
              <w:right w:w="40" w:type="dxa"/>
            </w:tcMar>
          </w:tcPr>
          <w:p w14:paraId="3E585CB6"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25,444</w:t>
            </w:r>
          </w:p>
        </w:tc>
      </w:tr>
      <w:tr w:rsidR="00496618" w14:paraId="7961B9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5DEDB3"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774B562" w14:textId="77777777" w:rsidR="00496618" w:rsidRDefault="00496618">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5F43C6"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B7CE3B"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E6F9C53"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CD15C3"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C8AC30"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8278D2" w14:textId="77777777" w:rsidR="00496618" w:rsidRDefault="00496618">
            <w:pPr>
              <w:pStyle w:val="Normal11"/>
              <w:rPr>
                <w:rFonts w:ascii="Calibri" w:eastAsia="Calibri" w:hAnsi="Calibri" w:cs="Calibri"/>
                <w:color w:val="000000"/>
                <w:sz w:val="18"/>
              </w:rPr>
            </w:pPr>
          </w:p>
        </w:tc>
      </w:tr>
      <w:tr w:rsidR="00496618" w14:paraId="0B071D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51359B9"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40" w:type="dxa"/>
              <w:right w:w="40" w:type="dxa"/>
            </w:tcMar>
          </w:tcPr>
          <w:p w14:paraId="4265E0DA"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596FF272"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B4E4CB"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BA105E"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12D113"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EB8118"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C46297" w14:textId="77777777" w:rsidR="00496618" w:rsidRDefault="00496618">
            <w:pPr>
              <w:pStyle w:val="Normal11"/>
              <w:rPr>
                <w:rFonts w:ascii="Calibri" w:eastAsia="Calibri" w:hAnsi="Calibri" w:cs="Calibri"/>
                <w:color w:val="000000"/>
                <w:sz w:val="18"/>
              </w:rPr>
            </w:pPr>
          </w:p>
        </w:tc>
      </w:tr>
      <w:tr w:rsidR="00496618" w14:paraId="604113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2AF973AB"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86,548</w:t>
            </w:r>
          </w:p>
        </w:tc>
        <w:tc>
          <w:tcPr>
            <w:tcW w:w="2385" w:type="dxa"/>
            <w:tcBorders>
              <w:top w:val="nil"/>
              <w:left w:val="nil"/>
              <w:bottom w:val="nil"/>
              <w:right w:val="nil"/>
              <w:tl2br w:val="nil"/>
              <w:tr2bl w:val="nil"/>
            </w:tcBorders>
            <w:shd w:val="clear" w:color="FFFFFF" w:fill="FFFFFF"/>
            <w:noWrap/>
            <w:tcMar>
              <w:left w:w="40" w:type="dxa"/>
              <w:right w:w="40" w:type="dxa"/>
            </w:tcMar>
          </w:tcPr>
          <w:p w14:paraId="3ED73E0A"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40" w:type="dxa"/>
              <w:right w:w="40" w:type="dxa"/>
            </w:tcMar>
          </w:tcPr>
          <w:p w14:paraId="6273D41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70,606</w:t>
            </w:r>
          </w:p>
        </w:tc>
        <w:tc>
          <w:tcPr>
            <w:tcW w:w="1035" w:type="dxa"/>
            <w:tcBorders>
              <w:top w:val="nil"/>
              <w:left w:val="nil"/>
              <w:bottom w:val="nil"/>
              <w:right w:val="nil"/>
              <w:tl2br w:val="nil"/>
              <w:tr2bl w:val="nil"/>
            </w:tcBorders>
            <w:shd w:val="clear" w:color="FFFFFF" w:fill="FFFFFF"/>
            <w:tcMar>
              <w:left w:w="40" w:type="dxa"/>
              <w:right w:w="40" w:type="dxa"/>
            </w:tcMar>
          </w:tcPr>
          <w:p w14:paraId="109C0A4A"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84,302</w:t>
            </w:r>
          </w:p>
        </w:tc>
        <w:tc>
          <w:tcPr>
            <w:tcW w:w="600" w:type="dxa"/>
            <w:tcBorders>
              <w:top w:val="nil"/>
              <w:left w:val="nil"/>
              <w:bottom w:val="nil"/>
              <w:right w:val="nil"/>
              <w:tl2br w:val="nil"/>
              <w:tr2bl w:val="nil"/>
            </w:tcBorders>
            <w:shd w:val="clear" w:color="FFFFFF" w:fill="FFFFFF"/>
            <w:tcMar>
              <w:left w:w="40" w:type="dxa"/>
              <w:right w:w="40" w:type="dxa"/>
            </w:tcMar>
          </w:tcPr>
          <w:p w14:paraId="4D43787F"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19 </w:t>
            </w:r>
          </w:p>
        </w:tc>
        <w:tc>
          <w:tcPr>
            <w:tcW w:w="1035" w:type="dxa"/>
            <w:tcBorders>
              <w:top w:val="nil"/>
              <w:left w:val="nil"/>
              <w:bottom w:val="nil"/>
              <w:right w:val="nil"/>
              <w:tl2br w:val="nil"/>
              <w:tr2bl w:val="nil"/>
            </w:tcBorders>
            <w:shd w:val="clear" w:color="FFFFFF" w:fill="FFFFFF"/>
            <w:tcMar>
              <w:left w:w="40" w:type="dxa"/>
              <w:right w:w="40" w:type="dxa"/>
            </w:tcMar>
          </w:tcPr>
          <w:p w14:paraId="3072822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82,166</w:t>
            </w:r>
          </w:p>
        </w:tc>
        <w:tc>
          <w:tcPr>
            <w:tcW w:w="1035" w:type="dxa"/>
            <w:tcBorders>
              <w:top w:val="nil"/>
              <w:left w:val="nil"/>
              <w:bottom w:val="nil"/>
              <w:right w:val="nil"/>
              <w:tl2br w:val="nil"/>
              <w:tr2bl w:val="nil"/>
            </w:tcBorders>
            <w:shd w:val="clear" w:color="FFFFFF" w:fill="FFFFFF"/>
            <w:tcMar>
              <w:left w:w="40" w:type="dxa"/>
              <w:right w:w="40" w:type="dxa"/>
            </w:tcMar>
          </w:tcPr>
          <w:p w14:paraId="33F78F66"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91,430</w:t>
            </w:r>
          </w:p>
        </w:tc>
        <w:tc>
          <w:tcPr>
            <w:tcW w:w="1035" w:type="dxa"/>
            <w:tcBorders>
              <w:top w:val="nil"/>
              <w:left w:val="nil"/>
              <w:bottom w:val="nil"/>
              <w:right w:val="nil"/>
              <w:tl2br w:val="nil"/>
              <w:tr2bl w:val="nil"/>
            </w:tcBorders>
            <w:shd w:val="clear" w:color="FFFFFF" w:fill="FFFFFF"/>
            <w:tcMar>
              <w:left w:w="40" w:type="dxa"/>
              <w:right w:w="40" w:type="dxa"/>
            </w:tcMar>
          </w:tcPr>
          <w:p w14:paraId="3B44FA3F"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99,217</w:t>
            </w:r>
          </w:p>
        </w:tc>
      </w:tr>
      <w:tr w:rsidR="00496618" w14:paraId="0282DF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3B992D0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41,916</w:t>
            </w:r>
          </w:p>
        </w:tc>
        <w:tc>
          <w:tcPr>
            <w:tcW w:w="2385" w:type="dxa"/>
            <w:tcBorders>
              <w:top w:val="nil"/>
              <w:left w:val="nil"/>
              <w:bottom w:val="nil"/>
              <w:right w:val="nil"/>
              <w:tl2br w:val="nil"/>
              <w:tr2bl w:val="nil"/>
            </w:tcBorders>
            <w:shd w:val="clear" w:color="FFFFFF" w:fill="FFFFFF"/>
            <w:noWrap/>
            <w:tcMar>
              <w:left w:w="40" w:type="dxa"/>
              <w:right w:w="40" w:type="dxa"/>
            </w:tcMar>
          </w:tcPr>
          <w:p w14:paraId="7E60F640"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40" w:type="dxa"/>
              <w:right w:w="40" w:type="dxa"/>
            </w:tcMar>
          </w:tcPr>
          <w:p w14:paraId="68D3E27E"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35,802</w:t>
            </w:r>
          </w:p>
        </w:tc>
        <w:tc>
          <w:tcPr>
            <w:tcW w:w="1035" w:type="dxa"/>
            <w:tcBorders>
              <w:top w:val="nil"/>
              <w:left w:val="nil"/>
              <w:bottom w:val="nil"/>
              <w:right w:val="nil"/>
              <w:tl2br w:val="nil"/>
              <w:tr2bl w:val="nil"/>
            </w:tcBorders>
            <w:shd w:val="clear" w:color="FFFFFF" w:fill="FFFFFF"/>
            <w:tcMar>
              <w:left w:w="40" w:type="dxa"/>
              <w:right w:w="40" w:type="dxa"/>
            </w:tcMar>
          </w:tcPr>
          <w:p w14:paraId="23A4F5AF"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79,030</w:t>
            </w:r>
          </w:p>
        </w:tc>
        <w:tc>
          <w:tcPr>
            <w:tcW w:w="600" w:type="dxa"/>
            <w:tcBorders>
              <w:top w:val="nil"/>
              <w:left w:val="nil"/>
              <w:bottom w:val="nil"/>
              <w:right w:val="nil"/>
              <w:tl2br w:val="nil"/>
              <w:tr2bl w:val="nil"/>
            </w:tcBorders>
            <w:shd w:val="clear" w:color="FFFFFF" w:fill="FFFFFF"/>
            <w:tcMar>
              <w:left w:w="40" w:type="dxa"/>
              <w:right w:w="40" w:type="dxa"/>
            </w:tcMar>
          </w:tcPr>
          <w:p w14:paraId="0A72025C"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121 </w:t>
            </w:r>
          </w:p>
        </w:tc>
        <w:tc>
          <w:tcPr>
            <w:tcW w:w="1035" w:type="dxa"/>
            <w:tcBorders>
              <w:top w:val="nil"/>
              <w:left w:val="nil"/>
              <w:bottom w:val="nil"/>
              <w:right w:val="nil"/>
              <w:tl2br w:val="nil"/>
              <w:tr2bl w:val="nil"/>
            </w:tcBorders>
            <w:shd w:val="clear" w:color="FFFFFF" w:fill="FFFFFF"/>
            <w:tcMar>
              <w:left w:w="40" w:type="dxa"/>
              <w:right w:w="40" w:type="dxa"/>
            </w:tcMar>
          </w:tcPr>
          <w:p w14:paraId="52D13759"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85,973</w:t>
            </w:r>
          </w:p>
        </w:tc>
        <w:tc>
          <w:tcPr>
            <w:tcW w:w="1035" w:type="dxa"/>
            <w:tcBorders>
              <w:top w:val="nil"/>
              <w:left w:val="nil"/>
              <w:bottom w:val="nil"/>
              <w:right w:val="nil"/>
              <w:tl2br w:val="nil"/>
              <w:tr2bl w:val="nil"/>
            </w:tcBorders>
            <w:shd w:val="clear" w:color="FFFFFF" w:fill="FFFFFF"/>
            <w:tcMar>
              <w:left w:w="40" w:type="dxa"/>
              <w:right w:w="40" w:type="dxa"/>
            </w:tcMar>
          </w:tcPr>
          <w:p w14:paraId="3F452673"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63,792</w:t>
            </w:r>
          </w:p>
        </w:tc>
        <w:tc>
          <w:tcPr>
            <w:tcW w:w="1035" w:type="dxa"/>
            <w:tcBorders>
              <w:top w:val="nil"/>
              <w:left w:val="nil"/>
              <w:bottom w:val="nil"/>
              <w:right w:val="nil"/>
              <w:tl2br w:val="nil"/>
              <w:tr2bl w:val="nil"/>
            </w:tcBorders>
            <w:shd w:val="clear" w:color="FFFFFF" w:fill="FFFFFF"/>
            <w:tcMar>
              <w:left w:w="40" w:type="dxa"/>
              <w:right w:w="40" w:type="dxa"/>
            </w:tcMar>
          </w:tcPr>
          <w:p w14:paraId="5AE0F0CD"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37,399</w:t>
            </w:r>
          </w:p>
        </w:tc>
      </w:tr>
      <w:tr w:rsidR="00496618" w14:paraId="4845B0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71BDB6AF"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25,911</w:t>
            </w:r>
          </w:p>
        </w:tc>
        <w:tc>
          <w:tcPr>
            <w:tcW w:w="2385" w:type="dxa"/>
            <w:tcBorders>
              <w:top w:val="nil"/>
              <w:left w:val="nil"/>
              <w:bottom w:val="nil"/>
              <w:right w:val="nil"/>
              <w:tl2br w:val="nil"/>
              <w:tr2bl w:val="nil"/>
            </w:tcBorders>
            <w:shd w:val="clear" w:color="FFFFFF" w:fill="FFFFFF"/>
            <w:noWrap/>
            <w:tcMar>
              <w:left w:w="40" w:type="dxa"/>
              <w:right w:w="40" w:type="dxa"/>
            </w:tcMar>
          </w:tcPr>
          <w:p w14:paraId="16164161"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40" w:type="dxa"/>
              <w:right w:w="40" w:type="dxa"/>
            </w:tcMar>
          </w:tcPr>
          <w:p w14:paraId="6ED6DCB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52,207</w:t>
            </w:r>
          </w:p>
        </w:tc>
        <w:tc>
          <w:tcPr>
            <w:tcW w:w="1035" w:type="dxa"/>
            <w:tcBorders>
              <w:top w:val="nil"/>
              <w:left w:val="nil"/>
              <w:bottom w:val="nil"/>
              <w:right w:val="nil"/>
              <w:tl2br w:val="nil"/>
              <w:tr2bl w:val="nil"/>
            </w:tcBorders>
            <w:shd w:val="clear" w:color="FFFFFF" w:fill="FFFFFF"/>
            <w:tcMar>
              <w:left w:w="40" w:type="dxa"/>
              <w:right w:w="40" w:type="dxa"/>
            </w:tcMar>
          </w:tcPr>
          <w:p w14:paraId="43DE0DFB"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29,755</w:t>
            </w:r>
          </w:p>
        </w:tc>
        <w:tc>
          <w:tcPr>
            <w:tcW w:w="600" w:type="dxa"/>
            <w:tcBorders>
              <w:top w:val="nil"/>
              <w:left w:val="nil"/>
              <w:bottom w:val="nil"/>
              <w:right w:val="nil"/>
              <w:tl2br w:val="nil"/>
              <w:tr2bl w:val="nil"/>
            </w:tcBorders>
            <w:shd w:val="clear" w:color="FFFFFF" w:fill="FFFFFF"/>
            <w:tcMar>
              <w:left w:w="40" w:type="dxa"/>
              <w:right w:w="40" w:type="dxa"/>
            </w:tcMar>
          </w:tcPr>
          <w:p w14:paraId="38CB2456"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-43 </w:t>
            </w:r>
          </w:p>
        </w:tc>
        <w:tc>
          <w:tcPr>
            <w:tcW w:w="1035" w:type="dxa"/>
            <w:tcBorders>
              <w:top w:val="nil"/>
              <w:left w:val="nil"/>
              <w:bottom w:val="nil"/>
              <w:right w:val="nil"/>
              <w:tl2br w:val="nil"/>
              <w:tr2bl w:val="nil"/>
            </w:tcBorders>
            <w:shd w:val="clear" w:color="FFFFFF" w:fill="FFFFFF"/>
            <w:tcMar>
              <w:left w:w="40" w:type="dxa"/>
              <w:right w:w="40" w:type="dxa"/>
            </w:tcMar>
          </w:tcPr>
          <w:p w14:paraId="643DBC06"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53,294</w:t>
            </w:r>
          </w:p>
        </w:tc>
        <w:tc>
          <w:tcPr>
            <w:tcW w:w="1035" w:type="dxa"/>
            <w:tcBorders>
              <w:top w:val="nil"/>
              <w:left w:val="nil"/>
              <w:bottom w:val="nil"/>
              <w:right w:val="nil"/>
              <w:tl2br w:val="nil"/>
              <w:tr2bl w:val="nil"/>
            </w:tcBorders>
            <w:shd w:val="clear" w:color="FFFFFF" w:fill="FFFFFF"/>
            <w:tcMar>
              <w:left w:w="40" w:type="dxa"/>
              <w:right w:w="40" w:type="dxa"/>
            </w:tcMar>
          </w:tcPr>
          <w:p w14:paraId="2F6328A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38,555</w:t>
            </w:r>
          </w:p>
        </w:tc>
        <w:tc>
          <w:tcPr>
            <w:tcW w:w="1035" w:type="dxa"/>
            <w:tcBorders>
              <w:top w:val="nil"/>
              <w:left w:val="nil"/>
              <w:bottom w:val="nil"/>
              <w:right w:val="nil"/>
              <w:tl2br w:val="nil"/>
              <w:tr2bl w:val="nil"/>
            </w:tcBorders>
            <w:shd w:val="clear" w:color="FFFFFF" w:fill="FFFFFF"/>
            <w:tcMar>
              <w:left w:w="40" w:type="dxa"/>
              <w:right w:w="40" w:type="dxa"/>
            </w:tcMar>
          </w:tcPr>
          <w:p w14:paraId="0A1AFC17"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25,555</w:t>
            </w:r>
          </w:p>
        </w:tc>
      </w:tr>
      <w:tr w:rsidR="00496618" w14:paraId="74AC2D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347F0D28"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2,589</w:t>
            </w:r>
          </w:p>
        </w:tc>
        <w:tc>
          <w:tcPr>
            <w:tcW w:w="2385" w:type="dxa"/>
            <w:tcBorders>
              <w:top w:val="nil"/>
              <w:left w:val="nil"/>
              <w:bottom w:val="nil"/>
              <w:right w:val="nil"/>
              <w:tl2br w:val="nil"/>
              <w:tr2bl w:val="nil"/>
            </w:tcBorders>
            <w:shd w:val="clear" w:color="FFFFFF" w:fill="FFFFFF"/>
            <w:noWrap/>
            <w:tcMar>
              <w:left w:w="40" w:type="dxa"/>
              <w:right w:w="40" w:type="dxa"/>
            </w:tcMar>
          </w:tcPr>
          <w:p w14:paraId="092880BD"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40" w:type="dxa"/>
              <w:right w:w="40" w:type="dxa"/>
            </w:tcMar>
          </w:tcPr>
          <w:p w14:paraId="71DF97E4"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29D2FFBD"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40" w:type="dxa"/>
              <w:right w:w="40" w:type="dxa"/>
            </w:tcMar>
          </w:tcPr>
          <w:p w14:paraId="1EA9BD8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70D8523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35D6B29E"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088F1884"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0</w:t>
            </w:r>
          </w:p>
        </w:tc>
      </w:tr>
      <w:tr w:rsidR="00496618" w14:paraId="4D479E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C5ABEDA"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05876F5" w14:textId="77777777" w:rsidR="00496618" w:rsidRDefault="00496618">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D84C9A"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FF813F"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50E046F"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CCF927"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7F48E1"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1B8EF1" w14:textId="77777777" w:rsidR="00496618" w:rsidRDefault="00496618">
            <w:pPr>
              <w:pStyle w:val="Normal11"/>
              <w:rPr>
                <w:rFonts w:ascii="Calibri" w:eastAsia="Calibri" w:hAnsi="Calibri" w:cs="Calibri"/>
                <w:color w:val="000000"/>
                <w:sz w:val="18"/>
              </w:rPr>
            </w:pPr>
          </w:p>
        </w:tc>
      </w:tr>
      <w:tr w:rsidR="00496618" w14:paraId="60E910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4F862A4A"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156,964</w:t>
            </w:r>
          </w:p>
        </w:tc>
        <w:tc>
          <w:tcPr>
            <w:tcW w:w="2385" w:type="dxa"/>
            <w:tcBorders>
              <w:top w:val="nil"/>
              <w:left w:val="nil"/>
              <w:bottom w:val="nil"/>
              <w:right w:val="nil"/>
              <w:tl2br w:val="nil"/>
              <w:tr2bl w:val="nil"/>
            </w:tcBorders>
            <w:shd w:val="clear" w:color="FFFFFF" w:fill="FFFFFF"/>
            <w:tcMar>
              <w:left w:w="40" w:type="dxa"/>
              <w:right w:w="40" w:type="dxa"/>
            </w:tcMar>
          </w:tcPr>
          <w:p w14:paraId="6911381D"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Total Non Current Assets</w:t>
            </w:r>
          </w:p>
        </w:tc>
        <w:tc>
          <w:tcPr>
            <w:tcW w:w="1035" w:type="dxa"/>
            <w:tcBorders>
              <w:top w:val="nil"/>
              <w:left w:val="nil"/>
              <w:bottom w:val="nil"/>
              <w:right w:val="nil"/>
              <w:tl2br w:val="nil"/>
              <w:tr2bl w:val="nil"/>
            </w:tcBorders>
            <w:shd w:val="clear" w:color="FFFFFF" w:fill="FFFFFF"/>
            <w:tcMar>
              <w:left w:w="40" w:type="dxa"/>
              <w:right w:w="40" w:type="dxa"/>
            </w:tcMar>
          </w:tcPr>
          <w:p w14:paraId="54A2AB91"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158,615</w:t>
            </w:r>
          </w:p>
        </w:tc>
        <w:tc>
          <w:tcPr>
            <w:tcW w:w="1035" w:type="dxa"/>
            <w:tcBorders>
              <w:top w:val="nil"/>
              <w:left w:val="nil"/>
              <w:bottom w:val="nil"/>
              <w:right w:val="nil"/>
              <w:tl2br w:val="nil"/>
              <w:tr2bl w:val="nil"/>
            </w:tcBorders>
            <w:shd w:val="clear" w:color="FFFFFF" w:fill="FFFFFF"/>
            <w:tcMar>
              <w:left w:w="40" w:type="dxa"/>
              <w:right w:w="40" w:type="dxa"/>
            </w:tcMar>
          </w:tcPr>
          <w:p w14:paraId="7F9CBD40"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193,087</w:t>
            </w:r>
          </w:p>
        </w:tc>
        <w:tc>
          <w:tcPr>
            <w:tcW w:w="600" w:type="dxa"/>
            <w:tcBorders>
              <w:top w:val="nil"/>
              <w:left w:val="nil"/>
              <w:bottom w:val="nil"/>
              <w:right w:val="nil"/>
              <w:tl2br w:val="nil"/>
              <w:tr2bl w:val="nil"/>
            </w:tcBorders>
            <w:shd w:val="clear" w:color="FFFFFF" w:fill="FFFFFF"/>
            <w:tcMar>
              <w:left w:w="40" w:type="dxa"/>
              <w:right w:w="40" w:type="dxa"/>
            </w:tcMar>
          </w:tcPr>
          <w:p w14:paraId="3B154FD0"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22 </w:t>
            </w:r>
          </w:p>
        </w:tc>
        <w:tc>
          <w:tcPr>
            <w:tcW w:w="1035" w:type="dxa"/>
            <w:tcBorders>
              <w:top w:val="nil"/>
              <w:left w:val="nil"/>
              <w:bottom w:val="nil"/>
              <w:right w:val="nil"/>
              <w:tl2br w:val="nil"/>
              <w:tr2bl w:val="nil"/>
            </w:tcBorders>
            <w:shd w:val="clear" w:color="FFFFFF" w:fill="FFFFFF"/>
            <w:tcMar>
              <w:left w:w="40" w:type="dxa"/>
              <w:right w:w="40" w:type="dxa"/>
            </w:tcMar>
          </w:tcPr>
          <w:p w14:paraId="3BA3B94D"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221,433</w:t>
            </w:r>
          </w:p>
        </w:tc>
        <w:tc>
          <w:tcPr>
            <w:tcW w:w="1035" w:type="dxa"/>
            <w:tcBorders>
              <w:top w:val="nil"/>
              <w:left w:val="nil"/>
              <w:bottom w:val="nil"/>
              <w:right w:val="nil"/>
              <w:tl2br w:val="nil"/>
              <w:tr2bl w:val="nil"/>
            </w:tcBorders>
            <w:shd w:val="clear" w:color="FFFFFF" w:fill="FFFFFF"/>
            <w:tcMar>
              <w:left w:w="40" w:type="dxa"/>
              <w:right w:w="40" w:type="dxa"/>
            </w:tcMar>
          </w:tcPr>
          <w:p w14:paraId="1308978A"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193,777</w:t>
            </w:r>
          </w:p>
        </w:tc>
        <w:tc>
          <w:tcPr>
            <w:tcW w:w="1035" w:type="dxa"/>
            <w:tcBorders>
              <w:top w:val="nil"/>
              <w:left w:val="nil"/>
              <w:bottom w:val="nil"/>
              <w:right w:val="nil"/>
              <w:tl2br w:val="nil"/>
              <w:tr2bl w:val="nil"/>
            </w:tcBorders>
            <w:shd w:val="clear" w:color="FFFFFF" w:fill="FFFFFF"/>
            <w:tcMar>
              <w:left w:w="40" w:type="dxa"/>
              <w:right w:w="40" w:type="dxa"/>
            </w:tcMar>
          </w:tcPr>
          <w:p w14:paraId="4BAA576F"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162,171</w:t>
            </w:r>
          </w:p>
        </w:tc>
      </w:tr>
      <w:tr w:rsidR="00496618" w14:paraId="52B903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196437"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126733D" w14:textId="77777777" w:rsidR="00496618" w:rsidRDefault="00496618">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1FBC29"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8231EE"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C26AC6"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871CBF"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66BE07"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94E8F0" w14:textId="77777777" w:rsidR="00496618" w:rsidRDefault="00496618">
            <w:pPr>
              <w:pStyle w:val="Normal11"/>
              <w:rPr>
                <w:rFonts w:ascii="Calibri" w:eastAsia="Calibri" w:hAnsi="Calibri" w:cs="Calibri"/>
                <w:color w:val="000000"/>
                <w:sz w:val="18"/>
              </w:rPr>
            </w:pPr>
          </w:p>
        </w:tc>
      </w:tr>
      <w:tr w:rsidR="00496618" w14:paraId="1E0F46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1EBD78DA"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172,070</w:t>
            </w:r>
          </w:p>
        </w:tc>
        <w:tc>
          <w:tcPr>
            <w:tcW w:w="2385" w:type="dxa"/>
            <w:tcBorders>
              <w:top w:val="nil"/>
              <w:left w:val="nil"/>
              <w:bottom w:val="nil"/>
              <w:right w:val="nil"/>
              <w:tl2br w:val="nil"/>
              <w:tr2bl w:val="nil"/>
            </w:tcBorders>
            <w:shd w:val="clear" w:color="FFFFFF" w:fill="FFFFFF"/>
            <w:tcMar>
              <w:left w:w="40" w:type="dxa"/>
              <w:right w:w="40" w:type="dxa"/>
            </w:tcMar>
          </w:tcPr>
          <w:p w14:paraId="65D2002F"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40" w:type="dxa"/>
              <w:right w:w="40" w:type="dxa"/>
            </w:tcMar>
          </w:tcPr>
          <w:p w14:paraId="445E05BB"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184,513</w:t>
            </w:r>
          </w:p>
        </w:tc>
        <w:tc>
          <w:tcPr>
            <w:tcW w:w="1035" w:type="dxa"/>
            <w:tcBorders>
              <w:top w:val="nil"/>
              <w:left w:val="nil"/>
              <w:bottom w:val="nil"/>
              <w:right w:val="nil"/>
              <w:tl2br w:val="nil"/>
              <w:tr2bl w:val="nil"/>
            </w:tcBorders>
            <w:shd w:val="clear" w:color="FFFFFF" w:fill="FFFFFF"/>
            <w:tcMar>
              <w:left w:w="40" w:type="dxa"/>
              <w:right w:w="40" w:type="dxa"/>
            </w:tcMar>
          </w:tcPr>
          <w:p w14:paraId="660EBE08"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218,888</w:t>
            </w:r>
          </w:p>
        </w:tc>
        <w:tc>
          <w:tcPr>
            <w:tcW w:w="600" w:type="dxa"/>
            <w:tcBorders>
              <w:top w:val="nil"/>
              <w:left w:val="nil"/>
              <w:bottom w:val="nil"/>
              <w:right w:val="nil"/>
              <w:tl2br w:val="nil"/>
              <w:tr2bl w:val="nil"/>
            </w:tcBorders>
            <w:shd w:val="clear" w:color="FFFFFF" w:fill="FFFFFF"/>
            <w:tcMar>
              <w:left w:w="40" w:type="dxa"/>
              <w:right w:w="40" w:type="dxa"/>
            </w:tcMar>
          </w:tcPr>
          <w:p w14:paraId="5E9D36B6"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19 </w:t>
            </w:r>
          </w:p>
        </w:tc>
        <w:tc>
          <w:tcPr>
            <w:tcW w:w="1035" w:type="dxa"/>
            <w:tcBorders>
              <w:top w:val="nil"/>
              <w:left w:val="nil"/>
              <w:bottom w:val="nil"/>
              <w:right w:val="nil"/>
              <w:tl2br w:val="nil"/>
              <w:tr2bl w:val="nil"/>
            </w:tcBorders>
            <w:shd w:val="clear" w:color="FFFFFF" w:fill="FFFFFF"/>
            <w:tcMar>
              <w:left w:w="40" w:type="dxa"/>
              <w:right w:w="40" w:type="dxa"/>
            </w:tcMar>
          </w:tcPr>
          <w:p w14:paraId="5048BCFB"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247,125</w:t>
            </w:r>
          </w:p>
        </w:tc>
        <w:tc>
          <w:tcPr>
            <w:tcW w:w="1035" w:type="dxa"/>
            <w:tcBorders>
              <w:top w:val="nil"/>
              <w:left w:val="nil"/>
              <w:bottom w:val="nil"/>
              <w:right w:val="nil"/>
              <w:tl2br w:val="nil"/>
              <w:tr2bl w:val="nil"/>
            </w:tcBorders>
            <w:shd w:val="clear" w:color="FFFFFF" w:fill="FFFFFF"/>
            <w:tcMar>
              <w:left w:w="40" w:type="dxa"/>
              <w:right w:w="40" w:type="dxa"/>
            </w:tcMar>
          </w:tcPr>
          <w:p w14:paraId="1186D35C"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219,350</w:t>
            </w:r>
          </w:p>
        </w:tc>
        <w:tc>
          <w:tcPr>
            <w:tcW w:w="1035" w:type="dxa"/>
            <w:tcBorders>
              <w:top w:val="nil"/>
              <w:left w:val="nil"/>
              <w:bottom w:val="nil"/>
              <w:right w:val="nil"/>
              <w:tl2br w:val="nil"/>
              <w:tr2bl w:val="nil"/>
            </w:tcBorders>
            <w:shd w:val="clear" w:color="FFFFFF" w:fill="FFFFFF"/>
            <w:tcMar>
              <w:left w:w="40" w:type="dxa"/>
              <w:right w:w="40" w:type="dxa"/>
            </w:tcMar>
          </w:tcPr>
          <w:p w14:paraId="7C6732A8"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187,615</w:t>
            </w:r>
          </w:p>
        </w:tc>
      </w:tr>
      <w:tr w:rsidR="00496618" w14:paraId="4774BA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1A06FF"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08B36E9" w14:textId="77777777" w:rsidR="00496618" w:rsidRDefault="00496618">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C64D0E"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86E5B5"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B271F81"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F06E08"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B9FE66"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61728F" w14:textId="77777777" w:rsidR="00496618" w:rsidRDefault="00496618">
            <w:pPr>
              <w:pStyle w:val="Normal11"/>
              <w:rPr>
                <w:rFonts w:ascii="Calibri" w:eastAsia="Calibri" w:hAnsi="Calibri" w:cs="Calibri"/>
                <w:color w:val="000000"/>
                <w:sz w:val="18"/>
              </w:rPr>
            </w:pPr>
          </w:p>
        </w:tc>
      </w:tr>
      <w:tr w:rsidR="00496618" w14:paraId="01008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175591"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40" w:type="dxa"/>
              <w:right w:w="40" w:type="dxa"/>
            </w:tcMar>
          </w:tcPr>
          <w:p w14:paraId="6E3A9A3A"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593B9B41"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BFF3F0"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4FE2A8A"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B29646"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3BC05D"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4F8DD2" w14:textId="77777777" w:rsidR="00496618" w:rsidRDefault="00496618">
            <w:pPr>
              <w:pStyle w:val="Normal11"/>
              <w:rPr>
                <w:rFonts w:ascii="Calibri" w:eastAsia="Calibri" w:hAnsi="Calibri" w:cs="Calibri"/>
                <w:color w:val="000000"/>
                <w:sz w:val="18"/>
              </w:rPr>
            </w:pPr>
          </w:p>
        </w:tc>
      </w:tr>
      <w:tr w:rsidR="00496618" w14:paraId="72ABB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0CA9E561"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11,769</w:t>
            </w:r>
          </w:p>
        </w:tc>
        <w:tc>
          <w:tcPr>
            <w:tcW w:w="2385" w:type="dxa"/>
            <w:tcBorders>
              <w:top w:val="nil"/>
              <w:left w:val="nil"/>
              <w:bottom w:val="nil"/>
              <w:right w:val="nil"/>
              <w:tl2br w:val="nil"/>
              <w:tr2bl w:val="nil"/>
            </w:tcBorders>
            <w:shd w:val="clear" w:color="FFFFFF" w:fill="FFFFFF"/>
            <w:noWrap/>
            <w:tcMar>
              <w:left w:w="40" w:type="dxa"/>
              <w:right w:w="40" w:type="dxa"/>
            </w:tcMar>
          </w:tcPr>
          <w:p w14:paraId="6CD17714"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40" w:type="dxa"/>
              <w:right w:w="40" w:type="dxa"/>
            </w:tcMar>
          </w:tcPr>
          <w:p w14:paraId="3AD2327D"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21,721</w:t>
            </w:r>
          </w:p>
        </w:tc>
        <w:tc>
          <w:tcPr>
            <w:tcW w:w="1035" w:type="dxa"/>
            <w:tcBorders>
              <w:top w:val="nil"/>
              <w:left w:val="nil"/>
              <w:bottom w:val="nil"/>
              <w:right w:val="nil"/>
              <w:tl2br w:val="nil"/>
              <w:tr2bl w:val="nil"/>
            </w:tcBorders>
            <w:shd w:val="clear" w:color="FFFFFF" w:fill="FFFFFF"/>
            <w:tcMar>
              <w:left w:w="40" w:type="dxa"/>
              <w:right w:w="40" w:type="dxa"/>
            </w:tcMar>
          </w:tcPr>
          <w:p w14:paraId="2CE7BD27"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21,844</w:t>
            </w:r>
          </w:p>
        </w:tc>
        <w:tc>
          <w:tcPr>
            <w:tcW w:w="600" w:type="dxa"/>
            <w:tcBorders>
              <w:top w:val="nil"/>
              <w:left w:val="nil"/>
              <w:bottom w:val="nil"/>
              <w:right w:val="nil"/>
              <w:tl2br w:val="nil"/>
              <w:tr2bl w:val="nil"/>
            </w:tcBorders>
            <w:shd w:val="clear" w:color="FFFFFF" w:fill="FFFFFF"/>
            <w:tcMar>
              <w:left w:w="40" w:type="dxa"/>
              <w:right w:w="40" w:type="dxa"/>
            </w:tcMar>
          </w:tcPr>
          <w:p w14:paraId="51504F8B"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11086130"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21,972</w:t>
            </w:r>
          </w:p>
        </w:tc>
        <w:tc>
          <w:tcPr>
            <w:tcW w:w="1035" w:type="dxa"/>
            <w:tcBorders>
              <w:top w:val="nil"/>
              <w:left w:val="nil"/>
              <w:bottom w:val="nil"/>
              <w:right w:val="nil"/>
              <w:tl2br w:val="nil"/>
              <w:tr2bl w:val="nil"/>
            </w:tcBorders>
            <w:shd w:val="clear" w:color="FFFFFF" w:fill="FFFFFF"/>
            <w:tcMar>
              <w:left w:w="40" w:type="dxa"/>
              <w:right w:w="40" w:type="dxa"/>
            </w:tcMar>
          </w:tcPr>
          <w:p w14:paraId="0985322D"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22,100</w:t>
            </w:r>
          </w:p>
        </w:tc>
        <w:tc>
          <w:tcPr>
            <w:tcW w:w="1035" w:type="dxa"/>
            <w:tcBorders>
              <w:top w:val="nil"/>
              <w:left w:val="nil"/>
              <w:bottom w:val="nil"/>
              <w:right w:val="nil"/>
              <w:tl2br w:val="nil"/>
              <w:tr2bl w:val="nil"/>
            </w:tcBorders>
            <w:shd w:val="clear" w:color="FFFFFF" w:fill="FFFFFF"/>
            <w:tcMar>
              <w:left w:w="40" w:type="dxa"/>
              <w:right w:w="40" w:type="dxa"/>
            </w:tcMar>
          </w:tcPr>
          <w:p w14:paraId="55E2A39D"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22,228</w:t>
            </w:r>
          </w:p>
        </w:tc>
      </w:tr>
      <w:tr w:rsidR="00496618" w14:paraId="42B252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3FD3B12C"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2,043</w:t>
            </w:r>
          </w:p>
        </w:tc>
        <w:tc>
          <w:tcPr>
            <w:tcW w:w="2385" w:type="dxa"/>
            <w:tcBorders>
              <w:top w:val="nil"/>
              <w:left w:val="nil"/>
              <w:bottom w:val="nil"/>
              <w:right w:val="nil"/>
              <w:tl2br w:val="nil"/>
              <w:tr2bl w:val="nil"/>
            </w:tcBorders>
            <w:shd w:val="clear" w:color="FFFFFF" w:fill="FFFFFF"/>
            <w:noWrap/>
            <w:tcMar>
              <w:left w:w="40" w:type="dxa"/>
              <w:right w:w="40" w:type="dxa"/>
            </w:tcMar>
          </w:tcPr>
          <w:p w14:paraId="3740B3E2"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40" w:type="dxa"/>
              <w:right w:w="40" w:type="dxa"/>
            </w:tcMar>
          </w:tcPr>
          <w:p w14:paraId="4841C93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2,742</w:t>
            </w:r>
          </w:p>
        </w:tc>
        <w:tc>
          <w:tcPr>
            <w:tcW w:w="1035" w:type="dxa"/>
            <w:tcBorders>
              <w:top w:val="nil"/>
              <w:left w:val="nil"/>
              <w:bottom w:val="nil"/>
              <w:right w:val="nil"/>
              <w:tl2br w:val="nil"/>
              <w:tr2bl w:val="nil"/>
            </w:tcBorders>
            <w:shd w:val="clear" w:color="FFFFFF" w:fill="FFFFFF"/>
            <w:tcMar>
              <w:left w:w="40" w:type="dxa"/>
              <w:right w:w="40" w:type="dxa"/>
            </w:tcMar>
          </w:tcPr>
          <w:p w14:paraId="1ED0C382"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2,797</w:t>
            </w:r>
          </w:p>
        </w:tc>
        <w:tc>
          <w:tcPr>
            <w:tcW w:w="600" w:type="dxa"/>
            <w:tcBorders>
              <w:top w:val="nil"/>
              <w:left w:val="nil"/>
              <w:bottom w:val="nil"/>
              <w:right w:val="nil"/>
              <w:tl2br w:val="nil"/>
              <w:tr2bl w:val="nil"/>
            </w:tcBorders>
            <w:shd w:val="clear" w:color="FFFFFF" w:fill="FFFFFF"/>
            <w:tcMar>
              <w:left w:w="40" w:type="dxa"/>
              <w:right w:w="40" w:type="dxa"/>
            </w:tcMar>
          </w:tcPr>
          <w:p w14:paraId="49E9101E"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0D1C2A17"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2,852</w:t>
            </w:r>
          </w:p>
        </w:tc>
        <w:tc>
          <w:tcPr>
            <w:tcW w:w="1035" w:type="dxa"/>
            <w:tcBorders>
              <w:top w:val="nil"/>
              <w:left w:val="nil"/>
              <w:bottom w:val="nil"/>
              <w:right w:val="nil"/>
              <w:tl2br w:val="nil"/>
              <w:tr2bl w:val="nil"/>
            </w:tcBorders>
            <w:shd w:val="clear" w:color="FFFFFF" w:fill="FFFFFF"/>
            <w:tcMar>
              <w:left w:w="40" w:type="dxa"/>
              <w:right w:w="40" w:type="dxa"/>
            </w:tcMar>
          </w:tcPr>
          <w:p w14:paraId="0C876A02"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2,907</w:t>
            </w:r>
          </w:p>
        </w:tc>
        <w:tc>
          <w:tcPr>
            <w:tcW w:w="1035" w:type="dxa"/>
            <w:tcBorders>
              <w:top w:val="nil"/>
              <w:left w:val="nil"/>
              <w:bottom w:val="nil"/>
              <w:right w:val="nil"/>
              <w:tl2br w:val="nil"/>
              <w:tr2bl w:val="nil"/>
            </w:tcBorders>
            <w:shd w:val="clear" w:color="FFFFFF" w:fill="FFFFFF"/>
            <w:tcMar>
              <w:left w:w="40" w:type="dxa"/>
              <w:right w:w="40" w:type="dxa"/>
            </w:tcMar>
          </w:tcPr>
          <w:p w14:paraId="41FA844D"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2,962</w:t>
            </w:r>
          </w:p>
        </w:tc>
      </w:tr>
      <w:tr w:rsidR="00496618" w14:paraId="42DE0D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4E24C0A4"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31,055</w:t>
            </w:r>
          </w:p>
        </w:tc>
        <w:tc>
          <w:tcPr>
            <w:tcW w:w="2385" w:type="dxa"/>
            <w:tcBorders>
              <w:top w:val="nil"/>
              <w:left w:val="nil"/>
              <w:bottom w:val="nil"/>
              <w:right w:val="nil"/>
              <w:tl2br w:val="nil"/>
              <w:tr2bl w:val="nil"/>
            </w:tcBorders>
            <w:shd w:val="clear" w:color="FFFFFF" w:fill="FFFFFF"/>
            <w:noWrap/>
            <w:tcMar>
              <w:left w:w="40" w:type="dxa"/>
              <w:right w:w="40" w:type="dxa"/>
            </w:tcMar>
          </w:tcPr>
          <w:p w14:paraId="72FF2C4A"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40" w:type="dxa"/>
              <w:right w:w="40" w:type="dxa"/>
            </w:tcMar>
          </w:tcPr>
          <w:p w14:paraId="4253157C"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33,432</w:t>
            </w:r>
          </w:p>
        </w:tc>
        <w:tc>
          <w:tcPr>
            <w:tcW w:w="1035" w:type="dxa"/>
            <w:tcBorders>
              <w:top w:val="nil"/>
              <w:left w:val="nil"/>
              <w:bottom w:val="nil"/>
              <w:right w:val="nil"/>
              <w:tl2br w:val="nil"/>
              <w:tr2bl w:val="nil"/>
            </w:tcBorders>
            <w:shd w:val="clear" w:color="FFFFFF" w:fill="FFFFFF"/>
            <w:tcMar>
              <w:left w:w="40" w:type="dxa"/>
              <w:right w:w="40" w:type="dxa"/>
            </w:tcMar>
          </w:tcPr>
          <w:p w14:paraId="086C009B"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39,632</w:t>
            </w:r>
          </w:p>
        </w:tc>
        <w:tc>
          <w:tcPr>
            <w:tcW w:w="600" w:type="dxa"/>
            <w:tcBorders>
              <w:top w:val="nil"/>
              <w:left w:val="nil"/>
              <w:bottom w:val="nil"/>
              <w:right w:val="nil"/>
              <w:tl2br w:val="nil"/>
              <w:tr2bl w:val="nil"/>
            </w:tcBorders>
            <w:shd w:val="clear" w:color="FFFFFF" w:fill="FFFFFF"/>
            <w:tcMar>
              <w:left w:w="40" w:type="dxa"/>
              <w:right w:w="40" w:type="dxa"/>
            </w:tcMar>
          </w:tcPr>
          <w:p w14:paraId="325FE38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19 </w:t>
            </w:r>
          </w:p>
        </w:tc>
        <w:tc>
          <w:tcPr>
            <w:tcW w:w="1035" w:type="dxa"/>
            <w:tcBorders>
              <w:top w:val="nil"/>
              <w:left w:val="nil"/>
              <w:bottom w:val="nil"/>
              <w:right w:val="nil"/>
              <w:tl2br w:val="nil"/>
              <w:tr2bl w:val="nil"/>
            </w:tcBorders>
            <w:shd w:val="clear" w:color="FFFFFF" w:fill="FFFFFF"/>
            <w:tcMar>
              <w:left w:w="40" w:type="dxa"/>
              <w:right w:w="40" w:type="dxa"/>
            </w:tcMar>
          </w:tcPr>
          <w:p w14:paraId="23A83B69"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45,888</w:t>
            </w:r>
          </w:p>
        </w:tc>
        <w:tc>
          <w:tcPr>
            <w:tcW w:w="1035" w:type="dxa"/>
            <w:tcBorders>
              <w:top w:val="nil"/>
              <w:left w:val="nil"/>
              <w:bottom w:val="nil"/>
              <w:right w:val="nil"/>
              <w:tl2br w:val="nil"/>
              <w:tr2bl w:val="nil"/>
            </w:tcBorders>
            <w:shd w:val="clear" w:color="FFFFFF" w:fill="FFFFFF"/>
            <w:tcMar>
              <w:left w:w="40" w:type="dxa"/>
              <w:right w:w="40" w:type="dxa"/>
            </w:tcMar>
          </w:tcPr>
          <w:p w14:paraId="07FBF9AC"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52,230</w:t>
            </w:r>
          </w:p>
        </w:tc>
        <w:tc>
          <w:tcPr>
            <w:tcW w:w="1035" w:type="dxa"/>
            <w:tcBorders>
              <w:top w:val="nil"/>
              <w:left w:val="nil"/>
              <w:bottom w:val="nil"/>
              <w:right w:val="nil"/>
              <w:tl2br w:val="nil"/>
              <w:tr2bl w:val="nil"/>
            </w:tcBorders>
            <w:shd w:val="clear" w:color="FFFFFF" w:fill="FFFFFF"/>
            <w:tcMar>
              <w:left w:w="40" w:type="dxa"/>
              <w:right w:w="40" w:type="dxa"/>
            </w:tcMar>
          </w:tcPr>
          <w:p w14:paraId="68A5FCBF"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58,684</w:t>
            </w:r>
          </w:p>
        </w:tc>
      </w:tr>
      <w:tr w:rsidR="00496618" w14:paraId="24602E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5BAEE5E7"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1,335</w:t>
            </w:r>
          </w:p>
        </w:tc>
        <w:tc>
          <w:tcPr>
            <w:tcW w:w="2385" w:type="dxa"/>
            <w:tcBorders>
              <w:top w:val="nil"/>
              <w:left w:val="nil"/>
              <w:bottom w:val="nil"/>
              <w:right w:val="nil"/>
              <w:tl2br w:val="nil"/>
              <w:tr2bl w:val="nil"/>
            </w:tcBorders>
            <w:shd w:val="clear" w:color="FFFFFF" w:fill="FFFFFF"/>
            <w:noWrap/>
            <w:tcMar>
              <w:left w:w="40" w:type="dxa"/>
              <w:right w:w="40" w:type="dxa"/>
            </w:tcMar>
          </w:tcPr>
          <w:p w14:paraId="5FB6BBB6"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40" w:type="dxa"/>
              <w:right w:w="40" w:type="dxa"/>
            </w:tcMar>
          </w:tcPr>
          <w:p w14:paraId="004C2B6F"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700</w:t>
            </w:r>
          </w:p>
        </w:tc>
        <w:tc>
          <w:tcPr>
            <w:tcW w:w="1035" w:type="dxa"/>
            <w:tcBorders>
              <w:top w:val="nil"/>
              <w:left w:val="nil"/>
              <w:bottom w:val="nil"/>
              <w:right w:val="nil"/>
              <w:tl2br w:val="nil"/>
              <w:tr2bl w:val="nil"/>
            </w:tcBorders>
            <w:shd w:val="clear" w:color="FFFFFF" w:fill="FFFFFF"/>
            <w:tcMar>
              <w:left w:w="40" w:type="dxa"/>
              <w:right w:w="40" w:type="dxa"/>
            </w:tcMar>
          </w:tcPr>
          <w:p w14:paraId="052AED89"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700</w:t>
            </w:r>
          </w:p>
        </w:tc>
        <w:tc>
          <w:tcPr>
            <w:tcW w:w="600" w:type="dxa"/>
            <w:tcBorders>
              <w:top w:val="nil"/>
              <w:left w:val="nil"/>
              <w:bottom w:val="nil"/>
              <w:right w:val="nil"/>
              <w:tl2br w:val="nil"/>
              <w:tr2bl w:val="nil"/>
            </w:tcBorders>
            <w:shd w:val="clear" w:color="FFFFFF" w:fill="FFFFFF"/>
            <w:tcMar>
              <w:left w:w="40" w:type="dxa"/>
              <w:right w:w="40" w:type="dxa"/>
            </w:tcMar>
          </w:tcPr>
          <w:p w14:paraId="5AE75AB0"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788F09CE"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700</w:t>
            </w:r>
          </w:p>
        </w:tc>
        <w:tc>
          <w:tcPr>
            <w:tcW w:w="1035" w:type="dxa"/>
            <w:tcBorders>
              <w:top w:val="nil"/>
              <w:left w:val="nil"/>
              <w:bottom w:val="nil"/>
              <w:right w:val="nil"/>
              <w:tl2br w:val="nil"/>
              <w:tr2bl w:val="nil"/>
            </w:tcBorders>
            <w:shd w:val="clear" w:color="FFFFFF" w:fill="FFFFFF"/>
            <w:tcMar>
              <w:left w:w="40" w:type="dxa"/>
              <w:right w:w="40" w:type="dxa"/>
            </w:tcMar>
          </w:tcPr>
          <w:p w14:paraId="2278252A"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700</w:t>
            </w:r>
          </w:p>
        </w:tc>
        <w:tc>
          <w:tcPr>
            <w:tcW w:w="1035" w:type="dxa"/>
            <w:tcBorders>
              <w:top w:val="nil"/>
              <w:left w:val="nil"/>
              <w:bottom w:val="nil"/>
              <w:right w:val="nil"/>
              <w:tl2br w:val="nil"/>
              <w:tr2bl w:val="nil"/>
            </w:tcBorders>
            <w:shd w:val="clear" w:color="FFFFFF" w:fill="FFFFFF"/>
            <w:tcMar>
              <w:left w:w="40" w:type="dxa"/>
              <w:right w:w="40" w:type="dxa"/>
            </w:tcMar>
          </w:tcPr>
          <w:p w14:paraId="76368383"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700</w:t>
            </w:r>
          </w:p>
        </w:tc>
      </w:tr>
      <w:tr w:rsidR="00496618" w14:paraId="26BA6B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8F146C5"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B34BF8A"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A51861"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A515D6"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94368FD" w14:textId="77777777" w:rsidR="00496618" w:rsidRDefault="00496618">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1F9F3B"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2C74CB"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899232" w14:textId="77777777" w:rsidR="00496618" w:rsidRDefault="00496618">
            <w:pPr>
              <w:pStyle w:val="Normal11"/>
              <w:rPr>
                <w:rFonts w:ascii="Calibri" w:eastAsia="Calibri" w:hAnsi="Calibri" w:cs="Calibri"/>
                <w:color w:val="000000"/>
                <w:sz w:val="18"/>
              </w:rPr>
            </w:pPr>
          </w:p>
        </w:tc>
      </w:tr>
      <w:tr w:rsidR="00496618" w14:paraId="23FF6C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40" w:type="dxa"/>
            </w:tcMar>
          </w:tcPr>
          <w:p w14:paraId="58AA6263"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46,202</w:t>
            </w:r>
          </w:p>
        </w:tc>
        <w:tc>
          <w:tcPr>
            <w:tcW w:w="2385" w:type="dxa"/>
            <w:tcBorders>
              <w:top w:val="nil"/>
              <w:left w:val="nil"/>
              <w:bottom w:val="nil"/>
              <w:right w:val="nil"/>
              <w:tl2br w:val="nil"/>
              <w:tr2bl w:val="nil"/>
            </w:tcBorders>
            <w:shd w:val="clear" w:color="FFFFFF" w:fill="FFFFFF"/>
            <w:tcMar>
              <w:left w:w="40" w:type="dxa"/>
              <w:right w:w="40" w:type="dxa"/>
            </w:tcMar>
          </w:tcPr>
          <w:p w14:paraId="1B8D496F"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40" w:type="dxa"/>
              <w:right w:w="40" w:type="dxa"/>
            </w:tcMar>
          </w:tcPr>
          <w:p w14:paraId="1646D628"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58,595</w:t>
            </w:r>
          </w:p>
        </w:tc>
        <w:tc>
          <w:tcPr>
            <w:tcW w:w="1035" w:type="dxa"/>
            <w:tcBorders>
              <w:top w:val="nil"/>
              <w:left w:val="nil"/>
              <w:bottom w:val="nil"/>
              <w:right w:val="nil"/>
              <w:tl2br w:val="nil"/>
              <w:tr2bl w:val="nil"/>
            </w:tcBorders>
            <w:shd w:val="clear" w:color="FFFFFF" w:fill="FFFFFF"/>
            <w:noWrap/>
            <w:tcMar>
              <w:left w:w="40" w:type="dxa"/>
              <w:right w:w="40" w:type="dxa"/>
            </w:tcMar>
          </w:tcPr>
          <w:p w14:paraId="3692842A"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64,973</w:t>
            </w:r>
          </w:p>
        </w:tc>
        <w:tc>
          <w:tcPr>
            <w:tcW w:w="600" w:type="dxa"/>
            <w:tcBorders>
              <w:top w:val="nil"/>
              <w:left w:val="nil"/>
              <w:bottom w:val="nil"/>
              <w:right w:val="nil"/>
              <w:tl2br w:val="nil"/>
              <w:tr2bl w:val="nil"/>
            </w:tcBorders>
            <w:shd w:val="clear" w:color="FFFFFF" w:fill="FFFFFF"/>
            <w:tcMar>
              <w:left w:w="40" w:type="dxa"/>
              <w:right w:w="40" w:type="dxa"/>
            </w:tcMar>
          </w:tcPr>
          <w:p w14:paraId="2DE50B9C"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11 </w:t>
            </w:r>
          </w:p>
        </w:tc>
        <w:tc>
          <w:tcPr>
            <w:tcW w:w="1035" w:type="dxa"/>
            <w:tcBorders>
              <w:top w:val="nil"/>
              <w:left w:val="nil"/>
              <w:bottom w:val="nil"/>
              <w:right w:val="nil"/>
              <w:tl2br w:val="nil"/>
              <w:tr2bl w:val="nil"/>
            </w:tcBorders>
            <w:shd w:val="clear" w:color="FFFFFF" w:fill="FFFFFF"/>
            <w:noWrap/>
            <w:tcMar>
              <w:left w:w="40" w:type="dxa"/>
              <w:right w:w="40" w:type="dxa"/>
            </w:tcMar>
          </w:tcPr>
          <w:p w14:paraId="46FB3D08"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71,412</w:t>
            </w:r>
          </w:p>
        </w:tc>
        <w:tc>
          <w:tcPr>
            <w:tcW w:w="1035" w:type="dxa"/>
            <w:tcBorders>
              <w:top w:val="nil"/>
              <w:left w:val="nil"/>
              <w:bottom w:val="nil"/>
              <w:right w:val="nil"/>
              <w:tl2br w:val="nil"/>
              <w:tr2bl w:val="nil"/>
            </w:tcBorders>
            <w:shd w:val="clear" w:color="FFFFFF" w:fill="FFFFFF"/>
            <w:noWrap/>
            <w:tcMar>
              <w:left w:w="40" w:type="dxa"/>
              <w:right w:w="40" w:type="dxa"/>
            </w:tcMar>
          </w:tcPr>
          <w:p w14:paraId="2F61422F"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77,937</w:t>
            </w:r>
          </w:p>
        </w:tc>
        <w:tc>
          <w:tcPr>
            <w:tcW w:w="1035" w:type="dxa"/>
            <w:tcBorders>
              <w:top w:val="nil"/>
              <w:left w:val="nil"/>
              <w:bottom w:val="nil"/>
              <w:right w:val="nil"/>
              <w:tl2br w:val="nil"/>
              <w:tr2bl w:val="nil"/>
            </w:tcBorders>
            <w:shd w:val="clear" w:color="FFFFFF" w:fill="FFFFFF"/>
            <w:noWrap/>
            <w:tcMar>
              <w:left w:w="40" w:type="dxa"/>
              <w:right w:w="40" w:type="dxa"/>
            </w:tcMar>
          </w:tcPr>
          <w:p w14:paraId="4134DC97"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84,574</w:t>
            </w:r>
          </w:p>
        </w:tc>
      </w:tr>
      <w:tr w:rsidR="00496618" w14:paraId="2CA30F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8F981FE"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6FCAFE3"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F45D4D"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AC118A"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F29A84F" w14:textId="77777777" w:rsidR="00496618" w:rsidRDefault="00496618">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2ABBFC"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7A91DA"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3A5A31" w14:textId="77777777" w:rsidR="00496618" w:rsidRDefault="00496618">
            <w:pPr>
              <w:pStyle w:val="Normal11"/>
              <w:rPr>
                <w:rFonts w:ascii="Calibri" w:eastAsia="Calibri" w:hAnsi="Calibri" w:cs="Calibri"/>
                <w:color w:val="000000"/>
                <w:sz w:val="18"/>
              </w:rPr>
            </w:pPr>
          </w:p>
        </w:tc>
      </w:tr>
      <w:tr w:rsidR="00496618" w14:paraId="63C015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9E1049"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40" w:type="dxa"/>
              <w:right w:w="40" w:type="dxa"/>
            </w:tcMar>
          </w:tcPr>
          <w:p w14:paraId="78E37438"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48EE6EEC"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2220D5"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52880E" w14:textId="77777777" w:rsidR="00496618" w:rsidRDefault="00496618">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3A8AE1"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EEB513"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A583DA" w14:textId="77777777" w:rsidR="00496618" w:rsidRDefault="00496618">
            <w:pPr>
              <w:pStyle w:val="Normal11"/>
              <w:rPr>
                <w:rFonts w:ascii="Calibri" w:eastAsia="Calibri" w:hAnsi="Calibri" w:cs="Calibri"/>
                <w:color w:val="000000"/>
                <w:sz w:val="18"/>
              </w:rPr>
            </w:pPr>
          </w:p>
        </w:tc>
      </w:tr>
      <w:tr w:rsidR="00496618" w14:paraId="219347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5B14A18B"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2,231</w:t>
            </w:r>
          </w:p>
        </w:tc>
        <w:tc>
          <w:tcPr>
            <w:tcW w:w="2385" w:type="dxa"/>
            <w:tcBorders>
              <w:top w:val="nil"/>
              <w:left w:val="nil"/>
              <w:bottom w:val="nil"/>
              <w:right w:val="nil"/>
              <w:tl2br w:val="nil"/>
              <w:tr2bl w:val="nil"/>
            </w:tcBorders>
            <w:shd w:val="clear" w:color="FFFFFF" w:fill="FFFFFF"/>
            <w:noWrap/>
            <w:tcMar>
              <w:left w:w="40" w:type="dxa"/>
              <w:right w:w="40" w:type="dxa"/>
            </w:tcMar>
          </w:tcPr>
          <w:p w14:paraId="418649E8"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40" w:type="dxa"/>
              <w:right w:w="40" w:type="dxa"/>
            </w:tcMar>
          </w:tcPr>
          <w:p w14:paraId="57CE1F26"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683</w:t>
            </w:r>
          </w:p>
        </w:tc>
        <w:tc>
          <w:tcPr>
            <w:tcW w:w="1035" w:type="dxa"/>
            <w:tcBorders>
              <w:top w:val="nil"/>
              <w:left w:val="nil"/>
              <w:bottom w:val="nil"/>
              <w:right w:val="nil"/>
              <w:tl2br w:val="nil"/>
              <w:tr2bl w:val="nil"/>
            </w:tcBorders>
            <w:shd w:val="clear" w:color="FFFFFF" w:fill="FFFFFF"/>
            <w:tcMar>
              <w:left w:w="40" w:type="dxa"/>
              <w:right w:w="40" w:type="dxa"/>
            </w:tcMar>
          </w:tcPr>
          <w:p w14:paraId="198DD4CA"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702</w:t>
            </w:r>
          </w:p>
        </w:tc>
        <w:tc>
          <w:tcPr>
            <w:tcW w:w="600" w:type="dxa"/>
            <w:tcBorders>
              <w:top w:val="nil"/>
              <w:left w:val="nil"/>
              <w:bottom w:val="nil"/>
              <w:right w:val="nil"/>
              <w:tl2br w:val="nil"/>
              <w:tr2bl w:val="nil"/>
            </w:tcBorders>
            <w:shd w:val="clear" w:color="FFFFFF" w:fill="FFFFFF"/>
            <w:tcMar>
              <w:left w:w="40" w:type="dxa"/>
              <w:right w:w="40" w:type="dxa"/>
            </w:tcMar>
          </w:tcPr>
          <w:p w14:paraId="71291701"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5064887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721</w:t>
            </w:r>
          </w:p>
        </w:tc>
        <w:tc>
          <w:tcPr>
            <w:tcW w:w="1035" w:type="dxa"/>
            <w:tcBorders>
              <w:top w:val="nil"/>
              <w:left w:val="nil"/>
              <w:bottom w:val="nil"/>
              <w:right w:val="nil"/>
              <w:tl2br w:val="nil"/>
              <w:tr2bl w:val="nil"/>
            </w:tcBorders>
            <w:shd w:val="clear" w:color="FFFFFF" w:fill="FFFFFF"/>
            <w:tcMar>
              <w:left w:w="40" w:type="dxa"/>
              <w:right w:w="40" w:type="dxa"/>
            </w:tcMar>
          </w:tcPr>
          <w:p w14:paraId="3BD3DD86"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740</w:t>
            </w:r>
          </w:p>
        </w:tc>
        <w:tc>
          <w:tcPr>
            <w:tcW w:w="1035" w:type="dxa"/>
            <w:tcBorders>
              <w:top w:val="nil"/>
              <w:left w:val="nil"/>
              <w:bottom w:val="nil"/>
              <w:right w:val="nil"/>
              <w:tl2br w:val="nil"/>
              <w:tr2bl w:val="nil"/>
            </w:tcBorders>
            <w:shd w:val="clear" w:color="FFFFFF" w:fill="FFFFFF"/>
            <w:tcMar>
              <w:left w:w="40" w:type="dxa"/>
              <w:right w:w="40" w:type="dxa"/>
            </w:tcMar>
          </w:tcPr>
          <w:p w14:paraId="49E64288"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759</w:t>
            </w:r>
          </w:p>
        </w:tc>
      </w:tr>
      <w:tr w:rsidR="00496618" w14:paraId="2D7DD5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2A3D233B"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1,420</w:t>
            </w:r>
          </w:p>
        </w:tc>
        <w:tc>
          <w:tcPr>
            <w:tcW w:w="2385" w:type="dxa"/>
            <w:tcBorders>
              <w:top w:val="nil"/>
              <w:left w:val="nil"/>
              <w:bottom w:val="nil"/>
              <w:right w:val="nil"/>
              <w:tl2br w:val="nil"/>
              <w:tr2bl w:val="nil"/>
            </w:tcBorders>
            <w:shd w:val="clear" w:color="FFFFFF" w:fill="FFFFFF"/>
            <w:noWrap/>
            <w:tcMar>
              <w:left w:w="40" w:type="dxa"/>
              <w:right w:w="40" w:type="dxa"/>
            </w:tcMar>
          </w:tcPr>
          <w:p w14:paraId="067D4702"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40" w:type="dxa"/>
              <w:right w:w="40" w:type="dxa"/>
            </w:tcMar>
          </w:tcPr>
          <w:p w14:paraId="0F19D087"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1,569</w:t>
            </w:r>
          </w:p>
        </w:tc>
        <w:tc>
          <w:tcPr>
            <w:tcW w:w="1035" w:type="dxa"/>
            <w:tcBorders>
              <w:top w:val="nil"/>
              <w:left w:val="nil"/>
              <w:bottom w:val="nil"/>
              <w:right w:val="nil"/>
              <w:tl2br w:val="nil"/>
              <w:tr2bl w:val="nil"/>
            </w:tcBorders>
            <w:shd w:val="clear" w:color="FFFFFF" w:fill="FFFFFF"/>
            <w:tcMar>
              <w:left w:w="40" w:type="dxa"/>
              <w:right w:w="40" w:type="dxa"/>
            </w:tcMar>
          </w:tcPr>
          <w:p w14:paraId="6C617261"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1,601</w:t>
            </w:r>
          </w:p>
        </w:tc>
        <w:tc>
          <w:tcPr>
            <w:tcW w:w="600" w:type="dxa"/>
            <w:tcBorders>
              <w:top w:val="nil"/>
              <w:left w:val="nil"/>
              <w:bottom w:val="nil"/>
              <w:right w:val="nil"/>
              <w:tl2br w:val="nil"/>
              <w:tr2bl w:val="nil"/>
            </w:tcBorders>
            <w:shd w:val="clear" w:color="FFFFFF" w:fill="FFFFFF"/>
            <w:tcMar>
              <w:left w:w="40" w:type="dxa"/>
              <w:right w:w="40" w:type="dxa"/>
            </w:tcMar>
          </w:tcPr>
          <w:p w14:paraId="716DDAF0"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1E751204"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1,634</w:t>
            </w:r>
          </w:p>
        </w:tc>
        <w:tc>
          <w:tcPr>
            <w:tcW w:w="1035" w:type="dxa"/>
            <w:tcBorders>
              <w:top w:val="nil"/>
              <w:left w:val="nil"/>
              <w:bottom w:val="nil"/>
              <w:right w:val="nil"/>
              <w:tl2br w:val="nil"/>
              <w:tr2bl w:val="nil"/>
            </w:tcBorders>
            <w:shd w:val="clear" w:color="FFFFFF" w:fill="FFFFFF"/>
            <w:tcMar>
              <w:left w:w="40" w:type="dxa"/>
              <w:right w:w="40" w:type="dxa"/>
            </w:tcMar>
          </w:tcPr>
          <w:p w14:paraId="0C40DB6E"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1,667</w:t>
            </w:r>
          </w:p>
        </w:tc>
        <w:tc>
          <w:tcPr>
            <w:tcW w:w="1035" w:type="dxa"/>
            <w:tcBorders>
              <w:top w:val="nil"/>
              <w:left w:val="nil"/>
              <w:bottom w:val="nil"/>
              <w:right w:val="nil"/>
              <w:tl2br w:val="nil"/>
              <w:tr2bl w:val="nil"/>
            </w:tcBorders>
            <w:shd w:val="clear" w:color="FFFFFF" w:fill="FFFFFF"/>
            <w:tcMar>
              <w:left w:w="40" w:type="dxa"/>
              <w:right w:w="40" w:type="dxa"/>
            </w:tcMar>
          </w:tcPr>
          <w:p w14:paraId="2F2EB260"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1,700</w:t>
            </w:r>
          </w:p>
        </w:tc>
      </w:tr>
      <w:tr w:rsidR="00496618" w14:paraId="10C8BC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4F682A6A"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107</w:t>
            </w:r>
          </w:p>
        </w:tc>
        <w:tc>
          <w:tcPr>
            <w:tcW w:w="2385" w:type="dxa"/>
            <w:tcBorders>
              <w:top w:val="nil"/>
              <w:left w:val="nil"/>
              <w:bottom w:val="nil"/>
              <w:right w:val="nil"/>
              <w:tl2br w:val="nil"/>
              <w:tr2bl w:val="nil"/>
            </w:tcBorders>
            <w:shd w:val="clear" w:color="FFFFFF" w:fill="FFFFFF"/>
            <w:noWrap/>
            <w:tcMar>
              <w:left w:w="40" w:type="dxa"/>
              <w:right w:w="40" w:type="dxa"/>
            </w:tcMar>
          </w:tcPr>
          <w:p w14:paraId="6A300324"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40" w:type="dxa"/>
              <w:right w:w="40" w:type="dxa"/>
            </w:tcMar>
          </w:tcPr>
          <w:p w14:paraId="4EF565BA"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110</w:t>
            </w:r>
          </w:p>
        </w:tc>
        <w:tc>
          <w:tcPr>
            <w:tcW w:w="1035" w:type="dxa"/>
            <w:tcBorders>
              <w:top w:val="nil"/>
              <w:left w:val="nil"/>
              <w:bottom w:val="nil"/>
              <w:right w:val="nil"/>
              <w:tl2br w:val="nil"/>
              <w:tr2bl w:val="nil"/>
            </w:tcBorders>
            <w:shd w:val="clear" w:color="FFFFFF" w:fill="FFFFFF"/>
            <w:tcMar>
              <w:left w:w="40" w:type="dxa"/>
              <w:right w:w="40" w:type="dxa"/>
            </w:tcMar>
          </w:tcPr>
          <w:p w14:paraId="374C6EC2"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110</w:t>
            </w:r>
          </w:p>
        </w:tc>
        <w:tc>
          <w:tcPr>
            <w:tcW w:w="600" w:type="dxa"/>
            <w:tcBorders>
              <w:top w:val="nil"/>
              <w:left w:val="nil"/>
              <w:bottom w:val="nil"/>
              <w:right w:val="nil"/>
              <w:tl2br w:val="nil"/>
              <w:tr2bl w:val="nil"/>
            </w:tcBorders>
            <w:shd w:val="clear" w:color="FFFFFF" w:fill="FFFFFF"/>
            <w:tcMar>
              <w:left w:w="40" w:type="dxa"/>
              <w:right w:w="40" w:type="dxa"/>
            </w:tcMar>
          </w:tcPr>
          <w:p w14:paraId="0A41C852"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18AE9BFA"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110</w:t>
            </w:r>
          </w:p>
        </w:tc>
        <w:tc>
          <w:tcPr>
            <w:tcW w:w="1035" w:type="dxa"/>
            <w:tcBorders>
              <w:top w:val="nil"/>
              <w:left w:val="nil"/>
              <w:bottom w:val="nil"/>
              <w:right w:val="nil"/>
              <w:tl2br w:val="nil"/>
              <w:tr2bl w:val="nil"/>
            </w:tcBorders>
            <w:shd w:val="clear" w:color="FFFFFF" w:fill="FFFFFF"/>
            <w:tcMar>
              <w:left w:w="40" w:type="dxa"/>
              <w:right w:w="40" w:type="dxa"/>
            </w:tcMar>
          </w:tcPr>
          <w:p w14:paraId="7DA28368"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110</w:t>
            </w:r>
          </w:p>
        </w:tc>
        <w:tc>
          <w:tcPr>
            <w:tcW w:w="1035" w:type="dxa"/>
            <w:tcBorders>
              <w:top w:val="nil"/>
              <w:left w:val="nil"/>
              <w:bottom w:val="nil"/>
              <w:right w:val="nil"/>
              <w:tl2br w:val="nil"/>
              <w:tr2bl w:val="nil"/>
            </w:tcBorders>
            <w:shd w:val="clear" w:color="FFFFFF" w:fill="FFFFFF"/>
            <w:tcMar>
              <w:left w:w="40" w:type="dxa"/>
              <w:right w:w="40" w:type="dxa"/>
            </w:tcMar>
          </w:tcPr>
          <w:p w14:paraId="5E9838D2"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110</w:t>
            </w:r>
          </w:p>
        </w:tc>
      </w:tr>
      <w:tr w:rsidR="00496618" w14:paraId="5D6DDB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0002255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10,671</w:t>
            </w:r>
          </w:p>
        </w:tc>
        <w:tc>
          <w:tcPr>
            <w:tcW w:w="2385" w:type="dxa"/>
            <w:tcBorders>
              <w:top w:val="nil"/>
              <w:left w:val="nil"/>
              <w:bottom w:val="nil"/>
              <w:right w:val="nil"/>
              <w:tl2br w:val="nil"/>
              <w:tr2bl w:val="nil"/>
            </w:tcBorders>
            <w:shd w:val="clear" w:color="FFFFFF" w:fill="FFFFFF"/>
            <w:noWrap/>
            <w:tcMar>
              <w:left w:w="40" w:type="dxa"/>
              <w:right w:w="40" w:type="dxa"/>
            </w:tcMar>
          </w:tcPr>
          <w:p w14:paraId="6D5EE673"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40" w:type="dxa"/>
              <w:right w:w="40" w:type="dxa"/>
            </w:tcMar>
          </w:tcPr>
          <w:p w14:paraId="6CBBA8EF"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10,170</w:t>
            </w:r>
          </w:p>
        </w:tc>
        <w:tc>
          <w:tcPr>
            <w:tcW w:w="1035" w:type="dxa"/>
            <w:tcBorders>
              <w:top w:val="nil"/>
              <w:left w:val="nil"/>
              <w:bottom w:val="nil"/>
              <w:right w:val="nil"/>
              <w:tl2br w:val="nil"/>
              <w:tr2bl w:val="nil"/>
            </w:tcBorders>
            <w:shd w:val="clear" w:color="FFFFFF" w:fill="FFFFFF"/>
            <w:tcMar>
              <w:left w:w="40" w:type="dxa"/>
              <w:right w:w="40" w:type="dxa"/>
            </w:tcMar>
          </w:tcPr>
          <w:p w14:paraId="764CDAD2"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9,617</w:t>
            </w:r>
          </w:p>
        </w:tc>
        <w:tc>
          <w:tcPr>
            <w:tcW w:w="600" w:type="dxa"/>
            <w:tcBorders>
              <w:top w:val="nil"/>
              <w:left w:val="nil"/>
              <w:bottom w:val="nil"/>
              <w:right w:val="nil"/>
              <w:tl2br w:val="nil"/>
              <w:tr2bl w:val="nil"/>
            </w:tcBorders>
            <w:shd w:val="clear" w:color="FFFFFF" w:fill="FFFFFF"/>
            <w:tcMar>
              <w:left w:w="40" w:type="dxa"/>
              <w:right w:w="40" w:type="dxa"/>
            </w:tcMar>
          </w:tcPr>
          <w:p w14:paraId="7D73B02F"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40" w:type="dxa"/>
              <w:right w:w="40" w:type="dxa"/>
            </w:tcMar>
          </w:tcPr>
          <w:p w14:paraId="5A3AEBB1"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9,048</w:t>
            </w:r>
          </w:p>
        </w:tc>
        <w:tc>
          <w:tcPr>
            <w:tcW w:w="1035" w:type="dxa"/>
            <w:tcBorders>
              <w:top w:val="nil"/>
              <w:left w:val="nil"/>
              <w:bottom w:val="nil"/>
              <w:right w:val="nil"/>
              <w:tl2br w:val="nil"/>
              <w:tr2bl w:val="nil"/>
            </w:tcBorders>
            <w:shd w:val="clear" w:color="FFFFFF" w:fill="FFFFFF"/>
            <w:tcMar>
              <w:left w:w="40" w:type="dxa"/>
              <w:right w:w="40" w:type="dxa"/>
            </w:tcMar>
          </w:tcPr>
          <w:p w14:paraId="2170BF71"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8,479</w:t>
            </w:r>
          </w:p>
        </w:tc>
        <w:tc>
          <w:tcPr>
            <w:tcW w:w="1035" w:type="dxa"/>
            <w:tcBorders>
              <w:top w:val="nil"/>
              <w:left w:val="nil"/>
              <w:bottom w:val="nil"/>
              <w:right w:val="nil"/>
              <w:tl2br w:val="nil"/>
              <w:tr2bl w:val="nil"/>
            </w:tcBorders>
            <w:shd w:val="clear" w:color="FFFFFF" w:fill="FFFFFF"/>
            <w:tcMar>
              <w:left w:w="40" w:type="dxa"/>
              <w:right w:w="40" w:type="dxa"/>
            </w:tcMar>
          </w:tcPr>
          <w:p w14:paraId="7D6D193B"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7,910</w:t>
            </w:r>
          </w:p>
        </w:tc>
      </w:tr>
      <w:tr w:rsidR="00496618" w14:paraId="6371C4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925830"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B4E1470" w14:textId="77777777" w:rsidR="00496618" w:rsidRDefault="00496618">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72CEDA"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764394"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0B826B"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97343E"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BBDB42"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D73750" w14:textId="77777777" w:rsidR="00496618" w:rsidRDefault="00496618">
            <w:pPr>
              <w:pStyle w:val="Normal11"/>
              <w:rPr>
                <w:rFonts w:ascii="Calibri" w:eastAsia="Calibri" w:hAnsi="Calibri" w:cs="Calibri"/>
                <w:color w:val="000000"/>
                <w:sz w:val="18"/>
              </w:rPr>
            </w:pPr>
          </w:p>
        </w:tc>
      </w:tr>
      <w:tr w:rsidR="00496618" w14:paraId="0B6366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40" w:type="dxa"/>
            </w:tcMar>
          </w:tcPr>
          <w:p w14:paraId="1E94735B"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14,429</w:t>
            </w:r>
          </w:p>
        </w:tc>
        <w:tc>
          <w:tcPr>
            <w:tcW w:w="2385" w:type="dxa"/>
            <w:tcBorders>
              <w:top w:val="nil"/>
              <w:left w:val="nil"/>
              <w:bottom w:val="nil"/>
              <w:right w:val="nil"/>
              <w:tl2br w:val="nil"/>
              <w:tr2bl w:val="nil"/>
            </w:tcBorders>
            <w:shd w:val="clear" w:color="FFFFFF" w:fill="FFFFFF"/>
            <w:tcMar>
              <w:left w:w="40" w:type="dxa"/>
              <w:right w:w="40" w:type="dxa"/>
            </w:tcMar>
          </w:tcPr>
          <w:p w14:paraId="401A197D"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40" w:type="dxa"/>
              <w:right w:w="40" w:type="dxa"/>
            </w:tcMar>
          </w:tcPr>
          <w:p w14:paraId="4450A96D"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12,532</w:t>
            </w:r>
          </w:p>
        </w:tc>
        <w:tc>
          <w:tcPr>
            <w:tcW w:w="1035" w:type="dxa"/>
            <w:tcBorders>
              <w:top w:val="nil"/>
              <w:left w:val="nil"/>
              <w:bottom w:val="nil"/>
              <w:right w:val="nil"/>
              <w:tl2br w:val="nil"/>
              <w:tr2bl w:val="nil"/>
            </w:tcBorders>
            <w:shd w:val="clear" w:color="FFFFFF" w:fill="FFFFFF"/>
            <w:noWrap/>
            <w:tcMar>
              <w:left w:w="40" w:type="dxa"/>
              <w:right w:w="40" w:type="dxa"/>
            </w:tcMar>
          </w:tcPr>
          <w:p w14:paraId="65808C58"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12,030</w:t>
            </w:r>
          </w:p>
        </w:tc>
        <w:tc>
          <w:tcPr>
            <w:tcW w:w="600" w:type="dxa"/>
            <w:tcBorders>
              <w:top w:val="nil"/>
              <w:left w:val="nil"/>
              <w:bottom w:val="nil"/>
              <w:right w:val="nil"/>
              <w:tl2br w:val="nil"/>
              <w:tr2bl w:val="nil"/>
            </w:tcBorders>
            <w:shd w:val="clear" w:color="FFFFFF" w:fill="FFFFFF"/>
            <w:tcMar>
              <w:left w:w="40" w:type="dxa"/>
              <w:right w:w="40" w:type="dxa"/>
            </w:tcMar>
          </w:tcPr>
          <w:p w14:paraId="0F94EC54"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noWrap/>
            <w:tcMar>
              <w:left w:w="40" w:type="dxa"/>
              <w:right w:w="40" w:type="dxa"/>
            </w:tcMar>
          </w:tcPr>
          <w:p w14:paraId="5F3B1C9E"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11,513</w:t>
            </w:r>
          </w:p>
        </w:tc>
        <w:tc>
          <w:tcPr>
            <w:tcW w:w="1035" w:type="dxa"/>
            <w:tcBorders>
              <w:top w:val="nil"/>
              <w:left w:val="nil"/>
              <w:bottom w:val="nil"/>
              <w:right w:val="nil"/>
              <w:tl2br w:val="nil"/>
              <w:tr2bl w:val="nil"/>
            </w:tcBorders>
            <w:shd w:val="clear" w:color="FFFFFF" w:fill="FFFFFF"/>
            <w:noWrap/>
            <w:tcMar>
              <w:left w:w="40" w:type="dxa"/>
              <w:right w:w="40" w:type="dxa"/>
            </w:tcMar>
          </w:tcPr>
          <w:p w14:paraId="79C5CBE3"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10,996</w:t>
            </w:r>
          </w:p>
        </w:tc>
        <w:tc>
          <w:tcPr>
            <w:tcW w:w="1035" w:type="dxa"/>
            <w:tcBorders>
              <w:top w:val="nil"/>
              <w:left w:val="nil"/>
              <w:bottom w:val="nil"/>
              <w:right w:val="nil"/>
              <w:tl2br w:val="nil"/>
              <w:tr2bl w:val="nil"/>
            </w:tcBorders>
            <w:shd w:val="clear" w:color="FFFFFF" w:fill="FFFFFF"/>
            <w:noWrap/>
            <w:tcMar>
              <w:left w:w="40" w:type="dxa"/>
              <w:right w:w="40" w:type="dxa"/>
            </w:tcMar>
          </w:tcPr>
          <w:p w14:paraId="342BB249"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10,479</w:t>
            </w:r>
          </w:p>
        </w:tc>
      </w:tr>
      <w:tr w:rsidR="00496618" w14:paraId="2CCE93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6E565E"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6F460CA"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31FCFA"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C2C343"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AC99CE8"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9559A1"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9C5E51"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DB0153" w14:textId="77777777" w:rsidR="00496618" w:rsidRDefault="00496618">
            <w:pPr>
              <w:pStyle w:val="Normal11"/>
              <w:rPr>
                <w:rFonts w:ascii="Calibri" w:eastAsia="Calibri" w:hAnsi="Calibri" w:cs="Calibri"/>
                <w:color w:val="000000"/>
                <w:sz w:val="18"/>
              </w:rPr>
            </w:pPr>
          </w:p>
        </w:tc>
      </w:tr>
      <w:tr w:rsidR="00496618" w14:paraId="316EF5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40" w:type="dxa"/>
            </w:tcMar>
          </w:tcPr>
          <w:p w14:paraId="0C0F10CC"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60,631</w:t>
            </w:r>
          </w:p>
        </w:tc>
        <w:tc>
          <w:tcPr>
            <w:tcW w:w="2385" w:type="dxa"/>
            <w:tcBorders>
              <w:top w:val="nil"/>
              <w:left w:val="nil"/>
              <w:bottom w:val="nil"/>
              <w:right w:val="nil"/>
              <w:tl2br w:val="nil"/>
              <w:tr2bl w:val="nil"/>
            </w:tcBorders>
            <w:shd w:val="clear" w:color="FFFFFF" w:fill="FFFFFF"/>
            <w:tcMar>
              <w:left w:w="40" w:type="dxa"/>
              <w:right w:w="40" w:type="dxa"/>
            </w:tcMar>
          </w:tcPr>
          <w:p w14:paraId="39042013"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40" w:type="dxa"/>
              <w:right w:w="40" w:type="dxa"/>
            </w:tcMar>
          </w:tcPr>
          <w:p w14:paraId="6E4F5B0E"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71,127</w:t>
            </w:r>
          </w:p>
        </w:tc>
        <w:tc>
          <w:tcPr>
            <w:tcW w:w="1035" w:type="dxa"/>
            <w:tcBorders>
              <w:top w:val="nil"/>
              <w:left w:val="nil"/>
              <w:bottom w:val="nil"/>
              <w:right w:val="nil"/>
              <w:tl2br w:val="nil"/>
              <w:tr2bl w:val="nil"/>
            </w:tcBorders>
            <w:shd w:val="clear" w:color="FFFFFF" w:fill="FFFFFF"/>
            <w:noWrap/>
            <w:tcMar>
              <w:left w:w="40" w:type="dxa"/>
              <w:right w:w="40" w:type="dxa"/>
            </w:tcMar>
          </w:tcPr>
          <w:p w14:paraId="75652656"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77,003</w:t>
            </w:r>
          </w:p>
        </w:tc>
        <w:tc>
          <w:tcPr>
            <w:tcW w:w="600" w:type="dxa"/>
            <w:tcBorders>
              <w:top w:val="nil"/>
              <w:left w:val="nil"/>
              <w:bottom w:val="nil"/>
              <w:right w:val="nil"/>
              <w:tl2br w:val="nil"/>
              <w:tr2bl w:val="nil"/>
            </w:tcBorders>
            <w:shd w:val="clear" w:color="FFFFFF" w:fill="FFFFFF"/>
            <w:tcMar>
              <w:left w:w="40" w:type="dxa"/>
              <w:right w:w="40" w:type="dxa"/>
            </w:tcMar>
          </w:tcPr>
          <w:p w14:paraId="447CB3FE"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8 </w:t>
            </w:r>
          </w:p>
        </w:tc>
        <w:tc>
          <w:tcPr>
            <w:tcW w:w="1035" w:type="dxa"/>
            <w:tcBorders>
              <w:top w:val="nil"/>
              <w:left w:val="nil"/>
              <w:bottom w:val="nil"/>
              <w:right w:val="nil"/>
              <w:tl2br w:val="nil"/>
              <w:tr2bl w:val="nil"/>
            </w:tcBorders>
            <w:shd w:val="clear" w:color="FFFFFF" w:fill="FFFFFF"/>
            <w:noWrap/>
            <w:tcMar>
              <w:left w:w="40" w:type="dxa"/>
              <w:right w:w="40" w:type="dxa"/>
            </w:tcMar>
          </w:tcPr>
          <w:p w14:paraId="7F11EFC3"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82,925</w:t>
            </w:r>
          </w:p>
        </w:tc>
        <w:tc>
          <w:tcPr>
            <w:tcW w:w="1035" w:type="dxa"/>
            <w:tcBorders>
              <w:top w:val="nil"/>
              <w:left w:val="nil"/>
              <w:bottom w:val="nil"/>
              <w:right w:val="nil"/>
              <w:tl2br w:val="nil"/>
              <w:tr2bl w:val="nil"/>
            </w:tcBorders>
            <w:shd w:val="clear" w:color="FFFFFF" w:fill="FFFFFF"/>
            <w:noWrap/>
            <w:tcMar>
              <w:left w:w="40" w:type="dxa"/>
              <w:right w:w="40" w:type="dxa"/>
            </w:tcMar>
          </w:tcPr>
          <w:p w14:paraId="6E27F988"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88,933</w:t>
            </w:r>
          </w:p>
        </w:tc>
        <w:tc>
          <w:tcPr>
            <w:tcW w:w="1035" w:type="dxa"/>
            <w:tcBorders>
              <w:top w:val="nil"/>
              <w:left w:val="nil"/>
              <w:bottom w:val="nil"/>
              <w:right w:val="nil"/>
              <w:tl2br w:val="nil"/>
              <w:tr2bl w:val="nil"/>
            </w:tcBorders>
            <w:shd w:val="clear" w:color="FFFFFF" w:fill="FFFFFF"/>
            <w:noWrap/>
            <w:tcMar>
              <w:left w:w="40" w:type="dxa"/>
              <w:right w:w="40" w:type="dxa"/>
            </w:tcMar>
          </w:tcPr>
          <w:p w14:paraId="0E9CD39D"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95,053</w:t>
            </w:r>
          </w:p>
        </w:tc>
      </w:tr>
      <w:tr w:rsidR="00496618" w14:paraId="2F2349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D08D9B"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3D52E6D"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62F180"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D7968A"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B6FA35"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A9A76E"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89218A"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D8B1A1" w14:textId="77777777" w:rsidR="00496618" w:rsidRDefault="00496618">
            <w:pPr>
              <w:pStyle w:val="Normal11"/>
              <w:rPr>
                <w:rFonts w:ascii="Calibri" w:eastAsia="Calibri" w:hAnsi="Calibri" w:cs="Calibri"/>
                <w:color w:val="000000"/>
                <w:sz w:val="18"/>
              </w:rPr>
            </w:pPr>
          </w:p>
        </w:tc>
      </w:tr>
      <w:tr w:rsidR="00496618" w14:paraId="1C8DA7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40" w:type="dxa"/>
            </w:tcMar>
          </w:tcPr>
          <w:p w14:paraId="77B93015"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111,439</w:t>
            </w:r>
          </w:p>
        </w:tc>
        <w:tc>
          <w:tcPr>
            <w:tcW w:w="2385" w:type="dxa"/>
            <w:tcBorders>
              <w:top w:val="nil"/>
              <w:left w:val="nil"/>
              <w:bottom w:val="nil"/>
              <w:right w:val="nil"/>
              <w:tl2br w:val="nil"/>
              <w:tr2bl w:val="nil"/>
            </w:tcBorders>
            <w:shd w:val="clear" w:color="FFFFFF" w:fill="FFFFFF"/>
            <w:tcMar>
              <w:left w:w="40" w:type="dxa"/>
              <w:right w:w="40" w:type="dxa"/>
            </w:tcMar>
          </w:tcPr>
          <w:p w14:paraId="16767F35"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40" w:type="dxa"/>
              <w:right w:w="40" w:type="dxa"/>
            </w:tcMar>
          </w:tcPr>
          <w:p w14:paraId="5AFAC52E"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113,386</w:t>
            </w:r>
          </w:p>
        </w:tc>
        <w:tc>
          <w:tcPr>
            <w:tcW w:w="1035" w:type="dxa"/>
            <w:tcBorders>
              <w:top w:val="nil"/>
              <w:left w:val="nil"/>
              <w:bottom w:val="nil"/>
              <w:right w:val="nil"/>
              <w:tl2br w:val="nil"/>
              <w:tr2bl w:val="nil"/>
            </w:tcBorders>
            <w:shd w:val="clear" w:color="FFFFFF" w:fill="FFFFFF"/>
            <w:noWrap/>
            <w:tcMar>
              <w:left w:w="40" w:type="dxa"/>
              <w:right w:w="40" w:type="dxa"/>
            </w:tcMar>
          </w:tcPr>
          <w:p w14:paraId="616B6700"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141,885</w:t>
            </w:r>
          </w:p>
        </w:tc>
        <w:tc>
          <w:tcPr>
            <w:tcW w:w="600" w:type="dxa"/>
            <w:tcBorders>
              <w:top w:val="nil"/>
              <w:left w:val="nil"/>
              <w:bottom w:val="nil"/>
              <w:right w:val="nil"/>
              <w:tl2br w:val="nil"/>
              <w:tr2bl w:val="nil"/>
            </w:tcBorders>
            <w:shd w:val="clear" w:color="FFFFFF" w:fill="FFFFFF"/>
            <w:tcMar>
              <w:left w:w="40" w:type="dxa"/>
              <w:right w:w="40" w:type="dxa"/>
            </w:tcMar>
          </w:tcPr>
          <w:p w14:paraId="705B5D6A"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25 </w:t>
            </w:r>
          </w:p>
        </w:tc>
        <w:tc>
          <w:tcPr>
            <w:tcW w:w="1035" w:type="dxa"/>
            <w:tcBorders>
              <w:top w:val="nil"/>
              <w:left w:val="nil"/>
              <w:bottom w:val="nil"/>
              <w:right w:val="nil"/>
              <w:tl2br w:val="nil"/>
              <w:tr2bl w:val="nil"/>
            </w:tcBorders>
            <w:shd w:val="clear" w:color="FFFFFF" w:fill="FFFFFF"/>
            <w:noWrap/>
            <w:tcMar>
              <w:left w:w="40" w:type="dxa"/>
              <w:right w:w="40" w:type="dxa"/>
            </w:tcMar>
          </w:tcPr>
          <w:p w14:paraId="7C1B935B"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164,200</w:t>
            </w:r>
          </w:p>
        </w:tc>
        <w:tc>
          <w:tcPr>
            <w:tcW w:w="1035" w:type="dxa"/>
            <w:tcBorders>
              <w:top w:val="nil"/>
              <w:left w:val="nil"/>
              <w:bottom w:val="nil"/>
              <w:right w:val="nil"/>
              <w:tl2br w:val="nil"/>
              <w:tr2bl w:val="nil"/>
            </w:tcBorders>
            <w:shd w:val="clear" w:color="FFFFFF" w:fill="FFFFFF"/>
            <w:noWrap/>
            <w:tcMar>
              <w:left w:w="40" w:type="dxa"/>
              <w:right w:w="40" w:type="dxa"/>
            </w:tcMar>
          </w:tcPr>
          <w:p w14:paraId="48F100F8"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130,417</w:t>
            </w:r>
          </w:p>
        </w:tc>
        <w:tc>
          <w:tcPr>
            <w:tcW w:w="1035" w:type="dxa"/>
            <w:tcBorders>
              <w:top w:val="nil"/>
              <w:left w:val="nil"/>
              <w:bottom w:val="nil"/>
              <w:right w:val="nil"/>
              <w:tl2br w:val="nil"/>
              <w:tr2bl w:val="nil"/>
            </w:tcBorders>
            <w:shd w:val="clear" w:color="FFFFFF" w:fill="FFFFFF"/>
            <w:noWrap/>
            <w:tcMar>
              <w:left w:w="40" w:type="dxa"/>
              <w:right w:w="40" w:type="dxa"/>
            </w:tcMar>
          </w:tcPr>
          <w:p w14:paraId="60BF0E1F"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92,562</w:t>
            </w:r>
          </w:p>
        </w:tc>
      </w:tr>
      <w:tr w:rsidR="00496618" w14:paraId="43ED7F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6F57A9" w14:textId="77777777" w:rsidR="00496618" w:rsidRDefault="00496618">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782A2D9"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AE1801"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DBB40C" w14:textId="77777777" w:rsidR="00496618" w:rsidRDefault="00496618">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596EBB4"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DD2CD5"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0DDC6B" w14:textId="77777777" w:rsidR="00496618" w:rsidRDefault="00496618">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CDC438" w14:textId="77777777" w:rsidR="00496618" w:rsidRDefault="00496618">
            <w:pPr>
              <w:pStyle w:val="Normal11"/>
              <w:rPr>
                <w:rFonts w:ascii="Calibri" w:eastAsia="Calibri" w:hAnsi="Calibri" w:cs="Calibri"/>
                <w:color w:val="000000"/>
                <w:sz w:val="18"/>
              </w:rPr>
            </w:pPr>
          </w:p>
        </w:tc>
      </w:tr>
      <w:tr w:rsidR="00496618" w14:paraId="0685C8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09504F3C"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94,015</w:t>
            </w:r>
          </w:p>
        </w:tc>
        <w:tc>
          <w:tcPr>
            <w:tcW w:w="2385" w:type="dxa"/>
            <w:tcBorders>
              <w:top w:val="nil"/>
              <w:left w:val="nil"/>
              <w:bottom w:val="nil"/>
              <w:right w:val="nil"/>
              <w:tl2br w:val="nil"/>
              <w:tr2bl w:val="nil"/>
            </w:tcBorders>
            <w:shd w:val="clear" w:color="FFFFFF" w:fill="FFFFFF"/>
            <w:noWrap/>
            <w:tcMar>
              <w:left w:w="40" w:type="dxa"/>
              <w:right w:w="40" w:type="dxa"/>
            </w:tcMar>
          </w:tcPr>
          <w:p w14:paraId="68FC5882"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40" w:type="dxa"/>
              <w:right w:w="40" w:type="dxa"/>
            </w:tcMar>
          </w:tcPr>
          <w:p w14:paraId="33DC5768"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96,446</w:t>
            </w:r>
          </w:p>
        </w:tc>
        <w:tc>
          <w:tcPr>
            <w:tcW w:w="1035" w:type="dxa"/>
            <w:tcBorders>
              <w:top w:val="nil"/>
              <w:left w:val="nil"/>
              <w:bottom w:val="nil"/>
              <w:right w:val="nil"/>
              <w:tl2br w:val="nil"/>
              <w:tr2bl w:val="nil"/>
            </w:tcBorders>
            <w:shd w:val="clear" w:color="FFFFFF" w:fill="FFFFFF"/>
            <w:tcMar>
              <w:left w:w="40" w:type="dxa"/>
              <w:right w:w="40" w:type="dxa"/>
            </w:tcMar>
          </w:tcPr>
          <w:p w14:paraId="27120501"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124,945</w:t>
            </w:r>
          </w:p>
        </w:tc>
        <w:tc>
          <w:tcPr>
            <w:tcW w:w="600" w:type="dxa"/>
            <w:tcBorders>
              <w:top w:val="nil"/>
              <w:left w:val="nil"/>
              <w:bottom w:val="nil"/>
              <w:right w:val="nil"/>
              <w:tl2br w:val="nil"/>
              <w:tr2bl w:val="nil"/>
            </w:tcBorders>
            <w:shd w:val="clear" w:color="FFFFFF" w:fill="FFFFFF"/>
            <w:tcMar>
              <w:left w:w="40" w:type="dxa"/>
              <w:right w:w="40" w:type="dxa"/>
            </w:tcMar>
          </w:tcPr>
          <w:p w14:paraId="7956B121"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30 </w:t>
            </w:r>
          </w:p>
        </w:tc>
        <w:tc>
          <w:tcPr>
            <w:tcW w:w="1035" w:type="dxa"/>
            <w:tcBorders>
              <w:top w:val="nil"/>
              <w:left w:val="nil"/>
              <w:bottom w:val="nil"/>
              <w:right w:val="nil"/>
              <w:tl2br w:val="nil"/>
              <w:tr2bl w:val="nil"/>
            </w:tcBorders>
            <w:shd w:val="clear" w:color="FFFFFF" w:fill="FFFFFF"/>
            <w:tcMar>
              <w:left w:w="40" w:type="dxa"/>
              <w:right w:w="40" w:type="dxa"/>
            </w:tcMar>
          </w:tcPr>
          <w:p w14:paraId="0DD640EB"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147,260</w:t>
            </w:r>
          </w:p>
        </w:tc>
        <w:tc>
          <w:tcPr>
            <w:tcW w:w="1035" w:type="dxa"/>
            <w:tcBorders>
              <w:top w:val="nil"/>
              <w:left w:val="nil"/>
              <w:bottom w:val="nil"/>
              <w:right w:val="nil"/>
              <w:tl2br w:val="nil"/>
              <w:tr2bl w:val="nil"/>
            </w:tcBorders>
            <w:shd w:val="clear" w:color="FFFFFF" w:fill="FFFFFF"/>
            <w:tcMar>
              <w:left w:w="40" w:type="dxa"/>
              <w:right w:w="40" w:type="dxa"/>
            </w:tcMar>
          </w:tcPr>
          <w:p w14:paraId="6F8529A5"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113,477</w:t>
            </w:r>
          </w:p>
        </w:tc>
        <w:tc>
          <w:tcPr>
            <w:tcW w:w="1035" w:type="dxa"/>
            <w:tcBorders>
              <w:top w:val="nil"/>
              <w:left w:val="nil"/>
              <w:bottom w:val="nil"/>
              <w:right w:val="nil"/>
              <w:tl2br w:val="nil"/>
              <w:tr2bl w:val="nil"/>
            </w:tcBorders>
            <w:shd w:val="clear" w:color="FFFFFF" w:fill="FFFFFF"/>
            <w:tcMar>
              <w:left w:w="40" w:type="dxa"/>
              <w:right w:w="40" w:type="dxa"/>
            </w:tcMar>
          </w:tcPr>
          <w:p w14:paraId="629B9A92"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75,622</w:t>
            </w:r>
          </w:p>
        </w:tc>
      </w:tr>
      <w:tr w:rsidR="00496618" w14:paraId="67FB13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555C5656"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17,424</w:t>
            </w:r>
          </w:p>
        </w:tc>
        <w:tc>
          <w:tcPr>
            <w:tcW w:w="2385" w:type="dxa"/>
            <w:tcBorders>
              <w:top w:val="nil"/>
              <w:left w:val="nil"/>
              <w:bottom w:val="nil"/>
              <w:right w:val="nil"/>
              <w:tl2br w:val="nil"/>
              <w:tr2bl w:val="nil"/>
            </w:tcBorders>
            <w:shd w:val="clear" w:color="FFFFFF" w:fill="FFFFFF"/>
            <w:noWrap/>
            <w:tcMar>
              <w:left w:w="40" w:type="dxa"/>
              <w:right w:w="40" w:type="dxa"/>
            </w:tcMar>
          </w:tcPr>
          <w:p w14:paraId="5268F6BC" w14:textId="77777777" w:rsidR="00496618" w:rsidRDefault="0027723F">
            <w:pPr>
              <w:pStyle w:val="Normal11"/>
              <w:rPr>
                <w:rFonts w:ascii="Calibri" w:eastAsia="Calibri" w:hAnsi="Calibri" w:cs="Calibri"/>
                <w:color w:val="000000"/>
                <w:sz w:val="18"/>
              </w:rPr>
            </w:pPr>
            <w:r>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40" w:type="dxa"/>
              <w:right w:w="40" w:type="dxa"/>
            </w:tcMar>
          </w:tcPr>
          <w:p w14:paraId="1FCE6DCE"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4D5733B4"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16,940</w:t>
            </w:r>
          </w:p>
        </w:tc>
        <w:tc>
          <w:tcPr>
            <w:tcW w:w="600" w:type="dxa"/>
            <w:tcBorders>
              <w:top w:val="nil"/>
              <w:left w:val="nil"/>
              <w:bottom w:val="nil"/>
              <w:right w:val="nil"/>
              <w:tl2br w:val="nil"/>
              <w:tr2bl w:val="nil"/>
            </w:tcBorders>
            <w:shd w:val="clear" w:color="FFFFFF" w:fill="FFFFFF"/>
            <w:tcMar>
              <w:left w:w="40" w:type="dxa"/>
              <w:right w:w="40" w:type="dxa"/>
            </w:tcMar>
          </w:tcPr>
          <w:p w14:paraId="25675F40"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09BDF272"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570AAADF"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4F4A1456" w14:textId="77777777" w:rsidR="00496618" w:rsidRDefault="0027723F">
            <w:pPr>
              <w:pStyle w:val="Normal11"/>
              <w:jc w:val="right"/>
              <w:rPr>
                <w:rFonts w:ascii="Calibri" w:eastAsia="Calibri" w:hAnsi="Calibri" w:cs="Calibri"/>
                <w:color w:val="000000"/>
                <w:sz w:val="18"/>
              </w:rPr>
            </w:pPr>
            <w:r>
              <w:rPr>
                <w:rFonts w:ascii="Calibri" w:eastAsia="Calibri" w:hAnsi="Calibri" w:cs="Calibri"/>
                <w:color w:val="000000"/>
                <w:sz w:val="18"/>
              </w:rPr>
              <w:t>16,940</w:t>
            </w:r>
          </w:p>
        </w:tc>
      </w:tr>
      <w:tr w:rsidR="00496618" w14:paraId="1E0B9D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62B545C" w14:textId="77777777" w:rsidR="00496618" w:rsidRDefault="00496618">
            <w:pPr>
              <w:pStyle w:val="Normal11"/>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750125B" w14:textId="77777777" w:rsidR="00496618" w:rsidRDefault="00496618">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DD0B19" w14:textId="77777777" w:rsidR="00496618" w:rsidRDefault="00496618">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FF6FFD" w14:textId="77777777" w:rsidR="00496618" w:rsidRDefault="00496618">
            <w:pPr>
              <w:pStyle w:val="Normal11"/>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77EF56" w14:textId="77777777" w:rsidR="00496618" w:rsidRDefault="00496618">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259972" w14:textId="77777777" w:rsidR="00496618" w:rsidRDefault="00496618">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7C9723" w14:textId="77777777" w:rsidR="00496618" w:rsidRDefault="00496618">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BEE2B3" w14:textId="77777777" w:rsidR="00496618" w:rsidRDefault="00496618">
            <w:pPr>
              <w:pStyle w:val="Normal11"/>
              <w:rPr>
                <w:rFonts w:ascii="Calibri" w:eastAsia="Calibri" w:hAnsi="Calibri" w:cs="Calibri"/>
                <w:b/>
                <w:color w:val="000000"/>
                <w:sz w:val="18"/>
              </w:rPr>
            </w:pPr>
          </w:p>
        </w:tc>
      </w:tr>
      <w:tr w:rsidR="00496618" w14:paraId="5E53BF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40" w:type="dxa"/>
            </w:tcMar>
          </w:tcPr>
          <w:p w14:paraId="3EA08BF8"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111,439</w:t>
            </w:r>
          </w:p>
        </w:tc>
        <w:tc>
          <w:tcPr>
            <w:tcW w:w="2385" w:type="dxa"/>
            <w:tcBorders>
              <w:top w:val="nil"/>
              <w:left w:val="nil"/>
              <w:bottom w:val="nil"/>
              <w:right w:val="nil"/>
              <w:tl2br w:val="nil"/>
              <w:tr2bl w:val="nil"/>
            </w:tcBorders>
            <w:shd w:val="clear" w:color="FFFFFF" w:fill="FFFFFF"/>
            <w:tcMar>
              <w:left w:w="40" w:type="dxa"/>
              <w:right w:w="40" w:type="dxa"/>
            </w:tcMar>
          </w:tcPr>
          <w:p w14:paraId="30266FC1" w14:textId="77777777" w:rsidR="00496618" w:rsidRDefault="0027723F">
            <w:pPr>
              <w:pStyle w:val="Normal11"/>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40" w:type="dxa"/>
              <w:right w:w="40" w:type="dxa"/>
            </w:tcMar>
          </w:tcPr>
          <w:p w14:paraId="4D99FD9A"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113,386</w:t>
            </w:r>
          </w:p>
        </w:tc>
        <w:tc>
          <w:tcPr>
            <w:tcW w:w="1035" w:type="dxa"/>
            <w:tcBorders>
              <w:top w:val="nil"/>
              <w:left w:val="nil"/>
              <w:bottom w:val="nil"/>
              <w:right w:val="nil"/>
              <w:tl2br w:val="nil"/>
              <w:tr2bl w:val="nil"/>
            </w:tcBorders>
            <w:shd w:val="clear" w:color="FFFFFF" w:fill="FFFFFF"/>
            <w:noWrap/>
            <w:tcMar>
              <w:left w:w="40" w:type="dxa"/>
              <w:right w:w="40" w:type="dxa"/>
            </w:tcMar>
          </w:tcPr>
          <w:p w14:paraId="27A2E985"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141,885</w:t>
            </w:r>
          </w:p>
        </w:tc>
        <w:tc>
          <w:tcPr>
            <w:tcW w:w="600" w:type="dxa"/>
            <w:tcBorders>
              <w:top w:val="nil"/>
              <w:left w:val="nil"/>
              <w:bottom w:val="nil"/>
              <w:right w:val="nil"/>
              <w:tl2br w:val="nil"/>
              <w:tr2bl w:val="nil"/>
            </w:tcBorders>
            <w:shd w:val="clear" w:color="FFFFFF" w:fill="FFFFFF"/>
            <w:tcMar>
              <w:left w:w="40" w:type="dxa"/>
              <w:right w:w="40" w:type="dxa"/>
            </w:tcMar>
          </w:tcPr>
          <w:p w14:paraId="2FE54E5C"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25</w:t>
            </w:r>
          </w:p>
        </w:tc>
        <w:tc>
          <w:tcPr>
            <w:tcW w:w="1035" w:type="dxa"/>
            <w:tcBorders>
              <w:top w:val="nil"/>
              <w:left w:val="nil"/>
              <w:bottom w:val="nil"/>
              <w:right w:val="nil"/>
              <w:tl2br w:val="nil"/>
              <w:tr2bl w:val="nil"/>
            </w:tcBorders>
            <w:shd w:val="clear" w:color="FFFFFF" w:fill="FFFFFF"/>
            <w:noWrap/>
            <w:tcMar>
              <w:left w:w="40" w:type="dxa"/>
              <w:right w:w="40" w:type="dxa"/>
            </w:tcMar>
          </w:tcPr>
          <w:p w14:paraId="0AFBFE5C"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164,200</w:t>
            </w:r>
          </w:p>
        </w:tc>
        <w:tc>
          <w:tcPr>
            <w:tcW w:w="1035" w:type="dxa"/>
            <w:tcBorders>
              <w:top w:val="nil"/>
              <w:left w:val="nil"/>
              <w:bottom w:val="nil"/>
              <w:right w:val="nil"/>
              <w:tl2br w:val="nil"/>
              <w:tr2bl w:val="nil"/>
            </w:tcBorders>
            <w:shd w:val="clear" w:color="FFFFFF" w:fill="FFFFFF"/>
            <w:noWrap/>
            <w:tcMar>
              <w:left w:w="40" w:type="dxa"/>
              <w:right w:w="40" w:type="dxa"/>
            </w:tcMar>
          </w:tcPr>
          <w:p w14:paraId="0059C839"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130,417</w:t>
            </w:r>
          </w:p>
        </w:tc>
        <w:tc>
          <w:tcPr>
            <w:tcW w:w="1035" w:type="dxa"/>
            <w:tcBorders>
              <w:top w:val="nil"/>
              <w:left w:val="nil"/>
              <w:bottom w:val="nil"/>
              <w:right w:val="nil"/>
              <w:tl2br w:val="nil"/>
              <w:tr2bl w:val="nil"/>
            </w:tcBorders>
            <w:shd w:val="clear" w:color="FFFFFF" w:fill="FFFFFF"/>
            <w:noWrap/>
            <w:tcMar>
              <w:left w:w="40" w:type="dxa"/>
              <w:right w:w="40" w:type="dxa"/>
            </w:tcMar>
          </w:tcPr>
          <w:p w14:paraId="0F62DA0C" w14:textId="77777777" w:rsidR="00496618" w:rsidRDefault="0027723F">
            <w:pPr>
              <w:pStyle w:val="Normal11"/>
              <w:jc w:val="right"/>
              <w:rPr>
                <w:rFonts w:ascii="Calibri" w:eastAsia="Calibri" w:hAnsi="Calibri" w:cs="Calibri"/>
                <w:b/>
                <w:color w:val="000000"/>
                <w:sz w:val="18"/>
              </w:rPr>
            </w:pPr>
            <w:r>
              <w:rPr>
                <w:rFonts w:ascii="Calibri" w:eastAsia="Calibri" w:hAnsi="Calibri" w:cs="Calibri"/>
                <w:b/>
                <w:color w:val="000000"/>
                <w:sz w:val="18"/>
              </w:rPr>
              <w:t>92,562</w:t>
            </w:r>
          </w:p>
        </w:tc>
      </w:tr>
      <w:tr w:rsidR="00496618" w14:paraId="757AC8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DEE06DB" w14:textId="77777777" w:rsidR="00496618" w:rsidRDefault="00496618">
            <w:pPr>
              <w:pStyle w:val="Normal11"/>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F89E0E4" w14:textId="77777777" w:rsidR="00496618" w:rsidRDefault="00496618">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78562CC" w14:textId="77777777" w:rsidR="00496618" w:rsidRDefault="00496618">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32BE907" w14:textId="77777777" w:rsidR="00496618" w:rsidRDefault="00496618">
            <w:pPr>
              <w:pStyle w:val="Normal11"/>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6977EDF" w14:textId="77777777" w:rsidR="00496618" w:rsidRDefault="00496618">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CEAF5DE" w14:textId="77777777" w:rsidR="00496618" w:rsidRDefault="00496618">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CE74314" w14:textId="77777777" w:rsidR="00496618" w:rsidRDefault="00496618">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F0532CE" w14:textId="77777777" w:rsidR="00496618" w:rsidRDefault="00496618">
            <w:pPr>
              <w:pStyle w:val="Normal11"/>
              <w:rPr>
                <w:rFonts w:ascii="Calibri" w:eastAsia="Calibri" w:hAnsi="Calibri" w:cs="Calibri"/>
                <w:color w:val="000000"/>
                <w:sz w:val="18"/>
              </w:rPr>
            </w:pPr>
          </w:p>
        </w:tc>
      </w:tr>
    </w:tbl>
    <w:p w14:paraId="4FF1FED3" w14:textId="77777777" w:rsidR="00EB585F" w:rsidRDefault="00EB585F" w:rsidP="00EB585F">
      <w:pPr>
        <w:pStyle w:val="Caption"/>
      </w:pPr>
    </w:p>
    <w:p w14:paraId="04361298" w14:textId="77777777" w:rsidR="00EB585F" w:rsidRDefault="00EB585F">
      <w:pPr>
        <w:spacing w:before="0" w:after="0"/>
        <w:rPr>
          <w:b/>
          <w:bCs/>
          <w:color w:val="000000"/>
          <w:sz w:val="22"/>
          <w:szCs w:val="18"/>
        </w:rPr>
      </w:pPr>
      <w:r>
        <w:br w:type="page"/>
      </w:r>
    </w:p>
    <w:p w14:paraId="02772524" w14:textId="11C9C277" w:rsidR="001F6B18" w:rsidRPr="00EB585F" w:rsidRDefault="0027723F" w:rsidP="00EB585F">
      <w:pPr>
        <w:pStyle w:val="Caption"/>
      </w:pPr>
      <w:r w:rsidRPr="00EB585F">
        <w:lastRenderedPageBreak/>
        <w:t xml:space="preserve">Table 25: ACT Health Directorate: Statement of Changes in Equity </w:t>
      </w:r>
    </w:p>
    <w:tbl>
      <w:tblPr>
        <w:tblStyle w:val="CDMRange14"/>
        <w:tblW w:w="9555" w:type="dxa"/>
        <w:tblLayout w:type="fixed"/>
        <w:tblLook w:val="0600" w:firstRow="0" w:lastRow="0" w:firstColumn="0" w:lastColumn="0" w:noHBand="1" w:noVBand="1"/>
      </w:tblPr>
      <w:tblGrid>
        <w:gridCol w:w="1035"/>
        <w:gridCol w:w="2745"/>
        <w:gridCol w:w="1035"/>
        <w:gridCol w:w="1035"/>
        <w:gridCol w:w="600"/>
        <w:gridCol w:w="1035"/>
        <w:gridCol w:w="1035"/>
        <w:gridCol w:w="1035"/>
      </w:tblGrid>
      <w:tr w:rsidR="00496618" w14:paraId="25A18A4B" w14:textId="77777777">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FD88B81"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Budget</w:t>
            </w:r>
          </w:p>
          <w:p w14:paraId="216C9AE6"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at</w:t>
            </w:r>
          </w:p>
          <w:p w14:paraId="5E7F3B86"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521B78F1"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c>
          <w:tcPr>
            <w:tcW w:w="274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2FB99A9" w14:textId="77777777" w:rsidR="00496618" w:rsidRDefault="00496618">
            <w:pPr>
              <w:pStyle w:val="Normal12"/>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9428F49"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Interim</w:t>
            </w:r>
          </w:p>
          <w:p w14:paraId="597FA169"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Outcome at</w:t>
            </w:r>
          </w:p>
          <w:p w14:paraId="10602B54"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30/06/21</w:t>
            </w:r>
          </w:p>
          <w:p w14:paraId="546AF92D"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6E60E03"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Budget</w:t>
            </w:r>
          </w:p>
          <w:p w14:paraId="62B45AAF"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at</w:t>
            </w:r>
          </w:p>
          <w:p w14:paraId="3C07E45C"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15D06FC5"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85CA3F1"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Var</w:t>
            </w:r>
          </w:p>
          <w:p w14:paraId="150A4A6A"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6D593B5"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Estimate</w:t>
            </w:r>
          </w:p>
          <w:p w14:paraId="0A90605F"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at</w:t>
            </w:r>
          </w:p>
          <w:p w14:paraId="5FCDD947"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77155E8B"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9D8EDF7"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Estimate</w:t>
            </w:r>
          </w:p>
          <w:p w14:paraId="622DCCC2"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at</w:t>
            </w:r>
          </w:p>
          <w:p w14:paraId="121518E1"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4E682084"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BB44B50"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Estimate</w:t>
            </w:r>
          </w:p>
          <w:p w14:paraId="1EB9E9FF"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at</w:t>
            </w:r>
          </w:p>
          <w:p w14:paraId="5D529C60"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4545E651"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r>
      <w:tr w:rsidR="00496618" w14:paraId="3CBEA2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143230E" w14:textId="77777777" w:rsidR="00496618" w:rsidRDefault="00496618">
            <w:pPr>
              <w:pStyle w:val="Normal12"/>
              <w:jc w:val="right"/>
              <w:rPr>
                <w:rFonts w:ascii="Calibri" w:eastAsia="Calibri" w:hAnsi="Calibri" w:cs="Calibri"/>
                <w:b/>
                <w:i/>
                <w:color w:val="000000"/>
                <w:sz w:val="18"/>
              </w:rPr>
            </w:pPr>
          </w:p>
        </w:tc>
        <w:tc>
          <w:tcPr>
            <w:tcW w:w="2745" w:type="dxa"/>
            <w:tcBorders>
              <w:top w:val="single" w:sz="4" w:space="0" w:color="000000"/>
              <w:left w:val="nil"/>
              <w:bottom w:val="nil"/>
              <w:right w:val="nil"/>
              <w:tl2br w:val="nil"/>
              <w:tr2bl w:val="nil"/>
            </w:tcBorders>
            <w:shd w:val="clear" w:color="FFFFFF" w:fill="FFFFFF"/>
            <w:tcMar>
              <w:left w:w="0" w:type="dxa"/>
              <w:right w:w="0" w:type="dxa"/>
            </w:tcMar>
          </w:tcPr>
          <w:p w14:paraId="47A4B8B0" w14:textId="77777777" w:rsidR="00496618" w:rsidRDefault="00496618">
            <w:pPr>
              <w:pStyle w:val="Normal12"/>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54E014C" w14:textId="77777777" w:rsidR="00496618" w:rsidRDefault="00496618">
            <w:pPr>
              <w:pStyle w:val="Normal1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C946D6A" w14:textId="77777777" w:rsidR="00496618" w:rsidRDefault="00496618">
            <w:pPr>
              <w:pStyle w:val="Normal12"/>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5366D2D" w14:textId="77777777" w:rsidR="00496618" w:rsidRDefault="00496618">
            <w:pPr>
              <w:pStyle w:val="Normal1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4071FF4" w14:textId="77777777" w:rsidR="00496618" w:rsidRDefault="00496618">
            <w:pPr>
              <w:pStyle w:val="Normal1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061ADDC" w14:textId="77777777" w:rsidR="00496618" w:rsidRDefault="00496618">
            <w:pPr>
              <w:pStyle w:val="Normal1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E5778B6" w14:textId="77777777" w:rsidR="00496618" w:rsidRDefault="00496618">
            <w:pPr>
              <w:pStyle w:val="Normal12"/>
              <w:jc w:val="right"/>
              <w:rPr>
                <w:rFonts w:ascii="Calibri" w:eastAsia="Calibri" w:hAnsi="Calibri" w:cs="Calibri"/>
                <w:b/>
                <w:i/>
                <w:color w:val="000000"/>
                <w:sz w:val="18"/>
              </w:rPr>
            </w:pPr>
          </w:p>
        </w:tc>
      </w:tr>
      <w:tr w:rsidR="00496618" w14:paraId="6A2786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87C5666" w14:textId="77777777" w:rsidR="00496618" w:rsidRDefault="00496618">
            <w:pPr>
              <w:pStyle w:val="Normal12"/>
              <w:jc w:val="right"/>
              <w:rPr>
                <w:rFonts w:ascii="Calibri" w:eastAsia="Calibri" w:hAnsi="Calibri" w:cs="Calibri"/>
                <w:b/>
                <w:i/>
                <w:color w:val="000000"/>
                <w:sz w:val="18"/>
              </w:rPr>
            </w:pPr>
          </w:p>
        </w:tc>
        <w:tc>
          <w:tcPr>
            <w:tcW w:w="2745" w:type="dxa"/>
            <w:tcBorders>
              <w:top w:val="nil"/>
              <w:left w:val="nil"/>
              <w:bottom w:val="nil"/>
              <w:right w:val="nil"/>
              <w:tl2br w:val="nil"/>
              <w:tr2bl w:val="nil"/>
            </w:tcBorders>
            <w:shd w:val="clear" w:color="auto" w:fill="auto"/>
            <w:tcMar>
              <w:left w:w="101" w:type="dxa"/>
              <w:right w:w="101" w:type="dxa"/>
            </w:tcMar>
          </w:tcPr>
          <w:p w14:paraId="550B8921" w14:textId="77777777" w:rsidR="00496618" w:rsidRDefault="0027723F">
            <w:pPr>
              <w:pStyle w:val="Normal12"/>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36989D6B" w14:textId="77777777" w:rsidR="00496618" w:rsidRDefault="00496618">
            <w:pPr>
              <w:pStyle w:val="Normal1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DBD0F7" w14:textId="77777777" w:rsidR="00496618" w:rsidRDefault="00496618">
            <w:pPr>
              <w:pStyle w:val="Normal12"/>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6EC44F5" w14:textId="77777777" w:rsidR="00496618" w:rsidRDefault="00496618">
            <w:pPr>
              <w:pStyle w:val="Normal1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11E51CF" w14:textId="77777777" w:rsidR="00496618" w:rsidRDefault="00496618">
            <w:pPr>
              <w:pStyle w:val="Normal1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352DC4" w14:textId="77777777" w:rsidR="00496618" w:rsidRDefault="00496618">
            <w:pPr>
              <w:pStyle w:val="Normal1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29A18E" w14:textId="77777777" w:rsidR="00496618" w:rsidRDefault="00496618">
            <w:pPr>
              <w:pStyle w:val="Normal12"/>
              <w:jc w:val="right"/>
              <w:rPr>
                <w:rFonts w:ascii="Calibri" w:eastAsia="Calibri" w:hAnsi="Calibri" w:cs="Calibri"/>
                <w:b/>
                <w:i/>
                <w:color w:val="000000"/>
                <w:sz w:val="18"/>
              </w:rPr>
            </w:pPr>
          </w:p>
        </w:tc>
      </w:tr>
      <w:tr w:rsidR="00496618" w14:paraId="39F397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96EF5E2"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84,555</w:t>
            </w:r>
          </w:p>
        </w:tc>
        <w:tc>
          <w:tcPr>
            <w:tcW w:w="2745" w:type="dxa"/>
            <w:tcBorders>
              <w:top w:val="nil"/>
              <w:left w:val="nil"/>
              <w:bottom w:val="nil"/>
              <w:right w:val="nil"/>
              <w:tl2br w:val="nil"/>
              <w:tr2bl w:val="nil"/>
            </w:tcBorders>
            <w:shd w:val="clear" w:color="auto" w:fill="auto"/>
            <w:noWrap/>
            <w:tcMar>
              <w:left w:w="101" w:type="dxa"/>
              <w:right w:w="101" w:type="dxa"/>
            </w:tcMar>
          </w:tcPr>
          <w:p w14:paraId="00DB87CB" w14:textId="77777777" w:rsidR="00496618" w:rsidRDefault="0027723F">
            <w:pPr>
              <w:pStyle w:val="Normal12"/>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0F51C11"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84,558</w:t>
            </w:r>
          </w:p>
        </w:tc>
        <w:tc>
          <w:tcPr>
            <w:tcW w:w="1035" w:type="dxa"/>
            <w:tcBorders>
              <w:top w:val="nil"/>
              <w:left w:val="nil"/>
              <w:bottom w:val="nil"/>
              <w:right w:val="nil"/>
              <w:tl2br w:val="nil"/>
              <w:tr2bl w:val="nil"/>
            </w:tcBorders>
            <w:shd w:val="clear" w:color="FFFFFF" w:fill="FFFFFF"/>
            <w:noWrap/>
            <w:tcMar>
              <w:left w:w="101" w:type="dxa"/>
              <w:right w:w="101" w:type="dxa"/>
            </w:tcMar>
          </w:tcPr>
          <w:p w14:paraId="564256D2"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96,446</w:t>
            </w:r>
          </w:p>
        </w:tc>
        <w:tc>
          <w:tcPr>
            <w:tcW w:w="600" w:type="dxa"/>
            <w:tcBorders>
              <w:top w:val="nil"/>
              <w:left w:val="nil"/>
              <w:bottom w:val="nil"/>
              <w:right w:val="nil"/>
              <w:tl2br w:val="nil"/>
              <w:tr2bl w:val="nil"/>
            </w:tcBorders>
            <w:shd w:val="clear" w:color="FFFFFF" w:fill="FFFFFF"/>
            <w:noWrap/>
            <w:tcMar>
              <w:left w:w="101" w:type="dxa"/>
              <w:right w:w="101" w:type="dxa"/>
            </w:tcMar>
          </w:tcPr>
          <w:p w14:paraId="4A09A6CB"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noWrap/>
            <w:tcMar>
              <w:left w:w="101" w:type="dxa"/>
              <w:right w:w="101" w:type="dxa"/>
            </w:tcMar>
          </w:tcPr>
          <w:p w14:paraId="6F508592"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124,945</w:t>
            </w:r>
          </w:p>
        </w:tc>
        <w:tc>
          <w:tcPr>
            <w:tcW w:w="1035" w:type="dxa"/>
            <w:tcBorders>
              <w:top w:val="nil"/>
              <w:left w:val="nil"/>
              <w:bottom w:val="nil"/>
              <w:right w:val="nil"/>
              <w:tl2br w:val="nil"/>
              <w:tr2bl w:val="nil"/>
            </w:tcBorders>
            <w:shd w:val="clear" w:color="FFFFFF" w:fill="FFFFFF"/>
            <w:noWrap/>
            <w:tcMar>
              <w:left w:w="101" w:type="dxa"/>
              <w:right w:w="101" w:type="dxa"/>
            </w:tcMar>
          </w:tcPr>
          <w:p w14:paraId="7F212B58"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147,260</w:t>
            </w:r>
          </w:p>
        </w:tc>
        <w:tc>
          <w:tcPr>
            <w:tcW w:w="1035" w:type="dxa"/>
            <w:tcBorders>
              <w:top w:val="nil"/>
              <w:left w:val="nil"/>
              <w:bottom w:val="nil"/>
              <w:right w:val="nil"/>
              <w:tl2br w:val="nil"/>
              <w:tr2bl w:val="nil"/>
            </w:tcBorders>
            <w:shd w:val="clear" w:color="FFFFFF" w:fill="FFFFFF"/>
            <w:noWrap/>
            <w:tcMar>
              <w:left w:w="101" w:type="dxa"/>
              <w:right w:w="101" w:type="dxa"/>
            </w:tcMar>
          </w:tcPr>
          <w:p w14:paraId="3688D22B"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113,477</w:t>
            </w:r>
          </w:p>
        </w:tc>
      </w:tr>
      <w:tr w:rsidR="00496618" w14:paraId="5168BC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10A1DEB"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17,424</w:t>
            </w:r>
          </w:p>
        </w:tc>
        <w:tc>
          <w:tcPr>
            <w:tcW w:w="2745" w:type="dxa"/>
            <w:tcBorders>
              <w:top w:val="nil"/>
              <w:left w:val="nil"/>
              <w:bottom w:val="nil"/>
              <w:right w:val="nil"/>
              <w:tl2br w:val="nil"/>
              <w:tr2bl w:val="nil"/>
            </w:tcBorders>
            <w:shd w:val="clear" w:color="auto" w:fill="auto"/>
            <w:tcMar>
              <w:left w:w="101" w:type="dxa"/>
              <w:right w:w="101" w:type="dxa"/>
            </w:tcMar>
          </w:tcPr>
          <w:p w14:paraId="0C2A9977" w14:textId="77777777" w:rsidR="00496618" w:rsidRDefault="0027723F">
            <w:pPr>
              <w:pStyle w:val="Normal12"/>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594E1C95"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17,424</w:t>
            </w:r>
          </w:p>
        </w:tc>
        <w:tc>
          <w:tcPr>
            <w:tcW w:w="1035" w:type="dxa"/>
            <w:tcBorders>
              <w:top w:val="nil"/>
              <w:left w:val="nil"/>
              <w:bottom w:val="nil"/>
              <w:right w:val="nil"/>
              <w:tl2br w:val="nil"/>
              <w:tr2bl w:val="nil"/>
            </w:tcBorders>
            <w:shd w:val="clear" w:color="FFFFFF" w:fill="FFFFFF"/>
            <w:noWrap/>
            <w:tcMar>
              <w:left w:w="101" w:type="dxa"/>
              <w:right w:w="101" w:type="dxa"/>
            </w:tcMar>
          </w:tcPr>
          <w:p w14:paraId="24AB5C5E"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16,940</w:t>
            </w:r>
          </w:p>
        </w:tc>
        <w:tc>
          <w:tcPr>
            <w:tcW w:w="600" w:type="dxa"/>
            <w:tcBorders>
              <w:top w:val="nil"/>
              <w:left w:val="nil"/>
              <w:bottom w:val="nil"/>
              <w:right w:val="nil"/>
              <w:tl2br w:val="nil"/>
              <w:tr2bl w:val="nil"/>
            </w:tcBorders>
            <w:shd w:val="clear" w:color="FFFFFF" w:fill="FFFFFF"/>
            <w:noWrap/>
            <w:tcMar>
              <w:left w:w="101" w:type="dxa"/>
              <w:right w:w="101" w:type="dxa"/>
            </w:tcMar>
          </w:tcPr>
          <w:p w14:paraId="5D034CA0"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629F8518"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16,940</w:t>
            </w:r>
          </w:p>
        </w:tc>
        <w:tc>
          <w:tcPr>
            <w:tcW w:w="1035" w:type="dxa"/>
            <w:tcBorders>
              <w:top w:val="nil"/>
              <w:left w:val="nil"/>
              <w:bottom w:val="nil"/>
              <w:right w:val="nil"/>
              <w:tl2br w:val="nil"/>
              <w:tr2bl w:val="nil"/>
            </w:tcBorders>
            <w:shd w:val="clear" w:color="FFFFFF" w:fill="FFFFFF"/>
            <w:noWrap/>
            <w:tcMar>
              <w:left w:w="101" w:type="dxa"/>
              <w:right w:w="101" w:type="dxa"/>
            </w:tcMar>
          </w:tcPr>
          <w:p w14:paraId="1CC1C3EF"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16,940</w:t>
            </w:r>
          </w:p>
        </w:tc>
        <w:tc>
          <w:tcPr>
            <w:tcW w:w="1035" w:type="dxa"/>
            <w:tcBorders>
              <w:top w:val="nil"/>
              <w:left w:val="nil"/>
              <w:bottom w:val="nil"/>
              <w:right w:val="nil"/>
              <w:tl2br w:val="nil"/>
              <w:tr2bl w:val="nil"/>
            </w:tcBorders>
            <w:shd w:val="clear" w:color="FFFFFF" w:fill="FFFFFF"/>
            <w:noWrap/>
            <w:tcMar>
              <w:left w:w="101" w:type="dxa"/>
              <w:right w:w="101" w:type="dxa"/>
            </w:tcMar>
          </w:tcPr>
          <w:p w14:paraId="508675F9"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16,940</w:t>
            </w:r>
          </w:p>
        </w:tc>
      </w:tr>
      <w:tr w:rsidR="00496618" w14:paraId="3DCA4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A185668" w14:textId="77777777" w:rsidR="00496618" w:rsidRDefault="00496618">
            <w:pPr>
              <w:pStyle w:val="Normal12"/>
              <w:jc w:val="right"/>
              <w:rPr>
                <w:rFonts w:ascii="Calibri" w:eastAsia="Calibri" w:hAnsi="Calibri" w:cs="Calibri"/>
                <w:b/>
                <w:color w:val="000000"/>
                <w:sz w:val="18"/>
              </w:rPr>
            </w:pPr>
          </w:p>
        </w:tc>
        <w:tc>
          <w:tcPr>
            <w:tcW w:w="2745" w:type="dxa"/>
            <w:tcBorders>
              <w:top w:val="nil"/>
              <w:left w:val="nil"/>
              <w:bottom w:val="nil"/>
              <w:right w:val="nil"/>
              <w:tl2br w:val="nil"/>
              <w:tr2bl w:val="nil"/>
            </w:tcBorders>
            <w:shd w:val="clear" w:color="auto" w:fill="auto"/>
            <w:tcMar>
              <w:left w:w="0" w:type="dxa"/>
              <w:right w:w="0" w:type="dxa"/>
            </w:tcMar>
          </w:tcPr>
          <w:p w14:paraId="52B7B44A"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8C52EC" w14:textId="77777777" w:rsidR="00496618" w:rsidRDefault="00496618">
            <w:pPr>
              <w:pStyle w:val="Normal1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5611FB" w14:textId="77777777" w:rsidR="00496618" w:rsidRDefault="00496618">
            <w:pPr>
              <w:pStyle w:val="Normal12"/>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6FCB9E7" w14:textId="77777777" w:rsidR="00496618" w:rsidRDefault="00496618">
            <w:pPr>
              <w:pStyle w:val="Normal1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74A617" w14:textId="77777777" w:rsidR="00496618" w:rsidRDefault="00496618">
            <w:pPr>
              <w:pStyle w:val="Normal1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E148BA9" w14:textId="77777777" w:rsidR="00496618" w:rsidRDefault="00496618">
            <w:pPr>
              <w:pStyle w:val="Normal1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3E9AED" w14:textId="77777777" w:rsidR="00496618" w:rsidRDefault="00496618">
            <w:pPr>
              <w:pStyle w:val="Normal12"/>
              <w:jc w:val="right"/>
              <w:rPr>
                <w:rFonts w:ascii="Calibri" w:eastAsia="Calibri" w:hAnsi="Calibri" w:cs="Calibri"/>
                <w:b/>
                <w:color w:val="000000"/>
                <w:sz w:val="18"/>
              </w:rPr>
            </w:pPr>
          </w:p>
        </w:tc>
      </w:tr>
      <w:tr w:rsidR="00496618" w14:paraId="791F93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46C873E"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101,979</w:t>
            </w:r>
          </w:p>
        </w:tc>
        <w:tc>
          <w:tcPr>
            <w:tcW w:w="2745" w:type="dxa"/>
            <w:tcBorders>
              <w:top w:val="nil"/>
              <w:left w:val="nil"/>
              <w:bottom w:val="nil"/>
              <w:right w:val="nil"/>
              <w:tl2br w:val="nil"/>
              <w:tr2bl w:val="nil"/>
            </w:tcBorders>
            <w:shd w:val="clear" w:color="auto" w:fill="auto"/>
            <w:tcMar>
              <w:left w:w="101" w:type="dxa"/>
              <w:right w:w="101" w:type="dxa"/>
            </w:tcMar>
          </w:tcPr>
          <w:p w14:paraId="228D19EF" w14:textId="77777777" w:rsidR="00496618" w:rsidRDefault="0027723F">
            <w:pPr>
              <w:pStyle w:val="Normal12"/>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A28B972"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101,982</w:t>
            </w:r>
          </w:p>
        </w:tc>
        <w:tc>
          <w:tcPr>
            <w:tcW w:w="1035" w:type="dxa"/>
            <w:tcBorders>
              <w:top w:val="nil"/>
              <w:left w:val="nil"/>
              <w:bottom w:val="nil"/>
              <w:right w:val="nil"/>
              <w:tl2br w:val="nil"/>
              <w:tr2bl w:val="nil"/>
            </w:tcBorders>
            <w:shd w:val="clear" w:color="FFFFFF" w:fill="FFFFFF"/>
            <w:noWrap/>
            <w:tcMar>
              <w:left w:w="101" w:type="dxa"/>
              <w:right w:w="101" w:type="dxa"/>
            </w:tcMar>
          </w:tcPr>
          <w:p w14:paraId="275F192A"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113,386</w:t>
            </w:r>
          </w:p>
        </w:tc>
        <w:tc>
          <w:tcPr>
            <w:tcW w:w="600" w:type="dxa"/>
            <w:tcBorders>
              <w:top w:val="nil"/>
              <w:left w:val="nil"/>
              <w:bottom w:val="nil"/>
              <w:right w:val="nil"/>
              <w:tl2br w:val="nil"/>
              <w:tr2bl w:val="nil"/>
            </w:tcBorders>
            <w:shd w:val="clear" w:color="FFFFFF" w:fill="FFFFFF"/>
            <w:noWrap/>
            <w:tcMar>
              <w:left w:w="101" w:type="dxa"/>
              <w:right w:w="101" w:type="dxa"/>
            </w:tcMar>
          </w:tcPr>
          <w:p w14:paraId="0655366E"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11 </w:t>
            </w:r>
          </w:p>
        </w:tc>
        <w:tc>
          <w:tcPr>
            <w:tcW w:w="1035" w:type="dxa"/>
            <w:tcBorders>
              <w:top w:val="nil"/>
              <w:left w:val="nil"/>
              <w:bottom w:val="nil"/>
              <w:right w:val="nil"/>
              <w:tl2br w:val="nil"/>
              <w:tr2bl w:val="nil"/>
            </w:tcBorders>
            <w:shd w:val="clear" w:color="FFFFFF" w:fill="FFFFFF"/>
            <w:noWrap/>
            <w:tcMar>
              <w:left w:w="101" w:type="dxa"/>
              <w:right w:w="101" w:type="dxa"/>
            </w:tcMar>
          </w:tcPr>
          <w:p w14:paraId="0E15C918"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141,885</w:t>
            </w:r>
          </w:p>
        </w:tc>
        <w:tc>
          <w:tcPr>
            <w:tcW w:w="1035" w:type="dxa"/>
            <w:tcBorders>
              <w:top w:val="nil"/>
              <w:left w:val="nil"/>
              <w:bottom w:val="nil"/>
              <w:right w:val="nil"/>
              <w:tl2br w:val="nil"/>
              <w:tr2bl w:val="nil"/>
            </w:tcBorders>
            <w:shd w:val="clear" w:color="FFFFFF" w:fill="FFFFFF"/>
            <w:noWrap/>
            <w:tcMar>
              <w:left w:w="101" w:type="dxa"/>
              <w:right w:w="101" w:type="dxa"/>
            </w:tcMar>
          </w:tcPr>
          <w:p w14:paraId="74D05ADB"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164,200</w:t>
            </w:r>
          </w:p>
        </w:tc>
        <w:tc>
          <w:tcPr>
            <w:tcW w:w="1035" w:type="dxa"/>
            <w:tcBorders>
              <w:top w:val="nil"/>
              <w:left w:val="nil"/>
              <w:bottom w:val="nil"/>
              <w:right w:val="nil"/>
              <w:tl2br w:val="nil"/>
              <w:tr2bl w:val="nil"/>
            </w:tcBorders>
            <w:shd w:val="clear" w:color="FFFFFF" w:fill="FFFFFF"/>
            <w:noWrap/>
            <w:tcMar>
              <w:left w:w="101" w:type="dxa"/>
              <w:right w:w="101" w:type="dxa"/>
            </w:tcMar>
          </w:tcPr>
          <w:p w14:paraId="783A8C26"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130,417</w:t>
            </w:r>
          </w:p>
        </w:tc>
      </w:tr>
      <w:tr w:rsidR="00496618" w14:paraId="74833F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B5B2BAE" w14:textId="77777777" w:rsidR="00496618" w:rsidRDefault="00496618">
            <w:pPr>
              <w:pStyle w:val="Normal12"/>
              <w:jc w:val="right"/>
              <w:rPr>
                <w:rFonts w:ascii="Calibri" w:eastAsia="Calibri" w:hAnsi="Calibri" w:cs="Calibri"/>
                <w:b/>
                <w: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03A786F5" w14:textId="77777777" w:rsidR="00496618" w:rsidRDefault="00496618">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F12930" w14:textId="77777777" w:rsidR="00496618" w:rsidRDefault="00496618">
            <w:pPr>
              <w:pStyle w:val="Normal1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C5FB84" w14:textId="77777777" w:rsidR="00496618" w:rsidRDefault="00496618">
            <w:pPr>
              <w:pStyle w:val="Normal12"/>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84ED210" w14:textId="77777777" w:rsidR="00496618" w:rsidRDefault="00496618">
            <w:pPr>
              <w:pStyle w:val="Normal1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DDAB39" w14:textId="77777777" w:rsidR="00496618" w:rsidRDefault="00496618">
            <w:pPr>
              <w:pStyle w:val="Normal1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FE637B" w14:textId="77777777" w:rsidR="00496618" w:rsidRDefault="00496618">
            <w:pPr>
              <w:pStyle w:val="Normal12"/>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3B1AE3" w14:textId="77777777" w:rsidR="00496618" w:rsidRDefault="00496618">
            <w:pPr>
              <w:pStyle w:val="Normal12"/>
              <w:jc w:val="right"/>
              <w:rPr>
                <w:rFonts w:ascii="Calibri" w:eastAsia="Calibri" w:hAnsi="Calibri" w:cs="Calibri"/>
                <w:b/>
                <w:i/>
                <w:color w:val="000000"/>
                <w:sz w:val="18"/>
              </w:rPr>
            </w:pPr>
          </w:p>
        </w:tc>
      </w:tr>
      <w:tr w:rsidR="00496618" w14:paraId="6244C0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A2B32DF" w14:textId="77777777" w:rsidR="00496618" w:rsidRDefault="00496618">
            <w:pPr>
              <w:pStyle w:val="Normal12"/>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101" w:type="dxa"/>
              <w:right w:w="101" w:type="dxa"/>
            </w:tcMar>
          </w:tcPr>
          <w:p w14:paraId="164B8149" w14:textId="77777777" w:rsidR="00496618" w:rsidRDefault="0027723F">
            <w:pPr>
              <w:pStyle w:val="Normal12"/>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69AB930D"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354923" w14:textId="77777777" w:rsidR="00496618" w:rsidRDefault="00496618">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543C7BC"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527999"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0FB7A1"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045530" w14:textId="77777777" w:rsidR="00496618" w:rsidRDefault="00496618">
            <w:pPr>
              <w:pStyle w:val="Normal12"/>
              <w:rPr>
                <w:rFonts w:ascii="Calibri" w:eastAsia="Calibri" w:hAnsi="Calibri" w:cs="Calibri"/>
                <w:color w:val="000000"/>
                <w:sz w:val="18"/>
              </w:rPr>
            </w:pPr>
          </w:p>
        </w:tc>
      </w:tr>
      <w:tr w:rsidR="00496618" w14:paraId="6AD90E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2A03CBD"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-25,150</w:t>
            </w:r>
          </w:p>
        </w:tc>
        <w:tc>
          <w:tcPr>
            <w:tcW w:w="2745" w:type="dxa"/>
            <w:tcBorders>
              <w:top w:val="nil"/>
              <w:left w:val="nil"/>
              <w:bottom w:val="nil"/>
              <w:right w:val="nil"/>
              <w:tl2br w:val="nil"/>
              <w:tr2bl w:val="nil"/>
            </w:tcBorders>
            <w:shd w:val="clear" w:color="auto" w:fill="auto"/>
            <w:tcMar>
              <w:left w:w="101" w:type="dxa"/>
              <w:right w:w="101" w:type="dxa"/>
            </w:tcMar>
          </w:tcPr>
          <w:p w14:paraId="5846BF41" w14:textId="77777777" w:rsidR="00496618" w:rsidRDefault="0027723F">
            <w:pPr>
              <w:pStyle w:val="Normal12"/>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2D23FAFB"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-20,893</w:t>
            </w:r>
          </w:p>
        </w:tc>
        <w:tc>
          <w:tcPr>
            <w:tcW w:w="1035" w:type="dxa"/>
            <w:tcBorders>
              <w:top w:val="nil"/>
              <w:left w:val="nil"/>
              <w:bottom w:val="nil"/>
              <w:right w:val="nil"/>
              <w:tl2br w:val="nil"/>
              <w:tr2bl w:val="nil"/>
            </w:tcBorders>
            <w:shd w:val="clear" w:color="FFFFFF" w:fill="FFFFFF"/>
            <w:noWrap/>
            <w:tcMar>
              <w:left w:w="101" w:type="dxa"/>
              <w:right w:w="101" w:type="dxa"/>
            </w:tcMar>
          </w:tcPr>
          <w:p w14:paraId="58603BE9"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-31,261</w:t>
            </w:r>
          </w:p>
        </w:tc>
        <w:tc>
          <w:tcPr>
            <w:tcW w:w="600" w:type="dxa"/>
            <w:tcBorders>
              <w:top w:val="nil"/>
              <w:left w:val="nil"/>
              <w:bottom w:val="nil"/>
              <w:right w:val="nil"/>
              <w:tl2br w:val="nil"/>
              <w:tr2bl w:val="nil"/>
            </w:tcBorders>
            <w:shd w:val="clear" w:color="FFFFFF" w:fill="FFFFFF"/>
            <w:noWrap/>
            <w:tcMar>
              <w:left w:w="101" w:type="dxa"/>
              <w:right w:w="101" w:type="dxa"/>
            </w:tcMar>
          </w:tcPr>
          <w:p w14:paraId="7EE7337B"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 xml:space="preserve">-50 </w:t>
            </w:r>
          </w:p>
        </w:tc>
        <w:tc>
          <w:tcPr>
            <w:tcW w:w="1035" w:type="dxa"/>
            <w:tcBorders>
              <w:top w:val="nil"/>
              <w:left w:val="nil"/>
              <w:bottom w:val="nil"/>
              <w:right w:val="nil"/>
              <w:tl2br w:val="nil"/>
              <w:tr2bl w:val="nil"/>
            </w:tcBorders>
            <w:shd w:val="clear" w:color="FFFFFF" w:fill="FFFFFF"/>
            <w:noWrap/>
            <w:tcMar>
              <w:left w:w="101" w:type="dxa"/>
              <w:right w:w="101" w:type="dxa"/>
            </w:tcMar>
          </w:tcPr>
          <w:p w14:paraId="06AEEDB9"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-36,542</w:t>
            </w:r>
          </w:p>
        </w:tc>
        <w:tc>
          <w:tcPr>
            <w:tcW w:w="1035" w:type="dxa"/>
            <w:tcBorders>
              <w:top w:val="nil"/>
              <w:left w:val="nil"/>
              <w:bottom w:val="nil"/>
              <w:right w:val="nil"/>
              <w:tl2br w:val="nil"/>
              <w:tr2bl w:val="nil"/>
            </w:tcBorders>
            <w:shd w:val="clear" w:color="FFFFFF" w:fill="FFFFFF"/>
            <w:noWrap/>
            <w:tcMar>
              <w:left w:w="101" w:type="dxa"/>
              <w:right w:w="101" w:type="dxa"/>
            </w:tcMar>
          </w:tcPr>
          <w:p w14:paraId="7FE28561"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-40,782</w:t>
            </w:r>
          </w:p>
        </w:tc>
        <w:tc>
          <w:tcPr>
            <w:tcW w:w="1035" w:type="dxa"/>
            <w:tcBorders>
              <w:top w:val="nil"/>
              <w:left w:val="nil"/>
              <w:bottom w:val="nil"/>
              <w:right w:val="nil"/>
              <w:tl2br w:val="nil"/>
              <w:tr2bl w:val="nil"/>
            </w:tcBorders>
            <w:shd w:val="clear" w:color="FFFFFF" w:fill="FFFFFF"/>
            <w:noWrap/>
            <w:tcMar>
              <w:left w:w="101" w:type="dxa"/>
              <w:right w:w="101" w:type="dxa"/>
            </w:tcMar>
          </w:tcPr>
          <w:p w14:paraId="3023DCC4"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-43,367</w:t>
            </w:r>
          </w:p>
        </w:tc>
      </w:tr>
      <w:tr w:rsidR="00496618" w14:paraId="3AD7E0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41C0EF3"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2745" w:type="dxa"/>
            <w:tcBorders>
              <w:top w:val="nil"/>
              <w:left w:val="nil"/>
              <w:bottom w:val="nil"/>
              <w:right w:val="nil"/>
              <w:tl2br w:val="nil"/>
              <w:tr2bl w:val="nil"/>
            </w:tcBorders>
            <w:shd w:val="clear" w:color="auto" w:fill="auto"/>
            <w:tcMar>
              <w:left w:w="101" w:type="dxa"/>
              <w:right w:w="101" w:type="dxa"/>
            </w:tcMar>
          </w:tcPr>
          <w:p w14:paraId="63765206" w14:textId="77777777" w:rsidR="00496618" w:rsidRDefault="0027723F">
            <w:pPr>
              <w:pStyle w:val="Normal12"/>
              <w:rPr>
                <w:rFonts w:ascii="Calibri" w:eastAsia="Calibri" w:hAnsi="Calibri" w:cs="Calibri"/>
                <w:color w:val="000000"/>
                <w:sz w:val="18"/>
              </w:rPr>
            </w:pPr>
            <w:r>
              <w:rPr>
                <w:rFonts w:ascii="Calibri" w:eastAsia="Calibri" w:hAnsi="Calibri" w:cs="Calibri"/>
                <w:color w:val="000000"/>
                <w:sz w:val="18"/>
              </w:rPr>
              <w:t>Inc/Dec in Asset Revaluation Reserve Surpluses</w:t>
            </w:r>
          </w:p>
        </w:tc>
        <w:tc>
          <w:tcPr>
            <w:tcW w:w="1035" w:type="dxa"/>
            <w:tcBorders>
              <w:top w:val="nil"/>
              <w:left w:val="nil"/>
              <w:bottom w:val="nil"/>
              <w:right w:val="nil"/>
              <w:tl2br w:val="nil"/>
              <w:tr2bl w:val="nil"/>
            </w:tcBorders>
            <w:shd w:val="clear" w:color="FFFFFF" w:fill="FFFFFF"/>
            <w:noWrap/>
            <w:tcMar>
              <w:left w:w="101" w:type="dxa"/>
              <w:right w:w="101" w:type="dxa"/>
            </w:tcMar>
          </w:tcPr>
          <w:p w14:paraId="4D359089"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-484</w:t>
            </w:r>
          </w:p>
        </w:tc>
        <w:tc>
          <w:tcPr>
            <w:tcW w:w="1035" w:type="dxa"/>
            <w:tcBorders>
              <w:top w:val="nil"/>
              <w:left w:val="nil"/>
              <w:bottom w:val="nil"/>
              <w:right w:val="nil"/>
              <w:tl2br w:val="nil"/>
              <w:tr2bl w:val="nil"/>
            </w:tcBorders>
            <w:shd w:val="clear" w:color="FFFFFF" w:fill="FFFFFF"/>
            <w:noWrap/>
            <w:tcMar>
              <w:left w:w="101" w:type="dxa"/>
              <w:right w:w="101" w:type="dxa"/>
            </w:tcMar>
          </w:tcPr>
          <w:p w14:paraId="1AF6C83D"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auto" w:fill="auto"/>
            <w:noWrap/>
            <w:tcMar>
              <w:left w:w="101" w:type="dxa"/>
              <w:right w:w="101" w:type="dxa"/>
            </w:tcMar>
          </w:tcPr>
          <w:p w14:paraId="086C984B"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491B1757"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F5B30E2"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86F247E"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0</w:t>
            </w:r>
          </w:p>
        </w:tc>
      </w:tr>
      <w:tr w:rsidR="00496618" w14:paraId="180551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6BFCF21" w14:textId="77777777" w:rsidR="00496618" w:rsidRDefault="00496618">
            <w:pPr>
              <w:pStyle w:val="Normal12"/>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0779E1FC" w14:textId="77777777" w:rsidR="00496618" w:rsidRDefault="00496618">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9DF2E7A"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06E56C" w14:textId="77777777" w:rsidR="00496618" w:rsidRDefault="00496618">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D9C37AD"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10C0B6"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BDF04B"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B82F8F" w14:textId="77777777" w:rsidR="00496618" w:rsidRDefault="00496618">
            <w:pPr>
              <w:pStyle w:val="Normal12"/>
              <w:rPr>
                <w:rFonts w:ascii="Calibri" w:eastAsia="Calibri" w:hAnsi="Calibri" w:cs="Calibri"/>
                <w:color w:val="000000"/>
                <w:sz w:val="18"/>
              </w:rPr>
            </w:pPr>
          </w:p>
        </w:tc>
      </w:tr>
      <w:tr w:rsidR="00496618" w14:paraId="44CA08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F0BB97B"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-25,150</w:t>
            </w:r>
          </w:p>
        </w:tc>
        <w:tc>
          <w:tcPr>
            <w:tcW w:w="2745" w:type="dxa"/>
            <w:tcBorders>
              <w:top w:val="nil"/>
              <w:left w:val="nil"/>
              <w:bottom w:val="nil"/>
              <w:right w:val="nil"/>
              <w:tl2br w:val="nil"/>
              <w:tr2bl w:val="nil"/>
            </w:tcBorders>
            <w:shd w:val="clear" w:color="FFFFFF" w:fill="FFFFFF"/>
            <w:tcMar>
              <w:left w:w="101" w:type="dxa"/>
              <w:right w:w="101" w:type="dxa"/>
            </w:tcMar>
          </w:tcPr>
          <w:p w14:paraId="1FD76F5D" w14:textId="77777777" w:rsidR="00496618" w:rsidRDefault="0027723F">
            <w:pPr>
              <w:pStyle w:val="Normal12"/>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26D807CC"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-21,377</w:t>
            </w:r>
          </w:p>
        </w:tc>
        <w:tc>
          <w:tcPr>
            <w:tcW w:w="1035" w:type="dxa"/>
            <w:tcBorders>
              <w:top w:val="nil"/>
              <w:left w:val="nil"/>
              <w:bottom w:val="nil"/>
              <w:right w:val="nil"/>
              <w:tl2br w:val="nil"/>
              <w:tr2bl w:val="nil"/>
            </w:tcBorders>
            <w:shd w:val="clear" w:color="FFFFFF" w:fill="FFFFFF"/>
            <w:noWrap/>
            <w:tcMar>
              <w:left w:w="101" w:type="dxa"/>
              <w:right w:w="101" w:type="dxa"/>
            </w:tcMar>
          </w:tcPr>
          <w:p w14:paraId="48AFDBC0"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-31,261</w:t>
            </w:r>
          </w:p>
        </w:tc>
        <w:tc>
          <w:tcPr>
            <w:tcW w:w="600" w:type="dxa"/>
            <w:tcBorders>
              <w:top w:val="nil"/>
              <w:left w:val="nil"/>
              <w:bottom w:val="nil"/>
              <w:right w:val="nil"/>
              <w:tl2br w:val="nil"/>
              <w:tr2bl w:val="nil"/>
            </w:tcBorders>
            <w:shd w:val="clear" w:color="FFFFFF" w:fill="FFFFFF"/>
            <w:noWrap/>
            <w:tcMar>
              <w:left w:w="101" w:type="dxa"/>
              <w:right w:w="101" w:type="dxa"/>
            </w:tcMar>
          </w:tcPr>
          <w:p w14:paraId="1D8E28E6"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-46 </w:t>
            </w:r>
          </w:p>
        </w:tc>
        <w:tc>
          <w:tcPr>
            <w:tcW w:w="1035" w:type="dxa"/>
            <w:tcBorders>
              <w:top w:val="nil"/>
              <w:left w:val="nil"/>
              <w:bottom w:val="nil"/>
              <w:right w:val="nil"/>
              <w:tl2br w:val="nil"/>
              <w:tr2bl w:val="nil"/>
            </w:tcBorders>
            <w:shd w:val="clear" w:color="FFFFFF" w:fill="FFFFFF"/>
            <w:noWrap/>
            <w:tcMar>
              <w:left w:w="101" w:type="dxa"/>
              <w:right w:w="101" w:type="dxa"/>
            </w:tcMar>
          </w:tcPr>
          <w:p w14:paraId="71C3B25A"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-36,542</w:t>
            </w:r>
          </w:p>
        </w:tc>
        <w:tc>
          <w:tcPr>
            <w:tcW w:w="1035" w:type="dxa"/>
            <w:tcBorders>
              <w:top w:val="nil"/>
              <w:left w:val="nil"/>
              <w:bottom w:val="nil"/>
              <w:right w:val="nil"/>
              <w:tl2br w:val="nil"/>
              <w:tr2bl w:val="nil"/>
            </w:tcBorders>
            <w:shd w:val="clear" w:color="FFFFFF" w:fill="FFFFFF"/>
            <w:noWrap/>
            <w:tcMar>
              <w:left w:w="101" w:type="dxa"/>
              <w:right w:w="101" w:type="dxa"/>
            </w:tcMar>
          </w:tcPr>
          <w:p w14:paraId="7B9E2CBD"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-40,782</w:t>
            </w:r>
          </w:p>
        </w:tc>
        <w:tc>
          <w:tcPr>
            <w:tcW w:w="1035" w:type="dxa"/>
            <w:tcBorders>
              <w:top w:val="nil"/>
              <w:left w:val="nil"/>
              <w:bottom w:val="nil"/>
              <w:right w:val="nil"/>
              <w:tl2br w:val="nil"/>
              <w:tr2bl w:val="nil"/>
            </w:tcBorders>
            <w:shd w:val="clear" w:color="FFFFFF" w:fill="FFFFFF"/>
            <w:noWrap/>
            <w:tcMar>
              <w:left w:w="101" w:type="dxa"/>
              <w:right w:w="101" w:type="dxa"/>
            </w:tcMar>
          </w:tcPr>
          <w:p w14:paraId="7E274D36"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-43,367</w:t>
            </w:r>
          </w:p>
        </w:tc>
      </w:tr>
      <w:tr w:rsidR="00496618" w14:paraId="16A856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5C367BF" w14:textId="77777777" w:rsidR="00496618" w:rsidRDefault="00496618">
            <w:pPr>
              <w:pStyle w:val="Normal12"/>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046FD339" w14:textId="77777777" w:rsidR="00496618" w:rsidRDefault="00496618">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06D419"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03AB3C" w14:textId="77777777" w:rsidR="00496618" w:rsidRDefault="00496618">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DCCE2B5"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21FF49"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4B82F0"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AEB0EED" w14:textId="77777777" w:rsidR="00496618" w:rsidRDefault="00496618">
            <w:pPr>
              <w:pStyle w:val="Normal12"/>
              <w:rPr>
                <w:rFonts w:ascii="Calibri" w:eastAsia="Calibri" w:hAnsi="Calibri" w:cs="Calibri"/>
                <w:color w:val="000000"/>
                <w:sz w:val="18"/>
              </w:rPr>
            </w:pPr>
          </w:p>
        </w:tc>
      </w:tr>
      <w:tr w:rsidR="00496618" w14:paraId="03E70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67404DC"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745" w:type="dxa"/>
            <w:tcBorders>
              <w:top w:val="nil"/>
              <w:left w:val="nil"/>
              <w:bottom w:val="nil"/>
              <w:right w:val="nil"/>
              <w:tl2br w:val="nil"/>
              <w:tr2bl w:val="nil"/>
            </w:tcBorders>
            <w:shd w:val="clear" w:color="auto" w:fill="auto"/>
            <w:tcMar>
              <w:left w:w="101" w:type="dxa"/>
              <w:right w:w="101" w:type="dxa"/>
            </w:tcMar>
          </w:tcPr>
          <w:p w14:paraId="6BEB4F59" w14:textId="77777777" w:rsidR="00496618" w:rsidRDefault="0027723F">
            <w:pPr>
              <w:pStyle w:val="Normal12"/>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D500AF5"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2C13C22"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0A2CCA1C"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73523AE8"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4AAD2F7"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86C0ACD"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0</w:t>
            </w:r>
          </w:p>
        </w:tc>
      </w:tr>
      <w:tr w:rsidR="00496618" w14:paraId="1A3999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245927E" w14:textId="77777777" w:rsidR="00496618" w:rsidRDefault="00496618">
            <w:pPr>
              <w:pStyle w:val="Normal12"/>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5211C397"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894D34"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637318" w14:textId="77777777" w:rsidR="00496618" w:rsidRDefault="00496618">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6434A31" w14:textId="77777777" w:rsidR="00496618" w:rsidRDefault="00496618">
            <w:pPr>
              <w:pStyle w:val="Normal1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E8217E9"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FDC24E0"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B7FA068" w14:textId="77777777" w:rsidR="00496618" w:rsidRDefault="00496618">
            <w:pPr>
              <w:pStyle w:val="Normal12"/>
              <w:rPr>
                <w:rFonts w:ascii="Calibri" w:eastAsia="Calibri" w:hAnsi="Calibri" w:cs="Calibri"/>
                <w:color w:val="000000"/>
                <w:sz w:val="18"/>
              </w:rPr>
            </w:pPr>
          </w:p>
        </w:tc>
      </w:tr>
      <w:tr w:rsidR="00496618" w14:paraId="472E06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EC30770" w14:textId="77777777" w:rsidR="00496618" w:rsidRDefault="00496618">
            <w:pPr>
              <w:pStyle w:val="Normal12"/>
              <w:rPr>
                <w:rFonts w:ascii="Calibri" w:eastAsia="Calibri" w:hAnsi="Calibri" w:cs="Calibri"/>
                <w:color w:val="000000"/>
                <w:sz w:val="18"/>
              </w:rPr>
            </w:pPr>
          </w:p>
        </w:tc>
        <w:tc>
          <w:tcPr>
            <w:tcW w:w="8520" w:type="dxa"/>
            <w:gridSpan w:val="7"/>
            <w:tcBorders>
              <w:top w:val="nil"/>
              <w:left w:val="nil"/>
              <w:bottom w:val="nil"/>
              <w:right w:val="nil"/>
              <w:tl2br w:val="nil"/>
              <w:tr2bl w:val="nil"/>
            </w:tcBorders>
            <w:shd w:val="clear" w:color="auto" w:fill="auto"/>
            <w:tcMar>
              <w:left w:w="101" w:type="dxa"/>
              <w:right w:w="101" w:type="dxa"/>
            </w:tcMar>
          </w:tcPr>
          <w:p w14:paraId="0B012D28" w14:textId="77777777" w:rsidR="00496618" w:rsidRDefault="0027723F">
            <w:pPr>
              <w:pStyle w:val="Normal12"/>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r>
      <w:tr w:rsidR="00496618" w14:paraId="437D5F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BB6E56B"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34,610</w:t>
            </w:r>
          </w:p>
        </w:tc>
        <w:tc>
          <w:tcPr>
            <w:tcW w:w="2745" w:type="dxa"/>
            <w:tcBorders>
              <w:top w:val="nil"/>
              <w:left w:val="nil"/>
              <w:bottom w:val="nil"/>
              <w:right w:val="nil"/>
              <w:tl2br w:val="nil"/>
              <w:tr2bl w:val="nil"/>
            </w:tcBorders>
            <w:shd w:val="clear" w:color="FFFFFF" w:fill="FFFFFF"/>
            <w:tcMar>
              <w:left w:w="101" w:type="dxa"/>
              <w:right w:w="101" w:type="dxa"/>
            </w:tcMar>
          </w:tcPr>
          <w:p w14:paraId="428C0639" w14:textId="77777777" w:rsidR="00496618" w:rsidRDefault="0027723F">
            <w:pPr>
              <w:pStyle w:val="Normal12"/>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10D79612"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32,781</w:t>
            </w:r>
          </w:p>
        </w:tc>
        <w:tc>
          <w:tcPr>
            <w:tcW w:w="1035" w:type="dxa"/>
            <w:tcBorders>
              <w:top w:val="nil"/>
              <w:left w:val="nil"/>
              <w:bottom w:val="nil"/>
              <w:right w:val="nil"/>
              <w:tl2br w:val="nil"/>
              <w:tr2bl w:val="nil"/>
            </w:tcBorders>
            <w:shd w:val="clear" w:color="FFFFFF" w:fill="FFFFFF"/>
            <w:noWrap/>
            <w:tcMar>
              <w:left w:w="101" w:type="dxa"/>
              <w:right w:w="101" w:type="dxa"/>
            </w:tcMar>
          </w:tcPr>
          <w:p w14:paraId="39A4F074"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59,760</w:t>
            </w:r>
          </w:p>
        </w:tc>
        <w:tc>
          <w:tcPr>
            <w:tcW w:w="600" w:type="dxa"/>
            <w:tcBorders>
              <w:top w:val="nil"/>
              <w:left w:val="nil"/>
              <w:bottom w:val="nil"/>
              <w:right w:val="nil"/>
              <w:tl2br w:val="nil"/>
              <w:tr2bl w:val="nil"/>
            </w:tcBorders>
            <w:shd w:val="clear" w:color="FFFFFF" w:fill="FFFFFF"/>
            <w:noWrap/>
            <w:tcMar>
              <w:left w:w="101" w:type="dxa"/>
              <w:right w:w="101" w:type="dxa"/>
            </w:tcMar>
          </w:tcPr>
          <w:p w14:paraId="07A969A9"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 xml:space="preserve">82 </w:t>
            </w:r>
          </w:p>
        </w:tc>
        <w:tc>
          <w:tcPr>
            <w:tcW w:w="1035" w:type="dxa"/>
            <w:tcBorders>
              <w:top w:val="nil"/>
              <w:left w:val="nil"/>
              <w:bottom w:val="nil"/>
              <w:right w:val="nil"/>
              <w:tl2br w:val="nil"/>
              <w:tr2bl w:val="nil"/>
            </w:tcBorders>
            <w:shd w:val="clear" w:color="FFFFFF" w:fill="FFFFFF"/>
            <w:noWrap/>
            <w:tcMar>
              <w:left w:w="101" w:type="dxa"/>
              <w:right w:w="101" w:type="dxa"/>
            </w:tcMar>
          </w:tcPr>
          <w:p w14:paraId="094731DE"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58,857</w:t>
            </w:r>
          </w:p>
        </w:tc>
        <w:tc>
          <w:tcPr>
            <w:tcW w:w="1035" w:type="dxa"/>
            <w:tcBorders>
              <w:top w:val="nil"/>
              <w:left w:val="nil"/>
              <w:bottom w:val="nil"/>
              <w:right w:val="nil"/>
              <w:tl2br w:val="nil"/>
              <w:tr2bl w:val="nil"/>
            </w:tcBorders>
            <w:shd w:val="clear" w:color="FFFFFF" w:fill="FFFFFF"/>
            <w:noWrap/>
            <w:tcMar>
              <w:left w:w="101" w:type="dxa"/>
              <w:right w:w="101" w:type="dxa"/>
            </w:tcMar>
          </w:tcPr>
          <w:p w14:paraId="0B50D157"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6,999</w:t>
            </w:r>
          </w:p>
        </w:tc>
        <w:tc>
          <w:tcPr>
            <w:tcW w:w="1035" w:type="dxa"/>
            <w:tcBorders>
              <w:top w:val="nil"/>
              <w:left w:val="nil"/>
              <w:bottom w:val="nil"/>
              <w:right w:val="nil"/>
              <w:tl2br w:val="nil"/>
              <w:tr2bl w:val="nil"/>
            </w:tcBorders>
            <w:shd w:val="clear" w:color="FFFFFF" w:fill="FFFFFF"/>
            <w:noWrap/>
            <w:tcMar>
              <w:left w:w="101" w:type="dxa"/>
              <w:right w:w="101" w:type="dxa"/>
            </w:tcMar>
          </w:tcPr>
          <w:p w14:paraId="367BB938"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5,512</w:t>
            </w:r>
          </w:p>
        </w:tc>
      </w:tr>
      <w:tr w:rsidR="00496618" w14:paraId="05CA37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BB92647" w14:textId="77777777" w:rsidR="00496618" w:rsidRDefault="00496618">
            <w:pPr>
              <w:pStyle w:val="Normal12"/>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48FE3EF8"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C28D61"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B6A18C" w14:textId="77777777" w:rsidR="00496618" w:rsidRDefault="00496618">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F60537F" w14:textId="77777777" w:rsidR="00496618" w:rsidRDefault="00496618">
            <w:pPr>
              <w:pStyle w:val="Normal1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700E99"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ECC6CA"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9330F7" w14:textId="77777777" w:rsidR="00496618" w:rsidRDefault="00496618">
            <w:pPr>
              <w:pStyle w:val="Normal12"/>
              <w:rPr>
                <w:rFonts w:ascii="Calibri" w:eastAsia="Calibri" w:hAnsi="Calibri" w:cs="Calibri"/>
                <w:color w:val="000000"/>
                <w:sz w:val="18"/>
              </w:rPr>
            </w:pPr>
          </w:p>
        </w:tc>
      </w:tr>
      <w:tr w:rsidR="00496618" w14:paraId="3FBD76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39C7517A"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34,610</w:t>
            </w:r>
          </w:p>
        </w:tc>
        <w:tc>
          <w:tcPr>
            <w:tcW w:w="2745" w:type="dxa"/>
            <w:tcBorders>
              <w:top w:val="nil"/>
              <w:left w:val="nil"/>
              <w:bottom w:val="nil"/>
              <w:right w:val="nil"/>
              <w:tl2br w:val="nil"/>
              <w:tr2bl w:val="nil"/>
            </w:tcBorders>
            <w:shd w:val="clear" w:color="auto" w:fill="auto"/>
            <w:tcMar>
              <w:left w:w="101" w:type="dxa"/>
              <w:right w:w="101" w:type="dxa"/>
            </w:tcMar>
          </w:tcPr>
          <w:p w14:paraId="2E8D766F" w14:textId="77777777" w:rsidR="00496618" w:rsidRDefault="0027723F">
            <w:pPr>
              <w:pStyle w:val="Normal12"/>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405543F"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32,781</w:t>
            </w:r>
          </w:p>
        </w:tc>
        <w:tc>
          <w:tcPr>
            <w:tcW w:w="1035" w:type="dxa"/>
            <w:tcBorders>
              <w:top w:val="nil"/>
              <w:left w:val="nil"/>
              <w:bottom w:val="nil"/>
              <w:right w:val="nil"/>
              <w:tl2br w:val="nil"/>
              <w:tr2bl w:val="nil"/>
            </w:tcBorders>
            <w:shd w:val="clear" w:color="FFFFFF" w:fill="FFFFFF"/>
            <w:noWrap/>
            <w:tcMar>
              <w:left w:w="101" w:type="dxa"/>
              <w:right w:w="101" w:type="dxa"/>
            </w:tcMar>
          </w:tcPr>
          <w:p w14:paraId="5B7DB925"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59,760</w:t>
            </w:r>
          </w:p>
        </w:tc>
        <w:tc>
          <w:tcPr>
            <w:tcW w:w="600" w:type="dxa"/>
            <w:tcBorders>
              <w:top w:val="nil"/>
              <w:left w:val="nil"/>
              <w:bottom w:val="nil"/>
              <w:right w:val="nil"/>
              <w:tl2br w:val="nil"/>
              <w:tr2bl w:val="nil"/>
            </w:tcBorders>
            <w:shd w:val="clear" w:color="FFFFFF" w:fill="FFFFFF"/>
            <w:noWrap/>
            <w:tcMar>
              <w:left w:w="101" w:type="dxa"/>
              <w:right w:w="101" w:type="dxa"/>
            </w:tcMar>
          </w:tcPr>
          <w:p w14:paraId="0134AC7E"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82 </w:t>
            </w:r>
          </w:p>
        </w:tc>
        <w:tc>
          <w:tcPr>
            <w:tcW w:w="1035" w:type="dxa"/>
            <w:tcBorders>
              <w:top w:val="nil"/>
              <w:left w:val="nil"/>
              <w:bottom w:val="nil"/>
              <w:right w:val="nil"/>
              <w:tl2br w:val="nil"/>
              <w:tr2bl w:val="nil"/>
            </w:tcBorders>
            <w:shd w:val="clear" w:color="FFFFFF" w:fill="FFFFFF"/>
            <w:noWrap/>
            <w:tcMar>
              <w:left w:w="101" w:type="dxa"/>
              <w:right w:w="101" w:type="dxa"/>
            </w:tcMar>
          </w:tcPr>
          <w:p w14:paraId="5CCA0E67"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58,857</w:t>
            </w:r>
          </w:p>
        </w:tc>
        <w:tc>
          <w:tcPr>
            <w:tcW w:w="1035" w:type="dxa"/>
            <w:tcBorders>
              <w:top w:val="nil"/>
              <w:left w:val="nil"/>
              <w:bottom w:val="nil"/>
              <w:right w:val="nil"/>
              <w:tl2br w:val="nil"/>
              <w:tr2bl w:val="nil"/>
            </w:tcBorders>
            <w:shd w:val="clear" w:color="FFFFFF" w:fill="FFFFFF"/>
            <w:noWrap/>
            <w:tcMar>
              <w:left w:w="101" w:type="dxa"/>
              <w:right w:w="101" w:type="dxa"/>
            </w:tcMar>
          </w:tcPr>
          <w:p w14:paraId="4E975AD6"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6,999</w:t>
            </w:r>
          </w:p>
        </w:tc>
        <w:tc>
          <w:tcPr>
            <w:tcW w:w="1035" w:type="dxa"/>
            <w:tcBorders>
              <w:top w:val="nil"/>
              <w:left w:val="nil"/>
              <w:bottom w:val="nil"/>
              <w:right w:val="nil"/>
              <w:tl2br w:val="nil"/>
              <w:tr2bl w:val="nil"/>
            </w:tcBorders>
            <w:shd w:val="clear" w:color="FFFFFF" w:fill="FFFFFF"/>
            <w:noWrap/>
            <w:tcMar>
              <w:left w:w="101" w:type="dxa"/>
              <w:right w:w="101" w:type="dxa"/>
            </w:tcMar>
          </w:tcPr>
          <w:p w14:paraId="1F84ABBF"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5,512</w:t>
            </w:r>
          </w:p>
        </w:tc>
      </w:tr>
      <w:tr w:rsidR="00496618" w14:paraId="1E465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2727532" w14:textId="77777777" w:rsidR="00496618" w:rsidRDefault="00496618">
            <w:pPr>
              <w:pStyle w:val="Normal12"/>
              <w:rPr>
                <w:rFonts w:ascii="Calibri" w:eastAsia="Calibri" w:hAnsi="Calibri" w:cs="Calibri"/>
                <w:color w:val="000000"/>
                <w:sz w:val="18"/>
              </w:rPr>
            </w:pPr>
          </w:p>
        </w:tc>
        <w:tc>
          <w:tcPr>
            <w:tcW w:w="2745" w:type="dxa"/>
            <w:tcBorders>
              <w:top w:val="nil"/>
              <w:left w:val="nil"/>
              <w:bottom w:val="nil"/>
              <w:right w:val="nil"/>
              <w:tl2br w:val="nil"/>
              <w:tr2bl w:val="nil"/>
            </w:tcBorders>
            <w:shd w:val="clear" w:color="FFFFFF" w:fill="FFFFFF"/>
            <w:tcMar>
              <w:left w:w="0" w:type="dxa"/>
              <w:right w:w="0" w:type="dxa"/>
            </w:tcMar>
          </w:tcPr>
          <w:p w14:paraId="5C06EDD5"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DEE916"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A0A943" w14:textId="77777777" w:rsidR="00496618" w:rsidRDefault="00496618">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88A58FC" w14:textId="77777777" w:rsidR="00496618" w:rsidRDefault="00496618">
            <w:pPr>
              <w:pStyle w:val="Normal1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84C018"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CA3EFE"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DF943A" w14:textId="77777777" w:rsidR="00496618" w:rsidRDefault="00496618">
            <w:pPr>
              <w:pStyle w:val="Normal12"/>
              <w:rPr>
                <w:rFonts w:ascii="Calibri" w:eastAsia="Calibri" w:hAnsi="Calibri" w:cs="Calibri"/>
                <w:color w:val="000000"/>
                <w:sz w:val="18"/>
              </w:rPr>
            </w:pPr>
          </w:p>
        </w:tc>
      </w:tr>
      <w:tr w:rsidR="00496618" w14:paraId="2E13C3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C423BE4" w14:textId="77777777" w:rsidR="00496618" w:rsidRDefault="00496618">
            <w:pPr>
              <w:pStyle w:val="Normal12"/>
              <w:rPr>
                <w:rFonts w:ascii="Calibri" w:eastAsia="Calibri" w:hAnsi="Calibri" w:cs="Calibri"/>
                <w:color w:val="000000"/>
                <w:sz w:val="18"/>
              </w:rPr>
            </w:pPr>
          </w:p>
        </w:tc>
        <w:tc>
          <w:tcPr>
            <w:tcW w:w="2745" w:type="dxa"/>
            <w:tcBorders>
              <w:top w:val="nil"/>
              <w:left w:val="nil"/>
              <w:bottom w:val="nil"/>
              <w:right w:val="nil"/>
              <w:tl2br w:val="nil"/>
              <w:tr2bl w:val="nil"/>
            </w:tcBorders>
            <w:shd w:val="clear" w:color="auto" w:fill="auto"/>
            <w:tcMar>
              <w:left w:w="101" w:type="dxa"/>
              <w:right w:w="101" w:type="dxa"/>
            </w:tcMar>
          </w:tcPr>
          <w:p w14:paraId="64005FA9" w14:textId="77777777" w:rsidR="00496618" w:rsidRDefault="0027723F">
            <w:pPr>
              <w:pStyle w:val="Normal12"/>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7D62BB52"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FB92C54" w14:textId="77777777" w:rsidR="00496618" w:rsidRDefault="00496618">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DE66FF4" w14:textId="77777777" w:rsidR="00496618" w:rsidRDefault="00496618">
            <w:pPr>
              <w:pStyle w:val="Normal1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61AA85"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D7AA14" w14:textId="77777777" w:rsidR="00496618" w:rsidRDefault="00496618">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A47B1C" w14:textId="77777777" w:rsidR="00496618" w:rsidRDefault="00496618">
            <w:pPr>
              <w:pStyle w:val="Normal12"/>
              <w:rPr>
                <w:rFonts w:ascii="Calibri" w:eastAsia="Calibri" w:hAnsi="Calibri" w:cs="Calibri"/>
                <w:color w:val="000000"/>
                <w:sz w:val="18"/>
              </w:rPr>
            </w:pPr>
          </w:p>
        </w:tc>
      </w:tr>
      <w:tr w:rsidR="00496618" w14:paraId="2164EB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747A4C2"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94,015</w:t>
            </w:r>
          </w:p>
        </w:tc>
        <w:tc>
          <w:tcPr>
            <w:tcW w:w="2745" w:type="dxa"/>
            <w:tcBorders>
              <w:top w:val="nil"/>
              <w:left w:val="nil"/>
              <w:bottom w:val="nil"/>
              <w:right w:val="nil"/>
              <w:tl2br w:val="nil"/>
              <w:tr2bl w:val="nil"/>
            </w:tcBorders>
            <w:shd w:val="clear" w:color="auto" w:fill="auto"/>
            <w:tcMar>
              <w:left w:w="101" w:type="dxa"/>
              <w:right w:w="101" w:type="dxa"/>
            </w:tcMar>
          </w:tcPr>
          <w:p w14:paraId="2288948C" w14:textId="77777777" w:rsidR="00496618" w:rsidRDefault="0027723F">
            <w:pPr>
              <w:pStyle w:val="Normal12"/>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6CB7922D"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96,446</w:t>
            </w:r>
          </w:p>
        </w:tc>
        <w:tc>
          <w:tcPr>
            <w:tcW w:w="1035" w:type="dxa"/>
            <w:tcBorders>
              <w:top w:val="nil"/>
              <w:left w:val="nil"/>
              <w:bottom w:val="nil"/>
              <w:right w:val="nil"/>
              <w:tl2br w:val="nil"/>
              <w:tr2bl w:val="nil"/>
            </w:tcBorders>
            <w:shd w:val="clear" w:color="FFFFFF" w:fill="FFFFFF"/>
            <w:noWrap/>
            <w:tcMar>
              <w:left w:w="101" w:type="dxa"/>
              <w:right w:w="101" w:type="dxa"/>
            </w:tcMar>
          </w:tcPr>
          <w:p w14:paraId="596FC7F3"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124,945</w:t>
            </w:r>
          </w:p>
        </w:tc>
        <w:tc>
          <w:tcPr>
            <w:tcW w:w="600" w:type="dxa"/>
            <w:tcBorders>
              <w:top w:val="nil"/>
              <w:left w:val="nil"/>
              <w:bottom w:val="nil"/>
              <w:right w:val="nil"/>
              <w:tl2br w:val="nil"/>
              <w:tr2bl w:val="nil"/>
            </w:tcBorders>
            <w:shd w:val="clear" w:color="FFFFFF" w:fill="FFFFFF"/>
            <w:noWrap/>
            <w:tcMar>
              <w:left w:w="101" w:type="dxa"/>
              <w:right w:w="101" w:type="dxa"/>
            </w:tcMar>
          </w:tcPr>
          <w:p w14:paraId="30569C01"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 xml:space="preserve">30 </w:t>
            </w:r>
          </w:p>
        </w:tc>
        <w:tc>
          <w:tcPr>
            <w:tcW w:w="1035" w:type="dxa"/>
            <w:tcBorders>
              <w:top w:val="nil"/>
              <w:left w:val="nil"/>
              <w:bottom w:val="nil"/>
              <w:right w:val="nil"/>
              <w:tl2br w:val="nil"/>
              <w:tr2bl w:val="nil"/>
            </w:tcBorders>
            <w:shd w:val="clear" w:color="FFFFFF" w:fill="FFFFFF"/>
            <w:noWrap/>
            <w:tcMar>
              <w:left w:w="101" w:type="dxa"/>
              <w:right w:w="101" w:type="dxa"/>
            </w:tcMar>
          </w:tcPr>
          <w:p w14:paraId="05ABAD55"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147,260</w:t>
            </w:r>
          </w:p>
        </w:tc>
        <w:tc>
          <w:tcPr>
            <w:tcW w:w="1035" w:type="dxa"/>
            <w:tcBorders>
              <w:top w:val="nil"/>
              <w:left w:val="nil"/>
              <w:bottom w:val="nil"/>
              <w:right w:val="nil"/>
              <w:tl2br w:val="nil"/>
              <w:tr2bl w:val="nil"/>
            </w:tcBorders>
            <w:shd w:val="clear" w:color="FFFFFF" w:fill="FFFFFF"/>
            <w:noWrap/>
            <w:tcMar>
              <w:left w:w="101" w:type="dxa"/>
              <w:right w:w="101" w:type="dxa"/>
            </w:tcMar>
          </w:tcPr>
          <w:p w14:paraId="262536A0"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113,477</w:t>
            </w:r>
          </w:p>
        </w:tc>
        <w:tc>
          <w:tcPr>
            <w:tcW w:w="1035" w:type="dxa"/>
            <w:tcBorders>
              <w:top w:val="nil"/>
              <w:left w:val="nil"/>
              <w:bottom w:val="nil"/>
              <w:right w:val="nil"/>
              <w:tl2br w:val="nil"/>
              <w:tr2bl w:val="nil"/>
            </w:tcBorders>
            <w:shd w:val="clear" w:color="FFFFFF" w:fill="FFFFFF"/>
            <w:noWrap/>
            <w:tcMar>
              <w:left w:w="101" w:type="dxa"/>
              <w:right w:w="101" w:type="dxa"/>
            </w:tcMar>
          </w:tcPr>
          <w:p w14:paraId="7CAD5A0F"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75,622</w:t>
            </w:r>
          </w:p>
        </w:tc>
      </w:tr>
      <w:tr w:rsidR="00496618" w14:paraId="7A8A4E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7B16FC3"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17,424</w:t>
            </w:r>
          </w:p>
        </w:tc>
        <w:tc>
          <w:tcPr>
            <w:tcW w:w="2745" w:type="dxa"/>
            <w:tcBorders>
              <w:top w:val="nil"/>
              <w:left w:val="nil"/>
              <w:bottom w:val="nil"/>
              <w:right w:val="nil"/>
              <w:tl2br w:val="nil"/>
              <w:tr2bl w:val="nil"/>
            </w:tcBorders>
            <w:shd w:val="clear" w:color="auto" w:fill="auto"/>
            <w:tcMar>
              <w:left w:w="101" w:type="dxa"/>
              <w:right w:w="101" w:type="dxa"/>
            </w:tcMar>
          </w:tcPr>
          <w:p w14:paraId="2D195C9D" w14:textId="77777777" w:rsidR="00496618" w:rsidRDefault="0027723F">
            <w:pPr>
              <w:pStyle w:val="Normal12"/>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4102C588"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16,940</w:t>
            </w:r>
          </w:p>
        </w:tc>
        <w:tc>
          <w:tcPr>
            <w:tcW w:w="1035" w:type="dxa"/>
            <w:tcBorders>
              <w:top w:val="nil"/>
              <w:left w:val="nil"/>
              <w:bottom w:val="nil"/>
              <w:right w:val="nil"/>
              <w:tl2br w:val="nil"/>
              <w:tr2bl w:val="nil"/>
            </w:tcBorders>
            <w:shd w:val="clear" w:color="FFFFFF" w:fill="FFFFFF"/>
            <w:noWrap/>
            <w:tcMar>
              <w:left w:w="101" w:type="dxa"/>
              <w:right w:w="101" w:type="dxa"/>
            </w:tcMar>
          </w:tcPr>
          <w:p w14:paraId="2260CBB9"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16,940</w:t>
            </w:r>
          </w:p>
        </w:tc>
        <w:tc>
          <w:tcPr>
            <w:tcW w:w="600" w:type="dxa"/>
            <w:tcBorders>
              <w:top w:val="nil"/>
              <w:left w:val="nil"/>
              <w:bottom w:val="nil"/>
              <w:right w:val="nil"/>
              <w:tl2br w:val="nil"/>
              <w:tr2bl w:val="nil"/>
            </w:tcBorders>
            <w:shd w:val="clear" w:color="FFFFFF" w:fill="FFFFFF"/>
            <w:noWrap/>
            <w:tcMar>
              <w:left w:w="101" w:type="dxa"/>
              <w:right w:w="101" w:type="dxa"/>
            </w:tcMar>
          </w:tcPr>
          <w:p w14:paraId="76743F76"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4B3881A"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16,940</w:t>
            </w:r>
          </w:p>
        </w:tc>
        <w:tc>
          <w:tcPr>
            <w:tcW w:w="1035" w:type="dxa"/>
            <w:tcBorders>
              <w:top w:val="nil"/>
              <w:left w:val="nil"/>
              <w:bottom w:val="nil"/>
              <w:right w:val="nil"/>
              <w:tl2br w:val="nil"/>
              <w:tr2bl w:val="nil"/>
            </w:tcBorders>
            <w:shd w:val="clear" w:color="FFFFFF" w:fill="FFFFFF"/>
            <w:noWrap/>
            <w:tcMar>
              <w:left w:w="101" w:type="dxa"/>
              <w:right w:w="101" w:type="dxa"/>
            </w:tcMar>
          </w:tcPr>
          <w:p w14:paraId="56793F8F"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16,940</w:t>
            </w:r>
          </w:p>
        </w:tc>
        <w:tc>
          <w:tcPr>
            <w:tcW w:w="1035" w:type="dxa"/>
            <w:tcBorders>
              <w:top w:val="nil"/>
              <w:left w:val="nil"/>
              <w:bottom w:val="nil"/>
              <w:right w:val="nil"/>
              <w:tl2br w:val="nil"/>
              <w:tr2bl w:val="nil"/>
            </w:tcBorders>
            <w:shd w:val="clear" w:color="FFFFFF" w:fill="FFFFFF"/>
            <w:noWrap/>
            <w:tcMar>
              <w:left w:w="101" w:type="dxa"/>
              <w:right w:w="101" w:type="dxa"/>
            </w:tcMar>
          </w:tcPr>
          <w:p w14:paraId="0488434B" w14:textId="77777777" w:rsidR="00496618" w:rsidRDefault="0027723F">
            <w:pPr>
              <w:pStyle w:val="Normal12"/>
              <w:jc w:val="right"/>
              <w:rPr>
                <w:rFonts w:ascii="Calibri" w:eastAsia="Calibri" w:hAnsi="Calibri" w:cs="Calibri"/>
                <w:color w:val="000000"/>
                <w:sz w:val="18"/>
              </w:rPr>
            </w:pPr>
            <w:r>
              <w:rPr>
                <w:rFonts w:ascii="Calibri" w:eastAsia="Calibri" w:hAnsi="Calibri" w:cs="Calibri"/>
                <w:color w:val="000000"/>
                <w:sz w:val="18"/>
              </w:rPr>
              <w:t>16,940</w:t>
            </w:r>
          </w:p>
        </w:tc>
      </w:tr>
      <w:tr w:rsidR="00496618" w14:paraId="6BAEEA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B21FF4C"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111,439</w:t>
            </w:r>
          </w:p>
        </w:tc>
        <w:tc>
          <w:tcPr>
            <w:tcW w:w="2745" w:type="dxa"/>
            <w:tcBorders>
              <w:top w:val="nil"/>
              <w:left w:val="nil"/>
              <w:bottom w:val="nil"/>
              <w:right w:val="nil"/>
              <w:tl2br w:val="nil"/>
              <w:tr2bl w:val="nil"/>
            </w:tcBorders>
            <w:shd w:val="clear" w:color="FFFFFF" w:fill="FFFFFF"/>
            <w:tcMar>
              <w:left w:w="101" w:type="dxa"/>
              <w:right w:w="101" w:type="dxa"/>
            </w:tcMar>
          </w:tcPr>
          <w:p w14:paraId="024BB7EB" w14:textId="77777777" w:rsidR="00496618" w:rsidRDefault="0027723F">
            <w:pPr>
              <w:pStyle w:val="Normal12"/>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2DDB536A"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113,386</w:t>
            </w:r>
          </w:p>
        </w:tc>
        <w:tc>
          <w:tcPr>
            <w:tcW w:w="1035" w:type="dxa"/>
            <w:tcBorders>
              <w:top w:val="nil"/>
              <w:left w:val="nil"/>
              <w:bottom w:val="nil"/>
              <w:right w:val="nil"/>
              <w:tl2br w:val="nil"/>
              <w:tr2bl w:val="nil"/>
            </w:tcBorders>
            <w:shd w:val="clear" w:color="FFFFFF" w:fill="FFFFFF"/>
            <w:noWrap/>
            <w:tcMar>
              <w:left w:w="101" w:type="dxa"/>
              <w:right w:w="101" w:type="dxa"/>
            </w:tcMar>
          </w:tcPr>
          <w:p w14:paraId="521BE752"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141,885</w:t>
            </w:r>
          </w:p>
        </w:tc>
        <w:tc>
          <w:tcPr>
            <w:tcW w:w="600" w:type="dxa"/>
            <w:tcBorders>
              <w:top w:val="nil"/>
              <w:left w:val="nil"/>
              <w:bottom w:val="nil"/>
              <w:right w:val="nil"/>
              <w:tl2br w:val="nil"/>
              <w:tr2bl w:val="nil"/>
            </w:tcBorders>
            <w:shd w:val="clear" w:color="FFFFFF" w:fill="FFFFFF"/>
            <w:noWrap/>
            <w:tcMar>
              <w:left w:w="101" w:type="dxa"/>
              <w:right w:w="101" w:type="dxa"/>
            </w:tcMar>
          </w:tcPr>
          <w:p w14:paraId="13860F28"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25</w:t>
            </w:r>
          </w:p>
        </w:tc>
        <w:tc>
          <w:tcPr>
            <w:tcW w:w="1035" w:type="dxa"/>
            <w:tcBorders>
              <w:top w:val="nil"/>
              <w:left w:val="nil"/>
              <w:bottom w:val="nil"/>
              <w:right w:val="nil"/>
              <w:tl2br w:val="nil"/>
              <w:tr2bl w:val="nil"/>
            </w:tcBorders>
            <w:shd w:val="clear" w:color="FFFFFF" w:fill="FFFFFF"/>
            <w:noWrap/>
            <w:tcMar>
              <w:left w:w="101" w:type="dxa"/>
              <w:right w:w="101" w:type="dxa"/>
            </w:tcMar>
          </w:tcPr>
          <w:p w14:paraId="19002742"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164,200</w:t>
            </w:r>
          </w:p>
        </w:tc>
        <w:tc>
          <w:tcPr>
            <w:tcW w:w="1035" w:type="dxa"/>
            <w:tcBorders>
              <w:top w:val="nil"/>
              <w:left w:val="nil"/>
              <w:bottom w:val="nil"/>
              <w:right w:val="nil"/>
              <w:tl2br w:val="nil"/>
              <w:tr2bl w:val="nil"/>
            </w:tcBorders>
            <w:shd w:val="clear" w:color="FFFFFF" w:fill="FFFFFF"/>
            <w:noWrap/>
            <w:tcMar>
              <w:left w:w="101" w:type="dxa"/>
              <w:right w:w="101" w:type="dxa"/>
            </w:tcMar>
          </w:tcPr>
          <w:p w14:paraId="35EECB85"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130,417</w:t>
            </w:r>
          </w:p>
        </w:tc>
        <w:tc>
          <w:tcPr>
            <w:tcW w:w="1035" w:type="dxa"/>
            <w:tcBorders>
              <w:top w:val="nil"/>
              <w:left w:val="nil"/>
              <w:bottom w:val="nil"/>
              <w:right w:val="nil"/>
              <w:tl2br w:val="nil"/>
              <w:tr2bl w:val="nil"/>
            </w:tcBorders>
            <w:shd w:val="clear" w:color="FFFFFF" w:fill="FFFFFF"/>
            <w:noWrap/>
            <w:tcMar>
              <w:left w:w="101" w:type="dxa"/>
              <w:right w:w="101" w:type="dxa"/>
            </w:tcMar>
          </w:tcPr>
          <w:p w14:paraId="25027E2A" w14:textId="77777777" w:rsidR="00496618" w:rsidRDefault="0027723F">
            <w:pPr>
              <w:pStyle w:val="Normal12"/>
              <w:jc w:val="right"/>
              <w:rPr>
                <w:rFonts w:ascii="Calibri" w:eastAsia="Calibri" w:hAnsi="Calibri" w:cs="Calibri"/>
                <w:b/>
                <w:color w:val="000000"/>
                <w:sz w:val="18"/>
              </w:rPr>
            </w:pPr>
            <w:r>
              <w:rPr>
                <w:rFonts w:ascii="Calibri" w:eastAsia="Calibri" w:hAnsi="Calibri" w:cs="Calibri"/>
                <w:b/>
                <w:color w:val="000000"/>
                <w:sz w:val="18"/>
              </w:rPr>
              <w:t>92,562</w:t>
            </w:r>
          </w:p>
        </w:tc>
      </w:tr>
      <w:tr w:rsidR="00496618" w14:paraId="3DA88D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06F9067" w14:textId="77777777" w:rsidR="00496618" w:rsidRDefault="00496618">
            <w:pPr>
              <w:pStyle w:val="Normal12"/>
              <w:rPr>
                <w:rFonts w:ascii="Calibri" w:eastAsia="Calibri" w:hAnsi="Calibri" w:cs="Calibri"/>
                <w:color w:val="000000"/>
                <w:sz w:val="18"/>
              </w:rPr>
            </w:pPr>
          </w:p>
        </w:tc>
        <w:tc>
          <w:tcPr>
            <w:tcW w:w="2745" w:type="dxa"/>
            <w:tcBorders>
              <w:top w:val="nil"/>
              <w:left w:val="nil"/>
              <w:bottom w:val="single" w:sz="4" w:space="0" w:color="000000"/>
              <w:right w:val="nil"/>
              <w:tl2br w:val="nil"/>
              <w:tr2bl w:val="nil"/>
            </w:tcBorders>
            <w:shd w:val="clear" w:color="FFFFFF" w:fill="FFFFFF"/>
            <w:tcMar>
              <w:left w:w="0" w:type="dxa"/>
              <w:right w:w="0" w:type="dxa"/>
            </w:tcMar>
          </w:tcPr>
          <w:p w14:paraId="43038720" w14:textId="77777777" w:rsidR="00496618" w:rsidRDefault="00496618">
            <w:pPr>
              <w:pStyle w:val="Normal1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963A9F1" w14:textId="77777777" w:rsidR="00496618" w:rsidRDefault="00496618">
            <w:pPr>
              <w:pStyle w:val="Normal1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F7B8226" w14:textId="77777777" w:rsidR="00496618" w:rsidRDefault="00496618">
            <w:pPr>
              <w:pStyle w:val="Normal12"/>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403CF8E5" w14:textId="77777777" w:rsidR="00496618" w:rsidRDefault="00496618">
            <w:pPr>
              <w:pStyle w:val="Normal1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E25443A" w14:textId="77777777" w:rsidR="00496618" w:rsidRDefault="00496618">
            <w:pPr>
              <w:pStyle w:val="Normal1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6B75982" w14:textId="77777777" w:rsidR="00496618" w:rsidRDefault="00496618">
            <w:pPr>
              <w:pStyle w:val="Normal1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2F1B48E" w14:textId="77777777" w:rsidR="00496618" w:rsidRDefault="00496618">
            <w:pPr>
              <w:pStyle w:val="Normal12"/>
              <w:rPr>
                <w:rFonts w:ascii="Calibri" w:eastAsia="Calibri" w:hAnsi="Calibri" w:cs="Calibri"/>
                <w:color w:val="000000"/>
                <w:sz w:val="18"/>
              </w:rPr>
            </w:pPr>
          </w:p>
        </w:tc>
      </w:tr>
    </w:tbl>
    <w:p w14:paraId="08847CD2" w14:textId="77777777" w:rsidR="00EB585F" w:rsidRDefault="00EB585F" w:rsidP="00EB585F">
      <w:pPr>
        <w:pStyle w:val="Caption"/>
      </w:pPr>
    </w:p>
    <w:p w14:paraId="0BB3512E" w14:textId="77777777" w:rsidR="00EB585F" w:rsidRDefault="00EB585F">
      <w:pPr>
        <w:spacing w:before="0" w:after="0"/>
        <w:rPr>
          <w:b/>
          <w:bCs/>
          <w:color w:val="000000"/>
          <w:sz w:val="22"/>
          <w:szCs w:val="18"/>
        </w:rPr>
      </w:pPr>
      <w:r>
        <w:br w:type="page"/>
      </w:r>
    </w:p>
    <w:p w14:paraId="065569DD" w14:textId="5DB534B1" w:rsidR="001F6B18" w:rsidRPr="00EB585F" w:rsidRDefault="0027723F" w:rsidP="00EB585F">
      <w:pPr>
        <w:pStyle w:val="Caption"/>
      </w:pPr>
      <w:r w:rsidRPr="00EB585F">
        <w:lastRenderedPageBreak/>
        <w:t xml:space="preserve">Table 26: ACT Health Directorate: Cash Flow Statement </w:t>
      </w:r>
    </w:p>
    <w:tbl>
      <w:tblPr>
        <w:tblStyle w:val="CDMRange24"/>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496618" w14:paraId="09F74FF5"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5CAFC15"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27357F55" w14:textId="77777777" w:rsidR="00496618" w:rsidRDefault="00496618">
            <w:pPr>
              <w:pStyle w:val="Normal13"/>
              <w:jc w:val="right"/>
              <w:rPr>
                <w:rFonts w:ascii="Calibri" w:eastAsia="Calibri" w:hAnsi="Calibri" w:cs="Calibri"/>
                <w:b/>
                <w:color w:val="000000"/>
                <w:sz w:val="18"/>
              </w:rPr>
            </w:pPr>
          </w:p>
          <w:p w14:paraId="4A62A137"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4CFA3CE" w14:textId="77777777" w:rsidR="00496618" w:rsidRDefault="00496618">
            <w:pPr>
              <w:pStyle w:val="Normal13"/>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CCBF418"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76029E3"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6F33DC54" w14:textId="77777777" w:rsidR="00496618" w:rsidRDefault="00496618">
            <w:pPr>
              <w:pStyle w:val="Normal13"/>
              <w:jc w:val="right"/>
              <w:rPr>
                <w:rFonts w:ascii="Calibri" w:eastAsia="Calibri" w:hAnsi="Calibri" w:cs="Calibri"/>
                <w:b/>
                <w:color w:val="000000"/>
                <w:sz w:val="18"/>
              </w:rPr>
            </w:pPr>
          </w:p>
          <w:p w14:paraId="33986DD0"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9B9A298"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Var </w:t>
            </w:r>
          </w:p>
          <w:p w14:paraId="619F9FD9"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3C420C6"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562A16B5" w14:textId="77777777" w:rsidR="00496618" w:rsidRDefault="00496618">
            <w:pPr>
              <w:pStyle w:val="Normal13"/>
              <w:jc w:val="right"/>
              <w:rPr>
                <w:rFonts w:ascii="Calibri" w:eastAsia="Calibri" w:hAnsi="Calibri" w:cs="Calibri"/>
                <w:b/>
                <w:color w:val="000000"/>
                <w:sz w:val="18"/>
              </w:rPr>
            </w:pPr>
          </w:p>
          <w:p w14:paraId="27B6023C"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C808188"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38F5E7B1" w14:textId="77777777" w:rsidR="00496618" w:rsidRDefault="00496618">
            <w:pPr>
              <w:pStyle w:val="Normal13"/>
              <w:jc w:val="right"/>
              <w:rPr>
                <w:rFonts w:ascii="Calibri" w:eastAsia="Calibri" w:hAnsi="Calibri" w:cs="Calibri"/>
                <w:b/>
                <w:color w:val="000000"/>
                <w:sz w:val="18"/>
              </w:rPr>
            </w:pPr>
          </w:p>
          <w:p w14:paraId="4CC64E5C"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B91030"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4CAEE970" w14:textId="77777777" w:rsidR="00496618" w:rsidRDefault="00496618">
            <w:pPr>
              <w:pStyle w:val="Normal13"/>
              <w:jc w:val="right"/>
              <w:rPr>
                <w:rFonts w:ascii="Calibri" w:eastAsia="Calibri" w:hAnsi="Calibri" w:cs="Calibri"/>
                <w:b/>
                <w:color w:val="000000"/>
                <w:sz w:val="18"/>
              </w:rPr>
            </w:pPr>
          </w:p>
          <w:p w14:paraId="6D3E4C05"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496618" w14:paraId="1927EE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FC33275" w14:textId="77777777" w:rsidR="00496618" w:rsidRDefault="00496618">
            <w:pPr>
              <w:pStyle w:val="Normal13"/>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2E73A525" w14:textId="77777777" w:rsidR="00496618" w:rsidRDefault="00496618">
            <w:pPr>
              <w:pStyle w:val="Normal13"/>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59352FC" w14:textId="77777777" w:rsidR="00496618" w:rsidRDefault="00496618">
            <w:pPr>
              <w:pStyle w:val="Normal1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FE35F85" w14:textId="77777777" w:rsidR="00496618" w:rsidRDefault="00496618">
            <w:pPr>
              <w:pStyle w:val="Normal13"/>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0D44037" w14:textId="77777777" w:rsidR="00496618" w:rsidRDefault="00496618">
            <w:pPr>
              <w:pStyle w:val="Normal1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9B06216" w14:textId="77777777" w:rsidR="00496618" w:rsidRDefault="00496618">
            <w:pPr>
              <w:pStyle w:val="Normal1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EAFB33F" w14:textId="77777777" w:rsidR="00496618" w:rsidRDefault="00496618">
            <w:pPr>
              <w:pStyle w:val="Normal1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57C35C7" w14:textId="77777777" w:rsidR="00496618" w:rsidRDefault="00496618">
            <w:pPr>
              <w:pStyle w:val="Normal13"/>
              <w:jc w:val="right"/>
              <w:rPr>
                <w:rFonts w:ascii="Calibri" w:eastAsia="Calibri" w:hAnsi="Calibri" w:cs="Calibri"/>
                <w:b/>
                <w:i/>
                <w:color w:val="000000"/>
                <w:sz w:val="18"/>
              </w:rPr>
            </w:pPr>
          </w:p>
        </w:tc>
      </w:tr>
      <w:tr w:rsidR="00496618" w14:paraId="4B9B10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2BF4C0B2" w14:textId="77777777" w:rsidR="00496618" w:rsidRDefault="00496618">
            <w:pPr>
              <w:pStyle w:val="Normal13"/>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67914899"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496618" w14:paraId="1A5B65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E4BA1A" w14:textId="77777777" w:rsidR="00496618" w:rsidRDefault="00496618">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FC429CC"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384535A"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7E47D1" w14:textId="77777777" w:rsidR="00496618" w:rsidRDefault="00496618">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595BF2B"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D3AED6"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E715E4"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3FB6FB" w14:textId="77777777" w:rsidR="00496618" w:rsidRDefault="00496618">
            <w:pPr>
              <w:pStyle w:val="Normal13"/>
              <w:rPr>
                <w:rFonts w:ascii="Calibri" w:eastAsia="Calibri" w:hAnsi="Calibri" w:cs="Calibri"/>
                <w:color w:val="000000"/>
                <w:sz w:val="18"/>
              </w:rPr>
            </w:pPr>
          </w:p>
        </w:tc>
      </w:tr>
      <w:tr w:rsidR="00496618" w14:paraId="499478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412B9F"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263,923</w:t>
            </w:r>
          </w:p>
        </w:tc>
        <w:tc>
          <w:tcPr>
            <w:tcW w:w="2385" w:type="dxa"/>
            <w:tcBorders>
              <w:top w:val="nil"/>
              <w:left w:val="nil"/>
              <w:bottom w:val="nil"/>
              <w:right w:val="nil"/>
              <w:tl2br w:val="nil"/>
              <w:tr2bl w:val="nil"/>
            </w:tcBorders>
            <w:shd w:val="clear" w:color="auto" w:fill="auto"/>
            <w:noWrap/>
            <w:tcMar>
              <w:left w:w="101" w:type="dxa"/>
              <w:right w:w="101" w:type="dxa"/>
            </w:tcMar>
          </w:tcPr>
          <w:p w14:paraId="4233428F"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438D52F2"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249,100</w:t>
            </w:r>
          </w:p>
        </w:tc>
        <w:tc>
          <w:tcPr>
            <w:tcW w:w="1035" w:type="dxa"/>
            <w:tcBorders>
              <w:top w:val="nil"/>
              <w:left w:val="nil"/>
              <w:bottom w:val="nil"/>
              <w:right w:val="nil"/>
              <w:tl2br w:val="nil"/>
              <w:tr2bl w:val="nil"/>
            </w:tcBorders>
            <w:shd w:val="clear" w:color="FFFFFF" w:fill="FFFFFF"/>
            <w:tcMar>
              <w:left w:w="101" w:type="dxa"/>
              <w:right w:w="101" w:type="dxa"/>
            </w:tcMar>
          </w:tcPr>
          <w:p w14:paraId="1FB3F671"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274,523</w:t>
            </w:r>
          </w:p>
        </w:tc>
        <w:tc>
          <w:tcPr>
            <w:tcW w:w="600" w:type="dxa"/>
            <w:tcBorders>
              <w:top w:val="nil"/>
              <w:left w:val="nil"/>
              <w:bottom w:val="nil"/>
              <w:right w:val="nil"/>
              <w:tl2br w:val="nil"/>
              <w:tr2bl w:val="nil"/>
            </w:tcBorders>
            <w:shd w:val="clear" w:color="FFFFFF" w:fill="FFFFFF"/>
            <w:tcMar>
              <w:left w:w="101" w:type="dxa"/>
              <w:right w:w="101" w:type="dxa"/>
            </w:tcMar>
          </w:tcPr>
          <w:p w14:paraId="56020F70"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281712FB"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254,638</w:t>
            </w:r>
          </w:p>
        </w:tc>
        <w:tc>
          <w:tcPr>
            <w:tcW w:w="1035" w:type="dxa"/>
            <w:tcBorders>
              <w:top w:val="nil"/>
              <w:left w:val="nil"/>
              <w:bottom w:val="nil"/>
              <w:right w:val="nil"/>
              <w:tl2br w:val="nil"/>
              <w:tr2bl w:val="nil"/>
            </w:tcBorders>
            <w:shd w:val="clear" w:color="FFFFFF" w:fill="FFFFFF"/>
            <w:tcMar>
              <w:left w:w="101" w:type="dxa"/>
              <w:right w:w="101" w:type="dxa"/>
            </w:tcMar>
          </w:tcPr>
          <w:p w14:paraId="183FF21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250,532</w:t>
            </w:r>
          </w:p>
        </w:tc>
        <w:tc>
          <w:tcPr>
            <w:tcW w:w="1035" w:type="dxa"/>
            <w:tcBorders>
              <w:top w:val="nil"/>
              <w:left w:val="nil"/>
              <w:bottom w:val="nil"/>
              <w:right w:val="nil"/>
              <w:tl2br w:val="nil"/>
              <w:tr2bl w:val="nil"/>
            </w:tcBorders>
            <w:shd w:val="clear" w:color="FFFFFF" w:fill="FFFFFF"/>
            <w:tcMar>
              <w:left w:w="101" w:type="dxa"/>
              <w:right w:w="101" w:type="dxa"/>
            </w:tcMar>
          </w:tcPr>
          <w:p w14:paraId="68380E96"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252,553</w:t>
            </w:r>
          </w:p>
        </w:tc>
      </w:tr>
      <w:tr w:rsidR="00496618" w14:paraId="2AAE15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D9985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107,614</w:t>
            </w:r>
          </w:p>
        </w:tc>
        <w:tc>
          <w:tcPr>
            <w:tcW w:w="2385" w:type="dxa"/>
            <w:tcBorders>
              <w:top w:val="nil"/>
              <w:left w:val="nil"/>
              <w:bottom w:val="nil"/>
              <w:right w:val="nil"/>
              <w:tl2br w:val="nil"/>
              <w:tr2bl w:val="nil"/>
            </w:tcBorders>
            <w:shd w:val="clear" w:color="auto" w:fill="auto"/>
            <w:noWrap/>
            <w:tcMar>
              <w:left w:w="101" w:type="dxa"/>
              <w:right w:w="101" w:type="dxa"/>
            </w:tcMar>
          </w:tcPr>
          <w:p w14:paraId="39B7242B"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41F34D2E"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24,703</w:t>
            </w:r>
          </w:p>
        </w:tc>
        <w:tc>
          <w:tcPr>
            <w:tcW w:w="1035" w:type="dxa"/>
            <w:tcBorders>
              <w:top w:val="nil"/>
              <w:left w:val="nil"/>
              <w:bottom w:val="nil"/>
              <w:right w:val="nil"/>
              <w:tl2br w:val="nil"/>
              <w:tr2bl w:val="nil"/>
            </w:tcBorders>
            <w:shd w:val="clear" w:color="FFFFFF" w:fill="FFFFFF"/>
            <w:tcMar>
              <w:left w:w="101" w:type="dxa"/>
              <w:right w:w="101" w:type="dxa"/>
            </w:tcMar>
          </w:tcPr>
          <w:p w14:paraId="2DE4A319"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9,887</w:t>
            </w:r>
          </w:p>
        </w:tc>
        <w:tc>
          <w:tcPr>
            <w:tcW w:w="600" w:type="dxa"/>
            <w:tcBorders>
              <w:top w:val="nil"/>
              <w:left w:val="nil"/>
              <w:bottom w:val="nil"/>
              <w:right w:val="nil"/>
              <w:tl2br w:val="nil"/>
              <w:tr2bl w:val="nil"/>
            </w:tcBorders>
            <w:shd w:val="clear" w:color="FFFFFF" w:fill="FFFFFF"/>
            <w:tcMar>
              <w:left w:w="101" w:type="dxa"/>
              <w:right w:w="101" w:type="dxa"/>
            </w:tcMar>
          </w:tcPr>
          <w:p w14:paraId="3751B134"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-60 </w:t>
            </w:r>
          </w:p>
        </w:tc>
        <w:tc>
          <w:tcPr>
            <w:tcW w:w="1035" w:type="dxa"/>
            <w:tcBorders>
              <w:top w:val="nil"/>
              <w:left w:val="nil"/>
              <w:bottom w:val="nil"/>
              <w:right w:val="nil"/>
              <w:tl2br w:val="nil"/>
              <w:tr2bl w:val="nil"/>
            </w:tcBorders>
            <w:shd w:val="clear" w:color="FFFFFF" w:fill="FFFFFF"/>
            <w:tcMar>
              <w:left w:w="101" w:type="dxa"/>
              <w:right w:w="101" w:type="dxa"/>
            </w:tcMar>
          </w:tcPr>
          <w:p w14:paraId="5407D76E"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10,453</w:t>
            </w:r>
          </w:p>
        </w:tc>
        <w:tc>
          <w:tcPr>
            <w:tcW w:w="1035" w:type="dxa"/>
            <w:tcBorders>
              <w:top w:val="nil"/>
              <w:left w:val="nil"/>
              <w:bottom w:val="nil"/>
              <w:right w:val="nil"/>
              <w:tl2br w:val="nil"/>
              <w:tr2bl w:val="nil"/>
            </w:tcBorders>
            <w:shd w:val="clear" w:color="FFFFFF" w:fill="FFFFFF"/>
            <w:tcMar>
              <w:left w:w="101" w:type="dxa"/>
              <w:right w:w="101" w:type="dxa"/>
            </w:tcMar>
          </w:tcPr>
          <w:p w14:paraId="4BE07200"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11,054</w:t>
            </w:r>
          </w:p>
        </w:tc>
        <w:tc>
          <w:tcPr>
            <w:tcW w:w="1035" w:type="dxa"/>
            <w:tcBorders>
              <w:top w:val="nil"/>
              <w:left w:val="nil"/>
              <w:bottom w:val="nil"/>
              <w:right w:val="nil"/>
              <w:tl2br w:val="nil"/>
              <w:tr2bl w:val="nil"/>
            </w:tcBorders>
            <w:shd w:val="clear" w:color="FFFFFF" w:fill="FFFFFF"/>
            <w:tcMar>
              <w:left w:w="101" w:type="dxa"/>
              <w:right w:w="101" w:type="dxa"/>
            </w:tcMar>
          </w:tcPr>
          <w:p w14:paraId="7C823812"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11,682</w:t>
            </w:r>
          </w:p>
        </w:tc>
      </w:tr>
      <w:tr w:rsidR="00496618" w14:paraId="0DDFC9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6B9AEC"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22336D7"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1BFB8730"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94,840</w:t>
            </w:r>
          </w:p>
        </w:tc>
        <w:tc>
          <w:tcPr>
            <w:tcW w:w="1035" w:type="dxa"/>
            <w:tcBorders>
              <w:top w:val="nil"/>
              <w:left w:val="nil"/>
              <w:bottom w:val="nil"/>
              <w:right w:val="nil"/>
              <w:tl2br w:val="nil"/>
              <w:tr2bl w:val="nil"/>
            </w:tcBorders>
            <w:shd w:val="clear" w:color="FFFFFF" w:fill="FFFFFF"/>
            <w:tcMar>
              <w:left w:w="101" w:type="dxa"/>
              <w:right w:w="101" w:type="dxa"/>
            </w:tcMar>
          </w:tcPr>
          <w:p w14:paraId="1B7DEEF2"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127,932</w:t>
            </w:r>
          </w:p>
        </w:tc>
        <w:tc>
          <w:tcPr>
            <w:tcW w:w="600" w:type="dxa"/>
            <w:tcBorders>
              <w:top w:val="nil"/>
              <w:left w:val="nil"/>
              <w:bottom w:val="nil"/>
              <w:right w:val="nil"/>
              <w:tl2br w:val="nil"/>
              <w:tr2bl w:val="nil"/>
            </w:tcBorders>
            <w:shd w:val="clear" w:color="FFFFFF" w:fill="FFFFFF"/>
            <w:tcMar>
              <w:left w:w="101" w:type="dxa"/>
              <w:right w:w="101" w:type="dxa"/>
            </w:tcMar>
          </w:tcPr>
          <w:p w14:paraId="49446E5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35 </w:t>
            </w:r>
          </w:p>
        </w:tc>
        <w:tc>
          <w:tcPr>
            <w:tcW w:w="1035" w:type="dxa"/>
            <w:tcBorders>
              <w:top w:val="nil"/>
              <w:left w:val="nil"/>
              <w:bottom w:val="nil"/>
              <w:right w:val="nil"/>
              <w:tl2br w:val="nil"/>
              <w:tr2bl w:val="nil"/>
            </w:tcBorders>
            <w:shd w:val="clear" w:color="FFFFFF" w:fill="FFFFFF"/>
            <w:tcMar>
              <w:left w:w="101" w:type="dxa"/>
              <w:right w:w="101" w:type="dxa"/>
            </w:tcMar>
          </w:tcPr>
          <w:p w14:paraId="614AC551"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119,124</w:t>
            </w:r>
          </w:p>
        </w:tc>
        <w:tc>
          <w:tcPr>
            <w:tcW w:w="1035" w:type="dxa"/>
            <w:tcBorders>
              <w:top w:val="nil"/>
              <w:left w:val="nil"/>
              <w:bottom w:val="nil"/>
              <w:right w:val="nil"/>
              <w:tl2br w:val="nil"/>
              <w:tr2bl w:val="nil"/>
            </w:tcBorders>
            <w:shd w:val="clear" w:color="FFFFFF" w:fill="FFFFFF"/>
            <w:tcMar>
              <w:left w:w="101" w:type="dxa"/>
              <w:right w:w="101" w:type="dxa"/>
            </w:tcMar>
          </w:tcPr>
          <w:p w14:paraId="0C80A4F9"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122,102</w:t>
            </w:r>
          </w:p>
        </w:tc>
        <w:tc>
          <w:tcPr>
            <w:tcW w:w="1035" w:type="dxa"/>
            <w:tcBorders>
              <w:top w:val="nil"/>
              <w:left w:val="nil"/>
              <w:bottom w:val="nil"/>
              <w:right w:val="nil"/>
              <w:tl2br w:val="nil"/>
              <w:tr2bl w:val="nil"/>
            </w:tcBorders>
            <w:shd w:val="clear" w:color="FFFFFF" w:fill="FFFFFF"/>
            <w:tcMar>
              <w:left w:w="101" w:type="dxa"/>
              <w:right w:w="101" w:type="dxa"/>
            </w:tcMar>
          </w:tcPr>
          <w:p w14:paraId="3E459131"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124,544</w:t>
            </w:r>
          </w:p>
        </w:tc>
      </w:tr>
      <w:tr w:rsidR="00496618" w14:paraId="367D55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34105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20,327</w:t>
            </w:r>
          </w:p>
        </w:tc>
        <w:tc>
          <w:tcPr>
            <w:tcW w:w="2385" w:type="dxa"/>
            <w:tcBorders>
              <w:top w:val="nil"/>
              <w:left w:val="nil"/>
              <w:bottom w:val="nil"/>
              <w:right w:val="nil"/>
              <w:tl2br w:val="nil"/>
              <w:tr2bl w:val="nil"/>
            </w:tcBorders>
            <w:shd w:val="clear" w:color="auto" w:fill="auto"/>
            <w:noWrap/>
            <w:tcMar>
              <w:left w:w="101" w:type="dxa"/>
              <w:right w:w="101" w:type="dxa"/>
            </w:tcMar>
          </w:tcPr>
          <w:p w14:paraId="3164B905"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001ACA9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23,083</w:t>
            </w:r>
          </w:p>
        </w:tc>
        <w:tc>
          <w:tcPr>
            <w:tcW w:w="1035" w:type="dxa"/>
            <w:tcBorders>
              <w:top w:val="nil"/>
              <w:left w:val="nil"/>
              <w:bottom w:val="nil"/>
              <w:right w:val="nil"/>
              <w:tl2br w:val="nil"/>
              <w:tr2bl w:val="nil"/>
            </w:tcBorders>
            <w:shd w:val="clear" w:color="FFFFFF" w:fill="FFFFFF"/>
            <w:tcMar>
              <w:left w:w="101" w:type="dxa"/>
              <w:right w:w="101" w:type="dxa"/>
            </w:tcMar>
          </w:tcPr>
          <w:p w14:paraId="1EDB9BB0"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19,527</w:t>
            </w:r>
          </w:p>
        </w:tc>
        <w:tc>
          <w:tcPr>
            <w:tcW w:w="600" w:type="dxa"/>
            <w:tcBorders>
              <w:top w:val="nil"/>
              <w:left w:val="nil"/>
              <w:bottom w:val="nil"/>
              <w:right w:val="nil"/>
              <w:tl2br w:val="nil"/>
              <w:tr2bl w:val="nil"/>
            </w:tcBorders>
            <w:shd w:val="clear" w:color="FFFFFF" w:fill="FFFFFF"/>
            <w:tcMar>
              <w:left w:w="101" w:type="dxa"/>
              <w:right w:w="101" w:type="dxa"/>
            </w:tcMar>
          </w:tcPr>
          <w:p w14:paraId="69F080AF"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4A85A851"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19,959</w:t>
            </w:r>
          </w:p>
        </w:tc>
        <w:tc>
          <w:tcPr>
            <w:tcW w:w="1035" w:type="dxa"/>
            <w:tcBorders>
              <w:top w:val="nil"/>
              <w:left w:val="nil"/>
              <w:bottom w:val="nil"/>
              <w:right w:val="nil"/>
              <w:tl2br w:val="nil"/>
              <w:tr2bl w:val="nil"/>
            </w:tcBorders>
            <w:shd w:val="clear" w:color="FFFFFF" w:fill="FFFFFF"/>
            <w:tcMar>
              <w:left w:w="101" w:type="dxa"/>
              <w:right w:w="101" w:type="dxa"/>
            </w:tcMar>
          </w:tcPr>
          <w:p w14:paraId="0497171A"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20,115</w:t>
            </w:r>
          </w:p>
        </w:tc>
        <w:tc>
          <w:tcPr>
            <w:tcW w:w="1035" w:type="dxa"/>
            <w:tcBorders>
              <w:top w:val="nil"/>
              <w:left w:val="nil"/>
              <w:bottom w:val="nil"/>
              <w:right w:val="nil"/>
              <w:tl2br w:val="nil"/>
              <w:tr2bl w:val="nil"/>
            </w:tcBorders>
            <w:shd w:val="clear" w:color="FFFFFF" w:fill="FFFFFF"/>
            <w:tcMar>
              <w:left w:w="101" w:type="dxa"/>
              <w:right w:w="101" w:type="dxa"/>
            </w:tcMar>
          </w:tcPr>
          <w:p w14:paraId="335DF499"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20,596</w:t>
            </w:r>
          </w:p>
        </w:tc>
      </w:tr>
      <w:tr w:rsidR="00496618" w14:paraId="1327BB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13C0631"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391,864</w:t>
            </w:r>
          </w:p>
        </w:tc>
        <w:tc>
          <w:tcPr>
            <w:tcW w:w="2385" w:type="dxa"/>
            <w:tcBorders>
              <w:top w:val="nil"/>
              <w:left w:val="nil"/>
              <w:bottom w:val="nil"/>
              <w:right w:val="nil"/>
              <w:tl2br w:val="nil"/>
              <w:tr2bl w:val="nil"/>
            </w:tcBorders>
            <w:shd w:val="clear" w:color="FFFFFF" w:fill="FFFFFF"/>
            <w:tcMar>
              <w:left w:w="101" w:type="dxa"/>
              <w:right w:w="101" w:type="dxa"/>
            </w:tcMar>
          </w:tcPr>
          <w:p w14:paraId="76C63108"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2C53F8B1"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391,726</w:t>
            </w:r>
          </w:p>
        </w:tc>
        <w:tc>
          <w:tcPr>
            <w:tcW w:w="1035" w:type="dxa"/>
            <w:tcBorders>
              <w:top w:val="nil"/>
              <w:left w:val="nil"/>
              <w:bottom w:val="nil"/>
              <w:right w:val="nil"/>
              <w:tl2br w:val="nil"/>
              <w:tr2bl w:val="nil"/>
            </w:tcBorders>
            <w:shd w:val="clear" w:color="FFFFFF" w:fill="FFFFFF"/>
            <w:tcMar>
              <w:left w:w="101" w:type="dxa"/>
              <w:right w:w="101" w:type="dxa"/>
            </w:tcMar>
          </w:tcPr>
          <w:p w14:paraId="2C787C30"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431,869</w:t>
            </w:r>
          </w:p>
        </w:tc>
        <w:tc>
          <w:tcPr>
            <w:tcW w:w="600" w:type="dxa"/>
            <w:tcBorders>
              <w:top w:val="nil"/>
              <w:left w:val="nil"/>
              <w:bottom w:val="nil"/>
              <w:right w:val="nil"/>
              <w:tl2br w:val="nil"/>
              <w:tr2bl w:val="nil"/>
            </w:tcBorders>
            <w:shd w:val="clear" w:color="FFFFFF" w:fill="FFFFFF"/>
            <w:tcMar>
              <w:left w:w="101" w:type="dxa"/>
              <w:right w:w="101" w:type="dxa"/>
            </w:tcMar>
          </w:tcPr>
          <w:p w14:paraId="254107C5"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4AD3CB3C"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404,174</w:t>
            </w:r>
          </w:p>
        </w:tc>
        <w:tc>
          <w:tcPr>
            <w:tcW w:w="1035" w:type="dxa"/>
            <w:tcBorders>
              <w:top w:val="nil"/>
              <w:left w:val="nil"/>
              <w:bottom w:val="nil"/>
              <w:right w:val="nil"/>
              <w:tl2br w:val="nil"/>
              <w:tr2bl w:val="nil"/>
            </w:tcBorders>
            <w:shd w:val="clear" w:color="FFFFFF" w:fill="FFFFFF"/>
            <w:tcMar>
              <w:left w:w="101" w:type="dxa"/>
              <w:right w:w="101" w:type="dxa"/>
            </w:tcMar>
          </w:tcPr>
          <w:p w14:paraId="3A289F41"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403,803</w:t>
            </w:r>
          </w:p>
        </w:tc>
        <w:tc>
          <w:tcPr>
            <w:tcW w:w="1035" w:type="dxa"/>
            <w:tcBorders>
              <w:top w:val="nil"/>
              <w:left w:val="nil"/>
              <w:bottom w:val="nil"/>
              <w:right w:val="nil"/>
              <w:tl2br w:val="nil"/>
              <w:tr2bl w:val="nil"/>
            </w:tcBorders>
            <w:shd w:val="clear" w:color="FFFFFF" w:fill="FFFFFF"/>
            <w:tcMar>
              <w:left w:w="101" w:type="dxa"/>
              <w:right w:w="101" w:type="dxa"/>
            </w:tcMar>
          </w:tcPr>
          <w:p w14:paraId="43724E04"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409,375</w:t>
            </w:r>
          </w:p>
        </w:tc>
      </w:tr>
      <w:tr w:rsidR="00496618" w14:paraId="3E2449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6488C19" w14:textId="77777777" w:rsidR="00496618" w:rsidRDefault="00496618">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8339E35" w14:textId="77777777" w:rsidR="00496618" w:rsidRDefault="00496618">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492C4C"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353FAB" w14:textId="77777777" w:rsidR="00496618" w:rsidRDefault="00496618">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6D857B8"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A9E417"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A033AE"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EB4E36" w14:textId="77777777" w:rsidR="00496618" w:rsidRDefault="00496618">
            <w:pPr>
              <w:pStyle w:val="Normal13"/>
              <w:rPr>
                <w:rFonts w:ascii="Calibri" w:eastAsia="Calibri" w:hAnsi="Calibri" w:cs="Calibri"/>
                <w:color w:val="000000"/>
                <w:sz w:val="18"/>
              </w:rPr>
            </w:pPr>
          </w:p>
        </w:tc>
      </w:tr>
      <w:tr w:rsidR="00496618" w14:paraId="0B982C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12C614D" w14:textId="77777777" w:rsidR="00496618" w:rsidRDefault="00496618">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E9D7174"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29166EF8"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ABF570" w14:textId="77777777" w:rsidR="00496618" w:rsidRDefault="00496618">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BF39F41"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316B16"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E60919"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F809AF" w14:textId="77777777" w:rsidR="00496618" w:rsidRDefault="00496618">
            <w:pPr>
              <w:pStyle w:val="Normal13"/>
              <w:rPr>
                <w:rFonts w:ascii="Calibri" w:eastAsia="Calibri" w:hAnsi="Calibri" w:cs="Calibri"/>
                <w:color w:val="000000"/>
                <w:sz w:val="18"/>
              </w:rPr>
            </w:pPr>
          </w:p>
        </w:tc>
      </w:tr>
      <w:tr w:rsidR="00496618" w14:paraId="2740D7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8017730"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86,547</w:t>
            </w:r>
          </w:p>
        </w:tc>
        <w:tc>
          <w:tcPr>
            <w:tcW w:w="2385" w:type="dxa"/>
            <w:tcBorders>
              <w:top w:val="nil"/>
              <w:left w:val="nil"/>
              <w:bottom w:val="nil"/>
              <w:right w:val="nil"/>
              <w:tl2br w:val="nil"/>
              <w:tr2bl w:val="nil"/>
            </w:tcBorders>
            <w:shd w:val="clear" w:color="FFFFFF" w:fill="FFFFFF"/>
            <w:noWrap/>
            <w:tcMar>
              <w:left w:w="101" w:type="dxa"/>
              <w:right w:w="101" w:type="dxa"/>
            </w:tcMar>
          </w:tcPr>
          <w:p w14:paraId="1B465185"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73B21010"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80,985</w:t>
            </w:r>
          </w:p>
        </w:tc>
        <w:tc>
          <w:tcPr>
            <w:tcW w:w="1035" w:type="dxa"/>
            <w:tcBorders>
              <w:top w:val="nil"/>
              <w:left w:val="nil"/>
              <w:bottom w:val="nil"/>
              <w:right w:val="nil"/>
              <w:tl2br w:val="nil"/>
              <w:tr2bl w:val="nil"/>
            </w:tcBorders>
            <w:shd w:val="clear" w:color="FFFFFF" w:fill="FFFFFF"/>
            <w:tcMar>
              <w:left w:w="101" w:type="dxa"/>
              <w:right w:w="101" w:type="dxa"/>
            </w:tcMar>
          </w:tcPr>
          <w:p w14:paraId="111F3139"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95,722</w:t>
            </w:r>
          </w:p>
        </w:tc>
        <w:tc>
          <w:tcPr>
            <w:tcW w:w="600" w:type="dxa"/>
            <w:tcBorders>
              <w:top w:val="nil"/>
              <w:left w:val="nil"/>
              <w:bottom w:val="nil"/>
              <w:right w:val="nil"/>
              <w:tl2br w:val="nil"/>
              <w:tr2bl w:val="nil"/>
            </w:tcBorders>
            <w:shd w:val="clear" w:color="FFFFFF" w:fill="FFFFFF"/>
            <w:tcMar>
              <w:left w:w="101" w:type="dxa"/>
              <w:right w:w="101" w:type="dxa"/>
            </w:tcMar>
          </w:tcPr>
          <w:p w14:paraId="74B01179"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18 </w:t>
            </w:r>
          </w:p>
        </w:tc>
        <w:tc>
          <w:tcPr>
            <w:tcW w:w="1035" w:type="dxa"/>
            <w:tcBorders>
              <w:top w:val="nil"/>
              <w:left w:val="nil"/>
              <w:bottom w:val="nil"/>
              <w:right w:val="nil"/>
              <w:tl2br w:val="nil"/>
              <w:tr2bl w:val="nil"/>
            </w:tcBorders>
            <w:shd w:val="clear" w:color="FFFFFF" w:fill="FFFFFF"/>
            <w:tcMar>
              <w:left w:w="101" w:type="dxa"/>
              <w:right w:w="101" w:type="dxa"/>
            </w:tcMar>
          </w:tcPr>
          <w:p w14:paraId="219B50E3"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80,922</w:t>
            </w:r>
          </w:p>
        </w:tc>
        <w:tc>
          <w:tcPr>
            <w:tcW w:w="1035" w:type="dxa"/>
            <w:tcBorders>
              <w:top w:val="nil"/>
              <w:left w:val="nil"/>
              <w:bottom w:val="nil"/>
              <w:right w:val="nil"/>
              <w:tl2br w:val="nil"/>
              <w:tr2bl w:val="nil"/>
            </w:tcBorders>
            <w:shd w:val="clear" w:color="FFFFFF" w:fill="FFFFFF"/>
            <w:tcMar>
              <w:left w:w="101" w:type="dxa"/>
              <w:right w:w="101" w:type="dxa"/>
            </w:tcMar>
          </w:tcPr>
          <w:p w14:paraId="5E7AC6B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82,300</w:t>
            </w:r>
          </w:p>
        </w:tc>
        <w:tc>
          <w:tcPr>
            <w:tcW w:w="1035" w:type="dxa"/>
            <w:tcBorders>
              <w:top w:val="nil"/>
              <w:left w:val="nil"/>
              <w:bottom w:val="nil"/>
              <w:right w:val="nil"/>
              <w:tl2br w:val="nil"/>
              <w:tr2bl w:val="nil"/>
            </w:tcBorders>
            <w:shd w:val="clear" w:color="FFFFFF" w:fill="FFFFFF"/>
            <w:tcMar>
              <w:left w:w="101" w:type="dxa"/>
              <w:right w:w="101" w:type="dxa"/>
            </w:tcMar>
          </w:tcPr>
          <w:p w14:paraId="27273C4B"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84,577</w:t>
            </w:r>
          </w:p>
        </w:tc>
      </w:tr>
      <w:tr w:rsidR="00496618" w14:paraId="505F37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A5680F"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12,353</w:t>
            </w:r>
          </w:p>
        </w:tc>
        <w:tc>
          <w:tcPr>
            <w:tcW w:w="2385" w:type="dxa"/>
            <w:tcBorders>
              <w:top w:val="nil"/>
              <w:left w:val="nil"/>
              <w:bottom w:val="nil"/>
              <w:right w:val="nil"/>
              <w:tl2br w:val="nil"/>
              <w:tr2bl w:val="nil"/>
            </w:tcBorders>
            <w:shd w:val="clear" w:color="FFFFFF" w:fill="FFFFFF"/>
            <w:noWrap/>
            <w:tcMar>
              <w:left w:w="101" w:type="dxa"/>
              <w:right w:w="101" w:type="dxa"/>
            </w:tcMar>
          </w:tcPr>
          <w:p w14:paraId="4D960B8C"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1045DCB1"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14,071</w:t>
            </w:r>
          </w:p>
        </w:tc>
        <w:tc>
          <w:tcPr>
            <w:tcW w:w="1035" w:type="dxa"/>
            <w:tcBorders>
              <w:top w:val="nil"/>
              <w:left w:val="nil"/>
              <w:bottom w:val="nil"/>
              <w:right w:val="nil"/>
              <w:tl2br w:val="nil"/>
              <w:tr2bl w:val="nil"/>
            </w:tcBorders>
            <w:shd w:val="clear" w:color="FFFFFF" w:fill="FFFFFF"/>
            <w:tcMar>
              <w:left w:w="101" w:type="dxa"/>
              <w:right w:w="101" w:type="dxa"/>
            </w:tcMar>
          </w:tcPr>
          <w:p w14:paraId="63303C2E"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13,699</w:t>
            </w:r>
          </w:p>
        </w:tc>
        <w:tc>
          <w:tcPr>
            <w:tcW w:w="600" w:type="dxa"/>
            <w:tcBorders>
              <w:top w:val="nil"/>
              <w:left w:val="nil"/>
              <w:bottom w:val="nil"/>
              <w:right w:val="nil"/>
              <w:tl2br w:val="nil"/>
              <w:tr2bl w:val="nil"/>
            </w:tcBorders>
            <w:shd w:val="clear" w:color="FFFFFF" w:fill="FFFFFF"/>
            <w:tcMar>
              <w:left w:w="101" w:type="dxa"/>
              <w:right w:w="101" w:type="dxa"/>
            </w:tcMar>
          </w:tcPr>
          <w:p w14:paraId="4C818E4C"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213CCE6E"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12,190</w:t>
            </w:r>
          </w:p>
        </w:tc>
        <w:tc>
          <w:tcPr>
            <w:tcW w:w="1035" w:type="dxa"/>
            <w:tcBorders>
              <w:top w:val="nil"/>
              <w:left w:val="nil"/>
              <w:bottom w:val="nil"/>
              <w:right w:val="nil"/>
              <w:tl2br w:val="nil"/>
              <w:tr2bl w:val="nil"/>
            </w:tcBorders>
            <w:shd w:val="clear" w:color="FFFFFF" w:fill="FFFFFF"/>
            <w:tcMar>
              <w:left w:w="101" w:type="dxa"/>
              <w:right w:w="101" w:type="dxa"/>
            </w:tcMar>
          </w:tcPr>
          <w:p w14:paraId="34C81D1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12,372</w:t>
            </w:r>
          </w:p>
        </w:tc>
        <w:tc>
          <w:tcPr>
            <w:tcW w:w="1035" w:type="dxa"/>
            <w:tcBorders>
              <w:top w:val="nil"/>
              <w:left w:val="nil"/>
              <w:bottom w:val="nil"/>
              <w:right w:val="nil"/>
              <w:tl2br w:val="nil"/>
              <w:tr2bl w:val="nil"/>
            </w:tcBorders>
            <w:shd w:val="clear" w:color="FFFFFF" w:fill="FFFFFF"/>
            <w:tcMar>
              <w:left w:w="101" w:type="dxa"/>
              <w:right w:w="101" w:type="dxa"/>
            </w:tcMar>
          </w:tcPr>
          <w:p w14:paraId="7C11C27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12,509</w:t>
            </w:r>
          </w:p>
        </w:tc>
      </w:tr>
      <w:tr w:rsidR="00496618" w14:paraId="1A3032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FD7D6EF"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107,548</w:t>
            </w:r>
          </w:p>
        </w:tc>
        <w:tc>
          <w:tcPr>
            <w:tcW w:w="2385" w:type="dxa"/>
            <w:tcBorders>
              <w:top w:val="nil"/>
              <w:left w:val="nil"/>
              <w:bottom w:val="nil"/>
              <w:right w:val="nil"/>
              <w:tl2br w:val="nil"/>
              <w:tr2bl w:val="nil"/>
            </w:tcBorders>
            <w:shd w:val="clear" w:color="FFFFFF" w:fill="FFFFFF"/>
            <w:noWrap/>
            <w:tcMar>
              <w:left w:w="101" w:type="dxa"/>
              <w:right w:w="101" w:type="dxa"/>
            </w:tcMar>
          </w:tcPr>
          <w:p w14:paraId="465D879C"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D283E06"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100,799</w:t>
            </w:r>
          </w:p>
        </w:tc>
        <w:tc>
          <w:tcPr>
            <w:tcW w:w="1035" w:type="dxa"/>
            <w:tcBorders>
              <w:top w:val="nil"/>
              <w:left w:val="nil"/>
              <w:bottom w:val="nil"/>
              <w:right w:val="nil"/>
              <w:tl2br w:val="nil"/>
              <w:tr2bl w:val="nil"/>
            </w:tcBorders>
            <w:shd w:val="clear" w:color="FFFFFF" w:fill="FFFFFF"/>
            <w:tcMar>
              <w:left w:w="101" w:type="dxa"/>
              <w:right w:w="101" w:type="dxa"/>
            </w:tcMar>
          </w:tcPr>
          <w:p w14:paraId="5BE01131"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105,591</w:t>
            </w:r>
          </w:p>
        </w:tc>
        <w:tc>
          <w:tcPr>
            <w:tcW w:w="600" w:type="dxa"/>
            <w:tcBorders>
              <w:top w:val="nil"/>
              <w:left w:val="nil"/>
              <w:bottom w:val="nil"/>
              <w:right w:val="nil"/>
              <w:tl2br w:val="nil"/>
              <w:tr2bl w:val="nil"/>
            </w:tcBorders>
            <w:shd w:val="clear" w:color="FFFFFF" w:fill="FFFFFF"/>
            <w:tcMar>
              <w:left w:w="101" w:type="dxa"/>
              <w:right w:w="101" w:type="dxa"/>
            </w:tcMar>
          </w:tcPr>
          <w:p w14:paraId="3E007AAA"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36E9AE2"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97,537</w:t>
            </w:r>
          </w:p>
        </w:tc>
        <w:tc>
          <w:tcPr>
            <w:tcW w:w="1035" w:type="dxa"/>
            <w:tcBorders>
              <w:top w:val="nil"/>
              <w:left w:val="nil"/>
              <w:bottom w:val="nil"/>
              <w:right w:val="nil"/>
              <w:tl2br w:val="nil"/>
              <w:tr2bl w:val="nil"/>
            </w:tcBorders>
            <w:shd w:val="clear" w:color="FFFFFF" w:fill="FFFFFF"/>
            <w:tcMar>
              <w:left w:w="101" w:type="dxa"/>
              <w:right w:w="101" w:type="dxa"/>
            </w:tcMar>
          </w:tcPr>
          <w:p w14:paraId="3538A2C0"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93,456</w:t>
            </w:r>
          </w:p>
        </w:tc>
        <w:tc>
          <w:tcPr>
            <w:tcW w:w="1035" w:type="dxa"/>
            <w:tcBorders>
              <w:top w:val="nil"/>
              <w:left w:val="nil"/>
              <w:bottom w:val="nil"/>
              <w:right w:val="nil"/>
              <w:tl2br w:val="nil"/>
              <w:tr2bl w:val="nil"/>
            </w:tcBorders>
            <w:shd w:val="clear" w:color="FFFFFF" w:fill="FFFFFF"/>
            <w:tcMar>
              <w:left w:w="101" w:type="dxa"/>
              <w:right w:w="101" w:type="dxa"/>
            </w:tcMar>
          </w:tcPr>
          <w:p w14:paraId="58C860A3"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92,484</w:t>
            </w:r>
          </w:p>
        </w:tc>
      </w:tr>
      <w:tr w:rsidR="00496618" w14:paraId="3724B7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11C1D7"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166,252</w:t>
            </w:r>
          </w:p>
        </w:tc>
        <w:tc>
          <w:tcPr>
            <w:tcW w:w="2385" w:type="dxa"/>
            <w:tcBorders>
              <w:top w:val="nil"/>
              <w:left w:val="nil"/>
              <w:bottom w:val="nil"/>
              <w:right w:val="nil"/>
              <w:tl2br w:val="nil"/>
              <w:tr2bl w:val="nil"/>
            </w:tcBorders>
            <w:shd w:val="clear" w:color="FFFFFF" w:fill="FFFFFF"/>
            <w:noWrap/>
            <w:tcMar>
              <w:left w:w="101" w:type="dxa"/>
              <w:right w:w="101" w:type="dxa"/>
            </w:tcMar>
          </w:tcPr>
          <w:p w14:paraId="32464008"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4C132E19"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161,793</w:t>
            </w:r>
          </w:p>
        </w:tc>
        <w:tc>
          <w:tcPr>
            <w:tcW w:w="1035" w:type="dxa"/>
            <w:tcBorders>
              <w:top w:val="nil"/>
              <w:left w:val="nil"/>
              <w:bottom w:val="nil"/>
              <w:right w:val="nil"/>
              <w:tl2br w:val="nil"/>
              <w:tr2bl w:val="nil"/>
            </w:tcBorders>
            <w:shd w:val="clear" w:color="FFFFFF" w:fill="FFFFFF"/>
            <w:tcMar>
              <w:left w:w="101" w:type="dxa"/>
              <w:right w:w="101" w:type="dxa"/>
            </w:tcMar>
          </w:tcPr>
          <w:p w14:paraId="16DC61F5"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196,912</w:t>
            </w:r>
          </w:p>
        </w:tc>
        <w:tc>
          <w:tcPr>
            <w:tcW w:w="600" w:type="dxa"/>
            <w:tcBorders>
              <w:top w:val="nil"/>
              <w:left w:val="nil"/>
              <w:bottom w:val="nil"/>
              <w:right w:val="nil"/>
              <w:tl2br w:val="nil"/>
              <w:tr2bl w:val="nil"/>
            </w:tcBorders>
            <w:shd w:val="clear" w:color="FFFFFF" w:fill="FFFFFF"/>
            <w:tcMar>
              <w:left w:w="101" w:type="dxa"/>
              <w:right w:w="101" w:type="dxa"/>
            </w:tcMar>
          </w:tcPr>
          <w:p w14:paraId="1FA6A48F"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5703D066"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193,204</w:t>
            </w:r>
          </w:p>
        </w:tc>
        <w:tc>
          <w:tcPr>
            <w:tcW w:w="1035" w:type="dxa"/>
            <w:tcBorders>
              <w:top w:val="nil"/>
              <w:left w:val="nil"/>
              <w:bottom w:val="nil"/>
              <w:right w:val="nil"/>
              <w:tl2br w:val="nil"/>
              <w:tr2bl w:val="nil"/>
            </w:tcBorders>
            <w:shd w:val="clear" w:color="FFFFFF" w:fill="FFFFFF"/>
            <w:tcMar>
              <w:left w:w="101" w:type="dxa"/>
              <w:right w:w="101" w:type="dxa"/>
            </w:tcMar>
          </w:tcPr>
          <w:p w14:paraId="485EB9B6"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195,250</w:t>
            </w:r>
          </w:p>
        </w:tc>
        <w:tc>
          <w:tcPr>
            <w:tcW w:w="1035" w:type="dxa"/>
            <w:tcBorders>
              <w:top w:val="nil"/>
              <w:left w:val="nil"/>
              <w:bottom w:val="nil"/>
              <w:right w:val="nil"/>
              <w:tl2br w:val="nil"/>
              <w:tr2bl w:val="nil"/>
            </w:tcBorders>
            <w:shd w:val="clear" w:color="FFFFFF" w:fill="FFFFFF"/>
            <w:tcMar>
              <w:left w:w="101" w:type="dxa"/>
              <w:right w:w="101" w:type="dxa"/>
            </w:tcMar>
          </w:tcPr>
          <w:p w14:paraId="75076117"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198,947</w:t>
            </w:r>
          </w:p>
        </w:tc>
      </w:tr>
      <w:tr w:rsidR="00496618" w14:paraId="7DA648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6A92487"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w:t>
            </w:r>
          </w:p>
        </w:tc>
        <w:tc>
          <w:tcPr>
            <w:tcW w:w="2385" w:type="dxa"/>
            <w:tcBorders>
              <w:top w:val="nil"/>
              <w:left w:val="nil"/>
              <w:bottom w:val="nil"/>
              <w:right w:val="nil"/>
              <w:tl2br w:val="nil"/>
              <w:tr2bl w:val="nil"/>
            </w:tcBorders>
            <w:shd w:val="clear" w:color="FFFFFF" w:fill="FFFFFF"/>
            <w:noWrap/>
            <w:tcMar>
              <w:left w:w="101" w:type="dxa"/>
              <w:right w:w="101" w:type="dxa"/>
            </w:tcMar>
          </w:tcPr>
          <w:p w14:paraId="71EB0D3B"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Interest Expenses</w:t>
            </w:r>
          </w:p>
        </w:tc>
        <w:tc>
          <w:tcPr>
            <w:tcW w:w="1035" w:type="dxa"/>
            <w:tcBorders>
              <w:top w:val="nil"/>
              <w:left w:val="nil"/>
              <w:bottom w:val="nil"/>
              <w:right w:val="nil"/>
              <w:tl2br w:val="nil"/>
              <w:tr2bl w:val="nil"/>
            </w:tcBorders>
            <w:shd w:val="clear" w:color="FFFFFF" w:fill="FFFFFF"/>
            <w:tcMar>
              <w:left w:w="101" w:type="dxa"/>
              <w:right w:w="101" w:type="dxa"/>
            </w:tcMar>
          </w:tcPr>
          <w:p w14:paraId="6167877E"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BC5DEB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w:t>
            </w:r>
          </w:p>
        </w:tc>
        <w:tc>
          <w:tcPr>
            <w:tcW w:w="600" w:type="dxa"/>
            <w:tcBorders>
              <w:top w:val="nil"/>
              <w:left w:val="nil"/>
              <w:bottom w:val="nil"/>
              <w:right w:val="nil"/>
              <w:tl2br w:val="nil"/>
              <w:tr2bl w:val="nil"/>
            </w:tcBorders>
            <w:shd w:val="clear" w:color="FFFFFF" w:fill="FFFFFF"/>
            <w:tcMar>
              <w:left w:w="101" w:type="dxa"/>
              <w:right w:w="101" w:type="dxa"/>
            </w:tcMar>
          </w:tcPr>
          <w:p w14:paraId="50FEDD10"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C7397EF"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5998A5F5"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502384B1"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2</w:t>
            </w:r>
          </w:p>
        </w:tc>
      </w:tr>
      <w:tr w:rsidR="00496618" w14:paraId="07773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F2DAF4F"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17,207</w:t>
            </w:r>
          </w:p>
        </w:tc>
        <w:tc>
          <w:tcPr>
            <w:tcW w:w="2385" w:type="dxa"/>
            <w:tcBorders>
              <w:top w:val="nil"/>
              <w:left w:val="nil"/>
              <w:bottom w:val="nil"/>
              <w:right w:val="nil"/>
              <w:tl2br w:val="nil"/>
              <w:tr2bl w:val="nil"/>
            </w:tcBorders>
            <w:shd w:val="clear" w:color="FFFFFF" w:fill="FFFFFF"/>
            <w:noWrap/>
            <w:tcMar>
              <w:left w:w="101" w:type="dxa"/>
              <w:right w:w="101" w:type="dxa"/>
            </w:tcMar>
          </w:tcPr>
          <w:p w14:paraId="46AB6C99"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39721002"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16,297</w:t>
            </w:r>
          </w:p>
        </w:tc>
        <w:tc>
          <w:tcPr>
            <w:tcW w:w="1035" w:type="dxa"/>
            <w:tcBorders>
              <w:top w:val="nil"/>
              <w:left w:val="nil"/>
              <w:bottom w:val="nil"/>
              <w:right w:val="nil"/>
              <w:tl2br w:val="nil"/>
              <w:tr2bl w:val="nil"/>
            </w:tcBorders>
            <w:shd w:val="clear" w:color="FFFFFF" w:fill="FFFFFF"/>
            <w:tcMar>
              <w:left w:w="101" w:type="dxa"/>
              <w:right w:w="101" w:type="dxa"/>
            </w:tcMar>
          </w:tcPr>
          <w:p w14:paraId="67DD022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17,496</w:t>
            </w:r>
          </w:p>
        </w:tc>
        <w:tc>
          <w:tcPr>
            <w:tcW w:w="600" w:type="dxa"/>
            <w:tcBorders>
              <w:top w:val="nil"/>
              <w:left w:val="nil"/>
              <w:bottom w:val="nil"/>
              <w:right w:val="nil"/>
              <w:tl2br w:val="nil"/>
              <w:tr2bl w:val="nil"/>
            </w:tcBorders>
            <w:shd w:val="clear" w:color="FFFFFF" w:fill="FFFFFF"/>
            <w:tcMar>
              <w:left w:w="101" w:type="dxa"/>
              <w:right w:w="101" w:type="dxa"/>
            </w:tcMar>
          </w:tcPr>
          <w:p w14:paraId="24A9764E"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142C4EC7"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17,876</w:t>
            </w:r>
          </w:p>
        </w:tc>
        <w:tc>
          <w:tcPr>
            <w:tcW w:w="1035" w:type="dxa"/>
            <w:tcBorders>
              <w:top w:val="nil"/>
              <w:left w:val="nil"/>
              <w:bottom w:val="nil"/>
              <w:right w:val="nil"/>
              <w:tl2br w:val="nil"/>
              <w:tr2bl w:val="nil"/>
            </w:tcBorders>
            <w:shd w:val="clear" w:color="FFFFFF" w:fill="FFFFFF"/>
            <w:tcMar>
              <w:left w:w="101" w:type="dxa"/>
              <w:right w:w="101" w:type="dxa"/>
            </w:tcMar>
          </w:tcPr>
          <w:p w14:paraId="02D6E3D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17,980</w:t>
            </w:r>
          </w:p>
        </w:tc>
        <w:tc>
          <w:tcPr>
            <w:tcW w:w="1035" w:type="dxa"/>
            <w:tcBorders>
              <w:top w:val="nil"/>
              <w:left w:val="nil"/>
              <w:bottom w:val="nil"/>
              <w:right w:val="nil"/>
              <w:tl2br w:val="nil"/>
              <w:tr2bl w:val="nil"/>
            </w:tcBorders>
            <w:shd w:val="clear" w:color="FFFFFF" w:fill="FFFFFF"/>
            <w:tcMar>
              <w:left w:w="101" w:type="dxa"/>
              <w:right w:w="101" w:type="dxa"/>
            </w:tcMar>
          </w:tcPr>
          <w:p w14:paraId="08F05846"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18,413</w:t>
            </w:r>
          </w:p>
        </w:tc>
      </w:tr>
      <w:tr w:rsidR="00496618" w14:paraId="5CBF46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A25B58"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389,909</w:t>
            </w:r>
          </w:p>
        </w:tc>
        <w:tc>
          <w:tcPr>
            <w:tcW w:w="2385" w:type="dxa"/>
            <w:tcBorders>
              <w:top w:val="nil"/>
              <w:left w:val="nil"/>
              <w:bottom w:val="nil"/>
              <w:right w:val="nil"/>
              <w:tl2br w:val="nil"/>
              <w:tr2bl w:val="nil"/>
            </w:tcBorders>
            <w:shd w:val="clear" w:color="FFFFFF" w:fill="FFFFFF"/>
            <w:tcMar>
              <w:left w:w="101" w:type="dxa"/>
              <w:right w:w="101" w:type="dxa"/>
            </w:tcMar>
          </w:tcPr>
          <w:p w14:paraId="0696F5B3"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85C7F79"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373,945</w:t>
            </w:r>
          </w:p>
        </w:tc>
        <w:tc>
          <w:tcPr>
            <w:tcW w:w="1035" w:type="dxa"/>
            <w:tcBorders>
              <w:top w:val="nil"/>
              <w:left w:val="nil"/>
              <w:bottom w:val="nil"/>
              <w:right w:val="nil"/>
              <w:tl2br w:val="nil"/>
              <w:tr2bl w:val="nil"/>
            </w:tcBorders>
            <w:shd w:val="clear" w:color="FFFFFF" w:fill="FFFFFF"/>
            <w:tcMar>
              <w:left w:w="101" w:type="dxa"/>
              <w:right w:w="101" w:type="dxa"/>
            </w:tcMar>
          </w:tcPr>
          <w:p w14:paraId="3F934364"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429,422</w:t>
            </w:r>
          </w:p>
        </w:tc>
        <w:tc>
          <w:tcPr>
            <w:tcW w:w="600" w:type="dxa"/>
            <w:tcBorders>
              <w:top w:val="nil"/>
              <w:left w:val="nil"/>
              <w:bottom w:val="nil"/>
              <w:right w:val="nil"/>
              <w:tl2br w:val="nil"/>
              <w:tr2bl w:val="nil"/>
            </w:tcBorders>
            <w:shd w:val="clear" w:color="FFFFFF" w:fill="FFFFFF"/>
            <w:tcMar>
              <w:left w:w="101" w:type="dxa"/>
              <w:right w:w="101" w:type="dxa"/>
            </w:tcMar>
          </w:tcPr>
          <w:p w14:paraId="0F8D1EA2"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33DCF562"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401,731</w:t>
            </w:r>
          </w:p>
        </w:tc>
        <w:tc>
          <w:tcPr>
            <w:tcW w:w="1035" w:type="dxa"/>
            <w:tcBorders>
              <w:top w:val="nil"/>
              <w:left w:val="nil"/>
              <w:bottom w:val="nil"/>
              <w:right w:val="nil"/>
              <w:tl2br w:val="nil"/>
              <w:tr2bl w:val="nil"/>
            </w:tcBorders>
            <w:shd w:val="clear" w:color="FFFFFF" w:fill="FFFFFF"/>
            <w:tcMar>
              <w:left w:w="101" w:type="dxa"/>
              <w:right w:w="101" w:type="dxa"/>
            </w:tcMar>
          </w:tcPr>
          <w:p w14:paraId="3EBE83D9"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401,360</w:t>
            </w:r>
          </w:p>
        </w:tc>
        <w:tc>
          <w:tcPr>
            <w:tcW w:w="1035" w:type="dxa"/>
            <w:tcBorders>
              <w:top w:val="nil"/>
              <w:left w:val="nil"/>
              <w:bottom w:val="nil"/>
              <w:right w:val="nil"/>
              <w:tl2br w:val="nil"/>
              <w:tr2bl w:val="nil"/>
            </w:tcBorders>
            <w:shd w:val="clear" w:color="FFFFFF" w:fill="FFFFFF"/>
            <w:tcMar>
              <w:left w:w="101" w:type="dxa"/>
              <w:right w:w="101" w:type="dxa"/>
            </w:tcMar>
          </w:tcPr>
          <w:p w14:paraId="2DD4EE1B"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406,932</w:t>
            </w:r>
          </w:p>
        </w:tc>
      </w:tr>
      <w:tr w:rsidR="00496618" w14:paraId="290C34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30F5A5F7" w14:textId="77777777" w:rsidR="00496618" w:rsidRDefault="00496618">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AECC37B" w14:textId="77777777" w:rsidR="00496618" w:rsidRDefault="00496618">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141BDA"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7D4FB0" w14:textId="77777777" w:rsidR="00496618" w:rsidRDefault="00496618">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66F671"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092F49"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67BC05"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A4BDA4" w14:textId="77777777" w:rsidR="00496618" w:rsidRDefault="00496618">
            <w:pPr>
              <w:pStyle w:val="Normal13"/>
              <w:rPr>
                <w:rFonts w:ascii="Calibri" w:eastAsia="Calibri" w:hAnsi="Calibri" w:cs="Calibri"/>
                <w:color w:val="000000"/>
                <w:sz w:val="18"/>
              </w:rPr>
            </w:pPr>
          </w:p>
        </w:tc>
      </w:tr>
      <w:tr w:rsidR="00496618" w14:paraId="3AE84B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51042A"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1,955</w:t>
            </w:r>
          </w:p>
        </w:tc>
        <w:tc>
          <w:tcPr>
            <w:tcW w:w="2385" w:type="dxa"/>
            <w:tcBorders>
              <w:top w:val="nil"/>
              <w:left w:val="nil"/>
              <w:bottom w:val="nil"/>
              <w:right w:val="nil"/>
              <w:tl2br w:val="nil"/>
              <w:tr2bl w:val="nil"/>
            </w:tcBorders>
            <w:shd w:val="clear" w:color="FFFFFF" w:fill="FFFFFF"/>
            <w:noWrap/>
            <w:tcMar>
              <w:left w:w="101" w:type="dxa"/>
              <w:right w:w="101" w:type="dxa"/>
            </w:tcMar>
          </w:tcPr>
          <w:p w14:paraId="4319AB9B"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4AD925CF"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17,781</w:t>
            </w:r>
          </w:p>
        </w:tc>
        <w:tc>
          <w:tcPr>
            <w:tcW w:w="1035" w:type="dxa"/>
            <w:tcBorders>
              <w:top w:val="nil"/>
              <w:left w:val="nil"/>
              <w:bottom w:val="nil"/>
              <w:right w:val="nil"/>
              <w:tl2br w:val="nil"/>
              <w:tr2bl w:val="nil"/>
            </w:tcBorders>
            <w:shd w:val="clear" w:color="FFFFFF" w:fill="FFFFFF"/>
            <w:tcMar>
              <w:left w:w="101" w:type="dxa"/>
              <w:right w:w="101" w:type="dxa"/>
            </w:tcMar>
          </w:tcPr>
          <w:p w14:paraId="078C6180"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2,447</w:t>
            </w:r>
          </w:p>
        </w:tc>
        <w:tc>
          <w:tcPr>
            <w:tcW w:w="600" w:type="dxa"/>
            <w:tcBorders>
              <w:top w:val="nil"/>
              <w:left w:val="nil"/>
              <w:bottom w:val="nil"/>
              <w:right w:val="nil"/>
              <w:tl2br w:val="nil"/>
              <w:tr2bl w:val="nil"/>
            </w:tcBorders>
            <w:shd w:val="clear" w:color="FFFFFF" w:fill="FFFFFF"/>
            <w:tcMar>
              <w:left w:w="101" w:type="dxa"/>
              <w:right w:w="101" w:type="dxa"/>
            </w:tcMar>
          </w:tcPr>
          <w:p w14:paraId="2F85232C"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-86 </w:t>
            </w:r>
          </w:p>
        </w:tc>
        <w:tc>
          <w:tcPr>
            <w:tcW w:w="1035" w:type="dxa"/>
            <w:tcBorders>
              <w:top w:val="nil"/>
              <w:left w:val="nil"/>
              <w:bottom w:val="nil"/>
              <w:right w:val="nil"/>
              <w:tl2br w:val="nil"/>
              <w:tr2bl w:val="nil"/>
            </w:tcBorders>
            <w:shd w:val="clear" w:color="FFFFFF" w:fill="FFFFFF"/>
            <w:tcMar>
              <w:left w:w="101" w:type="dxa"/>
              <w:right w:w="101" w:type="dxa"/>
            </w:tcMar>
          </w:tcPr>
          <w:p w14:paraId="21A32741"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2,443</w:t>
            </w:r>
          </w:p>
        </w:tc>
        <w:tc>
          <w:tcPr>
            <w:tcW w:w="1035" w:type="dxa"/>
            <w:tcBorders>
              <w:top w:val="nil"/>
              <w:left w:val="nil"/>
              <w:bottom w:val="nil"/>
              <w:right w:val="nil"/>
              <w:tl2br w:val="nil"/>
              <w:tr2bl w:val="nil"/>
            </w:tcBorders>
            <w:shd w:val="clear" w:color="FFFFFF" w:fill="FFFFFF"/>
            <w:tcMar>
              <w:left w:w="101" w:type="dxa"/>
              <w:right w:w="101" w:type="dxa"/>
            </w:tcMar>
          </w:tcPr>
          <w:p w14:paraId="0B259B0B"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2,443</w:t>
            </w:r>
          </w:p>
        </w:tc>
        <w:tc>
          <w:tcPr>
            <w:tcW w:w="1035" w:type="dxa"/>
            <w:tcBorders>
              <w:top w:val="nil"/>
              <w:left w:val="nil"/>
              <w:bottom w:val="nil"/>
              <w:right w:val="nil"/>
              <w:tl2br w:val="nil"/>
              <w:tr2bl w:val="nil"/>
            </w:tcBorders>
            <w:shd w:val="clear" w:color="FFFFFF" w:fill="FFFFFF"/>
            <w:tcMar>
              <w:left w:w="101" w:type="dxa"/>
              <w:right w:w="101" w:type="dxa"/>
            </w:tcMar>
          </w:tcPr>
          <w:p w14:paraId="3CB9B1D7"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2,443</w:t>
            </w:r>
          </w:p>
        </w:tc>
      </w:tr>
      <w:tr w:rsidR="00496618" w14:paraId="46D8B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7CA3DD35" w14:textId="77777777" w:rsidR="00496618" w:rsidRDefault="00496618">
            <w:pPr>
              <w:pStyle w:val="Normal13"/>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356A374F"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496618" w14:paraId="43A205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2255434" w14:textId="77777777" w:rsidR="00496618" w:rsidRDefault="00496618">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D1C0942"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679C15EC"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01F3B2" w14:textId="77777777" w:rsidR="00496618" w:rsidRDefault="00496618">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EEE242"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6ADBB6"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7BB7DF"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49CF49" w14:textId="77777777" w:rsidR="00496618" w:rsidRDefault="00496618">
            <w:pPr>
              <w:pStyle w:val="Normal13"/>
              <w:rPr>
                <w:rFonts w:ascii="Calibri" w:eastAsia="Calibri" w:hAnsi="Calibri" w:cs="Calibri"/>
                <w:color w:val="000000"/>
                <w:sz w:val="18"/>
              </w:rPr>
            </w:pPr>
          </w:p>
        </w:tc>
      </w:tr>
      <w:tr w:rsidR="00496618" w14:paraId="7BC088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AF5684"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696D4A1"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Proceeds from Sale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3367F3B0"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31</w:t>
            </w:r>
          </w:p>
        </w:tc>
        <w:tc>
          <w:tcPr>
            <w:tcW w:w="1035" w:type="dxa"/>
            <w:tcBorders>
              <w:top w:val="nil"/>
              <w:left w:val="nil"/>
              <w:bottom w:val="nil"/>
              <w:right w:val="nil"/>
              <w:tl2br w:val="nil"/>
              <w:tr2bl w:val="nil"/>
            </w:tcBorders>
            <w:shd w:val="clear" w:color="FFFFFF" w:fill="FFFFFF"/>
            <w:tcMar>
              <w:left w:w="101" w:type="dxa"/>
              <w:right w:w="101" w:type="dxa"/>
            </w:tcMar>
          </w:tcPr>
          <w:p w14:paraId="35FC808D"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2DC845B"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0CE5672"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6D746E2"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BC6FC0E"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0</w:t>
            </w:r>
          </w:p>
        </w:tc>
      </w:tr>
      <w:tr w:rsidR="00496618" w14:paraId="43B407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420B38"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14B5201D"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039DB7EE"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31</w:t>
            </w:r>
          </w:p>
        </w:tc>
        <w:tc>
          <w:tcPr>
            <w:tcW w:w="1035" w:type="dxa"/>
            <w:tcBorders>
              <w:top w:val="nil"/>
              <w:left w:val="nil"/>
              <w:bottom w:val="nil"/>
              <w:right w:val="nil"/>
              <w:tl2br w:val="nil"/>
              <w:tr2bl w:val="nil"/>
            </w:tcBorders>
            <w:shd w:val="clear" w:color="FFFFFF" w:fill="FFFFFF"/>
            <w:tcMar>
              <w:left w:w="101" w:type="dxa"/>
              <w:right w:w="101" w:type="dxa"/>
            </w:tcMar>
          </w:tcPr>
          <w:p w14:paraId="54A5CC33"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79796D7"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D82BFE7"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C08B5E4"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536D5C7"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0</w:t>
            </w:r>
          </w:p>
        </w:tc>
      </w:tr>
      <w:tr w:rsidR="00496618" w14:paraId="2F9BCB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C82AD5E" w14:textId="77777777" w:rsidR="00496618" w:rsidRDefault="00496618">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C41DF50"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20FD1E"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9B47E2" w14:textId="77777777" w:rsidR="00496618" w:rsidRDefault="00496618">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22176BB" w14:textId="77777777" w:rsidR="00496618" w:rsidRDefault="00496618">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D49E4D"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C9DCEC"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2D0168" w14:textId="77777777" w:rsidR="00496618" w:rsidRDefault="00496618">
            <w:pPr>
              <w:pStyle w:val="Normal13"/>
              <w:rPr>
                <w:rFonts w:ascii="Calibri" w:eastAsia="Calibri" w:hAnsi="Calibri" w:cs="Calibri"/>
                <w:color w:val="000000"/>
                <w:sz w:val="18"/>
              </w:rPr>
            </w:pPr>
          </w:p>
        </w:tc>
      </w:tr>
      <w:tr w:rsidR="00496618" w14:paraId="75BBC3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C96427" w14:textId="77777777" w:rsidR="00496618" w:rsidRDefault="00496618">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713E902"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51DEDE72"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08AAD4" w14:textId="77777777" w:rsidR="00496618" w:rsidRDefault="00496618">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D8E8B0A" w14:textId="77777777" w:rsidR="00496618" w:rsidRDefault="00496618">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78DA92"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65E801"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826DD2" w14:textId="77777777" w:rsidR="00496618" w:rsidRDefault="00496618">
            <w:pPr>
              <w:pStyle w:val="Normal13"/>
              <w:rPr>
                <w:rFonts w:ascii="Calibri" w:eastAsia="Calibri" w:hAnsi="Calibri" w:cs="Calibri"/>
                <w:color w:val="000000"/>
                <w:sz w:val="18"/>
              </w:rPr>
            </w:pPr>
          </w:p>
        </w:tc>
      </w:tr>
      <w:tr w:rsidR="00496618" w14:paraId="2F1788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5026B0"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38,008</w:t>
            </w:r>
          </w:p>
        </w:tc>
        <w:tc>
          <w:tcPr>
            <w:tcW w:w="2385" w:type="dxa"/>
            <w:tcBorders>
              <w:top w:val="nil"/>
              <w:left w:val="nil"/>
              <w:bottom w:val="nil"/>
              <w:right w:val="nil"/>
              <w:tl2br w:val="nil"/>
              <w:tr2bl w:val="nil"/>
            </w:tcBorders>
            <w:shd w:val="clear" w:color="FFFFFF" w:fill="FFFFFF"/>
            <w:noWrap/>
            <w:tcMar>
              <w:left w:w="101" w:type="dxa"/>
              <w:right w:w="101" w:type="dxa"/>
            </w:tcMar>
          </w:tcPr>
          <w:p w14:paraId="00E8F44D" w14:textId="77777777" w:rsidR="00496618" w:rsidRDefault="0027723F">
            <w:pPr>
              <w:pStyle w:val="Normal13"/>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03F0D098"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39,901</w:t>
            </w:r>
          </w:p>
        </w:tc>
        <w:tc>
          <w:tcPr>
            <w:tcW w:w="1035" w:type="dxa"/>
            <w:tcBorders>
              <w:top w:val="nil"/>
              <w:left w:val="nil"/>
              <w:bottom w:val="nil"/>
              <w:right w:val="nil"/>
              <w:tl2br w:val="nil"/>
              <w:tr2bl w:val="nil"/>
            </w:tcBorders>
            <w:shd w:val="clear" w:color="FFFFFF" w:fill="FFFFFF"/>
            <w:tcMar>
              <w:left w:w="101" w:type="dxa"/>
              <w:right w:w="101" w:type="dxa"/>
            </w:tcMar>
          </w:tcPr>
          <w:p w14:paraId="487F078C"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62,368</w:t>
            </w:r>
          </w:p>
        </w:tc>
        <w:tc>
          <w:tcPr>
            <w:tcW w:w="600" w:type="dxa"/>
            <w:tcBorders>
              <w:top w:val="nil"/>
              <w:left w:val="nil"/>
              <w:bottom w:val="nil"/>
              <w:right w:val="nil"/>
              <w:tl2br w:val="nil"/>
              <w:tr2bl w:val="nil"/>
            </w:tcBorders>
            <w:shd w:val="clear" w:color="FFFFFF" w:fill="FFFFFF"/>
            <w:tcMar>
              <w:left w:w="101" w:type="dxa"/>
              <w:right w:w="101" w:type="dxa"/>
            </w:tcMar>
          </w:tcPr>
          <w:p w14:paraId="4C517144"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 xml:space="preserve">56 </w:t>
            </w:r>
          </w:p>
        </w:tc>
        <w:tc>
          <w:tcPr>
            <w:tcW w:w="1035" w:type="dxa"/>
            <w:tcBorders>
              <w:top w:val="nil"/>
              <w:left w:val="nil"/>
              <w:bottom w:val="nil"/>
              <w:right w:val="nil"/>
              <w:tl2br w:val="nil"/>
              <w:tr2bl w:val="nil"/>
            </w:tcBorders>
            <w:shd w:val="clear" w:color="FFFFFF" w:fill="FFFFFF"/>
            <w:tcMar>
              <w:left w:w="101" w:type="dxa"/>
              <w:right w:w="101" w:type="dxa"/>
            </w:tcMar>
          </w:tcPr>
          <w:p w14:paraId="6B730B67"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61,475</w:t>
            </w:r>
          </w:p>
        </w:tc>
        <w:tc>
          <w:tcPr>
            <w:tcW w:w="1035" w:type="dxa"/>
            <w:tcBorders>
              <w:top w:val="nil"/>
              <w:left w:val="nil"/>
              <w:bottom w:val="nil"/>
              <w:right w:val="nil"/>
              <w:tl2br w:val="nil"/>
              <w:tr2bl w:val="nil"/>
            </w:tcBorders>
            <w:shd w:val="clear" w:color="FFFFFF" w:fill="FFFFFF"/>
            <w:tcMar>
              <w:left w:w="101" w:type="dxa"/>
              <w:right w:w="101" w:type="dxa"/>
            </w:tcMar>
          </w:tcPr>
          <w:p w14:paraId="3789561F"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9,627</w:t>
            </w:r>
          </w:p>
        </w:tc>
        <w:tc>
          <w:tcPr>
            <w:tcW w:w="1035" w:type="dxa"/>
            <w:tcBorders>
              <w:top w:val="nil"/>
              <w:left w:val="nil"/>
              <w:bottom w:val="nil"/>
              <w:right w:val="nil"/>
              <w:tl2br w:val="nil"/>
              <w:tr2bl w:val="nil"/>
            </w:tcBorders>
            <w:shd w:val="clear" w:color="FFFFFF" w:fill="FFFFFF"/>
            <w:tcMar>
              <w:left w:w="101" w:type="dxa"/>
              <w:right w:w="101" w:type="dxa"/>
            </w:tcMar>
          </w:tcPr>
          <w:p w14:paraId="2AB9A5BA" w14:textId="77777777" w:rsidR="00496618" w:rsidRDefault="0027723F">
            <w:pPr>
              <w:pStyle w:val="Normal13"/>
              <w:jc w:val="right"/>
              <w:rPr>
                <w:rFonts w:ascii="Calibri" w:eastAsia="Calibri" w:hAnsi="Calibri" w:cs="Calibri"/>
                <w:color w:val="000000"/>
                <w:sz w:val="18"/>
              </w:rPr>
            </w:pPr>
            <w:r>
              <w:rPr>
                <w:rFonts w:ascii="Calibri" w:eastAsia="Calibri" w:hAnsi="Calibri" w:cs="Calibri"/>
                <w:color w:val="000000"/>
                <w:sz w:val="18"/>
              </w:rPr>
              <w:t>8,150</w:t>
            </w:r>
          </w:p>
        </w:tc>
      </w:tr>
      <w:tr w:rsidR="00496618" w14:paraId="482D0E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DB2A67"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38,008</w:t>
            </w:r>
          </w:p>
        </w:tc>
        <w:tc>
          <w:tcPr>
            <w:tcW w:w="2385" w:type="dxa"/>
            <w:tcBorders>
              <w:top w:val="nil"/>
              <w:left w:val="nil"/>
              <w:bottom w:val="nil"/>
              <w:right w:val="nil"/>
              <w:tl2br w:val="nil"/>
              <w:tr2bl w:val="nil"/>
            </w:tcBorders>
            <w:shd w:val="clear" w:color="FFFFFF" w:fill="FFFFFF"/>
            <w:tcMar>
              <w:left w:w="101" w:type="dxa"/>
              <w:right w:w="101" w:type="dxa"/>
            </w:tcMar>
          </w:tcPr>
          <w:p w14:paraId="56F67DD8"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4946ABCC"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39,901</w:t>
            </w:r>
          </w:p>
        </w:tc>
        <w:tc>
          <w:tcPr>
            <w:tcW w:w="1035" w:type="dxa"/>
            <w:tcBorders>
              <w:top w:val="nil"/>
              <w:left w:val="nil"/>
              <w:bottom w:val="nil"/>
              <w:right w:val="nil"/>
              <w:tl2br w:val="nil"/>
              <w:tr2bl w:val="nil"/>
            </w:tcBorders>
            <w:shd w:val="clear" w:color="FFFFFF" w:fill="FFFFFF"/>
            <w:tcMar>
              <w:left w:w="101" w:type="dxa"/>
              <w:right w:w="101" w:type="dxa"/>
            </w:tcMar>
          </w:tcPr>
          <w:p w14:paraId="37399344"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62,368</w:t>
            </w:r>
          </w:p>
        </w:tc>
        <w:tc>
          <w:tcPr>
            <w:tcW w:w="600" w:type="dxa"/>
            <w:tcBorders>
              <w:top w:val="nil"/>
              <w:left w:val="nil"/>
              <w:bottom w:val="nil"/>
              <w:right w:val="nil"/>
              <w:tl2br w:val="nil"/>
              <w:tr2bl w:val="nil"/>
            </w:tcBorders>
            <w:shd w:val="clear" w:color="FFFFFF" w:fill="FFFFFF"/>
            <w:tcMar>
              <w:left w:w="101" w:type="dxa"/>
              <w:right w:w="101" w:type="dxa"/>
            </w:tcMar>
          </w:tcPr>
          <w:p w14:paraId="36D36F98"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56 </w:t>
            </w:r>
          </w:p>
        </w:tc>
        <w:tc>
          <w:tcPr>
            <w:tcW w:w="1035" w:type="dxa"/>
            <w:tcBorders>
              <w:top w:val="nil"/>
              <w:left w:val="nil"/>
              <w:bottom w:val="nil"/>
              <w:right w:val="nil"/>
              <w:tl2br w:val="nil"/>
              <w:tr2bl w:val="nil"/>
            </w:tcBorders>
            <w:shd w:val="clear" w:color="FFFFFF" w:fill="FFFFFF"/>
            <w:tcMar>
              <w:left w:w="101" w:type="dxa"/>
              <w:right w:w="101" w:type="dxa"/>
            </w:tcMar>
          </w:tcPr>
          <w:p w14:paraId="686CF687"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61,475</w:t>
            </w:r>
          </w:p>
        </w:tc>
        <w:tc>
          <w:tcPr>
            <w:tcW w:w="1035" w:type="dxa"/>
            <w:tcBorders>
              <w:top w:val="nil"/>
              <w:left w:val="nil"/>
              <w:bottom w:val="nil"/>
              <w:right w:val="nil"/>
              <w:tl2br w:val="nil"/>
              <w:tr2bl w:val="nil"/>
            </w:tcBorders>
            <w:shd w:val="clear" w:color="FFFFFF" w:fill="FFFFFF"/>
            <w:tcMar>
              <w:left w:w="101" w:type="dxa"/>
              <w:right w:w="101" w:type="dxa"/>
            </w:tcMar>
          </w:tcPr>
          <w:p w14:paraId="373A90DB"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9,627</w:t>
            </w:r>
          </w:p>
        </w:tc>
        <w:tc>
          <w:tcPr>
            <w:tcW w:w="1035" w:type="dxa"/>
            <w:tcBorders>
              <w:top w:val="nil"/>
              <w:left w:val="nil"/>
              <w:bottom w:val="nil"/>
              <w:right w:val="nil"/>
              <w:tl2br w:val="nil"/>
              <w:tr2bl w:val="nil"/>
            </w:tcBorders>
            <w:shd w:val="clear" w:color="FFFFFF" w:fill="FFFFFF"/>
            <w:tcMar>
              <w:left w:w="101" w:type="dxa"/>
              <w:right w:w="101" w:type="dxa"/>
            </w:tcMar>
          </w:tcPr>
          <w:p w14:paraId="5CD3E60B"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8,150</w:t>
            </w:r>
          </w:p>
        </w:tc>
      </w:tr>
      <w:tr w:rsidR="00496618" w14:paraId="262151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3955B20" w14:textId="77777777" w:rsidR="00496618" w:rsidRDefault="00496618">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3D58ACF"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3AD2D0"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B61E1A" w14:textId="77777777" w:rsidR="00496618" w:rsidRDefault="00496618">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AD8930"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74DAB1"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F6937D" w14:textId="77777777" w:rsidR="00496618" w:rsidRDefault="00496618">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84FE6C" w14:textId="77777777" w:rsidR="00496618" w:rsidRDefault="00496618">
            <w:pPr>
              <w:pStyle w:val="Normal13"/>
              <w:rPr>
                <w:rFonts w:ascii="Calibri" w:eastAsia="Calibri" w:hAnsi="Calibri" w:cs="Calibri"/>
                <w:color w:val="000000"/>
                <w:sz w:val="18"/>
              </w:rPr>
            </w:pPr>
          </w:p>
        </w:tc>
      </w:tr>
      <w:tr w:rsidR="00496618" w14:paraId="6E7096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33D9F3"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-38,008</w:t>
            </w:r>
          </w:p>
        </w:tc>
        <w:tc>
          <w:tcPr>
            <w:tcW w:w="2385" w:type="dxa"/>
            <w:tcBorders>
              <w:top w:val="nil"/>
              <w:left w:val="nil"/>
              <w:bottom w:val="nil"/>
              <w:right w:val="nil"/>
              <w:tl2br w:val="nil"/>
              <w:tr2bl w:val="nil"/>
            </w:tcBorders>
            <w:shd w:val="clear" w:color="FFFFFF" w:fill="FFFFFF"/>
            <w:noWrap/>
            <w:tcMar>
              <w:left w:w="101" w:type="dxa"/>
              <w:right w:w="101" w:type="dxa"/>
            </w:tcMar>
          </w:tcPr>
          <w:p w14:paraId="4B3D3EBB" w14:textId="77777777" w:rsidR="00496618" w:rsidRDefault="0027723F">
            <w:pPr>
              <w:pStyle w:val="Normal13"/>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79C64A7"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-39,870</w:t>
            </w:r>
          </w:p>
        </w:tc>
        <w:tc>
          <w:tcPr>
            <w:tcW w:w="1035" w:type="dxa"/>
            <w:tcBorders>
              <w:top w:val="nil"/>
              <w:left w:val="nil"/>
              <w:bottom w:val="nil"/>
              <w:right w:val="nil"/>
              <w:tl2br w:val="nil"/>
              <w:tr2bl w:val="nil"/>
            </w:tcBorders>
            <w:shd w:val="clear" w:color="FFFFFF" w:fill="FFFFFF"/>
            <w:tcMar>
              <w:left w:w="101" w:type="dxa"/>
              <w:right w:w="101" w:type="dxa"/>
            </w:tcMar>
          </w:tcPr>
          <w:p w14:paraId="15CE108B"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-62,368</w:t>
            </w:r>
          </w:p>
        </w:tc>
        <w:tc>
          <w:tcPr>
            <w:tcW w:w="600" w:type="dxa"/>
            <w:tcBorders>
              <w:top w:val="nil"/>
              <w:left w:val="nil"/>
              <w:bottom w:val="nil"/>
              <w:right w:val="nil"/>
              <w:tl2br w:val="nil"/>
              <w:tr2bl w:val="nil"/>
            </w:tcBorders>
            <w:shd w:val="clear" w:color="FFFFFF" w:fill="FFFFFF"/>
            <w:tcMar>
              <w:left w:w="101" w:type="dxa"/>
              <w:right w:w="101" w:type="dxa"/>
            </w:tcMar>
          </w:tcPr>
          <w:p w14:paraId="1D5D6EFA"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-56 </w:t>
            </w:r>
          </w:p>
        </w:tc>
        <w:tc>
          <w:tcPr>
            <w:tcW w:w="1035" w:type="dxa"/>
            <w:tcBorders>
              <w:top w:val="nil"/>
              <w:left w:val="nil"/>
              <w:bottom w:val="nil"/>
              <w:right w:val="nil"/>
              <w:tl2br w:val="nil"/>
              <w:tr2bl w:val="nil"/>
            </w:tcBorders>
            <w:shd w:val="clear" w:color="FFFFFF" w:fill="FFFFFF"/>
            <w:tcMar>
              <w:left w:w="101" w:type="dxa"/>
              <w:right w:w="101" w:type="dxa"/>
            </w:tcMar>
          </w:tcPr>
          <w:p w14:paraId="2477356E"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-61,475</w:t>
            </w:r>
          </w:p>
        </w:tc>
        <w:tc>
          <w:tcPr>
            <w:tcW w:w="1035" w:type="dxa"/>
            <w:tcBorders>
              <w:top w:val="nil"/>
              <w:left w:val="nil"/>
              <w:bottom w:val="nil"/>
              <w:right w:val="nil"/>
              <w:tl2br w:val="nil"/>
              <w:tr2bl w:val="nil"/>
            </w:tcBorders>
            <w:shd w:val="clear" w:color="FFFFFF" w:fill="FFFFFF"/>
            <w:tcMar>
              <w:left w:w="101" w:type="dxa"/>
              <w:right w:w="101" w:type="dxa"/>
            </w:tcMar>
          </w:tcPr>
          <w:p w14:paraId="0C4970D1"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-9,627</w:t>
            </w:r>
          </w:p>
        </w:tc>
        <w:tc>
          <w:tcPr>
            <w:tcW w:w="1035" w:type="dxa"/>
            <w:tcBorders>
              <w:top w:val="nil"/>
              <w:left w:val="nil"/>
              <w:bottom w:val="nil"/>
              <w:right w:val="nil"/>
              <w:tl2br w:val="nil"/>
              <w:tr2bl w:val="nil"/>
            </w:tcBorders>
            <w:shd w:val="clear" w:color="FFFFFF" w:fill="FFFFFF"/>
            <w:tcMar>
              <w:left w:w="101" w:type="dxa"/>
              <w:right w:w="101" w:type="dxa"/>
            </w:tcMar>
          </w:tcPr>
          <w:p w14:paraId="7879A9B6" w14:textId="77777777" w:rsidR="00496618" w:rsidRDefault="0027723F">
            <w:pPr>
              <w:pStyle w:val="Normal13"/>
              <w:jc w:val="right"/>
              <w:rPr>
                <w:rFonts w:ascii="Calibri" w:eastAsia="Calibri" w:hAnsi="Calibri" w:cs="Calibri"/>
                <w:b/>
                <w:color w:val="000000"/>
                <w:sz w:val="18"/>
              </w:rPr>
            </w:pPr>
            <w:r>
              <w:rPr>
                <w:rFonts w:ascii="Calibri" w:eastAsia="Calibri" w:hAnsi="Calibri" w:cs="Calibri"/>
                <w:b/>
                <w:color w:val="000000"/>
                <w:sz w:val="18"/>
              </w:rPr>
              <w:t>-8,150</w:t>
            </w:r>
          </w:p>
        </w:tc>
      </w:tr>
      <w:tr w:rsidR="00496618" w14:paraId="377B72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0417EF3" w14:textId="77777777" w:rsidR="00496618" w:rsidRDefault="00496618">
            <w:pPr>
              <w:pStyle w:val="Normal13"/>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BB01ECD" w14:textId="77777777" w:rsidR="00496618" w:rsidRDefault="00496618">
            <w:pPr>
              <w:pStyle w:val="Normal1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E9A4EF3" w14:textId="77777777" w:rsidR="00496618" w:rsidRDefault="00496618">
            <w:pPr>
              <w:pStyle w:val="Normal1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0D3AE20" w14:textId="77777777" w:rsidR="00496618" w:rsidRDefault="00496618">
            <w:pPr>
              <w:pStyle w:val="Normal13"/>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3CBC00B" w14:textId="77777777" w:rsidR="00496618" w:rsidRDefault="00496618">
            <w:pPr>
              <w:pStyle w:val="Normal1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A93253C" w14:textId="77777777" w:rsidR="00496618" w:rsidRDefault="00496618">
            <w:pPr>
              <w:pStyle w:val="Normal1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A085453" w14:textId="77777777" w:rsidR="00496618" w:rsidRDefault="00496618">
            <w:pPr>
              <w:pStyle w:val="Normal1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C97D2B7" w14:textId="77777777" w:rsidR="00496618" w:rsidRDefault="00496618">
            <w:pPr>
              <w:pStyle w:val="Normal13"/>
              <w:rPr>
                <w:rFonts w:ascii="Calibri" w:eastAsia="Calibri" w:hAnsi="Calibri" w:cs="Calibri"/>
                <w:color w:val="000000"/>
                <w:sz w:val="18"/>
              </w:rPr>
            </w:pPr>
          </w:p>
        </w:tc>
      </w:tr>
    </w:tbl>
    <w:p w14:paraId="39CCDAD7" w14:textId="77777777" w:rsidR="00EB585F" w:rsidRDefault="00EB585F" w:rsidP="00EB585F">
      <w:pPr>
        <w:pStyle w:val="Caption"/>
      </w:pPr>
    </w:p>
    <w:p w14:paraId="6F5572CA" w14:textId="77777777" w:rsidR="00EB585F" w:rsidRDefault="00EB585F">
      <w:pPr>
        <w:spacing w:before="0" w:after="0"/>
        <w:rPr>
          <w:b/>
          <w:bCs/>
          <w:color w:val="000000"/>
          <w:sz w:val="22"/>
          <w:szCs w:val="18"/>
        </w:rPr>
      </w:pPr>
      <w:r>
        <w:br w:type="page"/>
      </w:r>
    </w:p>
    <w:p w14:paraId="15EFDE6B" w14:textId="02F4405A" w:rsidR="001F6B18" w:rsidRPr="00EB585F" w:rsidRDefault="0027723F" w:rsidP="00EB585F">
      <w:pPr>
        <w:pStyle w:val="Caption"/>
      </w:pPr>
      <w:r w:rsidRPr="00EB585F">
        <w:lastRenderedPageBreak/>
        <w:t>Table 26: ACT Health Directorate: Cash Flow Statement (continued)</w:t>
      </w:r>
    </w:p>
    <w:tbl>
      <w:tblPr>
        <w:tblStyle w:val="CDMRange15"/>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496618" w14:paraId="29E2E51E"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346E56"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2C79AD50" w14:textId="77777777" w:rsidR="00496618" w:rsidRDefault="00496618">
            <w:pPr>
              <w:pStyle w:val="Normal14"/>
              <w:jc w:val="right"/>
              <w:rPr>
                <w:rFonts w:ascii="Calibri" w:eastAsia="Calibri" w:hAnsi="Calibri" w:cs="Calibri"/>
                <w:b/>
                <w:color w:val="000000"/>
                <w:sz w:val="18"/>
              </w:rPr>
            </w:pPr>
          </w:p>
          <w:p w14:paraId="52FAA842"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515CFC7" w14:textId="77777777" w:rsidR="00496618" w:rsidRDefault="00496618">
            <w:pPr>
              <w:pStyle w:val="Normal14"/>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0D10365"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D7C2E81"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3010EB86" w14:textId="77777777" w:rsidR="00496618" w:rsidRDefault="00496618">
            <w:pPr>
              <w:pStyle w:val="Normal14"/>
              <w:jc w:val="right"/>
              <w:rPr>
                <w:rFonts w:ascii="Calibri" w:eastAsia="Calibri" w:hAnsi="Calibri" w:cs="Calibri"/>
                <w:b/>
                <w:color w:val="000000"/>
                <w:sz w:val="18"/>
              </w:rPr>
            </w:pPr>
          </w:p>
          <w:p w14:paraId="1428334C"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544A640"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Var </w:t>
            </w:r>
          </w:p>
          <w:p w14:paraId="15AAD592"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5D0003B"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27A5A822" w14:textId="77777777" w:rsidR="00496618" w:rsidRDefault="00496618">
            <w:pPr>
              <w:pStyle w:val="Normal14"/>
              <w:jc w:val="right"/>
              <w:rPr>
                <w:rFonts w:ascii="Calibri" w:eastAsia="Calibri" w:hAnsi="Calibri" w:cs="Calibri"/>
                <w:b/>
                <w:color w:val="000000"/>
                <w:sz w:val="18"/>
              </w:rPr>
            </w:pPr>
          </w:p>
          <w:p w14:paraId="192FEBE2"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E78F42C"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613C293A" w14:textId="77777777" w:rsidR="00496618" w:rsidRDefault="00496618">
            <w:pPr>
              <w:pStyle w:val="Normal14"/>
              <w:jc w:val="right"/>
              <w:rPr>
                <w:rFonts w:ascii="Calibri" w:eastAsia="Calibri" w:hAnsi="Calibri" w:cs="Calibri"/>
                <w:b/>
                <w:color w:val="000000"/>
                <w:sz w:val="18"/>
              </w:rPr>
            </w:pPr>
          </w:p>
          <w:p w14:paraId="5C068FD4"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2C8983A"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6484A53C" w14:textId="77777777" w:rsidR="00496618" w:rsidRDefault="00496618">
            <w:pPr>
              <w:pStyle w:val="Normal14"/>
              <w:jc w:val="right"/>
              <w:rPr>
                <w:rFonts w:ascii="Calibri" w:eastAsia="Calibri" w:hAnsi="Calibri" w:cs="Calibri"/>
                <w:b/>
                <w:color w:val="000000"/>
                <w:sz w:val="18"/>
              </w:rPr>
            </w:pPr>
          </w:p>
          <w:p w14:paraId="4FC3E988"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496618" w14:paraId="051A32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07C7A28" w14:textId="77777777" w:rsidR="00496618" w:rsidRDefault="00496618">
            <w:pPr>
              <w:pStyle w:val="Normal14"/>
              <w:rPr>
                <w:rFonts w:ascii="Calibri" w:eastAsia="Calibri" w:hAnsi="Calibri" w:cs="Calibri"/>
                <w:color w:val="000000"/>
                <w:sz w:val="18"/>
              </w:rPr>
            </w:pPr>
          </w:p>
        </w:tc>
        <w:tc>
          <w:tcPr>
            <w:tcW w:w="8160" w:type="dxa"/>
            <w:gridSpan w:val="7"/>
            <w:tcBorders>
              <w:top w:val="single" w:sz="4" w:space="0" w:color="000000"/>
              <w:left w:val="nil"/>
              <w:bottom w:val="nil"/>
              <w:right w:val="nil"/>
              <w:tl2br w:val="nil"/>
              <w:tr2bl w:val="nil"/>
            </w:tcBorders>
            <w:shd w:val="clear" w:color="auto" w:fill="auto"/>
            <w:tcMar>
              <w:left w:w="101" w:type="dxa"/>
              <w:right w:w="101" w:type="dxa"/>
            </w:tcMar>
            <w:vAlign w:val="bottom"/>
          </w:tcPr>
          <w:p w14:paraId="4267043B" w14:textId="77777777" w:rsidR="00496618" w:rsidRDefault="0027723F">
            <w:pPr>
              <w:pStyle w:val="Normal14"/>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496618" w14:paraId="1FCFBA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8FD7594" w14:textId="77777777" w:rsidR="00496618" w:rsidRDefault="00496618">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E949C77" w14:textId="77777777" w:rsidR="00496618" w:rsidRDefault="0027723F">
            <w:pPr>
              <w:pStyle w:val="Normal14"/>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64331B5"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D6DA9A" w14:textId="77777777" w:rsidR="00496618" w:rsidRDefault="00496618">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F8D0482"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F2E2C5"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F256A3"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F29876" w14:textId="77777777" w:rsidR="00496618" w:rsidRDefault="00496618">
            <w:pPr>
              <w:pStyle w:val="Normal14"/>
              <w:rPr>
                <w:rFonts w:ascii="Calibri" w:eastAsia="Calibri" w:hAnsi="Calibri" w:cs="Calibri"/>
                <w:color w:val="000000"/>
                <w:sz w:val="18"/>
              </w:rPr>
            </w:pPr>
          </w:p>
        </w:tc>
      </w:tr>
      <w:tr w:rsidR="00496618" w14:paraId="560A47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2F3C49"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34,610</w:t>
            </w:r>
          </w:p>
        </w:tc>
        <w:tc>
          <w:tcPr>
            <w:tcW w:w="2385" w:type="dxa"/>
            <w:tcBorders>
              <w:top w:val="nil"/>
              <w:left w:val="nil"/>
              <w:bottom w:val="nil"/>
              <w:right w:val="nil"/>
              <w:tl2br w:val="nil"/>
              <w:tr2bl w:val="nil"/>
            </w:tcBorders>
            <w:shd w:val="clear" w:color="FFFFFF" w:fill="FFFFFF"/>
            <w:noWrap/>
            <w:tcMar>
              <w:left w:w="101" w:type="dxa"/>
              <w:right w:w="101" w:type="dxa"/>
            </w:tcMar>
          </w:tcPr>
          <w:p w14:paraId="5228BD2C" w14:textId="77777777" w:rsidR="00496618" w:rsidRDefault="0027723F">
            <w:pPr>
              <w:pStyle w:val="Normal14"/>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7FEE162D"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32,781</w:t>
            </w:r>
          </w:p>
        </w:tc>
        <w:tc>
          <w:tcPr>
            <w:tcW w:w="1035" w:type="dxa"/>
            <w:tcBorders>
              <w:top w:val="nil"/>
              <w:left w:val="nil"/>
              <w:bottom w:val="nil"/>
              <w:right w:val="nil"/>
              <w:tl2br w:val="nil"/>
              <w:tr2bl w:val="nil"/>
            </w:tcBorders>
            <w:shd w:val="clear" w:color="FFFFFF" w:fill="FFFFFF"/>
            <w:tcMar>
              <w:left w:w="101" w:type="dxa"/>
              <w:right w:w="101" w:type="dxa"/>
            </w:tcMar>
          </w:tcPr>
          <w:p w14:paraId="6BD5AA57"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59,760</w:t>
            </w:r>
          </w:p>
        </w:tc>
        <w:tc>
          <w:tcPr>
            <w:tcW w:w="600" w:type="dxa"/>
            <w:tcBorders>
              <w:top w:val="nil"/>
              <w:left w:val="nil"/>
              <w:bottom w:val="nil"/>
              <w:right w:val="nil"/>
              <w:tl2br w:val="nil"/>
              <w:tr2bl w:val="nil"/>
            </w:tcBorders>
            <w:shd w:val="clear" w:color="FFFFFF" w:fill="FFFFFF"/>
            <w:tcMar>
              <w:left w:w="101" w:type="dxa"/>
              <w:right w:w="101" w:type="dxa"/>
            </w:tcMar>
          </w:tcPr>
          <w:p w14:paraId="7EF4BE51"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 xml:space="preserve">82 </w:t>
            </w:r>
          </w:p>
        </w:tc>
        <w:tc>
          <w:tcPr>
            <w:tcW w:w="1035" w:type="dxa"/>
            <w:tcBorders>
              <w:top w:val="nil"/>
              <w:left w:val="nil"/>
              <w:bottom w:val="nil"/>
              <w:right w:val="nil"/>
              <w:tl2br w:val="nil"/>
              <w:tr2bl w:val="nil"/>
            </w:tcBorders>
            <w:shd w:val="clear" w:color="FFFFFF" w:fill="FFFFFF"/>
            <w:tcMar>
              <w:left w:w="101" w:type="dxa"/>
              <w:right w:w="101" w:type="dxa"/>
            </w:tcMar>
          </w:tcPr>
          <w:p w14:paraId="0E362D3A"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58,857</w:t>
            </w:r>
          </w:p>
        </w:tc>
        <w:tc>
          <w:tcPr>
            <w:tcW w:w="1035" w:type="dxa"/>
            <w:tcBorders>
              <w:top w:val="nil"/>
              <w:left w:val="nil"/>
              <w:bottom w:val="nil"/>
              <w:right w:val="nil"/>
              <w:tl2br w:val="nil"/>
              <w:tr2bl w:val="nil"/>
            </w:tcBorders>
            <w:shd w:val="clear" w:color="FFFFFF" w:fill="FFFFFF"/>
            <w:tcMar>
              <w:left w:w="101" w:type="dxa"/>
              <w:right w:w="101" w:type="dxa"/>
            </w:tcMar>
          </w:tcPr>
          <w:p w14:paraId="4F71D107"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6,999</w:t>
            </w:r>
          </w:p>
        </w:tc>
        <w:tc>
          <w:tcPr>
            <w:tcW w:w="1035" w:type="dxa"/>
            <w:tcBorders>
              <w:top w:val="nil"/>
              <w:left w:val="nil"/>
              <w:bottom w:val="nil"/>
              <w:right w:val="nil"/>
              <w:tl2br w:val="nil"/>
              <w:tr2bl w:val="nil"/>
            </w:tcBorders>
            <w:shd w:val="clear" w:color="FFFFFF" w:fill="FFFFFF"/>
            <w:tcMar>
              <w:left w:w="101" w:type="dxa"/>
              <w:right w:w="101" w:type="dxa"/>
            </w:tcMar>
          </w:tcPr>
          <w:p w14:paraId="5C6CD3E8"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5,512</w:t>
            </w:r>
          </w:p>
        </w:tc>
      </w:tr>
      <w:tr w:rsidR="00496618" w14:paraId="34893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60C40D"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34,610</w:t>
            </w:r>
          </w:p>
        </w:tc>
        <w:tc>
          <w:tcPr>
            <w:tcW w:w="2385" w:type="dxa"/>
            <w:tcBorders>
              <w:top w:val="nil"/>
              <w:left w:val="nil"/>
              <w:bottom w:val="nil"/>
              <w:right w:val="nil"/>
              <w:tl2br w:val="nil"/>
              <w:tr2bl w:val="nil"/>
            </w:tcBorders>
            <w:shd w:val="clear" w:color="FFFFFF" w:fill="FFFFFF"/>
            <w:tcMar>
              <w:left w:w="101" w:type="dxa"/>
              <w:right w:w="101" w:type="dxa"/>
            </w:tcMar>
          </w:tcPr>
          <w:p w14:paraId="124E1DF0" w14:textId="77777777" w:rsidR="00496618" w:rsidRDefault="0027723F">
            <w:pPr>
              <w:pStyle w:val="Normal14"/>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59DF334A"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32,781</w:t>
            </w:r>
          </w:p>
        </w:tc>
        <w:tc>
          <w:tcPr>
            <w:tcW w:w="1035" w:type="dxa"/>
            <w:tcBorders>
              <w:top w:val="nil"/>
              <w:left w:val="nil"/>
              <w:bottom w:val="nil"/>
              <w:right w:val="nil"/>
              <w:tl2br w:val="nil"/>
              <w:tr2bl w:val="nil"/>
            </w:tcBorders>
            <w:shd w:val="clear" w:color="FFFFFF" w:fill="FFFFFF"/>
            <w:tcMar>
              <w:left w:w="101" w:type="dxa"/>
              <w:right w:w="101" w:type="dxa"/>
            </w:tcMar>
          </w:tcPr>
          <w:p w14:paraId="62BF7313"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59,760</w:t>
            </w:r>
          </w:p>
        </w:tc>
        <w:tc>
          <w:tcPr>
            <w:tcW w:w="600" w:type="dxa"/>
            <w:tcBorders>
              <w:top w:val="nil"/>
              <w:left w:val="nil"/>
              <w:bottom w:val="nil"/>
              <w:right w:val="nil"/>
              <w:tl2br w:val="nil"/>
              <w:tr2bl w:val="nil"/>
            </w:tcBorders>
            <w:shd w:val="clear" w:color="FFFFFF" w:fill="FFFFFF"/>
            <w:tcMar>
              <w:left w:w="101" w:type="dxa"/>
              <w:right w:w="101" w:type="dxa"/>
            </w:tcMar>
          </w:tcPr>
          <w:p w14:paraId="65AE8DE5"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82 </w:t>
            </w:r>
          </w:p>
        </w:tc>
        <w:tc>
          <w:tcPr>
            <w:tcW w:w="1035" w:type="dxa"/>
            <w:tcBorders>
              <w:top w:val="nil"/>
              <w:left w:val="nil"/>
              <w:bottom w:val="nil"/>
              <w:right w:val="nil"/>
              <w:tl2br w:val="nil"/>
              <w:tr2bl w:val="nil"/>
            </w:tcBorders>
            <w:shd w:val="clear" w:color="FFFFFF" w:fill="FFFFFF"/>
            <w:tcMar>
              <w:left w:w="101" w:type="dxa"/>
              <w:right w:w="101" w:type="dxa"/>
            </w:tcMar>
          </w:tcPr>
          <w:p w14:paraId="74867CE7"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58,857</w:t>
            </w:r>
          </w:p>
        </w:tc>
        <w:tc>
          <w:tcPr>
            <w:tcW w:w="1035" w:type="dxa"/>
            <w:tcBorders>
              <w:top w:val="nil"/>
              <w:left w:val="nil"/>
              <w:bottom w:val="nil"/>
              <w:right w:val="nil"/>
              <w:tl2br w:val="nil"/>
              <w:tr2bl w:val="nil"/>
            </w:tcBorders>
            <w:shd w:val="clear" w:color="FFFFFF" w:fill="FFFFFF"/>
            <w:tcMar>
              <w:left w:w="101" w:type="dxa"/>
              <w:right w:w="101" w:type="dxa"/>
            </w:tcMar>
          </w:tcPr>
          <w:p w14:paraId="6672ADA4"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6,999</w:t>
            </w:r>
          </w:p>
        </w:tc>
        <w:tc>
          <w:tcPr>
            <w:tcW w:w="1035" w:type="dxa"/>
            <w:tcBorders>
              <w:top w:val="nil"/>
              <w:left w:val="nil"/>
              <w:bottom w:val="nil"/>
              <w:right w:val="nil"/>
              <w:tl2br w:val="nil"/>
              <w:tr2bl w:val="nil"/>
            </w:tcBorders>
            <w:shd w:val="clear" w:color="FFFFFF" w:fill="FFFFFF"/>
            <w:tcMar>
              <w:left w:w="101" w:type="dxa"/>
              <w:right w:w="101" w:type="dxa"/>
            </w:tcMar>
          </w:tcPr>
          <w:p w14:paraId="587C5301"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5,512</w:t>
            </w:r>
          </w:p>
        </w:tc>
      </w:tr>
      <w:tr w:rsidR="00496618" w14:paraId="24AE26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E6F5385" w14:textId="77777777" w:rsidR="00496618" w:rsidRDefault="00496618">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FE3D5C1"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8C2F0B"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F5A259" w14:textId="77777777" w:rsidR="00496618" w:rsidRDefault="00496618">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61F2A4"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A67445"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C723C0"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B36ECA" w14:textId="77777777" w:rsidR="00496618" w:rsidRDefault="00496618">
            <w:pPr>
              <w:pStyle w:val="Normal14"/>
              <w:rPr>
                <w:rFonts w:ascii="Calibri" w:eastAsia="Calibri" w:hAnsi="Calibri" w:cs="Calibri"/>
                <w:color w:val="000000"/>
                <w:sz w:val="18"/>
              </w:rPr>
            </w:pPr>
          </w:p>
        </w:tc>
      </w:tr>
      <w:tr w:rsidR="00496618" w14:paraId="3FD470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8119F1E" w14:textId="77777777" w:rsidR="00496618" w:rsidRDefault="00496618">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712160A" w14:textId="77777777" w:rsidR="00496618" w:rsidRDefault="0027723F">
            <w:pPr>
              <w:pStyle w:val="Normal14"/>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3BE47D29"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A26D94" w14:textId="77777777" w:rsidR="00496618" w:rsidRDefault="00496618">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D529EE2"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A60EF5"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989216"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2941F6" w14:textId="77777777" w:rsidR="00496618" w:rsidRDefault="00496618">
            <w:pPr>
              <w:pStyle w:val="Normal14"/>
              <w:rPr>
                <w:rFonts w:ascii="Calibri" w:eastAsia="Calibri" w:hAnsi="Calibri" w:cs="Calibri"/>
                <w:color w:val="000000"/>
                <w:sz w:val="18"/>
              </w:rPr>
            </w:pPr>
          </w:p>
        </w:tc>
      </w:tr>
      <w:tr w:rsidR="00496618" w14:paraId="1829ED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F95599"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55</w:t>
            </w:r>
          </w:p>
        </w:tc>
        <w:tc>
          <w:tcPr>
            <w:tcW w:w="2385" w:type="dxa"/>
            <w:tcBorders>
              <w:top w:val="nil"/>
              <w:left w:val="nil"/>
              <w:bottom w:val="nil"/>
              <w:right w:val="nil"/>
              <w:tl2br w:val="nil"/>
              <w:tr2bl w:val="nil"/>
            </w:tcBorders>
            <w:shd w:val="clear" w:color="FFFFFF" w:fill="FFFFFF"/>
            <w:noWrap/>
            <w:tcMar>
              <w:left w:w="101" w:type="dxa"/>
              <w:right w:w="101" w:type="dxa"/>
            </w:tcMar>
          </w:tcPr>
          <w:p w14:paraId="1F55AD98" w14:textId="77777777" w:rsidR="00496618" w:rsidRDefault="0027723F">
            <w:pPr>
              <w:pStyle w:val="Normal14"/>
              <w:rPr>
                <w:rFonts w:ascii="Calibri" w:eastAsia="Calibri" w:hAnsi="Calibri" w:cs="Calibri"/>
                <w:color w:val="000000"/>
                <w:sz w:val="18"/>
              </w:rPr>
            </w:pPr>
            <w:r>
              <w:rPr>
                <w:rFonts w:ascii="Calibri" w:eastAsia="Calibri" w:hAnsi="Calibri" w:cs="Calibri"/>
                <w:color w:val="000000"/>
                <w:sz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34F15FFC"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2,038</w:t>
            </w:r>
          </w:p>
        </w:tc>
        <w:tc>
          <w:tcPr>
            <w:tcW w:w="1035" w:type="dxa"/>
            <w:tcBorders>
              <w:top w:val="nil"/>
              <w:left w:val="nil"/>
              <w:bottom w:val="nil"/>
              <w:right w:val="nil"/>
              <w:tl2br w:val="nil"/>
              <w:tr2bl w:val="nil"/>
            </w:tcBorders>
            <w:shd w:val="clear" w:color="FFFFFF" w:fill="FFFFFF"/>
            <w:tcMar>
              <w:left w:w="101" w:type="dxa"/>
              <w:right w:w="101" w:type="dxa"/>
            </w:tcMar>
          </w:tcPr>
          <w:p w14:paraId="2AFC1021"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55</w:t>
            </w:r>
          </w:p>
        </w:tc>
        <w:tc>
          <w:tcPr>
            <w:tcW w:w="600" w:type="dxa"/>
            <w:tcBorders>
              <w:top w:val="nil"/>
              <w:left w:val="nil"/>
              <w:bottom w:val="nil"/>
              <w:right w:val="nil"/>
              <w:tl2br w:val="nil"/>
              <w:tr2bl w:val="nil"/>
            </w:tcBorders>
            <w:shd w:val="clear" w:color="FFFFFF" w:fill="FFFFFF"/>
            <w:tcMar>
              <w:left w:w="101" w:type="dxa"/>
              <w:right w:w="101" w:type="dxa"/>
            </w:tcMar>
          </w:tcPr>
          <w:p w14:paraId="230383B4"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 xml:space="preserve">-97 </w:t>
            </w:r>
          </w:p>
        </w:tc>
        <w:tc>
          <w:tcPr>
            <w:tcW w:w="1035" w:type="dxa"/>
            <w:tcBorders>
              <w:top w:val="nil"/>
              <w:left w:val="nil"/>
              <w:bottom w:val="nil"/>
              <w:right w:val="nil"/>
              <w:tl2br w:val="nil"/>
              <w:tr2bl w:val="nil"/>
            </w:tcBorders>
            <w:shd w:val="clear" w:color="FFFFFF" w:fill="FFFFFF"/>
            <w:tcMar>
              <w:left w:w="101" w:type="dxa"/>
              <w:right w:w="101" w:type="dxa"/>
            </w:tcMar>
          </w:tcPr>
          <w:p w14:paraId="58E04F54"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55</w:t>
            </w:r>
          </w:p>
        </w:tc>
        <w:tc>
          <w:tcPr>
            <w:tcW w:w="1035" w:type="dxa"/>
            <w:tcBorders>
              <w:top w:val="nil"/>
              <w:left w:val="nil"/>
              <w:bottom w:val="nil"/>
              <w:right w:val="nil"/>
              <w:tl2br w:val="nil"/>
              <w:tr2bl w:val="nil"/>
            </w:tcBorders>
            <w:shd w:val="clear" w:color="FFFFFF" w:fill="FFFFFF"/>
            <w:tcMar>
              <w:left w:w="101" w:type="dxa"/>
              <w:right w:w="101" w:type="dxa"/>
            </w:tcMar>
          </w:tcPr>
          <w:p w14:paraId="30503989"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55</w:t>
            </w:r>
          </w:p>
        </w:tc>
        <w:tc>
          <w:tcPr>
            <w:tcW w:w="1035" w:type="dxa"/>
            <w:tcBorders>
              <w:top w:val="nil"/>
              <w:left w:val="nil"/>
              <w:bottom w:val="nil"/>
              <w:right w:val="nil"/>
              <w:tl2br w:val="nil"/>
              <w:tr2bl w:val="nil"/>
            </w:tcBorders>
            <w:shd w:val="clear" w:color="FFFFFF" w:fill="FFFFFF"/>
            <w:tcMar>
              <w:left w:w="101" w:type="dxa"/>
              <w:right w:w="101" w:type="dxa"/>
            </w:tcMar>
          </w:tcPr>
          <w:p w14:paraId="10BC0574" w14:textId="77777777" w:rsidR="00496618" w:rsidRDefault="0027723F">
            <w:pPr>
              <w:pStyle w:val="Normal14"/>
              <w:jc w:val="right"/>
              <w:rPr>
                <w:rFonts w:ascii="Calibri" w:eastAsia="Calibri" w:hAnsi="Calibri" w:cs="Calibri"/>
                <w:color w:val="000000"/>
                <w:sz w:val="18"/>
              </w:rPr>
            </w:pPr>
            <w:r>
              <w:rPr>
                <w:rFonts w:ascii="Calibri" w:eastAsia="Calibri" w:hAnsi="Calibri" w:cs="Calibri"/>
                <w:color w:val="000000"/>
                <w:sz w:val="18"/>
              </w:rPr>
              <w:t>55</w:t>
            </w:r>
          </w:p>
        </w:tc>
      </w:tr>
      <w:tr w:rsidR="00496618" w14:paraId="22F006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B9AC066"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55</w:t>
            </w:r>
          </w:p>
        </w:tc>
        <w:tc>
          <w:tcPr>
            <w:tcW w:w="2385" w:type="dxa"/>
            <w:tcBorders>
              <w:top w:val="nil"/>
              <w:left w:val="nil"/>
              <w:bottom w:val="nil"/>
              <w:right w:val="nil"/>
              <w:tl2br w:val="nil"/>
              <w:tr2bl w:val="nil"/>
            </w:tcBorders>
            <w:shd w:val="clear" w:color="FFFFFF" w:fill="FFFFFF"/>
            <w:tcMar>
              <w:left w:w="101" w:type="dxa"/>
              <w:right w:w="101" w:type="dxa"/>
            </w:tcMar>
          </w:tcPr>
          <w:p w14:paraId="1AD3CE37" w14:textId="77777777" w:rsidR="00496618" w:rsidRDefault="0027723F">
            <w:pPr>
              <w:pStyle w:val="Normal14"/>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4A9AE08F"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2,038</w:t>
            </w:r>
          </w:p>
        </w:tc>
        <w:tc>
          <w:tcPr>
            <w:tcW w:w="1035" w:type="dxa"/>
            <w:tcBorders>
              <w:top w:val="nil"/>
              <w:left w:val="nil"/>
              <w:bottom w:val="nil"/>
              <w:right w:val="nil"/>
              <w:tl2br w:val="nil"/>
              <w:tr2bl w:val="nil"/>
            </w:tcBorders>
            <w:shd w:val="clear" w:color="FFFFFF" w:fill="FFFFFF"/>
            <w:tcMar>
              <w:left w:w="101" w:type="dxa"/>
              <w:right w:w="101" w:type="dxa"/>
            </w:tcMar>
          </w:tcPr>
          <w:p w14:paraId="32A599DA"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55</w:t>
            </w:r>
          </w:p>
        </w:tc>
        <w:tc>
          <w:tcPr>
            <w:tcW w:w="600" w:type="dxa"/>
            <w:tcBorders>
              <w:top w:val="nil"/>
              <w:left w:val="nil"/>
              <w:bottom w:val="nil"/>
              <w:right w:val="nil"/>
              <w:tl2br w:val="nil"/>
              <w:tr2bl w:val="nil"/>
            </w:tcBorders>
            <w:shd w:val="clear" w:color="FFFFFF" w:fill="FFFFFF"/>
            <w:tcMar>
              <w:left w:w="101" w:type="dxa"/>
              <w:right w:w="101" w:type="dxa"/>
            </w:tcMar>
          </w:tcPr>
          <w:p w14:paraId="160C1A1D"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-97 </w:t>
            </w:r>
          </w:p>
        </w:tc>
        <w:tc>
          <w:tcPr>
            <w:tcW w:w="1035" w:type="dxa"/>
            <w:tcBorders>
              <w:top w:val="nil"/>
              <w:left w:val="nil"/>
              <w:bottom w:val="nil"/>
              <w:right w:val="nil"/>
              <w:tl2br w:val="nil"/>
              <w:tr2bl w:val="nil"/>
            </w:tcBorders>
            <w:shd w:val="clear" w:color="FFFFFF" w:fill="FFFFFF"/>
            <w:tcMar>
              <w:left w:w="101" w:type="dxa"/>
              <w:right w:w="101" w:type="dxa"/>
            </w:tcMar>
          </w:tcPr>
          <w:p w14:paraId="69527CCF"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55</w:t>
            </w:r>
          </w:p>
        </w:tc>
        <w:tc>
          <w:tcPr>
            <w:tcW w:w="1035" w:type="dxa"/>
            <w:tcBorders>
              <w:top w:val="nil"/>
              <w:left w:val="nil"/>
              <w:bottom w:val="nil"/>
              <w:right w:val="nil"/>
              <w:tl2br w:val="nil"/>
              <w:tr2bl w:val="nil"/>
            </w:tcBorders>
            <w:shd w:val="clear" w:color="FFFFFF" w:fill="FFFFFF"/>
            <w:tcMar>
              <w:left w:w="101" w:type="dxa"/>
              <w:right w:w="101" w:type="dxa"/>
            </w:tcMar>
          </w:tcPr>
          <w:p w14:paraId="1C8B0CD5"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55</w:t>
            </w:r>
          </w:p>
        </w:tc>
        <w:tc>
          <w:tcPr>
            <w:tcW w:w="1035" w:type="dxa"/>
            <w:tcBorders>
              <w:top w:val="nil"/>
              <w:left w:val="nil"/>
              <w:bottom w:val="nil"/>
              <w:right w:val="nil"/>
              <w:tl2br w:val="nil"/>
              <w:tr2bl w:val="nil"/>
            </w:tcBorders>
            <w:shd w:val="clear" w:color="FFFFFF" w:fill="FFFFFF"/>
            <w:tcMar>
              <w:left w:w="101" w:type="dxa"/>
              <w:right w:w="101" w:type="dxa"/>
            </w:tcMar>
          </w:tcPr>
          <w:p w14:paraId="1D7815FB"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55</w:t>
            </w:r>
          </w:p>
        </w:tc>
      </w:tr>
      <w:tr w:rsidR="00496618" w14:paraId="39C74C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D32EE3E" w14:textId="77777777" w:rsidR="00496618" w:rsidRDefault="00496618">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5EAA347"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86C438"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2261A0" w14:textId="77777777" w:rsidR="00496618" w:rsidRDefault="00496618">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8080354"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747CF0"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E9F1B4"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EA8399" w14:textId="77777777" w:rsidR="00496618" w:rsidRDefault="00496618">
            <w:pPr>
              <w:pStyle w:val="Normal14"/>
              <w:rPr>
                <w:rFonts w:ascii="Calibri" w:eastAsia="Calibri" w:hAnsi="Calibri" w:cs="Calibri"/>
                <w:color w:val="000000"/>
                <w:sz w:val="18"/>
              </w:rPr>
            </w:pPr>
          </w:p>
        </w:tc>
      </w:tr>
      <w:tr w:rsidR="00496618" w14:paraId="094D82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C0C677"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34,555</w:t>
            </w:r>
          </w:p>
        </w:tc>
        <w:tc>
          <w:tcPr>
            <w:tcW w:w="2385" w:type="dxa"/>
            <w:tcBorders>
              <w:top w:val="nil"/>
              <w:left w:val="nil"/>
              <w:bottom w:val="nil"/>
              <w:right w:val="nil"/>
              <w:tl2br w:val="nil"/>
              <w:tr2bl w:val="nil"/>
            </w:tcBorders>
            <w:shd w:val="clear" w:color="FFFFFF" w:fill="FFFFFF"/>
            <w:noWrap/>
            <w:tcMar>
              <w:left w:w="101" w:type="dxa"/>
              <w:right w:w="101" w:type="dxa"/>
            </w:tcMar>
          </w:tcPr>
          <w:p w14:paraId="578A7E59" w14:textId="77777777" w:rsidR="00496618" w:rsidRDefault="0027723F">
            <w:pPr>
              <w:pStyle w:val="Normal14"/>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771E023B"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30,743</w:t>
            </w:r>
          </w:p>
        </w:tc>
        <w:tc>
          <w:tcPr>
            <w:tcW w:w="1035" w:type="dxa"/>
            <w:tcBorders>
              <w:top w:val="nil"/>
              <w:left w:val="nil"/>
              <w:bottom w:val="nil"/>
              <w:right w:val="nil"/>
              <w:tl2br w:val="nil"/>
              <w:tr2bl w:val="nil"/>
            </w:tcBorders>
            <w:shd w:val="clear" w:color="FFFFFF" w:fill="FFFFFF"/>
            <w:tcMar>
              <w:left w:w="101" w:type="dxa"/>
              <w:right w:w="101" w:type="dxa"/>
            </w:tcMar>
          </w:tcPr>
          <w:p w14:paraId="554892D5"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59,705</w:t>
            </w:r>
          </w:p>
        </w:tc>
        <w:tc>
          <w:tcPr>
            <w:tcW w:w="600" w:type="dxa"/>
            <w:tcBorders>
              <w:top w:val="nil"/>
              <w:left w:val="nil"/>
              <w:bottom w:val="nil"/>
              <w:right w:val="nil"/>
              <w:tl2br w:val="nil"/>
              <w:tr2bl w:val="nil"/>
            </w:tcBorders>
            <w:shd w:val="clear" w:color="FFFFFF" w:fill="FFFFFF"/>
            <w:tcMar>
              <w:left w:w="101" w:type="dxa"/>
              <w:right w:w="101" w:type="dxa"/>
            </w:tcMar>
          </w:tcPr>
          <w:p w14:paraId="5C35E9E4"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94 </w:t>
            </w:r>
          </w:p>
        </w:tc>
        <w:tc>
          <w:tcPr>
            <w:tcW w:w="1035" w:type="dxa"/>
            <w:tcBorders>
              <w:top w:val="nil"/>
              <w:left w:val="nil"/>
              <w:bottom w:val="nil"/>
              <w:right w:val="nil"/>
              <w:tl2br w:val="nil"/>
              <w:tr2bl w:val="nil"/>
            </w:tcBorders>
            <w:shd w:val="clear" w:color="FFFFFF" w:fill="FFFFFF"/>
            <w:tcMar>
              <w:left w:w="101" w:type="dxa"/>
              <w:right w:w="101" w:type="dxa"/>
            </w:tcMar>
          </w:tcPr>
          <w:p w14:paraId="1B5ABAFA"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58,802</w:t>
            </w:r>
          </w:p>
        </w:tc>
        <w:tc>
          <w:tcPr>
            <w:tcW w:w="1035" w:type="dxa"/>
            <w:tcBorders>
              <w:top w:val="nil"/>
              <w:left w:val="nil"/>
              <w:bottom w:val="nil"/>
              <w:right w:val="nil"/>
              <w:tl2br w:val="nil"/>
              <w:tr2bl w:val="nil"/>
            </w:tcBorders>
            <w:shd w:val="clear" w:color="FFFFFF" w:fill="FFFFFF"/>
            <w:tcMar>
              <w:left w:w="101" w:type="dxa"/>
              <w:right w:w="101" w:type="dxa"/>
            </w:tcMar>
          </w:tcPr>
          <w:p w14:paraId="02C3D8EC"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6,944</w:t>
            </w:r>
          </w:p>
        </w:tc>
        <w:tc>
          <w:tcPr>
            <w:tcW w:w="1035" w:type="dxa"/>
            <w:tcBorders>
              <w:top w:val="nil"/>
              <w:left w:val="nil"/>
              <w:bottom w:val="nil"/>
              <w:right w:val="nil"/>
              <w:tl2br w:val="nil"/>
              <w:tr2bl w:val="nil"/>
            </w:tcBorders>
            <w:shd w:val="clear" w:color="FFFFFF" w:fill="FFFFFF"/>
            <w:tcMar>
              <w:left w:w="101" w:type="dxa"/>
              <w:right w:w="101" w:type="dxa"/>
            </w:tcMar>
          </w:tcPr>
          <w:p w14:paraId="2E658FE1"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5,457</w:t>
            </w:r>
          </w:p>
        </w:tc>
      </w:tr>
      <w:tr w:rsidR="00496618" w14:paraId="3324A9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D9F0D8A" w14:textId="77777777" w:rsidR="00496618" w:rsidRDefault="00496618">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9D773FF"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89EA0F"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E514EB" w14:textId="77777777" w:rsidR="00496618" w:rsidRDefault="00496618">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160628C"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B17358"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A2D2AF"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7943A3" w14:textId="77777777" w:rsidR="00496618" w:rsidRDefault="00496618">
            <w:pPr>
              <w:pStyle w:val="Normal14"/>
              <w:rPr>
                <w:rFonts w:ascii="Calibri" w:eastAsia="Calibri" w:hAnsi="Calibri" w:cs="Calibri"/>
                <w:color w:val="000000"/>
                <w:sz w:val="18"/>
              </w:rPr>
            </w:pPr>
          </w:p>
        </w:tc>
      </w:tr>
      <w:tr w:rsidR="00496618" w14:paraId="44B34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8DDCB7"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-1,498</w:t>
            </w:r>
          </w:p>
        </w:tc>
        <w:tc>
          <w:tcPr>
            <w:tcW w:w="2385" w:type="dxa"/>
            <w:tcBorders>
              <w:top w:val="nil"/>
              <w:left w:val="nil"/>
              <w:bottom w:val="nil"/>
              <w:right w:val="nil"/>
              <w:tl2br w:val="nil"/>
              <w:tr2bl w:val="nil"/>
            </w:tcBorders>
            <w:shd w:val="clear" w:color="FFFFFF" w:fill="FFFFFF"/>
            <w:noWrap/>
            <w:tcMar>
              <w:left w:w="101" w:type="dxa"/>
              <w:right w:w="101" w:type="dxa"/>
            </w:tcMar>
          </w:tcPr>
          <w:p w14:paraId="7D5918EA" w14:textId="77777777" w:rsidR="00496618" w:rsidRDefault="0027723F">
            <w:pPr>
              <w:pStyle w:val="Normal14"/>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5E1DD14D"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8,654</w:t>
            </w:r>
          </w:p>
        </w:tc>
        <w:tc>
          <w:tcPr>
            <w:tcW w:w="1035" w:type="dxa"/>
            <w:tcBorders>
              <w:top w:val="nil"/>
              <w:left w:val="nil"/>
              <w:bottom w:val="nil"/>
              <w:right w:val="nil"/>
              <w:tl2br w:val="nil"/>
              <w:tr2bl w:val="nil"/>
            </w:tcBorders>
            <w:shd w:val="clear" w:color="FFFFFF" w:fill="FFFFFF"/>
            <w:tcMar>
              <w:left w:w="101" w:type="dxa"/>
              <w:right w:w="101" w:type="dxa"/>
            </w:tcMar>
          </w:tcPr>
          <w:p w14:paraId="38F36066"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-216</w:t>
            </w:r>
          </w:p>
        </w:tc>
        <w:tc>
          <w:tcPr>
            <w:tcW w:w="600" w:type="dxa"/>
            <w:tcBorders>
              <w:top w:val="nil"/>
              <w:left w:val="nil"/>
              <w:bottom w:val="nil"/>
              <w:right w:val="nil"/>
              <w:tl2br w:val="nil"/>
              <w:tr2bl w:val="nil"/>
            </w:tcBorders>
            <w:shd w:val="clear" w:color="FFFFFF" w:fill="FFFFFF"/>
            <w:tcMar>
              <w:left w:w="101" w:type="dxa"/>
              <w:right w:w="101" w:type="dxa"/>
            </w:tcMar>
          </w:tcPr>
          <w:p w14:paraId="6BC5F255"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-102 </w:t>
            </w:r>
          </w:p>
        </w:tc>
        <w:tc>
          <w:tcPr>
            <w:tcW w:w="1035" w:type="dxa"/>
            <w:tcBorders>
              <w:top w:val="nil"/>
              <w:left w:val="nil"/>
              <w:bottom w:val="nil"/>
              <w:right w:val="nil"/>
              <w:tl2br w:val="nil"/>
              <w:tr2bl w:val="nil"/>
            </w:tcBorders>
            <w:shd w:val="clear" w:color="FFFFFF" w:fill="FFFFFF"/>
            <w:tcMar>
              <w:left w:w="101" w:type="dxa"/>
              <w:right w:w="101" w:type="dxa"/>
            </w:tcMar>
          </w:tcPr>
          <w:p w14:paraId="23EE9972"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-230</w:t>
            </w:r>
          </w:p>
        </w:tc>
        <w:tc>
          <w:tcPr>
            <w:tcW w:w="1035" w:type="dxa"/>
            <w:tcBorders>
              <w:top w:val="nil"/>
              <w:left w:val="nil"/>
              <w:bottom w:val="nil"/>
              <w:right w:val="nil"/>
              <w:tl2br w:val="nil"/>
              <w:tr2bl w:val="nil"/>
            </w:tcBorders>
            <w:shd w:val="clear" w:color="FFFFFF" w:fill="FFFFFF"/>
            <w:tcMar>
              <w:left w:w="101" w:type="dxa"/>
              <w:right w:w="101" w:type="dxa"/>
            </w:tcMar>
          </w:tcPr>
          <w:p w14:paraId="138179EB"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-240</w:t>
            </w:r>
          </w:p>
        </w:tc>
        <w:tc>
          <w:tcPr>
            <w:tcW w:w="1035" w:type="dxa"/>
            <w:tcBorders>
              <w:top w:val="nil"/>
              <w:left w:val="nil"/>
              <w:bottom w:val="nil"/>
              <w:right w:val="nil"/>
              <w:tl2br w:val="nil"/>
              <w:tr2bl w:val="nil"/>
            </w:tcBorders>
            <w:shd w:val="clear" w:color="FFFFFF" w:fill="FFFFFF"/>
            <w:tcMar>
              <w:left w:w="101" w:type="dxa"/>
              <w:right w:w="101" w:type="dxa"/>
            </w:tcMar>
          </w:tcPr>
          <w:p w14:paraId="692ED521"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-250</w:t>
            </w:r>
          </w:p>
        </w:tc>
      </w:tr>
      <w:tr w:rsidR="00496618" w14:paraId="166068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D775CE4" w14:textId="77777777" w:rsidR="00496618" w:rsidRDefault="00496618">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73355D7"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711017"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832D46" w14:textId="77777777" w:rsidR="00496618" w:rsidRDefault="00496618">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6CDE59"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9AE95B"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F706A0"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C5F54E" w14:textId="77777777" w:rsidR="00496618" w:rsidRDefault="00496618">
            <w:pPr>
              <w:pStyle w:val="Normal14"/>
              <w:rPr>
                <w:rFonts w:ascii="Calibri" w:eastAsia="Calibri" w:hAnsi="Calibri" w:cs="Calibri"/>
                <w:color w:val="000000"/>
                <w:sz w:val="18"/>
              </w:rPr>
            </w:pPr>
          </w:p>
        </w:tc>
      </w:tr>
      <w:tr w:rsidR="00496618" w14:paraId="097F8B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8C8B4A"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9,017</w:t>
            </w:r>
          </w:p>
        </w:tc>
        <w:tc>
          <w:tcPr>
            <w:tcW w:w="2385" w:type="dxa"/>
            <w:tcBorders>
              <w:top w:val="nil"/>
              <w:left w:val="nil"/>
              <w:bottom w:val="nil"/>
              <w:right w:val="nil"/>
              <w:tl2br w:val="nil"/>
              <w:tr2bl w:val="nil"/>
            </w:tcBorders>
            <w:shd w:val="clear" w:color="auto" w:fill="auto"/>
            <w:noWrap/>
            <w:tcMar>
              <w:left w:w="101" w:type="dxa"/>
              <w:right w:w="101" w:type="dxa"/>
            </w:tcMar>
          </w:tcPr>
          <w:p w14:paraId="29C84B29" w14:textId="77777777" w:rsidR="00496618" w:rsidRDefault="0027723F">
            <w:pPr>
              <w:pStyle w:val="Normal14"/>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03F81CFE"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9,017</w:t>
            </w:r>
          </w:p>
        </w:tc>
        <w:tc>
          <w:tcPr>
            <w:tcW w:w="1035" w:type="dxa"/>
            <w:tcBorders>
              <w:top w:val="nil"/>
              <w:left w:val="nil"/>
              <w:bottom w:val="nil"/>
              <w:right w:val="nil"/>
              <w:tl2br w:val="nil"/>
              <w:tr2bl w:val="nil"/>
            </w:tcBorders>
            <w:shd w:val="clear" w:color="FFFFFF" w:fill="FFFFFF"/>
            <w:tcMar>
              <w:left w:w="101" w:type="dxa"/>
              <w:right w:w="101" w:type="dxa"/>
            </w:tcMar>
          </w:tcPr>
          <w:p w14:paraId="607CFF7C"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17,671</w:t>
            </w:r>
          </w:p>
        </w:tc>
        <w:tc>
          <w:tcPr>
            <w:tcW w:w="600" w:type="dxa"/>
            <w:tcBorders>
              <w:top w:val="nil"/>
              <w:left w:val="nil"/>
              <w:bottom w:val="nil"/>
              <w:right w:val="nil"/>
              <w:tl2br w:val="nil"/>
              <w:tr2bl w:val="nil"/>
            </w:tcBorders>
            <w:shd w:val="clear" w:color="FFFFFF" w:fill="FFFFFF"/>
            <w:tcMar>
              <w:left w:w="101" w:type="dxa"/>
              <w:right w:w="101" w:type="dxa"/>
            </w:tcMar>
          </w:tcPr>
          <w:p w14:paraId="36620F44"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96 </w:t>
            </w:r>
          </w:p>
        </w:tc>
        <w:tc>
          <w:tcPr>
            <w:tcW w:w="1035" w:type="dxa"/>
            <w:tcBorders>
              <w:top w:val="nil"/>
              <w:left w:val="nil"/>
              <w:bottom w:val="nil"/>
              <w:right w:val="nil"/>
              <w:tl2br w:val="nil"/>
              <w:tr2bl w:val="nil"/>
            </w:tcBorders>
            <w:shd w:val="clear" w:color="FFFFFF" w:fill="FFFFFF"/>
            <w:tcMar>
              <w:left w:w="101" w:type="dxa"/>
              <w:right w:w="101" w:type="dxa"/>
            </w:tcMar>
          </w:tcPr>
          <w:p w14:paraId="6AF067A9"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17,455</w:t>
            </w:r>
          </w:p>
        </w:tc>
        <w:tc>
          <w:tcPr>
            <w:tcW w:w="1035" w:type="dxa"/>
            <w:tcBorders>
              <w:top w:val="nil"/>
              <w:left w:val="nil"/>
              <w:bottom w:val="nil"/>
              <w:right w:val="nil"/>
              <w:tl2br w:val="nil"/>
              <w:tr2bl w:val="nil"/>
            </w:tcBorders>
            <w:shd w:val="clear" w:color="FFFFFF" w:fill="FFFFFF"/>
            <w:tcMar>
              <w:left w:w="101" w:type="dxa"/>
              <w:right w:w="101" w:type="dxa"/>
            </w:tcMar>
          </w:tcPr>
          <w:p w14:paraId="23C5B4EF"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17,225</w:t>
            </w:r>
          </w:p>
        </w:tc>
        <w:tc>
          <w:tcPr>
            <w:tcW w:w="1035" w:type="dxa"/>
            <w:tcBorders>
              <w:top w:val="nil"/>
              <w:left w:val="nil"/>
              <w:bottom w:val="nil"/>
              <w:right w:val="nil"/>
              <w:tl2br w:val="nil"/>
              <w:tr2bl w:val="nil"/>
            </w:tcBorders>
            <w:shd w:val="clear" w:color="FFFFFF" w:fill="FFFFFF"/>
            <w:tcMar>
              <w:left w:w="101" w:type="dxa"/>
              <w:right w:w="101" w:type="dxa"/>
            </w:tcMar>
          </w:tcPr>
          <w:p w14:paraId="72BAF616"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16,985</w:t>
            </w:r>
          </w:p>
        </w:tc>
      </w:tr>
      <w:tr w:rsidR="00496618" w14:paraId="2253CE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D24E65C" w14:textId="77777777" w:rsidR="00496618" w:rsidRDefault="00496618">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0BA65228"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AA9064"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720738" w14:textId="77777777" w:rsidR="00496618" w:rsidRDefault="00496618">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8BE6B5"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1E6ECA"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8D2EB2" w14:textId="77777777" w:rsidR="00496618" w:rsidRDefault="00496618">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45517B" w14:textId="77777777" w:rsidR="00496618" w:rsidRDefault="00496618">
            <w:pPr>
              <w:pStyle w:val="Normal14"/>
              <w:rPr>
                <w:rFonts w:ascii="Calibri" w:eastAsia="Calibri" w:hAnsi="Calibri" w:cs="Calibri"/>
                <w:color w:val="000000"/>
                <w:sz w:val="18"/>
              </w:rPr>
            </w:pPr>
          </w:p>
        </w:tc>
      </w:tr>
      <w:tr w:rsidR="00496618" w14:paraId="7D3F0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41F1CB3"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7,519</w:t>
            </w:r>
          </w:p>
        </w:tc>
        <w:tc>
          <w:tcPr>
            <w:tcW w:w="2385" w:type="dxa"/>
            <w:tcBorders>
              <w:top w:val="nil"/>
              <w:left w:val="nil"/>
              <w:bottom w:val="nil"/>
              <w:right w:val="nil"/>
              <w:tl2br w:val="nil"/>
              <w:tr2bl w:val="nil"/>
            </w:tcBorders>
            <w:shd w:val="clear" w:color="auto" w:fill="auto"/>
            <w:noWrap/>
            <w:tcMar>
              <w:left w:w="101" w:type="dxa"/>
              <w:right w:w="101" w:type="dxa"/>
            </w:tcMar>
          </w:tcPr>
          <w:p w14:paraId="389CAAA3" w14:textId="77777777" w:rsidR="00496618" w:rsidRDefault="0027723F">
            <w:pPr>
              <w:pStyle w:val="Normal14"/>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6D4AFE1D"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17,671</w:t>
            </w:r>
          </w:p>
        </w:tc>
        <w:tc>
          <w:tcPr>
            <w:tcW w:w="1035" w:type="dxa"/>
            <w:tcBorders>
              <w:top w:val="nil"/>
              <w:left w:val="nil"/>
              <w:bottom w:val="nil"/>
              <w:right w:val="nil"/>
              <w:tl2br w:val="nil"/>
              <w:tr2bl w:val="nil"/>
            </w:tcBorders>
            <w:shd w:val="clear" w:color="FFFFFF" w:fill="FFFFFF"/>
            <w:tcMar>
              <w:left w:w="101" w:type="dxa"/>
              <w:right w:w="101" w:type="dxa"/>
            </w:tcMar>
          </w:tcPr>
          <w:p w14:paraId="710382A3"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17,455</w:t>
            </w:r>
          </w:p>
        </w:tc>
        <w:tc>
          <w:tcPr>
            <w:tcW w:w="600" w:type="dxa"/>
            <w:tcBorders>
              <w:top w:val="nil"/>
              <w:left w:val="nil"/>
              <w:bottom w:val="nil"/>
              <w:right w:val="nil"/>
              <w:tl2br w:val="nil"/>
              <w:tr2bl w:val="nil"/>
            </w:tcBorders>
            <w:shd w:val="clear" w:color="FFFFFF" w:fill="FFFFFF"/>
            <w:tcMar>
              <w:left w:w="101" w:type="dxa"/>
              <w:right w:w="101" w:type="dxa"/>
            </w:tcMar>
          </w:tcPr>
          <w:p w14:paraId="2EB79AD5"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54BB9B58"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17,225</w:t>
            </w:r>
          </w:p>
        </w:tc>
        <w:tc>
          <w:tcPr>
            <w:tcW w:w="1035" w:type="dxa"/>
            <w:tcBorders>
              <w:top w:val="nil"/>
              <w:left w:val="nil"/>
              <w:bottom w:val="nil"/>
              <w:right w:val="nil"/>
              <w:tl2br w:val="nil"/>
              <w:tr2bl w:val="nil"/>
            </w:tcBorders>
            <w:shd w:val="clear" w:color="FFFFFF" w:fill="FFFFFF"/>
            <w:tcMar>
              <w:left w:w="101" w:type="dxa"/>
              <w:right w:w="101" w:type="dxa"/>
            </w:tcMar>
          </w:tcPr>
          <w:p w14:paraId="3C436120"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16,985</w:t>
            </w:r>
          </w:p>
        </w:tc>
        <w:tc>
          <w:tcPr>
            <w:tcW w:w="1035" w:type="dxa"/>
            <w:tcBorders>
              <w:top w:val="nil"/>
              <w:left w:val="nil"/>
              <w:bottom w:val="nil"/>
              <w:right w:val="nil"/>
              <w:tl2br w:val="nil"/>
              <w:tr2bl w:val="nil"/>
            </w:tcBorders>
            <w:shd w:val="clear" w:color="FFFFFF" w:fill="FFFFFF"/>
            <w:tcMar>
              <w:left w:w="101" w:type="dxa"/>
              <w:right w:w="101" w:type="dxa"/>
            </w:tcMar>
          </w:tcPr>
          <w:p w14:paraId="7FF1E083" w14:textId="77777777" w:rsidR="00496618" w:rsidRDefault="0027723F">
            <w:pPr>
              <w:pStyle w:val="Normal14"/>
              <w:jc w:val="right"/>
              <w:rPr>
                <w:rFonts w:ascii="Calibri" w:eastAsia="Calibri" w:hAnsi="Calibri" w:cs="Calibri"/>
                <w:b/>
                <w:color w:val="000000"/>
                <w:sz w:val="18"/>
              </w:rPr>
            </w:pPr>
            <w:r>
              <w:rPr>
                <w:rFonts w:ascii="Calibri" w:eastAsia="Calibri" w:hAnsi="Calibri" w:cs="Calibri"/>
                <w:b/>
                <w:color w:val="000000"/>
                <w:sz w:val="18"/>
              </w:rPr>
              <w:t>16,735</w:t>
            </w:r>
          </w:p>
        </w:tc>
      </w:tr>
      <w:tr w:rsidR="00496618" w14:paraId="50A734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5937626" w14:textId="77777777" w:rsidR="00496618" w:rsidRDefault="00496618">
            <w:pPr>
              <w:pStyle w:val="Normal14"/>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5287ABA" w14:textId="77777777" w:rsidR="00496618" w:rsidRDefault="00496618">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CF91333" w14:textId="77777777" w:rsidR="00496618" w:rsidRDefault="00496618">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A627F5E" w14:textId="77777777" w:rsidR="00496618" w:rsidRDefault="00496618">
            <w:pPr>
              <w:pStyle w:val="Normal14"/>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FBD0C19" w14:textId="77777777" w:rsidR="00496618" w:rsidRDefault="00496618">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285D17B" w14:textId="77777777" w:rsidR="00496618" w:rsidRDefault="00496618">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2C23094" w14:textId="77777777" w:rsidR="00496618" w:rsidRDefault="00496618">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ECE6FE2" w14:textId="77777777" w:rsidR="00496618" w:rsidRDefault="00496618">
            <w:pPr>
              <w:pStyle w:val="Normal14"/>
              <w:rPr>
                <w:rFonts w:ascii="Calibri" w:eastAsia="Calibri" w:hAnsi="Calibri" w:cs="Calibri"/>
                <w:color w:val="000000"/>
                <w:sz w:val="18"/>
              </w:rPr>
            </w:pPr>
          </w:p>
        </w:tc>
      </w:tr>
    </w:tbl>
    <w:p w14:paraId="7B226A1E" w14:textId="77777777" w:rsidR="001F6B18" w:rsidRDefault="0027723F" w:rsidP="008E3537">
      <w:pPr>
        <w:pStyle w:val="Heading3"/>
        <w:rPr>
          <w:bdr w:val="nil"/>
        </w:rPr>
      </w:pPr>
      <w:r>
        <w:rPr>
          <w:bdr w:val="nil"/>
        </w:rPr>
        <w:t>Notes to the Controlled Budget Statements</w:t>
      </w:r>
    </w:p>
    <w:p w14:paraId="724E0598" w14:textId="77777777" w:rsidR="001F6B18" w:rsidRDefault="0027723F" w:rsidP="001F6B18">
      <w:pPr>
        <w:pBdr>
          <w:top w:val="nil"/>
          <w:left w:val="nil"/>
          <w:bottom w:val="nil"/>
          <w:right w:val="nil"/>
          <w:between w:val="nil"/>
          <w:bar w:val="nil"/>
        </w:pBdr>
        <w:rPr>
          <w:bdr w:val="nil"/>
        </w:rPr>
      </w:pPr>
      <w:bookmarkStart w:id="36" w:name="_Hlk9431069"/>
      <w:r>
        <w:rPr>
          <w:bdr w:val="nil"/>
        </w:rPr>
        <w:t>Significant variations are as follows:</w:t>
      </w:r>
    </w:p>
    <w:bookmarkEnd w:id="36"/>
    <w:p w14:paraId="36398C6F" w14:textId="77777777" w:rsidR="001F6B18" w:rsidRDefault="0027723F" w:rsidP="001F6B18">
      <w:pPr>
        <w:pBdr>
          <w:top w:val="nil"/>
          <w:left w:val="nil"/>
          <w:bottom w:val="nil"/>
          <w:right w:val="nil"/>
          <w:between w:val="nil"/>
          <w:bar w:val="nil"/>
        </w:pBdr>
        <w:rPr>
          <w:b/>
          <w:i/>
          <w:bdr w:val="nil"/>
        </w:rPr>
      </w:pPr>
      <w:r>
        <w:rPr>
          <w:b/>
          <w:i/>
          <w:bdr w:val="nil"/>
        </w:rPr>
        <w:t>Operating Statement</w:t>
      </w:r>
    </w:p>
    <w:p w14:paraId="58CD4DAC" w14:textId="77777777" w:rsidR="001F6B18" w:rsidRDefault="0027723F" w:rsidP="009832FC">
      <w:pPr>
        <w:pStyle w:val="BSbullet1"/>
        <w:numPr>
          <w:ilvl w:val="0"/>
          <w:numId w:val="30"/>
        </w:numPr>
        <w:pBdr>
          <w:top w:val="nil"/>
          <w:left w:val="nil"/>
          <w:bottom w:val="nil"/>
          <w:right w:val="nil"/>
          <w:between w:val="nil"/>
          <w:bar w:val="nil"/>
        </w:pBdr>
        <w:jc w:val="both"/>
        <w:rPr>
          <w:bdr w:val="nil"/>
        </w:rPr>
      </w:pPr>
      <w:r>
        <w:rPr>
          <w:bdr w:val="nil"/>
        </w:rPr>
        <w:t xml:space="preserve">controlled recurrent payments: </w:t>
      </w:r>
    </w:p>
    <w:p w14:paraId="5729A709" w14:textId="77777777" w:rsidR="001F6B18" w:rsidRDefault="0027723F" w:rsidP="009832FC">
      <w:pPr>
        <w:pStyle w:val="BSbullet1"/>
        <w:numPr>
          <w:ilvl w:val="1"/>
          <w:numId w:val="31"/>
        </w:numPr>
        <w:pBdr>
          <w:top w:val="nil"/>
          <w:left w:val="nil"/>
          <w:bottom w:val="nil"/>
          <w:right w:val="nil"/>
          <w:between w:val="nil"/>
          <w:bar w:val="nil"/>
        </w:pBdr>
        <w:tabs>
          <w:tab w:val="clear" w:pos="1800"/>
        </w:tabs>
        <w:ind w:left="709"/>
        <w:jc w:val="both"/>
        <w:rPr>
          <w:bdr w:val="nil"/>
        </w:rPr>
      </w:pPr>
      <w:r>
        <w:rPr>
          <w:bdr w:val="nil"/>
        </w:rPr>
        <w:t>the decrease of $14.823 million in the 2020-21 Interim Outcome from the original Budget relates mainly to the reprofiling of initiatives into 2021-22 mainly related to large information technology projects including the ‘</w:t>
      </w:r>
      <w:r w:rsidRPr="001B3C55">
        <w:rPr>
          <w:bdr w:val="nil"/>
        </w:rPr>
        <w:t xml:space="preserve">ACT Pathology </w:t>
      </w:r>
      <w:r>
        <w:rPr>
          <w:bdr w:val="nil"/>
        </w:rPr>
        <w:t>L</w:t>
      </w:r>
      <w:r w:rsidRPr="001B3C55">
        <w:rPr>
          <w:bdr w:val="nil"/>
        </w:rPr>
        <w:t xml:space="preserve">aboratory </w:t>
      </w:r>
      <w:r>
        <w:rPr>
          <w:bdr w:val="nil"/>
        </w:rPr>
        <w:t>I</w:t>
      </w:r>
      <w:r w:rsidRPr="001B3C55">
        <w:rPr>
          <w:bdr w:val="nil"/>
        </w:rPr>
        <w:t xml:space="preserve">nformation </w:t>
      </w:r>
      <w:r>
        <w:rPr>
          <w:bdr w:val="nil"/>
        </w:rPr>
        <w:t>S</w:t>
      </w:r>
      <w:r w:rsidRPr="001B3C55">
        <w:rPr>
          <w:bdr w:val="nil"/>
        </w:rPr>
        <w:t>ystem’</w:t>
      </w:r>
      <w:r>
        <w:rPr>
          <w:bdr w:val="nil"/>
        </w:rPr>
        <w:t xml:space="preserve"> and</w:t>
      </w:r>
      <w:r w:rsidRPr="001B3C55">
        <w:rPr>
          <w:bdr w:val="nil"/>
        </w:rPr>
        <w:t xml:space="preserve"> ‘Core IT Systems to align with the Digital Health Strategy’</w:t>
      </w:r>
      <w:r>
        <w:rPr>
          <w:bdr w:val="nil"/>
        </w:rPr>
        <w:t>; and</w:t>
      </w:r>
    </w:p>
    <w:p w14:paraId="73F9DF28" w14:textId="6EE1907D" w:rsidR="001F6B18" w:rsidRDefault="0027723F" w:rsidP="009832FC">
      <w:pPr>
        <w:pStyle w:val="BSbullet1"/>
        <w:numPr>
          <w:ilvl w:val="1"/>
          <w:numId w:val="31"/>
        </w:numPr>
        <w:pBdr>
          <w:top w:val="nil"/>
          <w:left w:val="nil"/>
          <w:bottom w:val="nil"/>
          <w:right w:val="nil"/>
          <w:between w:val="nil"/>
          <w:bar w:val="nil"/>
        </w:pBdr>
        <w:tabs>
          <w:tab w:val="clear" w:pos="1800"/>
        </w:tabs>
        <w:ind w:left="709"/>
        <w:jc w:val="both"/>
        <w:rPr>
          <w:bdr w:val="nil"/>
        </w:rPr>
      </w:pPr>
      <w:r>
        <w:rPr>
          <w:bdr w:val="nil"/>
        </w:rPr>
        <w:t>the increase of $</w:t>
      </w:r>
      <w:r w:rsidR="002E1776">
        <w:rPr>
          <w:bdr w:val="nil"/>
        </w:rPr>
        <w:t>25.423</w:t>
      </w:r>
      <w:r>
        <w:rPr>
          <w:bdr w:val="nil"/>
        </w:rPr>
        <w:t xml:space="preserve"> million in the 2021-22 Budget from the 2020-21 Interim Outcome relates to indexation, new initiatives and reprofiling of initiatives from 2020</w:t>
      </w:r>
      <w:r w:rsidR="002E1776">
        <w:rPr>
          <w:bdr w:val="nil"/>
        </w:rPr>
        <w:noBreakHyphen/>
      </w:r>
      <w:r>
        <w:rPr>
          <w:bdr w:val="nil"/>
        </w:rPr>
        <w:t>21.</w:t>
      </w:r>
    </w:p>
    <w:p w14:paraId="53F2E808" w14:textId="77777777" w:rsidR="001F6B18" w:rsidRDefault="0027723F" w:rsidP="009832FC">
      <w:pPr>
        <w:pStyle w:val="BSbullet1"/>
        <w:numPr>
          <w:ilvl w:val="0"/>
          <w:numId w:val="30"/>
        </w:numPr>
        <w:pBdr>
          <w:top w:val="nil"/>
          <w:left w:val="nil"/>
          <w:bottom w:val="nil"/>
          <w:right w:val="nil"/>
          <w:between w:val="nil"/>
          <w:bar w:val="nil"/>
        </w:pBdr>
        <w:jc w:val="both"/>
        <w:rPr>
          <w:bdr w:val="nil"/>
        </w:rPr>
      </w:pPr>
      <w:r>
        <w:rPr>
          <w:bdr w:val="nil"/>
        </w:rPr>
        <w:t>sale of goods and services</w:t>
      </w:r>
      <w:r w:rsidRPr="00287CA8">
        <w:rPr>
          <w:bdr w:val="nil"/>
        </w:rPr>
        <w:t xml:space="preserve">: </w:t>
      </w:r>
    </w:p>
    <w:p w14:paraId="28BC6754" w14:textId="77777777" w:rsidR="001F6B18" w:rsidRDefault="0027723F" w:rsidP="009832FC">
      <w:pPr>
        <w:pStyle w:val="BSbullet1"/>
        <w:numPr>
          <w:ilvl w:val="1"/>
          <w:numId w:val="31"/>
        </w:numPr>
        <w:pBdr>
          <w:top w:val="nil"/>
          <w:left w:val="nil"/>
          <w:bottom w:val="nil"/>
          <w:right w:val="nil"/>
          <w:between w:val="nil"/>
          <w:bar w:val="nil"/>
        </w:pBdr>
        <w:tabs>
          <w:tab w:val="clear" w:pos="1800"/>
        </w:tabs>
        <w:ind w:left="709"/>
        <w:jc w:val="both"/>
        <w:rPr>
          <w:bdr w:val="nil"/>
        </w:rPr>
      </w:pPr>
      <w:r w:rsidRPr="00287CA8">
        <w:rPr>
          <w:bdr w:val="nil"/>
        </w:rPr>
        <w:t>the</w:t>
      </w:r>
      <w:r>
        <w:rPr>
          <w:bdr w:val="nil"/>
        </w:rPr>
        <w:t xml:space="preserve"> decrease of $89.660 million</w:t>
      </w:r>
      <w:r w:rsidRPr="00287CA8">
        <w:rPr>
          <w:bdr w:val="nil"/>
        </w:rPr>
        <w:t xml:space="preserve"> in the </w:t>
      </w:r>
      <w:r>
        <w:rPr>
          <w:bdr w:val="nil"/>
        </w:rPr>
        <w:t xml:space="preserve">2020-21 Interim Outcome from the original Budget </w:t>
      </w:r>
      <w:r w:rsidRPr="00287CA8">
        <w:rPr>
          <w:bdr w:val="nil"/>
        </w:rPr>
        <w:t xml:space="preserve">is mainly due to </w:t>
      </w:r>
      <w:r>
        <w:rPr>
          <w:bdr w:val="nil"/>
        </w:rPr>
        <w:t>the reclassification of cross border revenue to ‘Other Revenue’; and</w:t>
      </w:r>
    </w:p>
    <w:p w14:paraId="5ED4D4FC" w14:textId="46F288CC" w:rsidR="001F6B18" w:rsidRDefault="0027723F" w:rsidP="009832FC">
      <w:pPr>
        <w:pStyle w:val="BSbullet1"/>
        <w:numPr>
          <w:ilvl w:val="1"/>
          <w:numId w:val="31"/>
        </w:numPr>
        <w:pBdr>
          <w:top w:val="nil"/>
          <w:left w:val="nil"/>
          <w:bottom w:val="nil"/>
          <w:right w:val="nil"/>
          <w:between w:val="nil"/>
          <w:bar w:val="nil"/>
        </w:pBdr>
        <w:tabs>
          <w:tab w:val="clear" w:pos="1800"/>
        </w:tabs>
        <w:ind w:left="709"/>
        <w:jc w:val="both"/>
        <w:rPr>
          <w:bdr w:val="nil"/>
        </w:rPr>
      </w:pPr>
      <w:r>
        <w:rPr>
          <w:bdr w:val="nil"/>
        </w:rPr>
        <w:lastRenderedPageBreak/>
        <w:t>the decrease of $8.067 million in the 2021-22 Budget from the 20</w:t>
      </w:r>
      <w:r w:rsidR="002E1776">
        <w:rPr>
          <w:bdr w:val="nil"/>
        </w:rPr>
        <w:t>20-</w:t>
      </w:r>
      <w:r>
        <w:rPr>
          <w:bdr w:val="nil"/>
        </w:rPr>
        <w:t xml:space="preserve">21 Interim Outcome is mainly due </w:t>
      </w:r>
      <w:r w:rsidR="00E85E76">
        <w:rPr>
          <w:bdr w:val="nil"/>
        </w:rPr>
        <w:t xml:space="preserve">to the </w:t>
      </w:r>
      <w:r>
        <w:rPr>
          <w:bdr w:val="nil"/>
        </w:rPr>
        <w:t xml:space="preserve">reclassification of funding received under the </w:t>
      </w:r>
      <w:r w:rsidRPr="00F86585">
        <w:rPr>
          <w:i/>
          <w:iCs/>
          <w:bdr w:val="nil"/>
        </w:rPr>
        <w:t>National Partnership on COVID-19 Response</w:t>
      </w:r>
      <w:r w:rsidRPr="00F86585">
        <w:rPr>
          <w:bdr w:val="nil"/>
        </w:rPr>
        <w:t xml:space="preserve"> </w:t>
      </w:r>
      <w:r>
        <w:rPr>
          <w:bdr w:val="nil"/>
        </w:rPr>
        <w:t>to ‘Other Revenue’.</w:t>
      </w:r>
    </w:p>
    <w:p w14:paraId="25FBAEBA" w14:textId="3CA0AB90" w:rsidR="001F6B18" w:rsidRDefault="0027723F" w:rsidP="009832FC">
      <w:pPr>
        <w:pStyle w:val="BSbullet1"/>
        <w:keepNext/>
        <w:numPr>
          <w:ilvl w:val="0"/>
          <w:numId w:val="30"/>
        </w:numPr>
        <w:pBdr>
          <w:top w:val="nil"/>
          <w:left w:val="nil"/>
          <w:bottom w:val="nil"/>
          <w:right w:val="nil"/>
          <w:between w:val="nil"/>
          <w:bar w:val="nil"/>
        </w:pBdr>
        <w:jc w:val="both"/>
        <w:rPr>
          <w:bdr w:val="nil"/>
        </w:rPr>
      </w:pPr>
      <w:r>
        <w:rPr>
          <w:bdr w:val="nil"/>
        </w:rPr>
        <w:t xml:space="preserve">grants and contributions: the increase of $1.134 million in the 2020-21 Interim Outcome from the original Budget and the reduction of </w:t>
      </w:r>
      <w:r w:rsidRPr="00793FF1">
        <w:rPr>
          <w:bdr w:val="nil"/>
        </w:rPr>
        <w:t>$</w:t>
      </w:r>
      <w:r w:rsidR="004B34BD" w:rsidRPr="00793FF1">
        <w:rPr>
          <w:bdr w:val="nil"/>
        </w:rPr>
        <w:t>0.985</w:t>
      </w:r>
      <w:r>
        <w:rPr>
          <w:bdr w:val="nil"/>
        </w:rPr>
        <w:t xml:space="preserve"> million in the 2021-22 Budget from the 2020-21 Interim Outcome relates to one-off resources received free of charge in 2020</w:t>
      </w:r>
      <w:r w:rsidR="00827130">
        <w:rPr>
          <w:bdr w:val="nil"/>
        </w:rPr>
        <w:noBreakHyphen/>
      </w:r>
      <w:r>
        <w:rPr>
          <w:bdr w:val="nil"/>
        </w:rPr>
        <w:t>21 related to an information technology project.</w:t>
      </w:r>
    </w:p>
    <w:p w14:paraId="436ACD9E" w14:textId="77777777" w:rsidR="001F6B18" w:rsidRDefault="0027723F" w:rsidP="009832FC">
      <w:pPr>
        <w:pStyle w:val="BSbullet1"/>
        <w:keepNext/>
        <w:numPr>
          <w:ilvl w:val="0"/>
          <w:numId w:val="30"/>
        </w:numPr>
        <w:pBdr>
          <w:top w:val="nil"/>
          <w:left w:val="nil"/>
          <w:bottom w:val="nil"/>
          <w:right w:val="nil"/>
          <w:between w:val="nil"/>
          <w:bar w:val="nil"/>
        </w:pBdr>
        <w:jc w:val="both"/>
        <w:rPr>
          <w:bdr w:val="nil"/>
        </w:rPr>
      </w:pPr>
      <w:r>
        <w:rPr>
          <w:bdr w:val="nil"/>
        </w:rPr>
        <w:t xml:space="preserve">other revenue: </w:t>
      </w:r>
    </w:p>
    <w:p w14:paraId="735EFB24" w14:textId="77777777" w:rsidR="001F6B18" w:rsidRDefault="0027723F" w:rsidP="009832FC">
      <w:pPr>
        <w:pStyle w:val="BSbullet1"/>
        <w:numPr>
          <w:ilvl w:val="1"/>
          <w:numId w:val="31"/>
        </w:numPr>
        <w:pBdr>
          <w:top w:val="nil"/>
          <w:left w:val="nil"/>
          <w:bottom w:val="nil"/>
          <w:right w:val="nil"/>
          <w:between w:val="nil"/>
          <w:bar w:val="nil"/>
        </w:pBdr>
        <w:tabs>
          <w:tab w:val="clear" w:pos="1800"/>
        </w:tabs>
        <w:ind w:left="709"/>
        <w:jc w:val="both"/>
        <w:rPr>
          <w:bdr w:val="nil"/>
        </w:rPr>
      </w:pPr>
      <w:r>
        <w:rPr>
          <w:bdr w:val="nil"/>
        </w:rPr>
        <w:t xml:space="preserve">the increase of $94.028 million in the 2020-21 Interim Outcome from the original Budget </w:t>
      </w:r>
      <w:r w:rsidRPr="00287CA8">
        <w:rPr>
          <w:bdr w:val="nil"/>
        </w:rPr>
        <w:t xml:space="preserve">is mainly due to </w:t>
      </w:r>
      <w:r>
        <w:rPr>
          <w:bdr w:val="nil"/>
        </w:rPr>
        <w:t>the reclassification of cross border revenue from ‘sale of goods and services’; and</w:t>
      </w:r>
    </w:p>
    <w:p w14:paraId="1DD57EA1" w14:textId="0746AD7D" w:rsidR="001F6B18" w:rsidRDefault="0027723F" w:rsidP="009832FC">
      <w:pPr>
        <w:pStyle w:val="BSbullet1"/>
        <w:numPr>
          <w:ilvl w:val="1"/>
          <w:numId w:val="31"/>
        </w:numPr>
        <w:pBdr>
          <w:top w:val="nil"/>
          <w:left w:val="nil"/>
          <w:bottom w:val="nil"/>
          <w:right w:val="nil"/>
          <w:between w:val="nil"/>
          <w:bar w:val="nil"/>
        </w:pBdr>
        <w:tabs>
          <w:tab w:val="clear" w:pos="1800"/>
        </w:tabs>
        <w:ind w:left="709"/>
        <w:jc w:val="both"/>
        <w:rPr>
          <w:bdr w:val="nil"/>
        </w:rPr>
      </w:pPr>
      <w:r>
        <w:rPr>
          <w:bdr w:val="nil"/>
        </w:rPr>
        <w:t>the increase $32.865 million in the 2021-22 Budget from the 2020-21 Interim Outcome is mainly due to the full year impact of interstate cross border revenue flows through the Health Directorate and the reclassification of</w:t>
      </w:r>
      <w:r w:rsidRPr="007D5C9B">
        <w:rPr>
          <w:bdr w:val="nil"/>
        </w:rPr>
        <w:t xml:space="preserve"> </w:t>
      </w:r>
      <w:r>
        <w:rPr>
          <w:bdr w:val="nil"/>
        </w:rPr>
        <w:t xml:space="preserve">funding received under the </w:t>
      </w:r>
      <w:r w:rsidRPr="00F86585">
        <w:rPr>
          <w:i/>
          <w:iCs/>
          <w:bdr w:val="nil"/>
        </w:rPr>
        <w:t>National Partnership on COVID-19 Response</w:t>
      </w:r>
      <w:r w:rsidRPr="00F86585">
        <w:rPr>
          <w:bdr w:val="nil"/>
        </w:rPr>
        <w:t xml:space="preserve"> </w:t>
      </w:r>
      <w:r>
        <w:rPr>
          <w:bdr w:val="nil"/>
        </w:rPr>
        <w:t>from ‘sale of goods and services’.</w:t>
      </w:r>
    </w:p>
    <w:p w14:paraId="3D7A542D" w14:textId="73BF890D" w:rsidR="00AB4E52" w:rsidRDefault="00AB4E52" w:rsidP="009832FC">
      <w:pPr>
        <w:pStyle w:val="BSbullet1"/>
        <w:numPr>
          <w:ilvl w:val="0"/>
          <w:numId w:val="31"/>
        </w:numPr>
        <w:pBdr>
          <w:top w:val="nil"/>
          <w:left w:val="nil"/>
          <w:bottom w:val="nil"/>
          <w:right w:val="nil"/>
          <w:between w:val="nil"/>
          <w:bar w:val="nil"/>
        </w:pBdr>
        <w:jc w:val="both"/>
        <w:rPr>
          <w:bdr w:val="nil"/>
        </w:rPr>
      </w:pPr>
      <w:r>
        <w:rPr>
          <w:bdr w:val="nil"/>
        </w:rPr>
        <w:t>employee expenses: the increase of $14.090 million in the 2021-22 Budget from the 2020</w:t>
      </w:r>
      <w:r>
        <w:rPr>
          <w:bdr w:val="nil"/>
        </w:rPr>
        <w:noBreakHyphen/>
        <w:t>21 Interim Outcome relates mainly to indexation, new initiatives, and reprofiling of initiatives from 2020-21.</w:t>
      </w:r>
    </w:p>
    <w:p w14:paraId="7D3F56BE" w14:textId="77777777" w:rsidR="001F6B18" w:rsidRDefault="0027723F" w:rsidP="009832FC">
      <w:pPr>
        <w:pStyle w:val="BSbullet1"/>
        <w:keepNext/>
        <w:numPr>
          <w:ilvl w:val="0"/>
          <w:numId w:val="30"/>
        </w:numPr>
        <w:pBdr>
          <w:top w:val="nil"/>
          <w:left w:val="nil"/>
          <w:bottom w:val="nil"/>
          <w:right w:val="nil"/>
          <w:between w:val="nil"/>
          <w:bar w:val="nil"/>
        </w:pBdr>
        <w:jc w:val="both"/>
        <w:rPr>
          <w:bdr w:val="nil"/>
        </w:rPr>
      </w:pPr>
      <w:r>
        <w:rPr>
          <w:bdr w:val="nil"/>
        </w:rPr>
        <w:t xml:space="preserve">depreciation: </w:t>
      </w:r>
    </w:p>
    <w:p w14:paraId="01EFAA31" w14:textId="77777777" w:rsidR="001F6B18" w:rsidRDefault="0027723F" w:rsidP="009832FC">
      <w:pPr>
        <w:pStyle w:val="BSbullet1"/>
        <w:numPr>
          <w:ilvl w:val="1"/>
          <w:numId w:val="31"/>
        </w:numPr>
        <w:pBdr>
          <w:top w:val="nil"/>
          <w:left w:val="nil"/>
          <w:bottom w:val="nil"/>
          <w:right w:val="nil"/>
          <w:between w:val="nil"/>
          <w:bar w:val="nil"/>
        </w:pBdr>
        <w:tabs>
          <w:tab w:val="clear" w:pos="1800"/>
        </w:tabs>
        <w:ind w:left="709"/>
        <w:jc w:val="both"/>
        <w:rPr>
          <w:bdr w:val="nil"/>
        </w:rPr>
      </w:pPr>
      <w:r>
        <w:rPr>
          <w:bdr w:val="nil"/>
        </w:rPr>
        <w:t xml:space="preserve">the decrease of $2.809 million </w:t>
      </w:r>
      <w:r w:rsidRPr="00287CA8">
        <w:rPr>
          <w:bdr w:val="nil"/>
        </w:rPr>
        <w:t xml:space="preserve">in the </w:t>
      </w:r>
      <w:r>
        <w:rPr>
          <w:bdr w:val="nil"/>
        </w:rPr>
        <w:t>2020-21</w:t>
      </w:r>
      <w:r w:rsidRPr="00287CA8">
        <w:rPr>
          <w:bdr w:val="nil"/>
        </w:rPr>
        <w:t xml:space="preserve"> </w:t>
      </w:r>
      <w:r>
        <w:rPr>
          <w:bdr w:val="nil"/>
        </w:rPr>
        <w:t xml:space="preserve">Interim Outcome from the original </w:t>
      </w:r>
      <w:r w:rsidRPr="00287CA8">
        <w:rPr>
          <w:bdr w:val="nil"/>
        </w:rPr>
        <w:t>Budget is</w:t>
      </w:r>
      <w:r>
        <w:rPr>
          <w:bdr w:val="nil"/>
        </w:rPr>
        <w:t xml:space="preserve"> mainly due to roll over of information technology projects; and</w:t>
      </w:r>
    </w:p>
    <w:p w14:paraId="6260D451" w14:textId="77777777" w:rsidR="001F6B18" w:rsidRDefault="0027723F" w:rsidP="009832FC">
      <w:pPr>
        <w:pStyle w:val="BSbullet1"/>
        <w:numPr>
          <w:ilvl w:val="1"/>
          <w:numId w:val="31"/>
        </w:numPr>
        <w:pBdr>
          <w:top w:val="nil"/>
          <w:left w:val="nil"/>
          <w:bottom w:val="nil"/>
          <w:right w:val="nil"/>
          <w:between w:val="nil"/>
          <w:bar w:val="nil"/>
        </w:pBdr>
        <w:tabs>
          <w:tab w:val="clear" w:pos="1800"/>
        </w:tabs>
        <w:ind w:left="709"/>
        <w:jc w:val="both"/>
        <w:rPr>
          <w:bdr w:val="nil"/>
        </w:rPr>
      </w:pPr>
      <w:r>
        <w:rPr>
          <w:bdr w:val="nil"/>
        </w:rPr>
        <w:t>the increase of $6.632 million in the 2021-22 Budget from the 2020-21 Interim Outcome is mainly due to the expected completion of information technology projects during 2021-22.</w:t>
      </w:r>
    </w:p>
    <w:p w14:paraId="37BE2250" w14:textId="6B5FABB2" w:rsidR="001F6B18" w:rsidRDefault="0027723F" w:rsidP="009832FC">
      <w:pPr>
        <w:pStyle w:val="BSbullet1"/>
        <w:keepNext/>
        <w:numPr>
          <w:ilvl w:val="0"/>
          <w:numId w:val="30"/>
        </w:numPr>
        <w:pBdr>
          <w:top w:val="nil"/>
          <w:left w:val="nil"/>
          <w:bottom w:val="nil"/>
          <w:right w:val="nil"/>
          <w:between w:val="nil"/>
          <w:bar w:val="nil"/>
        </w:pBdr>
        <w:jc w:val="both"/>
        <w:rPr>
          <w:bdr w:val="nil"/>
        </w:rPr>
      </w:pPr>
      <w:r>
        <w:rPr>
          <w:bdr w:val="nil"/>
        </w:rPr>
        <w:t>grants and purchased services: the increase of $32.</w:t>
      </w:r>
      <w:r w:rsidR="004F70E6">
        <w:rPr>
          <w:bdr w:val="nil"/>
        </w:rPr>
        <w:t>77</w:t>
      </w:r>
      <w:r>
        <w:rPr>
          <w:bdr w:val="nil"/>
        </w:rPr>
        <w:t>4 million in the 2021-22 Budget from the 2020-21 Interim Outcome is mainly due to the full year effect of cross border funding flows, which are now required to transact through the Directorate, before being on-passed to the ACT Local Hospital Network.</w:t>
      </w:r>
    </w:p>
    <w:p w14:paraId="14371D59" w14:textId="77777777" w:rsidR="001F6B18" w:rsidRPr="00287CA8" w:rsidRDefault="0027723F" w:rsidP="001F6B18">
      <w:pPr>
        <w:pStyle w:val="Heading4"/>
        <w:pBdr>
          <w:top w:val="nil"/>
          <w:left w:val="nil"/>
          <w:bottom w:val="nil"/>
          <w:right w:val="nil"/>
          <w:between w:val="nil"/>
          <w:bar w:val="nil"/>
        </w:pBdr>
        <w:rPr>
          <w:bCs w:val="0"/>
          <w:bdr w:val="nil"/>
        </w:rPr>
      </w:pPr>
      <w:r w:rsidRPr="00287CA8">
        <w:rPr>
          <w:bCs w:val="0"/>
          <w:bdr w:val="nil"/>
        </w:rPr>
        <w:t>Balance Sheet</w:t>
      </w:r>
    </w:p>
    <w:p w14:paraId="216DA159" w14:textId="77777777" w:rsidR="001F6B18" w:rsidRDefault="0027723F" w:rsidP="009832FC">
      <w:pPr>
        <w:pStyle w:val="BSbullet1"/>
        <w:numPr>
          <w:ilvl w:val="0"/>
          <w:numId w:val="30"/>
        </w:numPr>
        <w:pBdr>
          <w:top w:val="nil"/>
          <w:left w:val="nil"/>
          <w:bottom w:val="nil"/>
          <w:right w:val="nil"/>
          <w:between w:val="nil"/>
          <w:bar w:val="nil"/>
        </w:pBdr>
        <w:jc w:val="both"/>
        <w:rPr>
          <w:bdr w:val="nil"/>
        </w:rPr>
      </w:pPr>
      <w:r>
        <w:rPr>
          <w:bdr w:val="nil"/>
        </w:rPr>
        <w:t>cash and cash equivalents: the increase of $10.152 million in the 2020-21 Interim Outcome from the original Budget relates mainly to the increase in payables.</w:t>
      </w:r>
    </w:p>
    <w:p w14:paraId="05D387C9" w14:textId="77777777" w:rsidR="001F6B18" w:rsidRDefault="0027723F" w:rsidP="009832FC">
      <w:pPr>
        <w:pStyle w:val="BSbullet1"/>
        <w:numPr>
          <w:ilvl w:val="0"/>
          <w:numId w:val="30"/>
        </w:numPr>
        <w:pBdr>
          <w:top w:val="nil"/>
          <w:left w:val="nil"/>
          <w:bottom w:val="nil"/>
          <w:right w:val="nil"/>
          <w:between w:val="nil"/>
          <w:bar w:val="nil"/>
        </w:pBdr>
        <w:jc w:val="both"/>
        <w:rPr>
          <w:bdr w:val="nil"/>
        </w:rPr>
      </w:pPr>
      <w:r>
        <w:rPr>
          <w:bdr w:val="nil"/>
        </w:rPr>
        <w:t>receivables: the decrease of $1.285 million in the 2020-21 Interim Outcome from the original Budget reflects the timing and quantum of invoices issued in the June 2021 period.</w:t>
      </w:r>
    </w:p>
    <w:p w14:paraId="1F0CE331" w14:textId="77777777" w:rsidR="001F6B18" w:rsidRDefault="0027723F" w:rsidP="009832FC">
      <w:pPr>
        <w:pStyle w:val="BSbullet1"/>
        <w:numPr>
          <w:ilvl w:val="0"/>
          <w:numId w:val="30"/>
        </w:numPr>
        <w:pBdr>
          <w:top w:val="nil"/>
          <w:left w:val="nil"/>
          <w:bottom w:val="nil"/>
          <w:right w:val="nil"/>
          <w:between w:val="nil"/>
          <w:bar w:val="nil"/>
        </w:pBdr>
        <w:jc w:val="both"/>
        <w:rPr>
          <w:bdr w:val="nil"/>
        </w:rPr>
      </w:pPr>
      <w:r>
        <w:rPr>
          <w:bdr w:val="nil"/>
        </w:rPr>
        <w:t>other assets:</w:t>
      </w:r>
      <w:r w:rsidRPr="0033080D">
        <w:rPr>
          <w:bdr w:val="nil"/>
        </w:rPr>
        <w:t xml:space="preserve"> </w:t>
      </w:r>
      <w:r>
        <w:rPr>
          <w:bdr w:val="nil"/>
        </w:rPr>
        <w:t>the increase of $1.925 million in the 2020-21 Interim Outcome from the original Budget relates mainly to prepayments of rental lease for the Directorate’s office accommodation.</w:t>
      </w:r>
    </w:p>
    <w:p w14:paraId="4C7498FB" w14:textId="77777777" w:rsidR="001F6B18" w:rsidRDefault="0027723F" w:rsidP="009832FC">
      <w:pPr>
        <w:pStyle w:val="BSbullet1"/>
        <w:numPr>
          <w:ilvl w:val="0"/>
          <w:numId w:val="30"/>
        </w:numPr>
        <w:pBdr>
          <w:top w:val="nil"/>
          <w:left w:val="nil"/>
          <w:bottom w:val="nil"/>
          <w:right w:val="nil"/>
          <w:between w:val="nil"/>
          <w:bar w:val="nil"/>
        </w:pBdr>
        <w:jc w:val="both"/>
        <w:rPr>
          <w:bdr w:val="nil"/>
        </w:rPr>
      </w:pPr>
      <w:r>
        <w:rPr>
          <w:bdr w:val="nil"/>
        </w:rPr>
        <w:lastRenderedPageBreak/>
        <w:t>property, plant and equipment: the decrease of $15.942 million in the 2020-21 Interim Outcome from the original Budget relates mainly to delayed infrastructure and equipment projects, which are reflected in the higher capital works in progress balance.  The increase of $13.696 million in the 2021-22 Budget reflects the catch-up in these projects.</w:t>
      </w:r>
    </w:p>
    <w:p w14:paraId="301DA848" w14:textId="77777777" w:rsidR="001F6B18" w:rsidRDefault="0027723F" w:rsidP="009832FC">
      <w:pPr>
        <w:pStyle w:val="BSbullet1"/>
        <w:numPr>
          <w:ilvl w:val="0"/>
          <w:numId w:val="30"/>
        </w:numPr>
        <w:pBdr>
          <w:top w:val="nil"/>
          <w:left w:val="nil"/>
          <w:bottom w:val="nil"/>
          <w:right w:val="nil"/>
          <w:between w:val="nil"/>
          <w:bar w:val="nil"/>
        </w:pBdr>
        <w:jc w:val="both"/>
        <w:rPr>
          <w:bdr w:val="nil"/>
        </w:rPr>
      </w:pPr>
      <w:r w:rsidRPr="00287CA8">
        <w:rPr>
          <w:bdr w:val="nil"/>
        </w:rPr>
        <w:t xml:space="preserve">intangible assets: </w:t>
      </w:r>
    </w:p>
    <w:p w14:paraId="7CCD967D" w14:textId="4AF6E398" w:rsidR="001F6B18" w:rsidRDefault="0027723F" w:rsidP="009832FC">
      <w:pPr>
        <w:pStyle w:val="BSbullet1"/>
        <w:numPr>
          <w:ilvl w:val="1"/>
          <w:numId w:val="31"/>
        </w:numPr>
        <w:pBdr>
          <w:top w:val="nil"/>
          <w:left w:val="nil"/>
          <w:bottom w:val="nil"/>
          <w:right w:val="nil"/>
          <w:between w:val="nil"/>
          <w:bar w:val="nil"/>
        </w:pBdr>
        <w:tabs>
          <w:tab w:val="clear" w:pos="1800"/>
        </w:tabs>
        <w:ind w:left="709"/>
        <w:jc w:val="both"/>
        <w:rPr>
          <w:bdr w:val="nil"/>
        </w:rPr>
      </w:pPr>
      <w:r w:rsidRPr="00287CA8">
        <w:rPr>
          <w:bdr w:val="nil"/>
        </w:rPr>
        <w:t xml:space="preserve">the </w:t>
      </w:r>
      <w:r>
        <w:rPr>
          <w:bdr w:val="nil"/>
        </w:rPr>
        <w:t>decrease of $6.114 million</w:t>
      </w:r>
      <w:r w:rsidRPr="00287CA8">
        <w:rPr>
          <w:bdr w:val="nil"/>
        </w:rPr>
        <w:t xml:space="preserve"> in the </w:t>
      </w:r>
      <w:r>
        <w:rPr>
          <w:bdr w:val="nil"/>
        </w:rPr>
        <w:t xml:space="preserve">2020-21 Interim Outcome from the original Budget </w:t>
      </w:r>
      <w:r w:rsidRPr="00287CA8">
        <w:rPr>
          <w:bdr w:val="nil"/>
        </w:rPr>
        <w:t xml:space="preserve">is mainly due to </w:t>
      </w:r>
      <w:r>
        <w:rPr>
          <w:bdr w:val="nil"/>
        </w:rPr>
        <w:t>delayed major information technology projects, which are reflected in the higher capital works in progress balance</w:t>
      </w:r>
      <w:r w:rsidR="00E85E76">
        <w:rPr>
          <w:bdr w:val="nil"/>
        </w:rPr>
        <w:t>; and</w:t>
      </w:r>
    </w:p>
    <w:p w14:paraId="76132C6C" w14:textId="1D3380A3" w:rsidR="001F6B18" w:rsidRPr="00287CA8" w:rsidRDefault="00E85E76" w:rsidP="009832FC">
      <w:pPr>
        <w:pStyle w:val="BSbullet1"/>
        <w:numPr>
          <w:ilvl w:val="1"/>
          <w:numId w:val="31"/>
        </w:numPr>
        <w:pBdr>
          <w:top w:val="nil"/>
          <w:left w:val="nil"/>
          <w:bottom w:val="nil"/>
          <w:right w:val="nil"/>
          <w:between w:val="nil"/>
          <w:bar w:val="nil"/>
        </w:pBdr>
        <w:tabs>
          <w:tab w:val="clear" w:pos="1800"/>
        </w:tabs>
        <w:ind w:left="709"/>
        <w:jc w:val="both"/>
        <w:rPr>
          <w:bdr w:val="nil"/>
        </w:rPr>
      </w:pPr>
      <w:r>
        <w:rPr>
          <w:bdr w:val="nil"/>
        </w:rPr>
        <w:t>t</w:t>
      </w:r>
      <w:r w:rsidR="0027723F">
        <w:rPr>
          <w:bdr w:val="nil"/>
        </w:rPr>
        <w:t>he increase of $43.228 million in the 2021-22 Budget from the 2020-21 Interim Outcome reflect</w:t>
      </w:r>
      <w:r w:rsidR="004F70E6">
        <w:rPr>
          <w:bdr w:val="nil"/>
        </w:rPr>
        <w:t>s</w:t>
      </w:r>
      <w:r w:rsidR="0027723F">
        <w:rPr>
          <w:bdr w:val="nil"/>
        </w:rPr>
        <w:t xml:space="preserve"> the ‘go-live’ of major information technology projects including the Digital Health Record.</w:t>
      </w:r>
    </w:p>
    <w:p w14:paraId="589C248B" w14:textId="6257F2BC" w:rsidR="001F6B18" w:rsidRDefault="0027723F" w:rsidP="009832FC">
      <w:pPr>
        <w:pStyle w:val="BSbullet1"/>
        <w:numPr>
          <w:ilvl w:val="0"/>
          <w:numId w:val="30"/>
        </w:numPr>
        <w:pBdr>
          <w:top w:val="nil"/>
          <w:left w:val="nil"/>
          <w:bottom w:val="nil"/>
          <w:right w:val="nil"/>
          <w:between w:val="nil"/>
          <w:bar w:val="nil"/>
        </w:pBdr>
        <w:jc w:val="both"/>
        <w:rPr>
          <w:bdr w:val="nil"/>
        </w:rPr>
      </w:pPr>
      <w:r w:rsidRPr="00287CA8">
        <w:rPr>
          <w:bdr w:val="nil"/>
        </w:rPr>
        <w:t xml:space="preserve">capital works in progress: the </w:t>
      </w:r>
      <w:r>
        <w:rPr>
          <w:bdr w:val="nil"/>
        </w:rPr>
        <w:t xml:space="preserve">increase </w:t>
      </w:r>
      <w:r w:rsidRPr="00287CA8">
        <w:rPr>
          <w:bdr w:val="nil"/>
        </w:rPr>
        <w:t xml:space="preserve">of </w:t>
      </w:r>
      <w:r>
        <w:rPr>
          <w:bdr w:val="nil"/>
        </w:rPr>
        <w:t xml:space="preserve">$26.296 </w:t>
      </w:r>
      <w:r w:rsidRPr="00287CA8">
        <w:rPr>
          <w:bdr w:val="nil"/>
        </w:rPr>
        <w:t xml:space="preserve">million in the </w:t>
      </w:r>
      <w:r>
        <w:rPr>
          <w:bdr w:val="nil"/>
        </w:rPr>
        <w:t>2020-21</w:t>
      </w:r>
      <w:r w:rsidRPr="00287CA8">
        <w:rPr>
          <w:bdr w:val="nil"/>
        </w:rPr>
        <w:t xml:space="preserve"> </w:t>
      </w:r>
      <w:r>
        <w:rPr>
          <w:bdr w:val="nil"/>
        </w:rPr>
        <w:t xml:space="preserve">Interim Outcome </w:t>
      </w:r>
      <w:r w:rsidRPr="00287CA8">
        <w:rPr>
          <w:bdr w:val="nil"/>
        </w:rPr>
        <w:t xml:space="preserve">from the </w:t>
      </w:r>
      <w:r>
        <w:rPr>
          <w:bdr w:val="nil"/>
        </w:rPr>
        <w:t xml:space="preserve">original Budget </w:t>
      </w:r>
      <w:r w:rsidRPr="00287CA8">
        <w:rPr>
          <w:bdr w:val="nil"/>
        </w:rPr>
        <w:t xml:space="preserve">is mainly due </w:t>
      </w:r>
      <w:r>
        <w:rPr>
          <w:bdr w:val="nil"/>
        </w:rPr>
        <w:t>to delays in infrastructure and information technology projects</w:t>
      </w:r>
      <w:r w:rsidRPr="00287CA8">
        <w:rPr>
          <w:bdr w:val="nil"/>
        </w:rPr>
        <w:t>.</w:t>
      </w:r>
      <w:r>
        <w:rPr>
          <w:bdr w:val="nil"/>
        </w:rPr>
        <w:t xml:space="preserve">  The reduction of $22</w:t>
      </w:r>
      <w:r w:rsidR="004F70E6">
        <w:rPr>
          <w:bdr w:val="nil"/>
        </w:rPr>
        <w:t>.452</w:t>
      </w:r>
      <w:r>
        <w:rPr>
          <w:bdr w:val="nil"/>
        </w:rPr>
        <w:t xml:space="preserve"> million in the 2021-22 Budget relates to the planned completion of these projects.</w:t>
      </w:r>
    </w:p>
    <w:p w14:paraId="7932C554" w14:textId="77777777" w:rsidR="001F6B18" w:rsidRPr="00B91C1A" w:rsidRDefault="0027723F" w:rsidP="009832FC">
      <w:pPr>
        <w:pStyle w:val="BSbullet1"/>
        <w:numPr>
          <w:ilvl w:val="0"/>
          <w:numId w:val="30"/>
        </w:numPr>
        <w:pBdr>
          <w:top w:val="nil"/>
          <w:left w:val="nil"/>
          <w:bottom w:val="nil"/>
          <w:right w:val="nil"/>
          <w:between w:val="nil"/>
          <w:bar w:val="nil"/>
        </w:pBdr>
        <w:jc w:val="both"/>
        <w:rPr>
          <w:bdr w:val="nil"/>
        </w:rPr>
      </w:pPr>
      <w:r>
        <w:rPr>
          <w:bdr w:val="nil"/>
        </w:rPr>
        <w:t>other assets: the decrease of $2.589 million in the 2020-21</w:t>
      </w:r>
      <w:r w:rsidRPr="00287CA8">
        <w:rPr>
          <w:bdr w:val="nil"/>
        </w:rPr>
        <w:t xml:space="preserve"> </w:t>
      </w:r>
      <w:r>
        <w:rPr>
          <w:bdr w:val="nil"/>
        </w:rPr>
        <w:t xml:space="preserve">Interim Outcome </w:t>
      </w:r>
      <w:r w:rsidRPr="00287CA8">
        <w:rPr>
          <w:bdr w:val="nil"/>
        </w:rPr>
        <w:t xml:space="preserve">from the </w:t>
      </w:r>
      <w:r>
        <w:rPr>
          <w:bdr w:val="nil"/>
        </w:rPr>
        <w:t xml:space="preserve">original Budget </w:t>
      </w:r>
      <w:r w:rsidRPr="00287CA8">
        <w:rPr>
          <w:bdr w:val="nil"/>
        </w:rPr>
        <w:t>is mainly due to</w:t>
      </w:r>
      <w:r w:rsidRPr="00B91C1A">
        <w:rPr>
          <w:bdr w:val="nil"/>
        </w:rPr>
        <w:t xml:space="preserve"> </w:t>
      </w:r>
      <w:r>
        <w:rPr>
          <w:bdr w:val="nil"/>
        </w:rPr>
        <w:t>the l</w:t>
      </w:r>
      <w:r w:rsidRPr="00B91C1A">
        <w:rPr>
          <w:bdr w:val="nil"/>
        </w:rPr>
        <w:t xml:space="preserve">ease </w:t>
      </w:r>
      <w:r>
        <w:rPr>
          <w:bdr w:val="nil"/>
        </w:rPr>
        <w:t>i</w:t>
      </w:r>
      <w:r w:rsidRPr="00B91C1A">
        <w:rPr>
          <w:bdr w:val="nil"/>
        </w:rPr>
        <w:t xml:space="preserve">ncentive </w:t>
      </w:r>
      <w:r>
        <w:rPr>
          <w:bdr w:val="nil"/>
        </w:rPr>
        <w:t xml:space="preserve">period </w:t>
      </w:r>
      <w:r w:rsidRPr="00B91C1A">
        <w:rPr>
          <w:bdr w:val="nil"/>
        </w:rPr>
        <w:t xml:space="preserve">relating to the Directorate’s office accommodation </w:t>
      </w:r>
      <w:r>
        <w:rPr>
          <w:bdr w:val="nil"/>
        </w:rPr>
        <w:t>at Bowes Street, Phillip ending in February 2021.</w:t>
      </w:r>
      <w:r w:rsidRPr="00B91C1A">
        <w:rPr>
          <w:bdr w:val="nil"/>
        </w:rPr>
        <w:t xml:space="preserve"> </w:t>
      </w:r>
    </w:p>
    <w:p w14:paraId="2BC929BE" w14:textId="77777777" w:rsidR="001F6B18" w:rsidRPr="00287CA8" w:rsidRDefault="0027723F" w:rsidP="009832FC">
      <w:pPr>
        <w:pStyle w:val="BSbullet1"/>
        <w:numPr>
          <w:ilvl w:val="0"/>
          <w:numId w:val="30"/>
        </w:numPr>
        <w:pBdr>
          <w:top w:val="nil"/>
          <w:left w:val="nil"/>
          <w:bottom w:val="nil"/>
          <w:right w:val="nil"/>
          <w:between w:val="nil"/>
          <w:bar w:val="nil"/>
        </w:pBdr>
        <w:jc w:val="both"/>
        <w:rPr>
          <w:bdr w:val="nil"/>
        </w:rPr>
      </w:pPr>
      <w:r>
        <w:rPr>
          <w:bdr w:val="nil"/>
        </w:rPr>
        <w:t>payables: the increase of $9.952 million in the 2020-21</w:t>
      </w:r>
      <w:r w:rsidRPr="00287CA8">
        <w:rPr>
          <w:bdr w:val="nil"/>
        </w:rPr>
        <w:t xml:space="preserve"> </w:t>
      </w:r>
      <w:r>
        <w:rPr>
          <w:bdr w:val="nil"/>
        </w:rPr>
        <w:t xml:space="preserve">Interim Outcome </w:t>
      </w:r>
      <w:r w:rsidRPr="00287CA8">
        <w:rPr>
          <w:bdr w:val="nil"/>
        </w:rPr>
        <w:t xml:space="preserve">from the </w:t>
      </w:r>
      <w:r>
        <w:rPr>
          <w:bdr w:val="nil"/>
        </w:rPr>
        <w:t>original Budget reflects the quantum and quantity of invoices received in the June 2021 period.</w:t>
      </w:r>
    </w:p>
    <w:p w14:paraId="5F532C2C" w14:textId="77777777" w:rsidR="001F6B18" w:rsidRPr="00280853" w:rsidRDefault="0027723F" w:rsidP="009832FC">
      <w:pPr>
        <w:pStyle w:val="BSbullet1"/>
        <w:numPr>
          <w:ilvl w:val="0"/>
          <w:numId w:val="30"/>
        </w:numPr>
        <w:pBdr>
          <w:top w:val="nil"/>
          <w:left w:val="nil"/>
          <w:bottom w:val="nil"/>
          <w:right w:val="nil"/>
          <w:between w:val="nil"/>
          <w:bar w:val="nil"/>
        </w:pBdr>
        <w:jc w:val="both"/>
        <w:rPr>
          <w:bdr w:val="nil"/>
        </w:rPr>
      </w:pPr>
      <w:r w:rsidRPr="00280853">
        <w:rPr>
          <w:bdr w:val="nil"/>
        </w:rPr>
        <w:t xml:space="preserve">current employee benefits: </w:t>
      </w:r>
    </w:p>
    <w:p w14:paraId="14D27F23" w14:textId="53C6B5FA" w:rsidR="001F6B18" w:rsidRDefault="0027723F" w:rsidP="009832FC">
      <w:pPr>
        <w:pStyle w:val="BSbullet1"/>
        <w:numPr>
          <w:ilvl w:val="1"/>
          <w:numId w:val="31"/>
        </w:numPr>
        <w:pBdr>
          <w:top w:val="nil"/>
          <w:left w:val="nil"/>
          <w:bottom w:val="nil"/>
          <w:right w:val="nil"/>
          <w:between w:val="nil"/>
          <w:bar w:val="nil"/>
        </w:pBdr>
        <w:tabs>
          <w:tab w:val="clear" w:pos="1800"/>
        </w:tabs>
        <w:ind w:left="709"/>
        <w:jc w:val="both"/>
        <w:rPr>
          <w:bdr w:val="nil"/>
        </w:rPr>
      </w:pPr>
      <w:r w:rsidRPr="00287CA8">
        <w:rPr>
          <w:bdr w:val="nil"/>
        </w:rPr>
        <w:t xml:space="preserve">the </w:t>
      </w:r>
      <w:r>
        <w:rPr>
          <w:bdr w:val="nil"/>
        </w:rPr>
        <w:t xml:space="preserve">increase </w:t>
      </w:r>
      <w:r w:rsidRPr="00287CA8">
        <w:rPr>
          <w:bdr w:val="nil"/>
        </w:rPr>
        <w:t xml:space="preserve">of </w:t>
      </w:r>
      <w:r>
        <w:rPr>
          <w:bdr w:val="nil"/>
        </w:rPr>
        <w:t xml:space="preserve">$2.377 </w:t>
      </w:r>
      <w:r w:rsidR="00F54F3E">
        <w:rPr>
          <w:bdr w:val="nil"/>
        </w:rPr>
        <w:t>million in</w:t>
      </w:r>
      <w:r w:rsidR="00E85E76">
        <w:rPr>
          <w:bdr w:val="nil"/>
        </w:rPr>
        <w:t xml:space="preserve"> the </w:t>
      </w:r>
      <w:r w:rsidRPr="00287CA8">
        <w:rPr>
          <w:bdr w:val="nil"/>
        </w:rPr>
        <w:t> </w:t>
      </w:r>
      <w:r>
        <w:rPr>
          <w:bdr w:val="nil"/>
        </w:rPr>
        <w:t>2020-21</w:t>
      </w:r>
      <w:r w:rsidRPr="00287CA8">
        <w:rPr>
          <w:bdr w:val="nil"/>
        </w:rPr>
        <w:t xml:space="preserve"> </w:t>
      </w:r>
      <w:r>
        <w:rPr>
          <w:bdr w:val="nil"/>
        </w:rPr>
        <w:t xml:space="preserve">Interim Outcome </w:t>
      </w:r>
      <w:r w:rsidRPr="00287CA8">
        <w:rPr>
          <w:bdr w:val="nil"/>
        </w:rPr>
        <w:t xml:space="preserve">from the </w:t>
      </w:r>
      <w:r>
        <w:rPr>
          <w:bdr w:val="nil"/>
        </w:rPr>
        <w:t xml:space="preserve">original Budget </w:t>
      </w:r>
      <w:r w:rsidRPr="00287CA8">
        <w:rPr>
          <w:bdr w:val="nil"/>
        </w:rPr>
        <w:t xml:space="preserve">is mainly due to </w:t>
      </w:r>
      <w:r>
        <w:rPr>
          <w:bdr w:val="nil"/>
        </w:rPr>
        <w:t>an increase in staffing levels associated with the COVID-19 response; and</w:t>
      </w:r>
    </w:p>
    <w:p w14:paraId="6A640B73" w14:textId="77777777" w:rsidR="001F6B18" w:rsidRDefault="0027723F" w:rsidP="009832FC">
      <w:pPr>
        <w:pStyle w:val="BSbullet1"/>
        <w:numPr>
          <w:ilvl w:val="1"/>
          <w:numId w:val="31"/>
        </w:numPr>
        <w:pBdr>
          <w:top w:val="nil"/>
          <w:left w:val="nil"/>
          <w:bottom w:val="nil"/>
          <w:right w:val="nil"/>
          <w:between w:val="nil"/>
          <w:bar w:val="nil"/>
        </w:pBdr>
        <w:tabs>
          <w:tab w:val="clear" w:pos="1800"/>
        </w:tabs>
        <w:ind w:left="709"/>
        <w:jc w:val="both"/>
        <w:rPr>
          <w:bdr w:val="nil"/>
        </w:rPr>
      </w:pPr>
      <w:r>
        <w:rPr>
          <w:bdr w:val="nil"/>
        </w:rPr>
        <w:t xml:space="preserve">the increase of $6.2 million in the 2021-22 Budget from the 2020-21 Interim Outcome is mainly due to </w:t>
      </w:r>
      <w:r w:rsidRPr="00287CA8">
        <w:rPr>
          <w:bdr w:val="nil"/>
        </w:rPr>
        <w:t>wage rises</w:t>
      </w:r>
      <w:r>
        <w:rPr>
          <w:bdr w:val="nil"/>
        </w:rPr>
        <w:t xml:space="preserve"> and an increase in staff associated with new initiatives.</w:t>
      </w:r>
    </w:p>
    <w:p w14:paraId="1B181B4A" w14:textId="77777777" w:rsidR="001F6B18" w:rsidRDefault="0027723F" w:rsidP="009832FC">
      <w:pPr>
        <w:pStyle w:val="BSbullet1"/>
        <w:numPr>
          <w:ilvl w:val="0"/>
          <w:numId w:val="31"/>
        </w:numPr>
        <w:pBdr>
          <w:top w:val="nil"/>
          <w:left w:val="nil"/>
          <w:bottom w:val="nil"/>
          <w:right w:val="nil"/>
          <w:between w:val="nil"/>
          <w:bar w:val="nil"/>
        </w:pBdr>
        <w:jc w:val="both"/>
        <w:rPr>
          <w:bdr w:val="nil"/>
        </w:rPr>
      </w:pPr>
      <w:r>
        <w:rPr>
          <w:bdr w:val="nil"/>
        </w:rPr>
        <w:t>non-current lease liabilities: the decrease of $1.548 million in the 2020-21</w:t>
      </w:r>
      <w:r w:rsidRPr="00287CA8">
        <w:rPr>
          <w:bdr w:val="nil"/>
        </w:rPr>
        <w:t xml:space="preserve"> </w:t>
      </w:r>
      <w:r>
        <w:rPr>
          <w:bdr w:val="nil"/>
        </w:rPr>
        <w:t xml:space="preserve">Interim Outcome </w:t>
      </w:r>
      <w:r w:rsidRPr="00287CA8">
        <w:rPr>
          <w:bdr w:val="nil"/>
        </w:rPr>
        <w:t xml:space="preserve">from the </w:t>
      </w:r>
      <w:r>
        <w:rPr>
          <w:bdr w:val="nil"/>
        </w:rPr>
        <w:t>original Budget</w:t>
      </w:r>
      <w:r w:rsidRPr="001B253A">
        <w:rPr>
          <w:bdr w:val="nil"/>
        </w:rPr>
        <w:t xml:space="preserve"> </w:t>
      </w:r>
      <w:r w:rsidRPr="00B91C1A">
        <w:rPr>
          <w:bdr w:val="nil"/>
        </w:rPr>
        <w:t>relat</w:t>
      </w:r>
      <w:r>
        <w:rPr>
          <w:bdr w:val="nil"/>
        </w:rPr>
        <w:t>es</w:t>
      </w:r>
      <w:r w:rsidRPr="00B91C1A">
        <w:rPr>
          <w:bdr w:val="nil"/>
        </w:rPr>
        <w:t xml:space="preserve"> to </w:t>
      </w:r>
      <w:r>
        <w:rPr>
          <w:bdr w:val="nil"/>
        </w:rPr>
        <w:t>right-of-use plant and equipment for motor vehicles and information technology equipment.</w:t>
      </w:r>
    </w:p>
    <w:p w14:paraId="06DB9790" w14:textId="77777777" w:rsidR="001F6B18" w:rsidRDefault="0027723F" w:rsidP="001F6B18">
      <w:pPr>
        <w:pStyle w:val="Heading4"/>
        <w:pBdr>
          <w:top w:val="nil"/>
          <w:left w:val="nil"/>
          <w:bottom w:val="nil"/>
          <w:right w:val="nil"/>
          <w:between w:val="nil"/>
          <w:bar w:val="nil"/>
        </w:pBdr>
        <w:jc w:val="both"/>
        <w:rPr>
          <w:bCs w:val="0"/>
          <w:bdr w:val="nil"/>
        </w:rPr>
      </w:pPr>
      <w:r>
        <w:rPr>
          <w:bCs w:val="0"/>
          <w:bdr w:val="nil"/>
        </w:rPr>
        <w:t>Cash Flow Statement</w:t>
      </w:r>
    </w:p>
    <w:p w14:paraId="31523333" w14:textId="77777777" w:rsidR="001F6B18" w:rsidRPr="0004555B" w:rsidRDefault="0027723F" w:rsidP="001F6B18">
      <w:pPr>
        <w:pBdr>
          <w:top w:val="nil"/>
          <w:left w:val="nil"/>
          <w:bottom w:val="nil"/>
          <w:right w:val="nil"/>
          <w:between w:val="nil"/>
          <w:bar w:val="nil"/>
        </w:pBdr>
        <w:jc w:val="both"/>
        <w:rPr>
          <w:rFonts w:eastAsia="TimesNewRomanPS-ItalicMT"/>
          <w:bdr w:val="nil"/>
        </w:rPr>
      </w:pPr>
      <w:r>
        <w:rPr>
          <w:bdr w:val="nil"/>
        </w:rPr>
        <w:t>Variations in the Statement are explained in the notes above.</w:t>
      </w:r>
    </w:p>
    <w:p w14:paraId="3982F4BC" w14:textId="69511A42" w:rsidR="001F6B18" w:rsidRDefault="0027723F" w:rsidP="001F6B18">
      <w:pPr>
        <w:pStyle w:val="Heading2"/>
        <w:pageBreakBefore/>
        <w:pBdr>
          <w:top w:val="nil"/>
          <w:left w:val="nil"/>
          <w:bottom w:val="nil"/>
          <w:right w:val="nil"/>
          <w:between w:val="nil"/>
          <w:bar w:val="nil"/>
        </w:pBdr>
        <w:ind w:left="-426" w:firstLine="426"/>
        <w:rPr>
          <w:bdr w:val="nil"/>
        </w:rPr>
      </w:pPr>
      <w:bookmarkStart w:id="37" w:name="_Toc452467803_0"/>
      <w:bookmarkStart w:id="38" w:name="_Toc83910745"/>
      <w:r>
        <w:rPr>
          <w:bdr w:val="nil"/>
        </w:rPr>
        <w:lastRenderedPageBreak/>
        <w:t>Financial Statements</w:t>
      </w:r>
      <w:bookmarkEnd w:id="37"/>
      <w:r>
        <w:rPr>
          <w:bdr w:val="nil"/>
        </w:rPr>
        <w:t xml:space="preserve"> – Territorial</w:t>
      </w:r>
      <w:bookmarkEnd w:id="38"/>
    </w:p>
    <w:p w14:paraId="6FF39587" w14:textId="3B7795A4" w:rsidR="001F6B18" w:rsidRDefault="0027723F" w:rsidP="003C587A">
      <w:pPr>
        <w:pStyle w:val="Caption"/>
        <w:pBdr>
          <w:top w:val="nil"/>
          <w:left w:val="nil"/>
          <w:bottom w:val="nil"/>
          <w:right w:val="nil"/>
          <w:between w:val="nil"/>
          <w:bar w:val="nil"/>
        </w:pBdr>
        <w:jc w:val="both"/>
        <w:rPr>
          <w:bdr w:val="nil"/>
        </w:rPr>
      </w:pPr>
      <w:r w:rsidRPr="00D63021">
        <w:rPr>
          <w:b w:val="0"/>
          <w:bCs w:val="0"/>
          <w:color w:val="auto"/>
          <w:sz w:val="24"/>
          <w:szCs w:val="20"/>
          <w:bdr w:val="nil"/>
        </w:rPr>
        <w:t xml:space="preserve">Due </w:t>
      </w:r>
      <w:r w:rsidRPr="007F574B">
        <w:rPr>
          <w:b w:val="0"/>
          <w:bCs w:val="0"/>
          <w:color w:val="auto"/>
          <w:sz w:val="24"/>
          <w:szCs w:val="20"/>
          <w:bdr w:val="nil"/>
        </w:rPr>
        <w:t>to the release of the 2021-22 Budget on 6 October 2021, the 2020-21 Interim Outcome column reflects the interim outcome included in the draft 2020</w:t>
      </w:r>
      <w:r w:rsidR="00EF2675">
        <w:rPr>
          <w:b w:val="0"/>
          <w:bCs w:val="0"/>
          <w:color w:val="auto"/>
          <w:sz w:val="24"/>
          <w:szCs w:val="20"/>
          <w:bdr w:val="nil"/>
        </w:rPr>
        <w:t>-</w:t>
      </w:r>
      <w:r w:rsidRPr="007F574B">
        <w:rPr>
          <w:b w:val="0"/>
          <w:bCs w:val="0"/>
          <w:color w:val="auto"/>
          <w:sz w:val="24"/>
          <w:szCs w:val="20"/>
          <w:bdr w:val="nil"/>
        </w:rPr>
        <w:t xml:space="preserve">21 Financial Statements, which were unaudited at the time of </w:t>
      </w:r>
      <w:r>
        <w:rPr>
          <w:b w:val="0"/>
          <w:bCs w:val="0"/>
          <w:color w:val="auto"/>
          <w:sz w:val="24"/>
          <w:szCs w:val="20"/>
          <w:bdr w:val="nil"/>
        </w:rPr>
        <w:t>preparing</w:t>
      </w:r>
      <w:r w:rsidRPr="007F574B">
        <w:rPr>
          <w:b w:val="0"/>
          <w:bCs w:val="0"/>
          <w:color w:val="auto"/>
          <w:sz w:val="24"/>
          <w:szCs w:val="20"/>
          <w:bdr w:val="nil"/>
        </w:rPr>
        <w:t xml:space="preserve"> these budget statements.</w:t>
      </w:r>
    </w:p>
    <w:p w14:paraId="6EBC55F3" w14:textId="77777777" w:rsidR="001F6B18" w:rsidRPr="00EB585F" w:rsidRDefault="0027723F" w:rsidP="00EB585F">
      <w:pPr>
        <w:pStyle w:val="Caption"/>
      </w:pPr>
      <w:r w:rsidRPr="00EB585F">
        <w:t xml:space="preserve">Table 27: ACT Health Directorate: Statement of Income and Expenses on behalf of the Territory </w:t>
      </w:r>
    </w:p>
    <w:tbl>
      <w:tblPr>
        <w:tblStyle w:val="CDMRange25"/>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496618" w14:paraId="6B26EB9C"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A3A397F"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36BC9E78" w14:textId="77777777" w:rsidR="00496618" w:rsidRDefault="00496618">
            <w:pPr>
              <w:pStyle w:val="Normal15"/>
              <w:jc w:val="right"/>
              <w:rPr>
                <w:rFonts w:ascii="Calibri" w:eastAsia="Calibri" w:hAnsi="Calibri" w:cs="Calibri"/>
                <w:b/>
                <w:color w:val="000000"/>
                <w:sz w:val="18"/>
              </w:rPr>
            </w:pPr>
          </w:p>
          <w:p w14:paraId="7D18398E"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2565063B" w14:textId="77777777" w:rsidR="00496618" w:rsidRDefault="00496618">
            <w:pPr>
              <w:pStyle w:val="Normal15"/>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FACD2D6"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4212793"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56F7DEFC" w14:textId="77777777" w:rsidR="00496618" w:rsidRDefault="00496618">
            <w:pPr>
              <w:pStyle w:val="Normal15"/>
              <w:jc w:val="right"/>
              <w:rPr>
                <w:rFonts w:ascii="Calibri" w:eastAsia="Calibri" w:hAnsi="Calibri" w:cs="Calibri"/>
                <w:b/>
                <w:color w:val="000000"/>
                <w:sz w:val="18"/>
              </w:rPr>
            </w:pPr>
          </w:p>
          <w:p w14:paraId="7E32464E"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9C01997"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Var</w:t>
            </w:r>
          </w:p>
          <w:p w14:paraId="09A2AE6B"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109FC50"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372160CE" w14:textId="77777777" w:rsidR="00496618" w:rsidRDefault="00496618">
            <w:pPr>
              <w:pStyle w:val="Normal15"/>
              <w:jc w:val="right"/>
              <w:rPr>
                <w:rFonts w:ascii="Calibri" w:eastAsia="Calibri" w:hAnsi="Calibri" w:cs="Calibri"/>
                <w:b/>
                <w:color w:val="000000"/>
                <w:sz w:val="18"/>
              </w:rPr>
            </w:pPr>
          </w:p>
          <w:p w14:paraId="168B8D37"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2B52A4F"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7B24DC6E" w14:textId="77777777" w:rsidR="00496618" w:rsidRDefault="00496618">
            <w:pPr>
              <w:pStyle w:val="Normal15"/>
              <w:jc w:val="right"/>
              <w:rPr>
                <w:rFonts w:ascii="Calibri" w:eastAsia="Calibri" w:hAnsi="Calibri" w:cs="Calibri"/>
                <w:b/>
                <w:color w:val="000000"/>
                <w:sz w:val="18"/>
              </w:rPr>
            </w:pPr>
          </w:p>
          <w:p w14:paraId="50296FF5"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0B8EE7B"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31A1D4C7" w14:textId="77777777" w:rsidR="00496618" w:rsidRDefault="00496618">
            <w:pPr>
              <w:pStyle w:val="Normal15"/>
              <w:jc w:val="right"/>
              <w:rPr>
                <w:rFonts w:ascii="Calibri" w:eastAsia="Calibri" w:hAnsi="Calibri" w:cs="Calibri"/>
                <w:b/>
                <w:color w:val="000000"/>
                <w:sz w:val="18"/>
              </w:rPr>
            </w:pPr>
          </w:p>
          <w:p w14:paraId="286CA5F2"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496618" w14:paraId="7CF8D3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F29B070" w14:textId="77777777" w:rsidR="00496618" w:rsidRDefault="00496618">
            <w:pPr>
              <w:pStyle w:val="Normal15"/>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D62A0C4" w14:textId="77777777" w:rsidR="00496618" w:rsidRDefault="00496618">
            <w:pPr>
              <w:pStyle w:val="Normal15"/>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BBE3E25" w14:textId="77777777" w:rsidR="00496618" w:rsidRDefault="00496618">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C62DB18" w14:textId="77777777" w:rsidR="00496618" w:rsidRDefault="00496618">
            <w:pPr>
              <w:pStyle w:val="Normal15"/>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277C16C4" w14:textId="77777777" w:rsidR="00496618" w:rsidRDefault="00496618">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E82182C" w14:textId="77777777" w:rsidR="00496618" w:rsidRDefault="00496618">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FE627F3" w14:textId="77777777" w:rsidR="00496618" w:rsidRDefault="00496618">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B97788E" w14:textId="77777777" w:rsidR="00496618" w:rsidRDefault="00496618">
            <w:pPr>
              <w:pStyle w:val="Normal15"/>
              <w:jc w:val="right"/>
              <w:rPr>
                <w:rFonts w:ascii="Calibri" w:eastAsia="Calibri" w:hAnsi="Calibri" w:cs="Calibri"/>
                <w:b/>
                <w:i/>
                <w:color w:val="000000"/>
                <w:sz w:val="18"/>
              </w:rPr>
            </w:pPr>
          </w:p>
        </w:tc>
      </w:tr>
      <w:tr w:rsidR="00496618" w14:paraId="334216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CE0FA6" w14:textId="77777777" w:rsidR="00496618" w:rsidRDefault="00496618">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C3B50D0" w14:textId="77777777" w:rsidR="00496618" w:rsidRDefault="0027723F">
            <w:pPr>
              <w:pStyle w:val="Normal15"/>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7A97F8A0"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2A13C1" w14:textId="77777777" w:rsidR="00496618" w:rsidRDefault="00496618">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0448FE1"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50907E"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C3FF06"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1B6D6F" w14:textId="77777777" w:rsidR="00496618" w:rsidRDefault="00496618">
            <w:pPr>
              <w:pStyle w:val="Normal15"/>
              <w:rPr>
                <w:rFonts w:ascii="Calibri" w:eastAsia="Calibri" w:hAnsi="Calibri" w:cs="Calibri"/>
                <w:color w:val="000000"/>
                <w:sz w:val="18"/>
              </w:rPr>
            </w:pPr>
          </w:p>
        </w:tc>
      </w:tr>
      <w:tr w:rsidR="00496618" w14:paraId="07FF4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667B9B"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14,202</w:t>
            </w:r>
          </w:p>
        </w:tc>
        <w:tc>
          <w:tcPr>
            <w:tcW w:w="2385" w:type="dxa"/>
            <w:tcBorders>
              <w:top w:val="nil"/>
              <w:left w:val="nil"/>
              <w:bottom w:val="nil"/>
              <w:right w:val="nil"/>
              <w:tl2br w:val="nil"/>
              <w:tr2bl w:val="nil"/>
            </w:tcBorders>
            <w:shd w:val="clear" w:color="auto" w:fill="auto"/>
            <w:noWrap/>
            <w:tcMar>
              <w:left w:w="101" w:type="dxa"/>
              <w:right w:w="101" w:type="dxa"/>
            </w:tcMar>
          </w:tcPr>
          <w:p w14:paraId="3BA09EE2" w14:textId="77777777" w:rsidR="00496618" w:rsidRDefault="0027723F">
            <w:pPr>
              <w:pStyle w:val="Normal15"/>
              <w:rPr>
                <w:rFonts w:ascii="Calibri" w:eastAsia="Calibri" w:hAnsi="Calibri" w:cs="Calibri"/>
                <w:color w:val="000000"/>
                <w:sz w:val="18"/>
              </w:rPr>
            </w:pPr>
            <w:r>
              <w:rPr>
                <w:rFonts w:ascii="Calibri" w:eastAsia="Calibri" w:hAnsi="Calibri" w:cs="Calibr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1BFC1913"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8,807</w:t>
            </w:r>
          </w:p>
        </w:tc>
        <w:tc>
          <w:tcPr>
            <w:tcW w:w="1035" w:type="dxa"/>
            <w:tcBorders>
              <w:top w:val="nil"/>
              <w:left w:val="nil"/>
              <w:bottom w:val="nil"/>
              <w:right w:val="nil"/>
              <w:tl2br w:val="nil"/>
              <w:tr2bl w:val="nil"/>
            </w:tcBorders>
            <w:shd w:val="clear" w:color="FFFFFF" w:fill="FFFFFF"/>
            <w:tcMar>
              <w:left w:w="101" w:type="dxa"/>
              <w:right w:w="101" w:type="dxa"/>
            </w:tcMar>
          </w:tcPr>
          <w:p w14:paraId="315AA0A1"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16,475</w:t>
            </w:r>
          </w:p>
        </w:tc>
        <w:tc>
          <w:tcPr>
            <w:tcW w:w="600" w:type="dxa"/>
            <w:tcBorders>
              <w:top w:val="nil"/>
              <w:left w:val="nil"/>
              <w:bottom w:val="nil"/>
              <w:right w:val="nil"/>
              <w:tl2br w:val="nil"/>
              <w:tr2bl w:val="nil"/>
            </w:tcBorders>
            <w:shd w:val="clear" w:color="FFFFFF" w:fill="FFFFFF"/>
            <w:tcMar>
              <w:left w:w="101" w:type="dxa"/>
              <w:right w:w="101" w:type="dxa"/>
            </w:tcMar>
          </w:tcPr>
          <w:p w14:paraId="7CD11933"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 xml:space="preserve">87 </w:t>
            </w:r>
          </w:p>
        </w:tc>
        <w:tc>
          <w:tcPr>
            <w:tcW w:w="1035" w:type="dxa"/>
            <w:tcBorders>
              <w:top w:val="nil"/>
              <w:left w:val="nil"/>
              <w:bottom w:val="nil"/>
              <w:right w:val="nil"/>
              <w:tl2br w:val="nil"/>
              <w:tr2bl w:val="nil"/>
            </w:tcBorders>
            <w:shd w:val="clear" w:color="FFFFFF" w:fill="FFFFFF"/>
            <w:tcMar>
              <w:left w:w="101" w:type="dxa"/>
              <w:right w:w="101" w:type="dxa"/>
            </w:tcMar>
          </w:tcPr>
          <w:p w14:paraId="7CC0BC20"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11,125</w:t>
            </w:r>
          </w:p>
        </w:tc>
        <w:tc>
          <w:tcPr>
            <w:tcW w:w="1035" w:type="dxa"/>
            <w:tcBorders>
              <w:top w:val="nil"/>
              <w:left w:val="nil"/>
              <w:bottom w:val="nil"/>
              <w:right w:val="nil"/>
              <w:tl2br w:val="nil"/>
              <w:tr2bl w:val="nil"/>
            </w:tcBorders>
            <w:shd w:val="clear" w:color="FFFFFF" w:fill="FFFFFF"/>
            <w:tcMar>
              <w:left w:w="101" w:type="dxa"/>
              <w:right w:w="101" w:type="dxa"/>
            </w:tcMar>
          </w:tcPr>
          <w:p w14:paraId="08FE088C"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1,978</w:t>
            </w:r>
          </w:p>
        </w:tc>
        <w:tc>
          <w:tcPr>
            <w:tcW w:w="1035" w:type="dxa"/>
            <w:tcBorders>
              <w:top w:val="nil"/>
              <w:left w:val="nil"/>
              <w:bottom w:val="nil"/>
              <w:right w:val="nil"/>
              <w:tl2br w:val="nil"/>
              <w:tr2bl w:val="nil"/>
            </w:tcBorders>
            <w:shd w:val="clear" w:color="FFFFFF" w:fill="FFFFFF"/>
            <w:tcMar>
              <w:left w:w="101" w:type="dxa"/>
              <w:right w:w="101" w:type="dxa"/>
            </w:tcMar>
          </w:tcPr>
          <w:p w14:paraId="149A8C26"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1,002</w:t>
            </w:r>
          </w:p>
        </w:tc>
      </w:tr>
      <w:tr w:rsidR="00496618" w14:paraId="76874D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6F3D344"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1,495</w:t>
            </w:r>
          </w:p>
        </w:tc>
        <w:tc>
          <w:tcPr>
            <w:tcW w:w="2385" w:type="dxa"/>
            <w:tcBorders>
              <w:top w:val="nil"/>
              <w:left w:val="nil"/>
              <w:bottom w:val="nil"/>
              <w:right w:val="nil"/>
              <w:tl2br w:val="nil"/>
              <w:tr2bl w:val="nil"/>
            </w:tcBorders>
            <w:shd w:val="clear" w:color="auto" w:fill="auto"/>
            <w:noWrap/>
            <w:tcMar>
              <w:left w:w="101" w:type="dxa"/>
              <w:right w:w="101" w:type="dxa"/>
            </w:tcMar>
          </w:tcPr>
          <w:p w14:paraId="32FCBFB4" w14:textId="77777777" w:rsidR="00496618" w:rsidRDefault="0027723F">
            <w:pPr>
              <w:pStyle w:val="Normal15"/>
              <w:rPr>
                <w:rFonts w:ascii="Calibri" w:eastAsia="Calibri" w:hAnsi="Calibri" w:cs="Calibri"/>
                <w:color w:val="000000"/>
                <w:sz w:val="18"/>
              </w:rPr>
            </w:pPr>
            <w:r>
              <w:rPr>
                <w:rFonts w:ascii="Calibri" w:eastAsia="Calibri" w:hAnsi="Calibri" w:cs="Calibri"/>
                <w:color w:val="000000"/>
                <w:sz w:val="18"/>
              </w:rPr>
              <w:t>Taxes, Licences, Fees and Fines</w:t>
            </w:r>
          </w:p>
        </w:tc>
        <w:tc>
          <w:tcPr>
            <w:tcW w:w="1035" w:type="dxa"/>
            <w:tcBorders>
              <w:top w:val="nil"/>
              <w:left w:val="nil"/>
              <w:bottom w:val="nil"/>
              <w:right w:val="nil"/>
              <w:tl2br w:val="nil"/>
              <w:tr2bl w:val="nil"/>
            </w:tcBorders>
            <w:shd w:val="clear" w:color="FFFFFF" w:fill="FFFFFF"/>
            <w:tcMar>
              <w:left w:w="101" w:type="dxa"/>
              <w:right w:w="101" w:type="dxa"/>
            </w:tcMar>
          </w:tcPr>
          <w:p w14:paraId="25533ABA"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1,131</w:t>
            </w:r>
          </w:p>
        </w:tc>
        <w:tc>
          <w:tcPr>
            <w:tcW w:w="1035" w:type="dxa"/>
            <w:tcBorders>
              <w:top w:val="nil"/>
              <w:left w:val="nil"/>
              <w:bottom w:val="nil"/>
              <w:right w:val="nil"/>
              <w:tl2br w:val="nil"/>
              <w:tr2bl w:val="nil"/>
            </w:tcBorders>
            <w:shd w:val="clear" w:color="FFFFFF" w:fill="FFFFFF"/>
            <w:tcMar>
              <w:left w:w="101" w:type="dxa"/>
              <w:right w:w="101" w:type="dxa"/>
            </w:tcMar>
          </w:tcPr>
          <w:p w14:paraId="0500BF5A"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1,540</w:t>
            </w:r>
          </w:p>
        </w:tc>
        <w:tc>
          <w:tcPr>
            <w:tcW w:w="600" w:type="dxa"/>
            <w:tcBorders>
              <w:top w:val="nil"/>
              <w:left w:val="nil"/>
              <w:bottom w:val="nil"/>
              <w:right w:val="nil"/>
              <w:tl2br w:val="nil"/>
              <w:tr2bl w:val="nil"/>
            </w:tcBorders>
            <w:shd w:val="clear" w:color="FFFFFF" w:fill="FFFFFF"/>
            <w:tcMar>
              <w:left w:w="101" w:type="dxa"/>
              <w:right w:w="101" w:type="dxa"/>
            </w:tcMar>
          </w:tcPr>
          <w:p w14:paraId="08B981A4"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 xml:space="preserve">36 </w:t>
            </w:r>
          </w:p>
        </w:tc>
        <w:tc>
          <w:tcPr>
            <w:tcW w:w="1035" w:type="dxa"/>
            <w:tcBorders>
              <w:top w:val="nil"/>
              <w:left w:val="nil"/>
              <w:bottom w:val="nil"/>
              <w:right w:val="nil"/>
              <w:tl2br w:val="nil"/>
              <w:tr2bl w:val="nil"/>
            </w:tcBorders>
            <w:shd w:val="clear" w:color="FFFFFF" w:fill="FFFFFF"/>
            <w:tcMar>
              <w:left w:w="101" w:type="dxa"/>
              <w:right w:w="101" w:type="dxa"/>
            </w:tcMar>
          </w:tcPr>
          <w:p w14:paraId="4FAF2EEB"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1,578</w:t>
            </w:r>
          </w:p>
        </w:tc>
        <w:tc>
          <w:tcPr>
            <w:tcW w:w="1035" w:type="dxa"/>
            <w:tcBorders>
              <w:top w:val="nil"/>
              <w:left w:val="nil"/>
              <w:bottom w:val="nil"/>
              <w:right w:val="nil"/>
              <w:tl2br w:val="nil"/>
              <w:tr2bl w:val="nil"/>
            </w:tcBorders>
            <w:shd w:val="clear" w:color="FFFFFF" w:fill="FFFFFF"/>
            <w:tcMar>
              <w:left w:w="101" w:type="dxa"/>
              <w:right w:w="101" w:type="dxa"/>
            </w:tcMar>
          </w:tcPr>
          <w:p w14:paraId="0EA7CC02"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1,617</w:t>
            </w:r>
          </w:p>
        </w:tc>
        <w:tc>
          <w:tcPr>
            <w:tcW w:w="1035" w:type="dxa"/>
            <w:tcBorders>
              <w:top w:val="nil"/>
              <w:left w:val="nil"/>
              <w:bottom w:val="nil"/>
              <w:right w:val="nil"/>
              <w:tl2br w:val="nil"/>
              <w:tr2bl w:val="nil"/>
            </w:tcBorders>
            <w:shd w:val="clear" w:color="FFFFFF" w:fill="FFFFFF"/>
            <w:tcMar>
              <w:left w:w="101" w:type="dxa"/>
              <w:right w:w="101" w:type="dxa"/>
            </w:tcMar>
          </w:tcPr>
          <w:p w14:paraId="564A2C03"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1,657</w:t>
            </w:r>
          </w:p>
        </w:tc>
      </w:tr>
      <w:tr w:rsidR="00496618" w14:paraId="540094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FAC5CA2" w14:textId="77777777" w:rsidR="00496618" w:rsidRDefault="00496618">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26A8366" w14:textId="77777777" w:rsidR="00496618" w:rsidRDefault="00496618">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3FC402"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4F6668" w14:textId="77777777" w:rsidR="00496618" w:rsidRDefault="00496618">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91869EA"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A41073"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17C878"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728261" w14:textId="77777777" w:rsidR="00496618" w:rsidRDefault="00496618">
            <w:pPr>
              <w:pStyle w:val="Normal15"/>
              <w:rPr>
                <w:rFonts w:ascii="Calibri" w:eastAsia="Calibri" w:hAnsi="Calibri" w:cs="Calibri"/>
                <w:color w:val="000000"/>
                <w:sz w:val="18"/>
              </w:rPr>
            </w:pPr>
          </w:p>
        </w:tc>
      </w:tr>
      <w:tr w:rsidR="00496618" w14:paraId="76CE0C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4C48D0"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15,697</w:t>
            </w:r>
          </w:p>
        </w:tc>
        <w:tc>
          <w:tcPr>
            <w:tcW w:w="2385" w:type="dxa"/>
            <w:tcBorders>
              <w:top w:val="nil"/>
              <w:left w:val="nil"/>
              <w:bottom w:val="nil"/>
              <w:right w:val="nil"/>
              <w:tl2br w:val="nil"/>
              <w:tr2bl w:val="nil"/>
            </w:tcBorders>
            <w:shd w:val="clear" w:color="FFFFFF" w:fill="FFFFFF"/>
            <w:noWrap/>
            <w:tcMar>
              <w:left w:w="101" w:type="dxa"/>
              <w:right w:w="101" w:type="dxa"/>
            </w:tcMar>
          </w:tcPr>
          <w:p w14:paraId="4A921426" w14:textId="77777777" w:rsidR="00496618" w:rsidRDefault="0027723F">
            <w:pPr>
              <w:pStyle w:val="Normal15"/>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611BE5AC"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9,938</w:t>
            </w:r>
          </w:p>
        </w:tc>
        <w:tc>
          <w:tcPr>
            <w:tcW w:w="1035" w:type="dxa"/>
            <w:tcBorders>
              <w:top w:val="nil"/>
              <w:left w:val="nil"/>
              <w:bottom w:val="nil"/>
              <w:right w:val="nil"/>
              <w:tl2br w:val="nil"/>
              <w:tr2bl w:val="nil"/>
            </w:tcBorders>
            <w:shd w:val="clear" w:color="FFFFFF" w:fill="FFFFFF"/>
            <w:tcMar>
              <w:left w:w="101" w:type="dxa"/>
              <w:right w:w="101" w:type="dxa"/>
            </w:tcMar>
          </w:tcPr>
          <w:p w14:paraId="0646D898"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18,015</w:t>
            </w:r>
          </w:p>
        </w:tc>
        <w:tc>
          <w:tcPr>
            <w:tcW w:w="600" w:type="dxa"/>
            <w:tcBorders>
              <w:top w:val="nil"/>
              <w:left w:val="nil"/>
              <w:bottom w:val="nil"/>
              <w:right w:val="nil"/>
              <w:tl2br w:val="nil"/>
              <w:tr2bl w:val="nil"/>
            </w:tcBorders>
            <w:shd w:val="clear" w:color="FFFFFF" w:fill="FFFFFF"/>
            <w:tcMar>
              <w:left w:w="101" w:type="dxa"/>
              <w:right w:w="101" w:type="dxa"/>
            </w:tcMar>
          </w:tcPr>
          <w:p w14:paraId="66F00247"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81 </w:t>
            </w:r>
          </w:p>
        </w:tc>
        <w:tc>
          <w:tcPr>
            <w:tcW w:w="1035" w:type="dxa"/>
            <w:tcBorders>
              <w:top w:val="nil"/>
              <w:left w:val="nil"/>
              <w:bottom w:val="nil"/>
              <w:right w:val="nil"/>
              <w:tl2br w:val="nil"/>
              <w:tr2bl w:val="nil"/>
            </w:tcBorders>
            <w:shd w:val="clear" w:color="FFFFFF" w:fill="FFFFFF"/>
            <w:tcMar>
              <w:left w:w="101" w:type="dxa"/>
              <w:right w:w="101" w:type="dxa"/>
            </w:tcMar>
          </w:tcPr>
          <w:p w14:paraId="20944D70"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12,703</w:t>
            </w:r>
          </w:p>
        </w:tc>
        <w:tc>
          <w:tcPr>
            <w:tcW w:w="1035" w:type="dxa"/>
            <w:tcBorders>
              <w:top w:val="nil"/>
              <w:left w:val="nil"/>
              <w:bottom w:val="nil"/>
              <w:right w:val="nil"/>
              <w:tl2br w:val="nil"/>
              <w:tr2bl w:val="nil"/>
            </w:tcBorders>
            <w:shd w:val="clear" w:color="FFFFFF" w:fill="FFFFFF"/>
            <w:tcMar>
              <w:left w:w="101" w:type="dxa"/>
              <w:right w:w="101" w:type="dxa"/>
            </w:tcMar>
          </w:tcPr>
          <w:p w14:paraId="746B8DE3"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3,595</w:t>
            </w:r>
          </w:p>
        </w:tc>
        <w:tc>
          <w:tcPr>
            <w:tcW w:w="1035" w:type="dxa"/>
            <w:tcBorders>
              <w:top w:val="nil"/>
              <w:left w:val="nil"/>
              <w:bottom w:val="nil"/>
              <w:right w:val="nil"/>
              <w:tl2br w:val="nil"/>
              <w:tr2bl w:val="nil"/>
            </w:tcBorders>
            <w:shd w:val="clear" w:color="FFFFFF" w:fill="FFFFFF"/>
            <w:tcMar>
              <w:left w:w="101" w:type="dxa"/>
              <w:right w:w="101" w:type="dxa"/>
            </w:tcMar>
          </w:tcPr>
          <w:p w14:paraId="5D2F3340"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2,659</w:t>
            </w:r>
          </w:p>
        </w:tc>
      </w:tr>
      <w:tr w:rsidR="00496618" w14:paraId="1452EC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CCB855" w14:textId="77777777" w:rsidR="00496618" w:rsidRDefault="00496618">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DC87BE8" w14:textId="77777777" w:rsidR="00496618" w:rsidRDefault="00496618">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4643C1"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A2201A" w14:textId="77777777" w:rsidR="00496618" w:rsidRDefault="00496618">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7B648E2"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16CBDD"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9794E1"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377366" w14:textId="77777777" w:rsidR="00496618" w:rsidRDefault="00496618">
            <w:pPr>
              <w:pStyle w:val="Normal15"/>
              <w:rPr>
                <w:rFonts w:ascii="Calibri" w:eastAsia="Calibri" w:hAnsi="Calibri" w:cs="Calibri"/>
                <w:color w:val="000000"/>
                <w:sz w:val="18"/>
              </w:rPr>
            </w:pPr>
          </w:p>
        </w:tc>
      </w:tr>
      <w:tr w:rsidR="00496618" w14:paraId="094540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59A28F"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15,697</w:t>
            </w:r>
          </w:p>
        </w:tc>
        <w:tc>
          <w:tcPr>
            <w:tcW w:w="2385" w:type="dxa"/>
            <w:tcBorders>
              <w:top w:val="nil"/>
              <w:left w:val="nil"/>
              <w:bottom w:val="nil"/>
              <w:right w:val="nil"/>
              <w:tl2br w:val="nil"/>
              <w:tr2bl w:val="nil"/>
            </w:tcBorders>
            <w:shd w:val="clear" w:color="FFFFFF" w:fill="FFFFFF"/>
            <w:noWrap/>
            <w:tcMar>
              <w:left w:w="101" w:type="dxa"/>
              <w:right w:w="101" w:type="dxa"/>
            </w:tcMar>
          </w:tcPr>
          <w:p w14:paraId="25BE3832" w14:textId="77777777" w:rsidR="00496618" w:rsidRDefault="0027723F">
            <w:pPr>
              <w:pStyle w:val="Normal15"/>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0D7E8D64"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9,938</w:t>
            </w:r>
          </w:p>
        </w:tc>
        <w:tc>
          <w:tcPr>
            <w:tcW w:w="1035" w:type="dxa"/>
            <w:tcBorders>
              <w:top w:val="nil"/>
              <w:left w:val="nil"/>
              <w:bottom w:val="nil"/>
              <w:right w:val="nil"/>
              <w:tl2br w:val="nil"/>
              <w:tr2bl w:val="nil"/>
            </w:tcBorders>
            <w:shd w:val="clear" w:color="FFFFFF" w:fill="FFFFFF"/>
            <w:tcMar>
              <w:left w:w="101" w:type="dxa"/>
              <w:right w:w="101" w:type="dxa"/>
            </w:tcMar>
          </w:tcPr>
          <w:p w14:paraId="4B02E3C9"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18,015</w:t>
            </w:r>
          </w:p>
        </w:tc>
        <w:tc>
          <w:tcPr>
            <w:tcW w:w="600" w:type="dxa"/>
            <w:tcBorders>
              <w:top w:val="nil"/>
              <w:left w:val="nil"/>
              <w:bottom w:val="nil"/>
              <w:right w:val="nil"/>
              <w:tl2br w:val="nil"/>
              <w:tr2bl w:val="nil"/>
            </w:tcBorders>
            <w:shd w:val="clear" w:color="FFFFFF" w:fill="FFFFFF"/>
            <w:tcMar>
              <w:left w:w="101" w:type="dxa"/>
              <w:right w:w="101" w:type="dxa"/>
            </w:tcMar>
          </w:tcPr>
          <w:p w14:paraId="48E9612C"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81 </w:t>
            </w:r>
          </w:p>
        </w:tc>
        <w:tc>
          <w:tcPr>
            <w:tcW w:w="1035" w:type="dxa"/>
            <w:tcBorders>
              <w:top w:val="nil"/>
              <w:left w:val="nil"/>
              <w:bottom w:val="nil"/>
              <w:right w:val="nil"/>
              <w:tl2br w:val="nil"/>
              <w:tr2bl w:val="nil"/>
            </w:tcBorders>
            <w:shd w:val="clear" w:color="FFFFFF" w:fill="FFFFFF"/>
            <w:tcMar>
              <w:left w:w="101" w:type="dxa"/>
              <w:right w:w="101" w:type="dxa"/>
            </w:tcMar>
          </w:tcPr>
          <w:p w14:paraId="3C41B5F1"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12,703</w:t>
            </w:r>
          </w:p>
        </w:tc>
        <w:tc>
          <w:tcPr>
            <w:tcW w:w="1035" w:type="dxa"/>
            <w:tcBorders>
              <w:top w:val="nil"/>
              <w:left w:val="nil"/>
              <w:bottom w:val="nil"/>
              <w:right w:val="nil"/>
              <w:tl2br w:val="nil"/>
              <w:tr2bl w:val="nil"/>
            </w:tcBorders>
            <w:shd w:val="clear" w:color="FFFFFF" w:fill="FFFFFF"/>
            <w:tcMar>
              <w:left w:w="101" w:type="dxa"/>
              <w:right w:w="101" w:type="dxa"/>
            </w:tcMar>
          </w:tcPr>
          <w:p w14:paraId="3FEDBA0A"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3,595</w:t>
            </w:r>
          </w:p>
        </w:tc>
        <w:tc>
          <w:tcPr>
            <w:tcW w:w="1035" w:type="dxa"/>
            <w:tcBorders>
              <w:top w:val="nil"/>
              <w:left w:val="nil"/>
              <w:bottom w:val="nil"/>
              <w:right w:val="nil"/>
              <w:tl2br w:val="nil"/>
              <w:tr2bl w:val="nil"/>
            </w:tcBorders>
            <w:shd w:val="clear" w:color="FFFFFF" w:fill="FFFFFF"/>
            <w:tcMar>
              <w:left w:w="101" w:type="dxa"/>
              <w:right w:w="101" w:type="dxa"/>
            </w:tcMar>
          </w:tcPr>
          <w:p w14:paraId="1E06E328"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2,659</w:t>
            </w:r>
          </w:p>
        </w:tc>
      </w:tr>
      <w:tr w:rsidR="00496618" w14:paraId="0E9222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DADA04" w14:textId="77777777" w:rsidR="00496618" w:rsidRDefault="00496618">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6EA9675" w14:textId="77777777" w:rsidR="00496618" w:rsidRDefault="00496618">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9AD987"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97CD69" w14:textId="77777777" w:rsidR="00496618" w:rsidRDefault="00496618">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DB005EB"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DFDADF"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DC4FF7"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F47DFE" w14:textId="77777777" w:rsidR="00496618" w:rsidRDefault="00496618">
            <w:pPr>
              <w:pStyle w:val="Normal15"/>
              <w:rPr>
                <w:rFonts w:ascii="Calibri" w:eastAsia="Calibri" w:hAnsi="Calibri" w:cs="Calibri"/>
                <w:color w:val="000000"/>
                <w:sz w:val="18"/>
              </w:rPr>
            </w:pPr>
          </w:p>
        </w:tc>
      </w:tr>
      <w:tr w:rsidR="00496618" w14:paraId="3E60A1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4D44A0" w14:textId="77777777" w:rsidR="00496618" w:rsidRDefault="00496618">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A4E6C2B" w14:textId="77777777" w:rsidR="00496618" w:rsidRDefault="0027723F">
            <w:pPr>
              <w:pStyle w:val="Normal15"/>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7D987061"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1C335F" w14:textId="77777777" w:rsidR="00496618" w:rsidRDefault="00496618">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EBA059"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735232"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25162B"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D02679" w14:textId="77777777" w:rsidR="00496618" w:rsidRDefault="00496618">
            <w:pPr>
              <w:pStyle w:val="Normal15"/>
              <w:rPr>
                <w:rFonts w:ascii="Calibri" w:eastAsia="Calibri" w:hAnsi="Calibri" w:cs="Calibri"/>
                <w:color w:val="000000"/>
                <w:sz w:val="18"/>
              </w:rPr>
            </w:pPr>
          </w:p>
        </w:tc>
      </w:tr>
      <w:tr w:rsidR="00496618" w14:paraId="0DC9B0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C312D96"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14,202</w:t>
            </w:r>
          </w:p>
        </w:tc>
        <w:tc>
          <w:tcPr>
            <w:tcW w:w="2385" w:type="dxa"/>
            <w:tcBorders>
              <w:top w:val="nil"/>
              <w:left w:val="nil"/>
              <w:bottom w:val="nil"/>
              <w:right w:val="nil"/>
              <w:tl2br w:val="nil"/>
              <w:tr2bl w:val="nil"/>
            </w:tcBorders>
            <w:shd w:val="clear" w:color="FFFFFF" w:fill="FFFFFF"/>
            <w:noWrap/>
            <w:tcMar>
              <w:left w:w="101" w:type="dxa"/>
              <w:right w:w="101" w:type="dxa"/>
            </w:tcMar>
          </w:tcPr>
          <w:p w14:paraId="25AE8C37" w14:textId="77777777" w:rsidR="00496618" w:rsidRDefault="0027723F">
            <w:pPr>
              <w:pStyle w:val="Normal15"/>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445E0B7"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8,807</w:t>
            </w:r>
          </w:p>
        </w:tc>
        <w:tc>
          <w:tcPr>
            <w:tcW w:w="1035" w:type="dxa"/>
            <w:tcBorders>
              <w:top w:val="nil"/>
              <w:left w:val="nil"/>
              <w:bottom w:val="nil"/>
              <w:right w:val="nil"/>
              <w:tl2br w:val="nil"/>
              <w:tr2bl w:val="nil"/>
            </w:tcBorders>
            <w:shd w:val="clear" w:color="FFFFFF" w:fill="FFFFFF"/>
            <w:tcMar>
              <w:left w:w="101" w:type="dxa"/>
              <w:right w:w="101" w:type="dxa"/>
            </w:tcMar>
          </w:tcPr>
          <w:p w14:paraId="77CA91F0"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16,475</w:t>
            </w:r>
          </w:p>
        </w:tc>
        <w:tc>
          <w:tcPr>
            <w:tcW w:w="600" w:type="dxa"/>
            <w:tcBorders>
              <w:top w:val="nil"/>
              <w:left w:val="nil"/>
              <w:bottom w:val="nil"/>
              <w:right w:val="nil"/>
              <w:tl2br w:val="nil"/>
              <w:tr2bl w:val="nil"/>
            </w:tcBorders>
            <w:shd w:val="clear" w:color="FFFFFF" w:fill="FFFFFF"/>
            <w:tcMar>
              <w:left w:w="101" w:type="dxa"/>
              <w:right w:w="101" w:type="dxa"/>
            </w:tcMar>
          </w:tcPr>
          <w:p w14:paraId="314D8CA4"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 xml:space="preserve">87 </w:t>
            </w:r>
          </w:p>
        </w:tc>
        <w:tc>
          <w:tcPr>
            <w:tcW w:w="1035" w:type="dxa"/>
            <w:tcBorders>
              <w:top w:val="nil"/>
              <w:left w:val="nil"/>
              <w:bottom w:val="nil"/>
              <w:right w:val="nil"/>
              <w:tl2br w:val="nil"/>
              <w:tr2bl w:val="nil"/>
            </w:tcBorders>
            <w:shd w:val="clear" w:color="FFFFFF" w:fill="FFFFFF"/>
            <w:tcMar>
              <w:left w:w="101" w:type="dxa"/>
              <w:right w:w="101" w:type="dxa"/>
            </w:tcMar>
          </w:tcPr>
          <w:p w14:paraId="07192B26"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11,125</w:t>
            </w:r>
          </w:p>
        </w:tc>
        <w:tc>
          <w:tcPr>
            <w:tcW w:w="1035" w:type="dxa"/>
            <w:tcBorders>
              <w:top w:val="nil"/>
              <w:left w:val="nil"/>
              <w:bottom w:val="nil"/>
              <w:right w:val="nil"/>
              <w:tl2br w:val="nil"/>
              <w:tr2bl w:val="nil"/>
            </w:tcBorders>
            <w:shd w:val="clear" w:color="FFFFFF" w:fill="FFFFFF"/>
            <w:tcMar>
              <w:left w:w="101" w:type="dxa"/>
              <w:right w:w="101" w:type="dxa"/>
            </w:tcMar>
          </w:tcPr>
          <w:p w14:paraId="6B9913CA"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1,978</w:t>
            </w:r>
          </w:p>
        </w:tc>
        <w:tc>
          <w:tcPr>
            <w:tcW w:w="1035" w:type="dxa"/>
            <w:tcBorders>
              <w:top w:val="nil"/>
              <w:left w:val="nil"/>
              <w:bottom w:val="nil"/>
              <w:right w:val="nil"/>
              <w:tl2br w:val="nil"/>
              <w:tr2bl w:val="nil"/>
            </w:tcBorders>
            <w:shd w:val="clear" w:color="FFFFFF" w:fill="FFFFFF"/>
            <w:tcMar>
              <w:left w:w="101" w:type="dxa"/>
              <w:right w:w="101" w:type="dxa"/>
            </w:tcMar>
          </w:tcPr>
          <w:p w14:paraId="6A99150E"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1,002</w:t>
            </w:r>
          </w:p>
        </w:tc>
      </w:tr>
      <w:tr w:rsidR="00496618" w14:paraId="3CB996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D924ADA"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1,495</w:t>
            </w:r>
          </w:p>
        </w:tc>
        <w:tc>
          <w:tcPr>
            <w:tcW w:w="2385" w:type="dxa"/>
            <w:tcBorders>
              <w:top w:val="nil"/>
              <w:left w:val="nil"/>
              <w:bottom w:val="nil"/>
              <w:right w:val="nil"/>
              <w:tl2br w:val="nil"/>
              <w:tr2bl w:val="nil"/>
            </w:tcBorders>
            <w:shd w:val="clear" w:color="FFFFFF" w:fill="FFFFFF"/>
            <w:noWrap/>
            <w:tcMar>
              <w:left w:w="101" w:type="dxa"/>
              <w:right w:w="101" w:type="dxa"/>
            </w:tcMar>
          </w:tcPr>
          <w:p w14:paraId="404E54C1" w14:textId="77777777" w:rsidR="00496618" w:rsidRDefault="0027723F">
            <w:pPr>
              <w:pStyle w:val="Normal15"/>
              <w:rPr>
                <w:rFonts w:ascii="Calibri" w:eastAsia="Calibri" w:hAnsi="Calibri" w:cs="Calibri"/>
                <w:color w:val="000000"/>
                <w:sz w:val="18"/>
              </w:rPr>
            </w:pPr>
            <w:r>
              <w:rPr>
                <w:rFonts w:ascii="Calibri" w:eastAsia="Calibri" w:hAnsi="Calibri" w:cs="Calibri"/>
                <w:color w:val="000000"/>
                <w:sz w:val="18"/>
              </w:rPr>
              <w:t>Transfer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18163580"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1,132</w:t>
            </w:r>
          </w:p>
        </w:tc>
        <w:tc>
          <w:tcPr>
            <w:tcW w:w="1035" w:type="dxa"/>
            <w:tcBorders>
              <w:top w:val="nil"/>
              <w:left w:val="nil"/>
              <w:bottom w:val="nil"/>
              <w:right w:val="nil"/>
              <w:tl2br w:val="nil"/>
              <w:tr2bl w:val="nil"/>
            </w:tcBorders>
            <w:shd w:val="clear" w:color="FFFFFF" w:fill="FFFFFF"/>
            <w:tcMar>
              <w:left w:w="101" w:type="dxa"/>
              <w:right w:w="101" w:type="dxa"/>
            </w:tcMar>
          </w:tcPr>
          <w:p w14:paraId="270F2A9F"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1,540</w:t>
            </w:r>
          </w:p>
        </w:tc>
        <w:tc>
          <w:tcPr>
            <w:tcW w:w="600" w:type="dxa"/>
            <w:tcBorders>
              <w:top w:val="nil"/>
              <w:left w:val="nil"/>
              <w:bottom w:val="nil"/>
              <w:right w:val="nil"/>
              <w:tl2br w:val="nil"/>
              <w:tr2bl w:val="nil"/>
            </w:tcBorders>
            <w:shd w:val="clear" w:color="FFFFFF" w:fill="FFFFFF"/>
            <w:tcMar>
              <w:left w:w="101" w:type="dxa"/>
              <w:right w:w="101" w:type="dxa"/>
            </w:tcMar>
          </w:tcPr>
          <w:p w14:paraId="0BE2D54E"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 xml:space="preserve">36 </w:t>
            </w:r>
          </w:p>
        </w:tc>
        <w:tc>
          <w:tcPr>
            <w:tcW w:w="1035" w:type="dxa"/>
            <w:tcBorders>
              <w:top w:val="nil"/>
              <w:left w:val="nil"/>
              <w:bottom w:val="nil"/>
              <w:right w:val="nil"/>
              <w:tl2br w:val="nil"/>
              <w:tr2bl w:val="nil"/>
            </w:tcBorders>
            <w:shd w:val="clear" w:color="FFFFFF" w:fill="FFFFFF"/>
            <w:tcMar>
              <w:left w:w="101" w:type="dxa"/>
              <w:right w:w="101" w:type="dxa"/>
            </w:tcMar>
          </w:tcPr>
          <w:p w14:paraId="181DC603"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1,578</w:t>
            </w:r>
          </w:p>
        </w:tc>
        <w:tc>
          <w:tcPr>
            <w:tcW w:w="1035" w:type="dxa"/>
            <w:tcBorders>
              <w:top w:val="nil"/>
              <w:left w:val="nil"/>
              <w:bottom w:val="nil"/>
              <w:right w:val="nil"/>
              <w:tl2br w:val="nil"/>
              <w:tr2bl w:val="nil"/>
            </w:tcBorders>
            <w:shd w:val="clear" w:color="FFFFFF" w:fill="FFFFFF"/>
            <w:tcMar>
              <w:left w:w="101" w:type="dxa"/>
              <w:right w:w="101" w:type="dxa"/>
            </w:tcMar>
          </w:tcPr>
          <w:p w14:paraId="49422F2A"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1,617</w:t>
            </w:r>
          </w:p>
        </w:tc>
        <w:tc>
          <w:tcPr>
            <w:tcW w:w="1035" w:type="dxa"/>
            <w:tcBorders>
              <w:top w:val="nil"/>
              <w:left w:val="nil"/>
              <w:bottom w:val="nil"/>
              <w:right w:val="nil"/>
              <w:tl2br w:val="nil"/>
              <w:tr2bl w:val="nil"/>
            </w:tcBorders>
            <w:shd w:val="clear" w:color="FFFFFF" w:fill="FFFFFF"/>
            <w:tcMar>
              <w:left w:w="101" w:type="dxa"/>
              <w:right w:w="101" w:type="dxa"/>
            </w:tcMar>
          </w:tcPr>
          <w:p w14:paraId="0B184271" w14:textId="77777777" w:rsidR="00496618" w:rsidRDefault="0027723F">
            <w:pPr>
              <w:pStyle w:val="Normal15"/>
              <w:jc w:val="right"/>
              <w:rPr>
                <w:rFonts w:ascii="Calibri" w:eastAsia="Calibri" w:hAnsi="Calibri" w:cs="Calibri"/>
                <w:color w:val="000000"/>
                <w:sz w:val="18"/>
              </w:rPr>
            </w:pPr>
            <w:r>
              <w:rPr>
                <w:rFonts w:ascii="Calibri" w:eastAsia="Calibri" w:hAnsi="Calibri" w:cs="Calibri"/>
                <w:color w:val="000000"/>
                <w:sz w:val="18"/>
              </w:rPr>
              <w:t>1,657</w:t>
            </w:r>
          </w:p>
        </w:tc>
      </w:tr>
      <w:tr w:rsidR="00496618" w14:paraId="39A453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DF226A" w14:textId="77777777" w:rsidR="00496618" w:rsidRDefault="00496618">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9381812" w14:textId="77777777" w:rsidR="00496618" w:rsidRDefault="00496618">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004307"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18513C" w14:textId="77777777" w:rsidR="00496618" w:rsidRDefault="00496618">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8F16800"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2FB5EC"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62E41F"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D63461" w14:textId="77777777" w:rsidR="00496618" w:rsidRDefault="00496618">
            <w:pPr>
              <w:pStyle w:val="Normal15"/>
              <w:rPr>
                <w:rFonts w:ascii="Calibri" w:eastAsia="Calibri" w:hAnsi="Calibri" w:cs="Calibri"/>
                <w:color w:val="000000"/>
                <w:sz w:val="18"/>
              </w:rPr>
            </w:pPr>
          </w:p>
        </w:tc>
      </w:tr>
      <w:tr w:rsidR="00496618" w14:paraId="463A99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167294"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15,697</w:t>
            </w:r>
          </w:p>
        </w:tc>
        <w:tc>
          <w:tcPr>
            <w:tcW w:w="2385" w:type="dxa"/>
            <w:tcBorders>
              <w:top w:val="nil"/>
              <w:left w:val="nil"/>
              <w:bottom w:val="nil"/>
              <w:right w:val="nil"/>
              <w:tl2br w:val="nil"/>
              <w:tr2bl w:val="nil"/>
            </w:tcBorders>
            <w:shd w:val="clear" w:color="FFFFFF" w:fill="FFFFFF"/>
            <w:noWrap/>
            <w:tcMar>
              <w:left w:w="101" w:type="dxa"/>
              <w:right w:w="101" w:type="dxa"/>
            </w:tcMar>
          </w:tcPr>
          <w:p w14:paraId="28368430" w14:textId="77777777" w:rsidR="00496618" w:rsidRDefault="0027723F">
            <w:pPr>
              <w:pStyle w:val="Normal15"/>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4E79F8FB"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9,939</w:t>
            </w:r>
          </w:p>
        </w:tc>
        <w:tc>
          <w:tcPr>
            <w:tcW w:w="1035" w:type="dxa"/>
            <w:tcBorders>
              <w:top w:val="nil"/>
              <w:left w:val="nil"/>
              <w:bottom w:val="nil"/>
              <w:right w:val="nil"/>
              <w:tl2br w:val="nil"/>
              <w:tr2bl w:val="nil"/>
            </w:tcBorders>
            <w:shd w:val="clear" w:color="FFFFFF" w:fill="FFFFFF"/>
            <w:tcMar>
              <w:left w:w="101" w:type="dxa"/>
              <w:right w:w="101" w:type="dxa"/>
            </w:tcMar>
          </w:tcPr>
          <w:p w14:paraId="3851A354"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18,015</w:t>
            </w:r>
          </w:p>
        </w:tc>
        <w:tc>
          <w:tcPr>
            <w:tcW w:w="600" w:type="dxa"/>
            <w:tcBorders>
              <w:top w:val="nil"/>
              <w:left w:val="nil"/>
              <w:bottom w:val="nil"/>
              <w:right w:val="nil"/>
              <w:tl2br w:val="nil"/>
              <w:tr2bl w:val="nil"/>
            </w:tcBorders>
            <w:shd w:val="clear" w:color="FFFFFF" w:fill="FFFFFF"/>
            <w:tcMar>
              <w:left w:w="101" w:type="dxa"/>
              <w:right w:w="101" w:type="dxa"/>
            </w:tcMar>
          </w:tcPr>
          <w:p w14:paraId="2EF3A7CE"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81 </w:t>
            </w:r>
          </w:p>
        </w:tc>
        <w:tc>
          <w:tcPr>
            <w:tcW w:w="1035" w:type="dxa"/>
            <w:tcBorders>
              <w:top w:val="nil"/>
              <w:left w:val="nil"/>
              <w:bottom w:val="nil"/>
              <w:right w:val="nil"/>
              <w:tl2br w:val="nil"/>
              <w:tr2bl w:val="nil"/>
            </w:tcBorders>
            <w:shd w:val="clear" w:color="FFFFFF" w:fill="FFFFFF"/>
            <w:tcMar>
              <w:left w:w="101" w:type="dxa"/>
              <w:right w:w="101" w:type="dxa"/>
            </w:tcMar>
          </w:tcPr>
          <w:p w14:paraId="54795EF4"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12,703</w:t>
            </w:r>
          </w:p>
        </w:tc>
        <w:tc>
          <w:tcPr>
            <w:tcW w:w="1035" w:type="dxa"/>
            <w:tcBorders>
              <w:top w:val="nil"/>
              <w:left w:val="nil"/>
              <w:bottom w:val="nil"/>
              <w:right w:val="nil"/>
              <w:tl2br w:val="nil"/>
              <w:tr2bl w:val="nil"/>
            </w:tcBorders>
            <w:shd w:val="clear" w:color="FFFFFF" w:fill="FFFFFF"/>
            <w:tcMar>
              <w:left w:w="101" w:type="dxa"/>
              <w:right w:w="101" w:type="dxa"/>
            </w:tcMar>
          </w:tcPr>
          <w:p w14:paraId="4F3C9DAB"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3,595</w:t>
            </w:r>
          </w:p>
        </w:tc>
        <w:tc>
          <w:tcPr>
            <w:tcW w:w="1035" w:type="dxa"/>
            <w:tcBorders>
              <w:top w:val="nil"/>
              <w:left w:val="nil"/>
              <w:bottom w:val="nil"/>
              <w:right w:val="nil"/>
              <w:tl2br w:val="nil"/>
              <w:tr2bl w:val="nil"/>
            </w:tcBorders>
            <w:shd w:val="clear" w:color="FFFFFF" w:fill="FFFFFF"/>
            <w:tcMar>
              <w:left w:w="101" w:type="dxa"/>
              <w:right w:w="101" w:type="dxa"/>
            </w:tcMar>
          </w:tcPr>
          <w:p w14:paraId="63797998"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2,659</w:t>
            </w:r>
          </w:p>
        </w:tc>
      </w:tr>
      <w:tr w:rsidR="00496618" w14:paraId="78C70E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1449B0" w14:textId="77777777" w:rsidR="00496618" w:rsidRDefault="00496618">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25BD110"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700A68"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4C2F71" w14:textId="77777777" w:rsidR="00496618" w:rsidRDefault="00496618">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C4DEF7"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AA6633"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1F7C67" w14:textId="77777777" w:rsidR="00496618" w:rsidRDefault="00496618">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F47F5F" w14:textId="77777777" w:rsidR="00496618" w:rsidRDefault="00496618">
            <w:pPr>
              <w:pStyle w:val="Normal15"/>
              <w:rPr>
                <w:rFonts w:ascii="Calibri" w:eastAsia="Calibri" w:hAnsi="Calibri" w:cs="Calibri"/>
                <w:color w:val="000000"/>
                <w:sz w:val="18"/>
              </w:rPr>
            </w:pPr>
          </w:p>
        </w:tc>
      </w:tr>
      <w:tr w:rsidR="00496618" w14:paraId="4E6EE6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7728E20"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0C308D0" w14:textId="77777777" w:rsidR="00496618" w:rsidRDefault="0027723F">
            <w:pPr>
              <w:pStyle w:val="Normal15"/>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6535ED53"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60DE7A38"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20393DA"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6E4C0668"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59EB96A"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53C1E9A"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0</w:t>
            </w:r>
          </w:p>
        </w:tc>
      </w:tr>
      <w:tr w:rsidR="00496618" w14:paraId="552A8F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F9F7696" w14:textId="77777777" w:rsidR="00496618" w:rsidRDefault="00496618">
            <w:pPr>
              <w:pStyle w:val="Normal15"/>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3951EB2" w14:textId="77777777" w:rsidR="00496618" w:rsidRDefault="00496618">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C79A6F" w14:textId="77777777" w:rsidR="00496618" w:rsidRDefault="00496618">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7C7343" w14:textId="77777777" w:rsidR="00496618" w:rsidRDefault="00496618">
            <w:pPr>
              <w:pStyle w:val="Normal15"/>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F5E8A23" w14:textId="77777777" w:rsidR="00496618" w:rsidRDefault="00496618">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E62E6B" w14:textId="77777777" w:rsidR="00496618" w:rsidRDefault="00496618">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8F8036" w14:textId="77777777" w:rsidR="00496618" w:rsidRDefault="00496618">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365A15" w14:textId="77777777" w:rsidR="00496618" w:rsidRDefault="00496618">
            <w:pPr>
              <w:pStyle w:val="Normal15"/>
              <w:rPr>
                <w:rFonts w:ascii="Calibri" w:eastAsia="Calibri" w:hAnsi="Calibri" w:cs="Calibri"/>
                <w:b/>
                <w:color w:val="000000"/>
                <w:sz w:val="18"/>
              </w:rPr>
            </w:pPr>
          </w:p>
        </w:tc>
      </w:tr>
      <w:tr w:rsidR="00496618" w14:paraId="1B8D68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D0F4D9"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74E1B9F" w14:textId="77777777" w:rsidR="00496618" w:rsidRDefault="0027723F">
            <w:pPr>
              <w:pStyle w:val="Normal15"/>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6A868717"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45F95F83"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AD1FC7C"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4CFD6FF"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477C616"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1F6FE7B" w14:textId="77777777" w:rsidR="00496618" w:rsidRDefault="0027723F">
            <w:pPr>
              <w:pStyle w:val="Normal15"/>
              <w:jc w:val="right"/>
              <w:rPr>
                <w:rFonts w:ascii="Calibri" w:eastAsia="Calibri" w:hAnsi="Calibri" w:cs="Calibri"/>
                <w:b/>
                <w:color w:val="000000"/>
                <w:sz w:val="18"/>
              </w:rPr>
            </w:pPr>
            <w:r>
              <w:rPr>
                <w:rFonts w:ascii="Calibri" w:eastAsia="Calibri" w:hAnsi="Calibri" w:cs="Calibri"/>
                <w:b/>
                <w:color w:val="000000"/>
                <w:sz w:val="18"/>
              </w:rPr>
              <w:t>0</w:t>
            </w:r>
          </w:p>
        </w:tc>
      </w:tr>
      <w:tr w:rsidR="00496618" w14:paraId="381B85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AFE7D47" w14:textId="77777777" w:rsidR="00496618" w:rsidRDefault="00496618">
            <w:pPr>
              <w:pStyle w:val="Normal15"/>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018BCF9" w14:textId="77777777" w:rsidR="00496618" w:rsidRDefault="00496618">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0166E6E" w14:textId="77777777" w:rsidR="00496618" w:rsidRDefault="00496618">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79740DC" w14:textId="77777777" w:rsidR="00496618" w:rsidRDefault="00496618">
            <w:pPr>
              <w:pStyle w:val="Normal15"/>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40A01C07" w14:textId="77777777" w:rsidR="00496618" w:rsidRDefault="00496618">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96005CB" w14:textId="77777777" w:rsidR="00496618" w:rsidRDefault="00496618">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3CB2100" w14:textId="77777777" w:rsidR="00496618" w:rsidRDefault="00496618">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2BDD830" w14:textId="77777777" w:rsidR="00496618" w:rsidRDefault="00496618">
            <w:pPr>
              <w:pStyle w:val="Normal15"/>
              <w:rPr>
                <w:rFonts w:ascii="Calibri" w:eastAsia="Calibri" w:hAnsi="Calibri" w:cs="Calibri"/>
                <w:color w:val="000000"/>
                <w:sz w:val="18"/>
              </w:rPr>
            </w:pPr>
          </w:p>
        </w:tc>
      </w:tr>
    </w:tbl>
    <w:p w14:paraId="70701C02" w14:textId="77777777" w:rsidR="00EB585F" w:rsidRDefault="00EB585F" w:rsidP="00EB585F">
      <w:pPr>
        <w:pStyle w:val="Caption"/>
      </w:pPr>
    </w:p>
    <w:p w14:paraId="5891D91F" w14:textId="77777777" w:rsidR="00EB585F" w:rsidRDefault="00EB585F">
      <w:pPr>
        <w:spacing w:before="0" w:after="0"/>
        <w:rPr>
          <w:b/>
          <w:bCs/>
          <w:color w:val="000000"/>
          <w:sz w:val="22"/>
          <w:szCs w:val="18"/>
        </w:rPr>
      </w:pPr>
      <w:r>
        <w:br w:type="page"/>
      </w:r>
    </w:p>
    <w:p w14:paraId="12DB68B8" w14:textId="17EF7616" w:rsidR="001F6B18" w:rsidRPr="00EB585F" w:rsidRDefault="0027723F" w:rsidP="00EB585F">
      <w:pPr>
        <w:pStyle w:val="Caption"/>
        <w:rPr>
          <w:rFonts w:eastAsia="TimesNewRomanPS-ItalicMT"/>
        </w:rPr>
      </w:pPr>
      <w:r w:rsidRPr="00EB585F">
        <w:lastRenderedPageBreak/>
        <w:t>Table 28: ACT Health Directorate: Statement of Assets and Liabilities on behalf of the Territory</w:t>
      </w:r>
    </w:p>
    <w:tbl>
      <w:tblPr>
        <w:tblStyle w:val="CDMRange16"/>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496618" w14:paraId="27B2685B"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64D0974"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Budget</w:t>
            </w:r>
          </w:p>
          <w:p w14:paraId="547059DE"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at</w:t>
            </w:r>
          </w:p>
          <w:p w14:paraId="7534725C"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78143605"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3A694EBC" w14:textId="77777777" w:rsidR="00496618" w:rsidRDefault="00496618">
            <w:pPr>
              <w:pStyle w:val="Normal16"/>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4FE51F1"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Interim</w:t>
            </w:r>
          </w:p>
          <w:p w14:paraId="5B9A8DF9"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Outcome at</w:t>
            </w:r>
          </w:p>
          <w:p w14:paraId="53457A60"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30/06/21</w:t>
            </w:r>
          </w:p>
          <w:p w14:paraId="2B748473"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00A05DF"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Budget</w:t>
            </w:r>
          </w:p>
          <w:p w14:paraId="0B900A8A"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at</w:t>
            </w:r>
          </w:p>
          <w:p w14:paraId="2FF11166"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4E35318C"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9BAAA3D"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Var</w:t>
            </w:r>
          </w:p>
          <w:p w14:paraId="3921D2F5"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1A6D0F3"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p w14:paraId="57AAF336"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at</w:t>
            </w:r>
          </w:p>
          <w:p w14:paraId="54413EE6"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6616E70D"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7AAD456"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p w14:paraId="0FA0AF54"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at</w:t>
            </w:r>
          </w:p>
          <w:p w14:paraId="2272D2F4"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2A139F47"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DD228F4"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p w14:paraId="127A0165"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at</w:t>
            </w:r>
          </w:p>
          <w:p w14:paraId="6D94309E"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691A0EB0"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r>
      <w:tr w:rsidR="00496618" w14:paraId="459AA9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25A2C8D" w14:textId="77777777" w:rsidR="00496618" w:rsidRDefault="00496618">
            <w:pPr>
              <w:pStyle w:val="Normal16"/>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86BC742" w14:textId="77777777" w:rsidR="00496618" w:rsidRDefault="00496618">
            <w:pPr>
              <w:pStyle w:val="Normal16"/>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9C804FF" w14:textId="77777777" w:rsidR="00496618" w:rsidRDefault="00496618">
            <w:pPr>
              <w:pStyle w:val="Normal1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9748932" w14:textId="77777777" w:rsidR="00496618" w:rsidRDefault="00496618">
            <w:pPr>
              <w:pStyle w:val="Normal16"/>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6C025D9" w14:textId="77777777" w:rsidR="00496618" w:rsidRDefault="00496618">
            <w:pPr>
              <w:pStyle w:val="Normal1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478B1C6" w14:textId="77777777" w:rsidR="00496618" w:rsidRDefault="00496618">
            <w:pPr>
              <w:pStyle w:val="Normal1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548DEC3" w14:textId="77777777" w:rsidR="00496618" w:rsidRDefault="00496618">
            <w:pPr>
              <w:pStyle w:val="Normal1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7968C8C" w14:textId="77777777" w:rsidR="00496618" w:rsidRDefault="00496618">
            <w:pPr>
              <w:pStyle w:val="Normal16"/>
              <w:jc w:val="right"/>
              <w:rPr>
                <w:rFonts w:ascii="Calibri" w:eastAsia="Calibri" w:hAnsi="Calibri" w:cs="Calibri"/>
                <w:b/>
                <w:i/>
                <w:color w:val="000000"/>
                <w:sz w:val="18"/>
              </w:rPr>
            </w:pPr>
          </w:p>
        </w:tc>
      </w:tr>
      <w:tr w:rsidR="00496618" w14:paraId="32EE6B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5461E4"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53C3F92"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435F926A"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80C632"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B405644"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3A29FA"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6902EE"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A25D9F" w14:textId="77777777" w:rsidR="00496618" w:rsidRDefault="00496618">
            <w:pPr>
              <w:pStyle w:val="Normal16"/>
              <w:rPr>
                <w:rFonts w:ascii="Calibri" w:eastAsia="Calibri" w:hAnsi="Calibri" w:cs="Calibri"/>
                <w:color w:val="000000"/>
                <w:sz w:val="18"/>
              </w:rPr>
            </w:pPr>
          </w:p>
        </w:tc>
      </w:tr>
      <w:tr w:rsidR="00496618" w14:paraId="580AC4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A236A0"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28</w:t>
            </w:r>
          </w:p>
        </w:tc>
        <w:tc>
          <w:tcPr>
            <w:tcW w:w="2385" w:type="dxa"/>
            <w:tcBorders>
              <w:top w:val="nil"/>
              <w:left w:val="nil"/>
              <w:bottom w:val="nil"/>
              <w:right w:val="nil"/>
              <w:tl2br w:val="nil"/>
              <w:tr2bl w:val="nil"/>
            </w:tcBorders>
            <w:shd w:val="clear" w:color="auto" w:fill="auto"/>
            <w:noWrap/>
            <w:tcMar>
              <w:left w:w="101" w:type="dxa"/>
              <w:right w:w="101" w:type="dxa"/>
            </w:tcMar>
          </w:tcPr>
          <w:p w14:paraId="0D168FDD" w14:textId="77777777" w:rsidR="00496618" w:rsidRDefault="0027723F">
            <w:pPr>
              <w:pStyle w:val="Normal16"/>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3599CEF4"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210</w:t>
            </w:r>
          </w:p>
        </w:tc>
        <w:tc>
          <w:tcPr>
            <w:tcW w:w="1035" w:type="dxa"/>
            <w:tcBorders>
              <w:top w:val="nil"/>
              <w:left w:val="nil"/>
              <w:bottom w:val="nil"/>
              <w:right w:val="nil"/>
              <w:tl2br w:val="nil"/>
              <w:tr2bl w:val="nil"/>
            </w:tcBorders>
            <w:shd w:val="clear" w:color="FFFFFF" w:fill="FFFFFF"/>
            <w:tcMar>
              <w:left w:w="101" w:type="dxa"/>
              <w:right w:w="101" w:type="dxa"/>
            </w:tcMar>
          </w:tcPr>
          <w:p w14:paraId="68A52CEC"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210</w:t>
            </w:r>
          </w:p>
        </w:tc>
        <w:tc>
          <w:tcPr>
            <w:tcW w:w="600" w:type="dxa"/>
            <w:tcBorders>
              <w:top w:val="nil"/>
              <w:left w:val="nil"/>
              <w:bottom w:val="nil"/>
              <w:right w:val="nil"/>
              <w:tl2br w:val="nil"/>
              <w:tr2bl w:val="nil"/>
            </w:tcBorders>
            <w:shd w:val="clear" w:color="FFFFFF" w:fill="FFFFFF"/>
            <w:tcMar>
              <w:left w:w="101" w:type="dxa"/>
              <w:right w:w="101" w:type="dxa"/>
            </w:tcMar>
          </w:tcPr>
          <w:p w14:paraId="23B9421D"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52A06FD"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210</w:t>
            </w:r>
          </w:p>
        </w:tc>
        <w:tc>
          <w:tcPr>
            <w:tcW w:w="1035" w:type="dxa"/>
            <w:tcBorders>
              <w:top w:val="nil"/>
              <w:left w:val="nil"/>
              <w:bottom w:val="nil"/>
              <w:right w:val="nil"/>
              <w:tl2br w:val="nil"/>
              <w:tr2bl w:val="nil"/>
            </w:tcBorders>
            <w:shd w:val="clear" w:color="FFFFFF" w:fill="FFFFFF"/>
            <w:tcMar>
              <w:left w:w="101" w:type="dxa"/>
              <w:right w:w="101" w:type="dxa"/>
            </w:tcMar>
          </w:tcPr>
          <w:p w14:paraId="085AD116"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210</w:t>
            </w:r>
          </w:p>
        </w:tc>
        <w:tc>
          <w:tcPr>
            <w:tcW w:w="1035" w:type="dxa"/>
            <w:tcBorders>
              <w:top w:val="nil"/>
              <w:left w:val="nil"/>
              <w:bottom w:val="nil"/>
              <w:right w:val="nil"/>
              <w:tl2br w:val="nil"/>
              <w:tr2bl w:val="nil"/>
            </w:tcBorders>
            <w:shd w:val="clear" w:color="FFFFFF" w:fill="FFFFFF"/>
            <w:tcMar>
              <w:left w:w="101" w:type="dxa"/>
              <w:right w:w="101" w:type="dxa"/>
            </w:tcMar>
          </w:tcPr>
          <w:p w14:paraId="1F13DCCF"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210</w:t>
            </w:r>
          </w:p>
        </w:tc>
      </w:tr>
      <w:tr w:rsidR="00496618" w14:paraId="339985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195BF2"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216</w:t>
            </w:r>
          </w:p>
        </w:tc>
        <w:tc>
          <w:tcPr>
            <w:tcW w:w="2385" w:type="dxa"/>
            <w:tcBorders>
              <w:top w:val="nil"/>
              <w:left w:val="nil"/>
              <w:bottom w:val="nil"/>
              <w:right w:val="nil"/>
              <w:tl2br w:val="nil"/>
              <w:tr2bl w:val="nil"/>
            </w:tcBorders>
            <w:shd w:val="clear" w:color="auto" w:fill="auto"/>
            <w:noWrap/>
            <w:tcMar>
              <w:left w:w="101" w:type="dxa"/>
              <w:right w:w="101" w:type="dxa"/>
            </w:tcMar>
          </w:tcPr>
          <w:p w14:paraId="57E91F91" w14:textId="77777777" w:rsidR="00496618" w:rsidRDefault="0027723F">
            <w:pPr>
              <w:pStyle w:val="Normal16"/>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256CD08C"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33</w:t>
            </w:r>
          </w:p>
        </w:tc>
        <w:tc>
          <w:tcPr>
            <w:tcW w:w="1035" w:type="dxa"/>
            <w:tcBorders>
              <w:top w:val="nil"/>
              <w:left w:val="nil"/>
              <w:bottom w:val="nil"/>
              <w:right w:val="nil"/>
              <w:tl2br w:val="nil"/>
              <w:tr2bl w:val="nil"/>
            </w:tcBorders>
            <w:shd w:val="clear" w:color="FFFFFF" w:fill="FFFFFF"/>
            <w:tcMar>
              <w:left w:w="101" w:type="dxa"/>
              <w:right w:w="101" w:type="dxa"/>
            </w:tcMar>
          </w:tcPr>
          <w:p w14:paraId="5A8960A7"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33</w:t>
            </w:r>
          </w:p>
        </w:tc>
        <w:tc>
          <w:tcPr>
            <w:tcW w:w="600" w:type="dxa"/>
            <w:tcBorders>
              <w:top w:val="nil"/>
              <w:left w:val="nil"/>
              <w:bottom w:val="nil"/>
              <w:right w:val="nil"/>
              <w:tl2br w:val="nil"/>
              <w:tr2bl w:val="nil"/>
            </w:tcBorders>
            <w:shd w:val="clear" w:color="FFFFFF" w:fill="FFFFFF"/>
            <w:tcMar>
              <w:left w:w="101" w:type="dxa"/>
              <w:right w:w="101" w:type="dxa"/>
            </w:tcMar>
          </w:tcPr>
          <w:p w14:paraId="634DBFAE"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8BF6E52"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33</w:t>
            </w:r>
          </w:p>
        </w:tc>
        <w:tc>
          <w:tcPr>
            <w:tcW w:w="1035" w:type="dxa"/>
            <w:tcBorders>
              <w:top w:val="nil"/>
              <w:left w:val="nil"/>
              <w:bottom w:val="nil"/>
              <w:right w:val="nil"/>
              <w:tl2br w:val="nil"/>
              <w:tr2bl w:val="nil"/>
            </w:tcBorders>
            <w:shd w:val="clear" w:color="FFFFFF" w:fill="FFFFFF"/>
            <w:tcMar>
              <w:left w:w="101" w:type="dxa"/>
              <w:right w:w="101" w:type="dxa"/>
            </w:tcMar>
          </w:tcPr>
          <w:p w14:paraId="22F82026"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33</w:t>
            </w:r>
          </w:p>
        </w:tc>
        <w:tc>
          <w:tcPr>
            <w:tcW w:w="1035" w:type="dxa"/>
            <w:tcBorders>
              <w:top w:val="nil"/>
              <w:left w:val="nil"/>
              <w:bottom w:val="nil"/>
              <w:right w:val="nil"/>
              <w:tl2br w:val="nil"/>
              <w:tr2bl w:val="nil"/>
            </w:tcBorders>
            <w:shd w:val="clear" w:color="FFFFFF" w:fill="FFFFFF"/>
            <w:tcMar>
              <w:left w:w="101" w:type="dxa"/>
              <w:right w:w="101" w:type="dxa"/>
            </w:tcMar>
          </w:tcPr>
          <w:p w14:paraId="23F61BE9"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33</w:t>
            </w:r>
          </w:p>
        </w:tc>
      </w:tr>
      <w:tr w:rsidR="00496618" w14:paraId="7CE4AD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ADC563"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C7A333E" w14:textId="77777777" w:rsidR="00496618" w:rsidRDefault="00496618">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0CA7EA"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92A669"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406BAEC"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3DD316"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D7EDA6"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C4E07B" w14:textId="77777777" w:rsidR="00496618" w:rsidRDefault="00496618">
            <w:pPr>
              <w:pStyle w:val="Normal16"/>
              <w:rPr>
                <w:rFonts w:ascii="Calibri" w:eastAsia="Calibri" w:hAnsi="Calibri" w:cs="Calibri"/>
                <w:color w:val="000000"/>
                <w:sz w:val="18"/>
              </w:rPr>
            </w:pPr>
          </w:p>
        </w:tc>
      </w:tr>
      <w:tr w:rsidR="00496618" w14:paraId="10667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D42655"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2385" w:type="dxa"/>
            <w:tcBorders>
              <w:top w:val="nil"/>
              <w:left w:val="nil"/>
              <w:bottom w:val="nil"/>
              <w:right w:val="nil"/>
              <w:tl2br w:val="nil"/>
              <w:tr2bl w:val="nil"/>
            </w:tcBorders>
            <w:shd w:val="clear" w:color="FFFFFF" w:fill="FFFFFF"/>
            <w:noWrap/>
            <w:tcMar>
              <w:left w:w="101" w:type="dxa"/>
              <w:right w:w="101" w:type="dxa"/>
            </w:tcMar>
          </w:tcPr>
          <w:p w14:paraId="44CF714E"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653AA2DD"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243</w:t>
            </w:r>
          </w:p>
        </w:tc>
        <w:tc>
          <w:tcPr>
            <w:tcW w:w="1035" w:type="dxa"/>
            <w:tcBorders>
              <w:top w:val="nil"/>
              <w:left w:val="nil"/>
              <w:bottom w:val="nil"/>
              <w:right w:val="nil"/>
              <w:tl2br w:val="nil"/>
              <w:tr2bl w:val="nil"/>
            </w:tcBorders>
            <w:shd w:val="clear" w:color="FFFFFF" w:fill="FFFFFF"/>
            <w:tcMar>
              <w:left w:w="101" w:type="dxa"/>
              <w:right w:w="101" w:type="dxa"/>
            </w:tcMar>
          </w:tcPr>
          <w:p w14:paraId="1586D6D9"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243</w:t>
            </w:r>
          </w:p>
        </w:tc>
        <w:tc>
          <w:tcPr>
            <w:tcW w:w="600" w:type="dxa"/>
            <w:tcBorders>
              <w:top w:val="nil"/>
              <w:left w:val="nil"/>
              <w:bottom w:val="nil"/>
              <w:right w:val="nil"/>
              <w:tl2br w:val="nil"/>
              <w:tr2bl w:val="nil"/>
            </w:tcBorders>
            <w:shd w:val="clear" w:color="FFFFFF" w:fill="FFFFFF"/>
            <w:tcMar>
              <w:left w:w="101" w:type="dxa"/>
              <w:right w:w="101" w:type="dxa"/>
            </w:tcMar>
          </w:tcPr>
          <w:p w14:paraId="70ECFF26"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F05371C"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243</w:t>
            </w:r>
          </w:p>
        </w:tc>
        <w:tc>
          <w:tcPr>
            <w:tcW w:w="1035" w:type="dxa"/>
            <w:tcBorders>
              <w:top w:val="nil"/>
              <w:left w:val="nil"/>
              <w:bottom w:val="nil"/>
              <w:right w:val="nil"/>
              <w:tl2br w:val="nil"/>
              <w:tr2bl w:val="nil"/>
            </w:tcBorders>
            <w:shd w:val="clear" w:color="FFFFFF" w:fill="FFFFFF"/>
            <w:tcMar>
              <w:left w:w="101" w:type="dxa"/>
              <w:right w:w="101" w:type="dxa"/>
            </w:tcMar>
          </w:tcPr>
          <w:p w14:paraId="16201301"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243</w:t>
            </w:r>
          </w:p>
        </w:tc>
        <w:tc>
          <w:tcPr>
            <w:tcW w:w="1035" w:type="dxa"/>
            <w:tcBorders>
              <w:top w:val="nil"/>
              <w:left w:val="nil"/>
              <w:bottom w:val="nil"/>
              <w:right w:val="nil"/>
              <w:tl2br w:val="nil"/>
              <w:tr2bl w:val="nil"/>
            </w:tcBorders>
            <w:shd w:val="clear" w:color="FFFFFF" w:fill="FFFFFF"/>
            <w:tcMar>
              <w:left w:w="101" w:type="dxa"/>
              <w:right w:w="101" w:type="dxa"/>
            </w:tcMar>
          </w:tcPr>
          <w:p w14:paraId="6785BB11"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243</w:t>
            </w:r>
          </w:p>
        </w:tc>
      </w:tr>
      <w:tr w:rsidR="00496618" w14:paraId="1D081C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572D71A"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1B2D82F" w14:textId="77777777" w:rsidR="00496618" w:rsidRDefault="00496618">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1C77D1"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2D4040"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06C158"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3454F6"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AC5549"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5084EC" w14:textId="77777777" w:rsidR="00496618" w:rsidRDefault="00496618">
            <w:pPr>
              <w:pStyle w:val="Normal16"/>
              <w:rPr>
                <w:rFonts w:ascii="Calibri" w:eastAsia="Calibri" w:hAnsi="Calibri" w:cs="Calibri"/>
                <w:color w:val="000000"/>
                <w:sz w:val="18"/>
              </w:rPr>
            </w:pPr>
          </w:p>
        </w:tc>
      </w:tr>
      <w:tr w:rsidR="00496618" w14:paraId="38BD62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37D232"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787BC62"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7D52A482"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7E162C"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257512"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08FA45"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7614E3"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0C30EA" w14:textId="77777777" w:rsidR="00496618" w:rsidRDefault="00496618">
            <w:pPr>
              <w:pStyle w:val="Normal16"/>
              <w:rPr>
                <w:rFonts w:ascii="Calibri" w:eastAsia="Calibri" w:hAnsi="Calibri" w:cs="Calibri"/>
                <w:color w:val="000000"/>
                <w:sz w:val="18"/>
              </w:rPr>
            </w:pPr>
          </w:p>
        </w:tc>
      </w:tr>
      <w:tr w:rsidR="00496618" w14:paraId="6CAF7C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483BACB"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CA1EEA9" w14:textId="77777777" w:rsidR="00496618" w:rsidRDefault="00496618">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4DBF55"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B1F5FA"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361FFB"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75C7D0"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7F3D85"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67F1AE" w14:textId="77777777" w:rsidR="00496618" w:rsidRDefault="00496618">
            <w:pPr>
              <w:pStyle w:val="Normal16"/>
              <w:rPr>
                <w:rFonts w:ascii="Calibri" w:eastAsia="Calibri" w:hAnsi="Calibri" w:cs="Calibri"/>
                <w:color w:val="000000"/>
                <w:sz w:val="18"/>
              </w:rPr>
            </w:pPr>
          </w:p>
        </w:tc>
      </w:tr>
      <w:tr w:rsidR="00496618" w14:paraId="622221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405284"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5AA62CC"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Total Non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249D2BF0"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CAB6B88"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74915FA"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9DCDBEE"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8EE1792"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10B1B46"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r>
      <w:tr w:rsidR="00496618" w14:paraId="6AFCDF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25C9FA9"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665FF98" w14:textId="77777777" w:rsidR="00496618" w:rsidRDefault="00496618">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0B44F5"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614392"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F6A0657"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820A54"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D3005F"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C21DC6" w14:textId="77777777" w:rsidR="00496618" w:rsidRDefault="00496618">
            <w:pPr>
              <w:pStyle w:val="Normal16"/>
              <w:rPr>
                <w:rFonts w:ascii="Calibri" w:eastAsia="Calibri" w:hAnsi="Calibri" w:cs="Calibri"/>
                <w:color w:val="000000"/>
                <w:sz w:val="18"/>
              </w:rPr>
            </w:pPr>
          </w:p>
        </w:tc>
      </w:tr>
      <w:tr w:rsidR="00496618" w14:paraId="53638B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197EB8"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2385" w:type="dxa"/>
            <w:tcBorders>
              <w:top w:val="nil"/>
              <w:left w:val="nil"/>
              <w:bottom w:val="nil"/>
              <w:right w:val="nil"/>
              <w:tl2br w:val="nil"/>
              <w:tr2bl w:val="nil"/>
            </w:tcBorders>
            <w:shd w:val="clear" w:color="FFFFFF" w:fill="FFFFFF"/>
            <w:noWrap/>
            <w:tcMar>
              <w:left w:w="101" w:type="dxa"/>
              <w:right w:w="101" w:type="dxa"/>
            </w:tcMar>
          </w:tcPr>
          <w:p w14:paraId="271EFF6F"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6B3A0DB4"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243</w:t>
            </w:r>
          </w:p>
        </w:tc>
        <w:tc>
          <w:tcPr>
            <w:tcW w:w="1035" w:type="dxa"/>
            <w:tcBorders>
              <w:top w:val="nil"/>
              <w:left w:val="nil"/>
              <w:bottom w:val="nil"/>
              <w:right w:val="nil"/>
              <w:tl2br w:val="nil"/>
              <w:tr2bl w:val="nil"/>
            </w:tcBorders>
            <w:shd w:val="clear" w:color="FFFFFF" w:fill="FFFFFF"/>
            <w:tcMar>
              <w:left w:w="101" w:type="dxa"/>
              <w:right w:w="101" w:type="dxa"/>
            </w:tcMar>
          </w:tcPr>
          <w:p w14:paraId="2D2CB511"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243</w:t>
            </w:r>
          </w:p>
        </w:tc>
        <w:tc>
          <w:tcPr>
            <w:tcW w:w="600" w:type="dxa"/>
            <w:tcBorders>
              <w:top w:val="nil"/>
              <w:left w:val="nil"/>
              <w:bottom w:val="nil"/>
              <w:right w:val="nil"/>
              <w:tl2br w:val="nil"/>
              <w:tr2bl w:val="nil"/>
            </w:tcBorders>
            <w:shd w:val="clear" w:color="FFFFFF" w:fill="FFFFFF"/>
            <w:tcMar>
              <w:left w:w="101" w:type="dxa"/>
              <w:right w:w="101" w:type="dxa"/>
            </w:tcMar>
          </w:tcPr>
          <w:p w14:paraId="272B1EA0"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C42A49C"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243</w:t>
            </w:r>
          </w:p>
        </w:tc>
        <w:tc>
          <w:tcPr>
            <w:tcW w:w="1035" w:type="dxa"/>
            <w:tcBorders>
              <w:top w:val="nil"/>
              <w:left w:val="nil"/>
              <w:bottom w:val="nil"/>
              <w:right w:val="nil"/>
              <w:tl2br w:val="nil"/>
              <w:tr2bl w:val="nil"/>
            </w:tcBorders>
            <w:shd w:val="clear" w:color="FFFFFF" w:fill="FFFFFF"/>
            <w:tcMar>
              <w:left w:w="101" w:type="dxa"/>
              <w:right w:w="101" w:type="dxa"/>
            </w:tcMar>
          </w:tcPr>
          <w:p w14:paraId="63B1CF42"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243</w:t>
            </w:r>
          </w:p>
        </w:tc>
        <w:tc>
          <w:tcPr>
            <w:tcW w:w="1035" w:type="dxa"/>
            <w:tcBorders>
              <w:top w:val="nil"/>
              <w:left w:val="nil"/>
              <w:bottom w:val="nil"/>
              <w:right w:val="nil"/>
              <w:tl2br w:val="nil"/>
              <w:tr2bl w:val="nil"/>
            </w:tcBorders>
            <w:shd w:val="clear" w:color="FFFFFF" w:fill="FFFFFF"/>
            <w:tcMar>
              <w:left w:w="101" w:type="dxa"/>
              <w:right w:w="101" w:type="dxa"/>
            </w:tcMar>
          </w:tcPr>
          <w:p w14:paraId="376907F8"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243</w:t>
            </w:r>
          </w:p>
        </w:tc>
      </w:tr>
      <w:tr w:rsidR="00496618" w14:paraId="6756E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F0BE30"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ABD0657" w14:textId="77777777" w:rsidR="00496618" w:rsidRDefault="00496618">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A8F559"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D92495"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15D4C63"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4826CA"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04EF65"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60D1A1" w14:textId="77777777" w:rsidR="00496618" w:rsidRDefault="00496618">
            <w:pPr>
              <w:pStyle w:val="Normal16"/>
              <w:rPr>
                <w:rFonts w:ascii="Calibri" w:eastAsia="Calibri" w:hAnsi="Calibri" w:cs="Calibri"/>
                <w:color w:val="000000"/>
                <w:sz w:val="18"/>
              </w:rPr>
            </w:pPr>
          </w:p>
        </w:tc>
      </w:tr>
      <w:tr w:rsidR="00496618" w14:paraId="45B43D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B3A7B99"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DA44EEF"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03750311"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03474B"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7D2D0DB"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A31569"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792B4C"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7EC765" w14:textId="77777777" w:rsidR="00496618" w:rsidRDefault="00496618">
            <w:pPr>
              <w:pStyle w:val="Normal16"/>
              <w:rPr>
                <w:rFonts w:ascii="Calibri" w:eastAsia="Calibri" w:hAnsi="Calibri" w:cs="Calibri"/>
                <w:color w:val="000000"/>
                <w:sz w:val="18"/>
              </w:rPr>
            </w:pPr>
          </w:p>
        </w:tc>
      </w:tr>
      <w:tr w:rsidR="00496618" w14:paraId="0CDDE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B34EE4"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244</w:t>
            </w:r>
          </w:p>
        </w:tc>
        <w:tc>
          <w:tcPr>
            <w:tcW w:w="2385" w:type="dxa"/>
            <w:tcBorders>
              <w:top w:val="nil"/>
              <w:left w:val="nil"/>
              <w:bottom w:val="nil"/>
              <w:right w:val="nil"/>
              <w:tl2br w:val="nil"/>
              <w:tr2bl w:val="nil"/>
            </w:tcBorders>
            <w:shd w:val="clear" w:color="FFFFFF" w:fill="FFFFFF"/>
            <w:noWrap/>
            <w:tcMar>
              <w:left w:w="101" w:type="dxa"/>
              <w:right w:w="101" w:type="dxa"/>
            </w:tcMar>
          </w:tcPr>
          <w:p w14:paraId="2FE658DF" w14:textId="77777777" w:rsidR="00496618" w:rsidRDefault="0027723F">
            <w:pPr>
              <w:pStyle w:val="Normal16"/>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32EC26E6"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244</w:t>
            </w:r>
          </w:p>
        </w:tc>
        <w:tc>
          <w:tcPr>
            <w:tcW w:w="1035" w:type="dxa"/>
            <w:tcBorders>
              <w:top w:val="nil"/>
              <w:left w:val="nil"/>
              <w:bottom w:val="nil"/>
              <w:right w:val="nil"/>
              <w:tl2br w:val="nil"/>
              <w:tr2bl w:val="nil"/>
            </w:tcBorders>
            <w:shd w:val="clear" w:color="FFFFFF" w:fill="FFFFFF"/>
            <w:tcMar>
              <w:left w:w="101" w:type="dxa"/>
              <w:right w:w="101" w:type="dxa"/>
            </w:tcMar>
          </w:tcPr>
          <w:p w14:paraId="289D0EC3"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244</w:t>
            </w:r>
          </w:p>
        </w:tc>
        <w:tc>
          <w:tcPr>
            <w:tcW w:w="600" w:type="dxa"/>
            <w:tcBorders>
              <w:top w:val="nil"/>
              <w:left w:val="nil"/>
              <w:bottom w:val="nil"/>
              <w:right w:val="nil"/>
              <w:tl2br w:val="nil"/>
              <w:tr2bl w:val="nil"/>
            </w:tcBorders>
            <w:shd w:val="clear" w:color="FFFFFF" w:fill="FFFFFF"/>
            <w:tcMar>
              <w:left w:w="101" w:type="dxa"/>
              <w:right w:w="101" w:type="dxa"/>
            </w:tcMar>
          </w:tcPr>
          <w:p w14:paraId="2C4C1413"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DAAF072"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244</w:t>
            </w:r>
          </w:p>
        </w:tc>
        <w:tc>
          <w:tcPr>
            <w:tcW w:w="1035" w:type="dxa"/>
            <w:tcBorders>
              <w:top w:val="nil"/>
              <w:left w:val="nil"/>
              <w:bottom w:val="nil"/>
              <w:right w:val="nil"/>
              <w:tl2br w:val="nil"/>
              <w:tr2bl w:val="nil"/>
            </w:tcBorders>
            <w:shd w:val="clear" w:color="FFFFFF" w:fill="FFFFFF"/>
            <w:tcMar>
              <w:left w:w="101" w:type="dxa"/>
              <w:right w:w="101" w:type="dxa"/>
            </w:tcMar>
          </w:tcPr>
          <w:p w14:paraId="21D73390"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244</w:t>
            </w:r>
          </w:p>
        </w:tc>
        <w:tc>
          <w:tcPr>
            <w:tcW w:w="1035" w:type="dxa"/>
            <w:tcBorders>
              <w:top w:val="nil"/>
              <w:left w:val="nil"/>
              <w:bottom w:val="nil"/>
              <w:right w:val="nil"/>
              <w:tl2br w:val="nil"/>
              <w:tr2bl w:val="nil"/>
            </w:tcBorders>
            <w:shd w:val="clear" w:color="FFFFFF" w:fill="FFFFFF"/>
            <w:tcMar>
              <w:left w:w="101" w:type="dxa"/>
              <w:right w:w="101" w:type="dxa"/>
            </w:tcMar>
          </w:tcPr>
          <w:p w14:paraId="57E1CF63"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244</w:t>
            </w:r>
          </w:p>
        </w:tc>
      </w:tr>
      <w:tr w:rsidR="00496618" w14:paraId="5DC24E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8B45A9A"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A04972A"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282291"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C2D557"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87F3B13" w14:textId="77777777" w:rsidR="00496618" w:rsidRDefault="00496618">
            <w:pPr>
              <w:pStyle w:val="Normal16"/>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0A4B40"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F5C01F"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D8585A" w14:textId="77777777" w:rsidR="00496618" w:rsidRDefault="00496618">
            <w:pPr>
              <w:pStyle w:val="Normal16"/>
              <w:rPr>
                <w:rFonts w:ascii="Calibri" w:eastAsia="Calibri" w:hAnsi="Calibri" w:cs="Calibri"/>
                <w:color w:val="000000"/>
                <w:sz w:val="18"/>
              </w:rPr>
            </w:pPr>
          </w:p>
        </w:tc>
      </w:tr>
      <w:tr w:rsidR="00496618" w14:paraId="6EE821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24BAF72"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2385" w:type="dxa"/>
            <w:tcBorders>
              <w:top w:val="nil"/>
              <w:left w:val="nil"/>
              <w:bottom w:val="nil"/>
              <w:right w:val="nil"/>
              <w:tl2br w:val="nil"/>
              <w:tr2bl w:val="nil"/>
            </w:tcBorders>
            <w:shd w:val="clear" w:color="FFFFFF" w:fill="FFFFFF"/>
            <w:noWrap/>
            <w:tcMar>
              <w:left w:w="101" w:type="dxa"/>
              <w:right w:w="101" w:type="dxa"/>
            </w:tcMar>
          </w:tcPr>
          <w:p w14:paraId="2C965B71"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F3ECC48"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1035" w:type="dxa"/>
            <w:tcBorders>
              <w:top w:val="nil"/>
              <w:left w:val="nil"/>
              <w:bottom w:val="nil"/>
              <w:right w:val="nil"/>
              <w:tl2br w:val="nil"/>
              <w:tr2bl w:val="nil"/>
            </w:tcBorders>
            <w:shd w:val="clear" w:color="FFFFFF" w:fill="FFFFFF"/>
            <w:noWrap/>
            <w:tcMar>
              <w:left w:w="101" w:type="dxa"/>
              <w:right w:w="101" w:type="dxa"/>
            </w:tcMar>
          </w:tcPr>
          <w:p w14:paraId="472FA28C"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600" w:type="dxa"/>
            <w:tcBorders>
              <w:top w:val="nil"/>
              <w:left w:val="nil"/>
              <w:bottom w:val="nil"/>
              <w:right w:val="nil"/>
              <w:tl2br w:val="nil"/>
              <w:tr2bl w:val="nil"/>
            </w:tcBorders>
            <w:shd w:val="clear" w:color="FFFFFF" w:fill="FFFFFF"/>
            <w:tcMar>
              <w:left w:w="101" w:type="dxa"/>
              <w:right w:w="101" w:type="dxa"/>
            </w:tcMar>
          </w:tcPr>
          <w:p w14:paraId="097BBE23"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B3A000E"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1035" w:type="dxa"/>
            <w:tcBorders>
              <w:top w:val="nil"/>
              <w:left w:val="nil"/>
              <w:bottom w:val="nil"/>
              <w:right w:val="nil"/>
              <w:tl2br w:val="nil"/>
              <w:tr2bl w:val="nil"/>
            </w:tcBorders>
            <w:shd w:val="clear" w:color="FFFFFF" w:fill="FFFFFF"/>
            <w:noWrap/>
            <w:tcMar>
              <w:left w:w="101" w:type="dxa"/>
              <w:right w:w="101" w:type="dxa"/>
            </w:tcMar>
          </w:tcPr>
          <w:p w14:paraId="2B2113E5"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1035" w:type="dxa"/>
            <w:tcBorders>
              <w:top w:val="nil"/>
              <w:left w:val="nil"/>
              <w:bottom w:val="nil"/>
              <w:right w:val="nil"/>
              <w:tl2br w:val="nil"/>
              <w:tr2bl w:val="nil"/>
            </w:tcBorders>
            <w:shd w:val="clear" w:color="FFFFFF" w:fill="FFFFFF"/>
            <w:noWrap/>
            <w:tcMar>
              <w:left w:w="101" w:type="dxa"/>
              <w:right w:w="101" w:type="dxa"/>
            </w:tcMar>
          </w:tcPr>
          <w:p w14:paraId="2F0506F1"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r>
      <w:tr w:rsidR="00496618" w14:paraId="78D48A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626556"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BD677D3"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BF9C7D"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E34225"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B6D845E" w14:textId="77777777" w:rsidR="00496618" w:rsidRDefault="00496618">
            <w:pPr>
              <w:pStyle w:val="Normal16"/>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7BFEF6"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F1041A"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372007" w14:textId="77777777" w:rsidR="00496618" w:rsidRDefault="00496618">
            <w:pPr>
              <w:pStyle w:val="Normal16"/>
              <w:rPr>
                <w:rFonts w:ascii="Calibri" w:eastAsia="Calibri" w:hAnsi="Calibri" w:cs="Calibri"/>
                <w:color w:val="000000"/>
                <w:sz w:val="18"/>
              </w:rPr>
            </w:pPr>
          </w:p>
        </w:tc>
      </w:tr>
      <w:tr w:rsidR="00496618" w14:paraId="4FC144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CCF684B"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BE0BFEB"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482F5677"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14E0A1"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FA72AE" w14:textId="77777777" w:rsidR="00496618" w:rsidRDefault="00496618">
            <w:pPr>
              <w:pStyle w:val="Normal16"/>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0E5029"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25EB4C"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C07123" w14:textId="77777777" w:rsidR="00496618" w:rsidRDefault="00496618">
            <w:pPr>
              <w:pStyle w:val="Normal16"/>
              <w:rPr>
                <w:rFonts w:ascii="Calibri" w:eastAsia="Calibri" w:hAnsi="Calibri" w:cs="Calibri"/>
                <w:color w:val="000000"/>
                <w:sz w:val="18"/>
              </w:rPr>
            </w:pPr>
          </w:p>
        </w:tc>
      </w:tr>
      <w:tr w:rsidR="00496618" w14:paraId="7D7DA9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462355D"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6A60CA7" w14:textId="77777777" w:rsidR="00496618" w:rsidRDefault="00496618">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400A4E"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D82F8C"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A4E633"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201249"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6A599A"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FC560B" w14:textId="77777777" w:rsidR="00496618" w:rsidRDefault="00496618">
            <w:pPr>
              <w:pStyle w:val="Normal16"/>
              <w:rPr>
                <w:rFonts w:ascii="Calibri" w:eastAsia="Calibri" w:hAnsi="Calibri" w:cs="Calibri"/>
                <w:color w:val="000000"/>
                <w:sz w:val="18"/>
              </w:rPr>
            </w:pPr>
          </w:p>
        </w:tc>
      </w:tr>
      <w:tr w:rsidR="00496618" w14:paraId="48832E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8DAAF97"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88F15C9"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443A95F"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2C563D3"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99365F9"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06BBF6E0"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3FA94B0"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F270F4F"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r>
      <w:tr w:rsidR="00496618" w14:paraId="76D554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BA6637A"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94341B1"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3C259A"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7B59EB"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1353F18"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C27ACD"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EDC059"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F8E0CF" w14:textId="77777777" w:rsidR="00496618" w:rsidRDefault="00496618">
            <w:pPr>
              <w:pStyle w:val="Normal16"/>
              <w:rPr>
                <w:rFonts w:ascii="Calibri" w:eastAsia="Calibri" w:hAnsi="Calibri" w:cs="Calibri"/>
                <w:color w:val="000000"/>
                <w:sz w:val="18"/>
              </w:rPr>
            </w:pPr>
          </w:p>
        </w:tc>
      </w:tr>
      <w:tr w:rsidR="00496618" w14:paraId="03CE0A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10ACFD5"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2385" w:type="dxa"/>
            <w:tcBorders>
              <w:top w:val="nil"/>
              <w:left w:val="nil"/>
              <w:bottom w:val="nil"/>
              <w:right w:val="nil"/>
              <w:tl2br w:val="nil"/>
              <w:tr2bl w:val="nil"/>
            </w:tcBorders>
            <w:shd w:val="clear" w:color="FFFFFF" w:fill="FFFFFF"/>
            <w:noWrap/>
            <w:tcMar>
              <w:left w:w="101" w:type="dxa"/>
              <w:right w:w="101" w:type="dxa"/>
            </w:tcMar>
          </w:tcPr>
          <w:p w14:paraId="46D412E4"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50E5A00D"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1035" w:type="dxa"/>
            <w:tcBorders>
              <w:top w:val="nil"/>
              <w:left w:val="nil"/>
              <w:bottom w:val="nil"/>
              <w:right w:val="nil"/>
              <w:tl2br w:val="nil"/>
              <w:tr2bl w:val="nil"/>
            </w:tcBorders>
            <w:shd w:val="clear" w:color="FFFFFF" w:fill="FFFFFF"/>
            <w:noWrap/>
            <w:tcMar>
              <w:left w:w="101" w:type="dxa"/>
              <w:right w:w="101" w:type="dxa"/>
            </w:tcMar>
          </w:tcPr>
          <w:p w14:paraId="1439E9CB"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600" w:type="dxa"/>
            <w:tcBorders>
              <w:top w:val="nil"/>
              <w:left w:val="nil"/>
              <w:bottom w:val="nil"/>
              <w:right w:val="nil"/>
              <w:tl2br w:val="nil"/>
              <w:tr2bl w:val="nil"/>
            </w:tcBorders>
            <w:shd w:val="clear" w:color="FFFFFF" w:fill="FFFFFF"/>
            <w:tcMar>
              <w:left w:w="101" w:type="dxa"/>
              <w:right w:w="101" w:type="dxa"/>
            </w:tcMar>
          </w:tcPr>
          <w:p w14:paraId="0CCAC6C6"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A384BFB"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1035" w:type="dxa"/>
            <w:tcBorders>
              <w:top w:val="nil"/>
              <w:left w:val="nil"/>
              <w:bottom w:val="nil"/>
              <w:right w:val="nil"/>
              <w:tl2br w:val="nil"/>
              <w:tr2bl w:val="nil"/>
            </w:tcBorders>
            <w:shd w:val="clear" w:color="FFFFFF" w:fill="FFFFFF"/>
            <w:noWrap/>
            <w:tcMar>
              <w:left w:w="101" w:type="dxa"/>
              <w:right w:w="101" w:type="dxa"/>
            </w:tcMar>
          </w:tcPr>
          <w:p w14:paraId="3CC7C2E9"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c>
          <w:tcPr>
            <w:tcW w:w="1035" w:type="dxa"/>
            <w:tcBorders>
              <w:top w:val="nil"/>
              <w:left w:val="nil"/>
              <w:bottom w:val="nil"/>
              <w:right w:val="nil"/>
              <w:tl2br w:val="nil"/>
              <w:tr2bl w:val="nil"/>
            </w:tcBorders>
            <w:shd w:val="clear" w:color="FFFFFF" w:fill="FFFFFF"/>
            <w:noWrap/>
            <w:tcMar>
              <w:left w:w="101" w:type="dxa"/>
              <w:right w:w="101" w:type="dxa"/>
            </w:tcMar>
          </w:tcPr>
          <w:p w14:paraId="568D3F9B"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244</w:t>
            </w:r>
          </w:p>
        </w:tc>
      </w:tr>
      <w:tr w:rsidR="00496618" w14:paraId="7883D6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2805C99"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16D0710"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B4D478"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47C965"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F0624AC"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B9B36E"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252761"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64725B" w14:textId="77777777" w:rsidR="00496618" w:rsidRDefault="00496618">
            <w:pPr>
              <w:pStyle w:val="Normal16"/>
              <w:rPr>
                <w:rFonts w:ascii="Calibri" w:eastAsia="Calibri" w:hAnsi="Calibri" w:cs="Calibri"/>
                <w:color w:val="000000"/>
                <w:sz w:val="18"/>
              </w:rPr>
            </w:pPr>
          </w:p>
        </w:tc>
      </w:tr>
      <w:tr w:rsidR="00496618" w14:paraId="16F298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4D3D307"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D53B70A"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0FA1F272"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52DEC3F9"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-1</w:t>
            </w:r>
          </w:p>
        </w:tc>
        <w:tc>
          <w:tcPr>
            <w:tcW w:w="600" w:type="dxa"/>
            <w:tcBorders>
              <w:top w:val="nil"/>
              <w:left w:val="nil"/>
              <w:bottom w:val="nil"/>
              <w:right w:val="nil"/>
              <w:tl2br w:val="nil"/>
              <w:tr2bl w:val="nil"/>
            </w:tcBorders>
            <w:shd w:val="clear" w:color="FFFFFF" w:fill="FFFFFF"/>
            <w:tcMar>
              <w:left w:w="101" w:type="dxa"/>
              <w:right w:w="101" w:type="dxa"/>
            </w:tcMar>
          </w:tcPr>
          <w:p w14:paraId="47110903"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7393A4F5"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022C484A"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77DDE6F7"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-1</w:t>
            </w:r>
          </w:p>
        </w:tc>
      </w:tr>
      <w:tr w:rsidR="00496618" w14:paraId="67A0A7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DAFACD"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2D490BF"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C1B60C"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71A8D9"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677967"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A945D4"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E88E97"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B2EFA7" w14:textId="77777777" w:rsidR="00496618" w:rsidRDefault="00496618">
            <w:pPr>
              <w:pStyle w:val="Normal16"/>
              <w:rPr>
                <w:rFonts w:ascii="Calibri" w:eastAsia="Calibri" w:hAnsi="Calibri" w:cs="Calibri"/>
                <w:color w:val="000000"/>
                <w:sz w:val="18"/>
              </w:rPr>
            </w:pPr>
          </w:p>
        </w:tc>
      </w:tr>
      <w:tr w:rsidR="00496618" w14:paraId="5E698C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941A8DA" w14:textId="77777777" w:rsidR="00496618" w:rsidRDefault="00496618">
            <w:pPr>
              <w:pStyle w:val="Normal16"/>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06F775A9"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496618" w14:paraId="18CF34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237E00E" w14:textId="77777777" w:rsidR="00496618" w:rsidRDefault="00496618">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49B4584"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C696EB"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989788" w14:textId="77777777" w:rsidR="00496618" w:rsidRDefault="00496618">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F9EDEE"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29C623"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A2FE2A" w14:textId="77777777" w:rsidR="00496618" w:rsidRDefault="00496618">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FD55BE" w14:textId="77777777" w:rsidR="00496618" w:rsidRDefault="00496618">
            <w:pPr>
              <w:pStyle w:val="Normal16"/>
              <w:rPr>
                <w:rFonts w:ascii="Calibri" w:eastAsia="Calibri" w:hAnsi="Calibri" w:cs="Calibri"/>
                <w:color w:val="000000"/>
                <w:sz w:val="18"/>
              </w:rPr>
            </w:pPr>
          </w:p>
        </w:tc>
      </w:tr>
      <w:tr w:rsidR="00496618" w14:paraId="148BB3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2235A9"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B71914D" w14:textId="77777777" w:rsidR="00496618" w:rsidRDefault="0027723F">
            <w:pPr>
              <w:pStyle w:val="Normal16"/>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6EE008F1"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23C3FAD1"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-1</w:t>
            </w:r>
          </w:p>
        </w:tc>
        <w:tc>
          <w:tcPr>
            <w:tcW w:w="600" w:type="dxa"/>
            <w:tcBorders>
              <w:top w:val="nil"/>
              <w:left w:val="nil"/>
              <w:bottom w:val="nil"/>
              <w:right w:val="nil"/>
              <w:tl2br w:val="nil"/>
              <w:tr2bl w:val="nil"/>
            </w:tcBorders>
            <w:shd w:val="clear" w:color="FFFFFF" w:fill="FFFFFF"/>
            <w:tcMar>
              <w:left w:w="101" w:type="dxa"/>
              <w:right w:w="101" w:type="dxa"/>
            </w:tcMar>
          </w:tcPr>
          <w:p w14:paraId="3079E1BE"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ED60A3E"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0453CCA9"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1DDF2499" w14:textId="77777777" w:rsidR="00496618" w:rsidRDefault="0027723F">
            <w:pPr>
              <w:pStyle w:val="Normal16"/>
              <w:jc w:val="right"/>
              <w:rPr>
                <w:rFonts w:ascii="Calibri" w:eastAsia="Calibri" w:hAnsi="Calibri" w:cs="Calibri"/>
                <w:color w:val="000000"/>
                <w:sz w:val="18"/>
              </w:rPr>
            </w:pPr>
            <w:r>
              <w:rPr>
                <w:rFonts w:ascii="Calibri" w:eastAsia="Calibri" w:hAnsi="Calibri" w:cs="Calibri"/>
                <w:color w:val="000000"/>
                <w:sz w:val="18"/>
              </w:rPr>
              <w:t>-1</w:t>
            </w:r>
          </w:p>
        </w:tc>
      </w:tr>
      <w:tr w:rsidR="00496618" w14:paraId="0E4744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E7A1473" w14:textId="77777777" w:rsidR="00496618" w:rsidRDefault="00496618">
            <w:pPr>
              <w:pStyle w:val="Normal1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C6F569F" w14:textId="77777777" w:rsidR="00496618" w:rsidRDefault="00496618">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5AD93F" w14:textId="77777777" w:rsidR="00496618" w:rsidRDefault="00496618">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4D044E" w14:textId="77777777" w:rsidR="00496618" w:rsidRDefault="00496618">
            <w:pPr>
              <w:pStyle w:val="Normal1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AAE393" w14:textId="77777777" w:rsidR="00496618" w:rsidRDefault="00496618">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E963EF" w14:textId="77777777" w:rsidR="00496618" w:rsidRDefault="00496618">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AB8005" w14:textId="77777777" w:rsidR="00496618" w:rsidRDefault="00496618">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5B227F" w14:textId="77777777" w:rsidR="00496618" w:rsidRDefault="00496618">
            <w:pPr>
              <w:pStyle w:val="Normal16"/>
              <w:rPr>
                <w:rFonts w:ascii="Calibri" w:eastAsia="Calibri" w:hAnsi="Calibri" w:cs="Calibri"/>
                <w:b/>
                <w:color w:val="000000"/>
                <w:sz w:val="18"/>
              </w:rPr>
            </w:pPr>
          </w:p>
        </w:tc>
      </w:tr>
      <w:tr w:rsidR="00496618" w14:paraId="482C92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F1988E0"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1A4F3CE" w14:textId="77777777" w:rsidR="00496618" w:rsidRDefault="0027723F">
            <w:pPr>
              <w:pStyle w:val="Normal16"/>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602A1E65"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4ADCEC92"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-1</w:t>
            </w:r>
          </w:p>
        </w:tc>
        <w:tc>
          <w:tcPr>
            <w:tcW w:w="600" w:type="dxa"/>
            <w:tcBorders>
              <w:top w:val="nil"/>
              <w:left w:val="nil"/>
              <w:bottom w:val="nil"/>
              <w:right w:val="nil"/>
              <w:tl2br w:val="nil"/>
              <w:tr2bl w:val="nil"/>
            </w:tcBorders>
            <w:shd w:val="clear" w:color="FFFFFF" w:fill="FFFFFF"/>
            <w:tcMar>
              <w:left w:w="101" w:type="dxa"/>
              <w:right w:w="101" w:type="dxa"/>
            </w:tcMar>
          </w:tcPr>
          <w:p w14:paraId="186C7BC0"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 </w:t>
            </w:r>
          </w:p>
        </w:tc>
        <w:tc>
          <w:tcPr>
            <w:tcW w:w="1035" w:type="dxa"/>
            <w:tcBorders>
              <w:top w:val="nil"/>
              <w:left w:val="nil"/>
              <w:bottom w:val="nil"/>
              <w:right w:val="nil"/>
              <w:tl2br w:val="nil"/>
              <w:tr2bl w:val="nil"/>
            </w:tcBorders>
            <w:shd w:val="clear" w:color="FFFFFF" w:fill="FFFFFF"/>
            <w:noWrap/>
            <w:tcMar>
              <w:left w:w="101" w:type="dxa"/>
              <w:right w:w="101" w:type="dxa"/>
            </w:tcMar>
          </w:tcPr>
          <w:p w14:paraId="14D43F02"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2D81E36E"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6AFEB32C" w14:textId="77777777" w:rsidR="00496618" w:rsidRDefault="0027723F">
            <w:pPr>
              <w:pStyle w:val="Normal16"/>
              <w:jc w:val="right"/>
              <w:rPr>
                <w:rFonts w:ascii="Calibri" w:eastAsia="Calibri" w:hAnsi="Calibri" w:cs="Calibri"/>
                <w:b/>
                <w:color w:val="000000"/>
                <w:sz w:val="18"/>
              </w:rPr>
            </w:pPr>
            <w:r>
              <w:rPr>
                <w:rFonts w:ascii="Calibri" w:eastAsia="Calibri" w:hAnsi="Calibri" w:cs="Calibri"/>
                <w:b/>
                <w:color w:val="000000"/>
                <w:sz w:val="18"/>
              </w:rPr>
              <w:t>-1</w:t>
            </w:r>
          </w:p>
        </w:tc>
      </w:tr>
      <w:tr w:rsidR="00496618" w14:paraId="203ABD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0F83C39" w14:textId="77777777" w:rsidR="00496618" w:rsidRDefault="00496618">
            <w:pPr>
              <w:pStyle w:val="Normal16"/>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7E2B3E41" w14:textId="77777777" w:rsidR="00496618" w:rsidRDefault="00496618">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C004503" w14:textId="77777777" w:rsidR="00496618" w:rsidRDefault="00496618">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164789B" w14:textId="77777777" w:rsidR="00496618" w:rsidRDefault="00496618">
            <w:pPr>
              <w:pStyle w:val="Normal16"/>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56739717" w14:textId="77777777" w:rsidR="00496618" w:rsidRDefault="00496618">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B7843D2" w14:textId="77777777" w:rsidR="00496618" w:rsidRDefault="00496618">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FCE896F" w14:textId="77777777" w:rsidR="00496618" w:rsidRDefault="00496618">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17B3F5D" w14:textId="77777777" w:rsidR="00496618" w:rsidRDefault="00496618">
            <w:pPr>
              <w:pStyle w:val="Normal16"/>
              <w:rPr>
                <w:rFonts w:ascii="Calibri" w:eastAsia="Calibri" w:hAnsi="Calibri" w:cs="Calibri"/>
                <w:color w:val="000000"/>
                <w:sz w:val="18"/>
              </w:rPr>
            </w:pPr>
          </w:p>
        </w:tc>
      </w:tr>
    </w:tbl>
    <w:p w14:paraId="4A177A23" w14:textId="77777777" w:rsidR="00EB585F" w:rsidRDefault="00EB585F" w:rsidP="00EB585F">
      <w:pPr>
        <w:pStyle w:val="Caption"/>
      </w:pPr>
    </w:p>
    <w:p w14:paraId="25F9AFF4" w14:textId="77777777" w:rsidR="00EB585F" w:rsidRDefault="00EB585F">
      <w:pPr>
        <w:spacing w:before="0" w:after="0"/>
        <w:rPr>
          <w:b/>
          <w:bCs/>
          <w:color w:val="000000"/>
          <w:sz w:val="22"/>
          <w:szCs w:val="18"/>
        </w:rPr>
      </w:pPr>
      <w:r>
        <w:br w:type="page"/>
      </w:r>
    </w:p>
    <w:p w14:paraId="0872CBA1" w14:textId="01B55E92" w:rsidR="001F6B18" w:rsidRPr="00EB585F" w:rsidRDefault="0027723F" w:rsidP="00EB585F">
      <w:pPr>
        <w:pStyle w:val="Caption"/>
        <w:rPr>
          <w:rFonts w:eastAsia="TimesNewRomanPS-ItalicMT"/>
        </w:rPr>
      </w:pPr>
      <w:r w:rsidRPr="00EB585F">
        <w:lastRenderedPageBreak/>
        <w:t>Table 29: ACT Health Directorate: Statement of Changes in Equity on behalf of the Territory</w:t>
      </w:r>
    </w:p>
    <w:tbl>
      <w:tblPr>
        <w:tblStyle w:val="CDMRange26"/>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496618" w14:paraId="03A8C934"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6FA8C4C"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Budget</w:t>
            </w:r>
          </w:p>
          <w:p w14:paraId="44E50AEA"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at</w:t>
            </w:r>
          </w:p>
          <w:p w14:paraId="21E07B8A"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3BF03061"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87CCB83" w14:textId="77777777" w:rsidR="00496618" w:rsidRDefault="00496618">
            <w:pPr>
              <w:pStyle w:val="Normal17"/>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6982500"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Interim</w:t>
            </w:r>
          </w:p>
          <w:p w14:paraId="05D044A0"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Outcome at</w:t>
            </w:r>
          </w:p>
          <w:p w14:paraId="21E55683"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30/06/21</w:t>
            </w:r>
          </w:p>
          <w:p w14:paraId="7634B5C1"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F2DA8F8"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Budget</w:t>
            </w:r>
          </w:p>
          <w:p w14:paraId="75B815AC"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at</w:t>
            </w:r>
          </w:p>
          <w:p w14:paraId="322450AF"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36382450"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2D5E9A1"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Var</w:t>
            </w:r>
          </w:p>
          <w:p w14:paraId="037093CB"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0E27F1B"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p w14:paraId="5C32F6AA"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at</w:t>
            </w:r>
          </w:p>
          <w:p w14:paraId="2A2DB904"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371F9F74"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334E62D"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p w14:paraId="2F6F3FAA"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at</w:t>
            </w:r>
          </w:p>
          <w:p w14:paraId="59EA2523"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069F9B64"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418FF7B"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p w14:paraId="3E0DD558"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at</w:t>
            </w:r>
          </w:p>
          <w:p w14:paraId="33BE6BA2"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2B33F773"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r>
      <w:tr w:rsidR="00496618" w14:paraId="316B99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D3B7BDF" w14:textId="77777777" w:rsidR="00496618" w:rsidRDefault="00496618">
            <w:pPr>
              <w:pStyle w:val="Normal17"/>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6E0C0BC0" w14:textId="77777777" w:rsidR="00496618" w:rsidRDefault="00496618">
            <w:pPr>
              <w:pStyle w:val="Normal17"/>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F2BBAC3" w14:textId="77777777" w:rsidR="00496618" w:rsidRDefault="00496618">
            <w:pPr>
              <w:pStyle w:val="Normal1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BA8A7FA" w14:textId="77777777" w:rsidR="00496618" w:rsidRDefault="00496618">
            <w:pPr>
              <w:pStyle w:val="Normal17"/>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0040F332" w14:textId="77777777" w:rsidR="00496618" w:rsidRDefault="00496618">
            <w:pPr>
              <w:pStyle w:val="Normal1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6BE82AE" w14:textId="77777777" w:rsidR="00496618" w:rsidRDefault="00496618">
            <w:pPr>
              <w:pStyle w:val="Normal1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5A82BEB" w14:textId="77777777" w:rsidR="00496618" w:rsidRDefault="00496618">
            <w:pPr>
              <w:pStyle w:val="Normal1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FA9D55F" w14:textId="77777777" w:rsidR="00496618" w:rsidRDefault="00496618">
            <w:pPr>
              <w:pStyle w:val="Normal17"/>
              <w:jc w:val="right"/>
              <w:rPr>
                <w:rFonts w:ascii="Calibri" w:eastAsia="Calibri" w:hAnsi="Calibri" w:cs="Calibri"/>
                <w:b/>
                <w:i/>
                <w:color w:val="000000"/>
                <w:sz w:val="18"/>
              </w:rPr>
            </w:pPr>
          </w:p>
        </w:tc>
      </w:tr>
      <w:tr w:rsidR="00496618" w14:paraId="2D1821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7DEEF32" w14:textId="77777777" w:rsidR="00496618" w:rsidRDefault="00496618">
            <w:pPr>
              <w:pStyle w:val="Normal17"/>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0E8B00F9" w14:textId="77777777" w:rsidR="00496618" w:rsidRDefault="0027723F">
            <w:pPr>
              <w:pStyle w:val="Normal17"/>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05B0FF97" w14:textId="77777777" w:rsidR="00496618" w:rsidRDefault="00496618">
            <w:pPr>
              <w:pStyle w:val="Normal1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4A00FF" w14:textId="77777777" w:rsidR="00496618" w:rsidRDefault="00496618">
            <w:pPr>
              <w:pStyle w:val="Normal17"/>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C1518DF" w14:textId="77777777" w:rsidR="00496618" w:rsidRDefault="00496618">
            <w:pPr>
              <w:pStyle w:val="Normal1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067DB94" w14:textId="77777777" w:rsidR="00496618" w:rsidRDefault="00496618">
            <w:pPr>
              <w:pStyle w:val="Normal1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5FC249" w14:textId="77777777" w:rsidR="00496618" w:rsidRDefault="00496618">
            <w:pPr>
              <w:pStyle w:val="Normal1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AD5EBD" w14:textId="77777777" w:rsidR="00496618" w:rsidRDefault="00496618">
            <w:pPr>
              <w:pStyle w:val="Normal17"/>
              <w:jc w:val="right"/>
              <w:rPr>
                <w:rFonts w:ascii="Calibri" w:eastAsia="Calibri" w:hAnsi="Calibri" w:cs="Calibri"/>
                <w:b/>
                <w:i/>
                <w:color w:val="000000"/>
                <w:sz w:val="18"/>
              </w:rPr>
            </w:pPr>
          </w:p>
        </w:tc>
      </w:tr>
      <w:tr w:rsidR="00496618" w14:paraId="60384D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1CCBEA0"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76B9B8C5" w14:textId="77777777" w:rsidR="00496618" w:rsidRDefault="0027723F">
            <w:pPr>
              <w:pStyle w:val="Normal17"/>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4DF243B1"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21BCD51"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-1</w:t>
            </w:r>
          </w:p>
        </w:tc>
        <w:tc>
          <w:tcPr>
            <w:tcW w:w="600" w:type="dxa"/>
            <w:tcBorders>
              <w:top w:val="nil"/>
              <w:left w:val="nil"/>
              <w:bottom w:val="nil"/>
              <w:right w:val="nil"/>
              <w:tl2br w:val="nil"/>
              <w:tr2bl w:val="nil"/>
            </w:tcBorders>
            <w:shd w:val="clear" w:color="FFFFFF" w:fill="FFFFFF"/>
            <w:noWrap/>
            <w:tcMar>
              <w:left w:w="101" w:type="dxa"/>
              <w:right w:w="101" w:type="dxa"/>
            </w:tcMar>
          </w:tcPr>
          <w:p w14:paraId="5FA08B78"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D135BC7"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5AB4AB52"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601D544F"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-1</w:t>
            </w:r>
          </w:p>
        </w:tc>
      </w:tr>
      <w:tr w:rsidR="00496618" w14:paraId="58D07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B07587A" w14:textId="77777777" w:rsidR="00496618" w:rsidRDefault="00496618">
            <w:pPr>
              <w:pStyle w:val="Normal17"/>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vAlign w:val="bottom"/>
          </w:tcPr>
          <w:p w14:paraId="13DA409A"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ED0639" w14:textId="77777777" w:rsidR="00496618" w:rsidRDefault="00496618">
            <w:pPr>
              <w:pStyle w:val="Normal17"/>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E148DFA" w14:textId="77777777" w:rsidR="00496618" w:rsidRDefault="00496618">
            <w:pPr>
              <w:pStyle w:val="Normal17"/>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5977E6C" w14:textId="77777777" w:rsidR="00496618" w:rsidRDefault="00496618">
            <w:pPr>
              <w:pStyle w:val="Normal17"/>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D9BD78" w14:textId="77777777" w:rsidR="00496618" w:rsidRDefault="00496618">
            <w:pPr>
              <w:pStyle w:val="Normal17"/>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465BF8" w14:textId="77777777" w:rsidR="00496618" w:rsidRDefault="00496618">
            <w:pPr>
              <w:pStyle w:val="Normal17"/>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42F57D" w14:textId="77777777" w:rsidR="00496618" w:rsidRDefault="00496618">
            <w:pPr>
              <w:pStyle w:val="Normal17"/>
              <w:jc w:val="right"/>
              <w:rPr>
                <w:rFonts w:ascii="Calibri" w:eastAsia="Calibri" w:hAnsi="Calibri" w:cs="Calibri"/>
                <w:b/>
                <w:color w:val="000000"/>
                <w:sz w:val="18"/>
              </w:rPr>
            </w:pPr>
          </w:p>
        </w:tc>
      </w:tr>
      <w:tr w:rsidR="00496618" w14:paraId="73D41F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1B14E7F"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1A1D3295" w14:textId="77777777" w:rsidR="00496618" w:rsidRDefault="0027723F">
            <w:pPr>
              <w:pStyle w:val="Normal17"/>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6D2A4CCD"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AD14A0A"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-1</w:t>
            </w:r>
          </w:p>
        </w:tc>
        <w:tc>
          <w:tcPr>
            <w:tcW w:w="600" w:type="dxa"/>
            <w:tcBorders>
              <w:top w:val="nil"/>
              <w:left w:val="nil"/>
              <w:bottom w:val="nil"/>
              <w:right w:val="nil"/>
              <w:tl2br w:val="nil"/>
              <w:tr2bl w:val="nil"/>
            </w:tcBorders>
            <w:shd w:val="clear" w:color="FFFFFF" w:fill="FFFFFF"/>
            <w:noWrap/>
            <w:tcMar>
              <w:left w:w="101" w:type="dxa"/>
              <w:right w:w="101" w:type="dxa"/>
            </w:tcMar>
          </w:tcPr>
          <w:p w14:paraId="1A1214F6"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2BAE51A"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16F3F814"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2880E4BE"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-1</w:t>
            </w:r>
          </w:p>
        </w:tc>
      </w:tr>
      <w:tr w:rsidR="00496618" w14:paraId="0F5831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BD58A1D"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3A2057AC" w14:textId="77777777" w:rsidR="00496618" w:rsidRDefault="0027723F">
            <w:pPr>
              <w:pStyle w:val="Normal17"/>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05D032DC"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1F3BDF71"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56F7AA65"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7650D54E"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61411C4"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AFA4C92"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0</w:t>
            </w:r>
          </w:p>
        </w:tc>
      </w:tr>
      <w:tr w:rsidR="00496618" w14:paraId="7F8C40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57527AF" w14:textId="77777777" w:rsidR="00496618" w:rsidRDefault="00496618">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A804CE0" w14:textId="77777777" w:rsidR="00496618" w:rsidRDefault="00496618">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120138"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C5A500" w14:textId="77777777" w:rsidR="00496618" w:rsidRDefault="00496618">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157BACF"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DA64773"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100615"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C61E7B" w14:textId="77777777" w:rsidR="00496618" w:rsidRDefault="00496618">
            <w:pPr>
              <w:pStyle w:val="Normal17"/>
              <w:rPr>
                <w:rFonts w:ascii="Calibri" w:eastAsia="Calibri" w:hAnsi="Calibri" w:cs="Calibri"/>
                <w:color w:val="000000"/>
                <w:sz w:val="18"/>
              </w:rPr>
            </w:pPr>
          </w:p>
        </w:tc>
      </w:tr>
      <w:tr w:rsidR="00496618" w14:paraId="2B5A4C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2851DF6"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07DB3678" w14:textId="77777777" w:rsidR="00496618" w:rsidRDefault="0027723F">
            <w:pPr>
              <w:pStyle w:val="Normal17"/>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FC553BC"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02A51B3"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028D2A5B"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7C9E8EDD"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9DBC220"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EB3308D"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w:t>
            </w:r>
          </w:p>
        </w:tc>
      </w:tr>
      <w:tr w:rsidR="00496618" w14:paraId="345C6D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2326B61" w14:textId="77777777" w:rsidR="00496618" w:rsidRDefault="00496618">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34E3F28"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D9AFFC"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4110D8" w14:textId="77777777" w:rsidR="00496618" w:rsidRDefault="00496618">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02FEE16" w14:textId="77777777" w:rsidR="00496618" w:rsidRDefault="00496618">
            <w:pPr>
              <w:pStyle w:val="Normal1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9CD7DA3"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59A02A"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62762D" w14:textId="77777777" w:rsidR="00496618" w:rsidRDefault="00496618">
            <w:pPr>
              <w:pStyle w:val="Normal17"/>
              <w:rPr>
                <w:rFonts w:ascii="Calibri" w:eastAsia="Calibri" w:hAnsi="Calibri" w:cs="Calibri"/>
                <w:color w:val="000000"/>
                <w:sz w:val="18"/>
              </w:rPr>
            </w:pPr>
          </w:p>
        </w:tc>
      </w:tr>
      <w:tr w:rsidR="00496618" w14:paraId="3E78B1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8D5F0A1" w14:textId="77777777" w:rsidR="00496618" w:rsidRDefault="00496618">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227D25AF" w14:textId="77777777" w:rsidR="00496618" w:rsidRDefault="0027723F">
            <w:pPr>
              <w:pStyle w:val="Normal17"/>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361B7235"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5F9279B" w14:textId="77777777" w:rsidR="00496618" w:rsidRDefault="00496618">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27142AB" w14:textId="77777777" w:rsidR="00496618" w:rsidRDefault="00496618">
            <w:pPr>
              <w:pStyle w:val="Normal1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178066"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A5A092"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0DE0DF" w14:textId="77777777" w:rsidR="00496618" w:rsidRDefault="00496618">
            <w:pPr>
              <w:pStyle w:val="Normal17"/>
              <w:rPr>
                <w:rFonts w:ascii="Calibri" w:eastAsia="Calibri" w:hAnsi="Calibri" w:cs="Calibri"/>
                <w:color w:val="000000"/>
                <w:sz w:val="18"/>
              </w:rPr>
            </w:pPr>
          </w:p>
        </w:tc>
      </w:tr>
      <w:tr w:rsidR="00496618" w14:paraId="29BE86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72D9BCA"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6BBE5A37" w14:textId="77777777" w:rsidR="00496618" w:rsidRDefault="0027723F">
            <w:pPr>
              <w:pStyle w:val="Normal17"/>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097D4EA"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5BCFBBE5"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-1</w:t>
            </w:r>
          </w:p>
        </w:tc>
        <w:tc>
          <w:tcPr>
            <w:tcW w:w="600" w:type="dxa"/>
            <w:tcBorders>
              <w:top w:val="nil"/>
              <w:left w:val="nil"/>
              <w:bottom w:val="nil"/>
              <w:right w:val="nil"/>
              <w:tl2br w:val="nil"/>
              <w:tr2bl w:val="nil"/>
            </w:tcBorders>
            <w:shd w:val="clear" w:color="FFFFFF" w:fill="FFFFFF"/>
            <w:noWrap/>
            <w:tcMar>
              <w:left w:w="101" w:type="dxa"/>
              <w:right w:w="101" w:type="dxa"/>
            </w:tcMar>
          </w:tcPr>
          <w:p w14:paraId="4B682472"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754B1010"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5BB4302B"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2AA8D34A" w14:textId="77777777" w:rsidR="00496618" w:rsidRDefault="0027723F">
            <w:pPr>
              <w:pStyle w:val="Normal17"/>
              <w:jc w:val="right"/>
              <w:rPr>
                <w:rFonts w:ascii="Calibri" w:eastAsia="Calibri" w:hAnsi="Calibri" w:cs="Calibri"/>
                <w:color w:val="000000"/>
                <w:sz w:val="18"/>
              </w:rPr>
            </w:pPr>
            <w:r>
              <w:rPr>
                <w:rFonts w:ascii="Calibri" w:eastAsia="Calibri" w:hAnsi="Calibri" w:cs="Calibri"/>
                <w:color w:val="000000"/>
                <w:sz w:val="18"/>
              </w:rPr>
              <w:t>-1</w:t>
            </w:r>
          </w:p>
        </w:tc>
      </w:tr>
      <w:tr w:rsidR="00496618" w14:paraId="5FA1C0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D3763C2" w14:textId="77777777" w:rsidR="00496618" w:rsidRDefault="00496618">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0FAB563"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0D5B60"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477457F" w14:textId="77777777" w:rsidR="00496618" w:rsidRDefault="00496618">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EB1E7E3" w14:textId="77777777" w:rsidR="00496618" w:rsidRDefault="00496618">
            <w:pPr>
              <w:pStyle w:val="Normal1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19C5A2"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BFAD58" w14:textId="77777777" w:rsidR="00496618" w:rsidRDefault="00496618">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69EC7A" w14:textId="77777777" w:rsidR="00496618" w:rsidRDefault="00496618">
            <w:pPr>
              <w:pStyle w:val="Normal17"/>
              <w:rPr>
                <w:rFonts w:ascii="Calibri" w:eastAsia="Calibri" w:hAnsi="Calibri" w:cs="Calibri"/>
                <w:color w:val="000000"/>
                <w:sz w:val="18"/>
              </w:rPr>
            </w:pPr>
          </w:p>
        </w:tc>
      </w:tr>
      <w:tr w:rsidR="00496618" w14:paraId="4023A8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B56D04C"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vAlign w:val="bottom"/>
          </w:tcPr>
          <w:p w14:paraId="2C81CBCD" w14:textId="77777777" w:rsidR="00496618" w:rsidRDefault="0027723F">
            <w:pPr>
              <w:pStyle w:val="Normal17"/>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0A74494C"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2A2CA993"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-1</w:t>
            </w:r>
          </w:p>
        </w:tc>
        <w:tc>
          <w:tcPr>
            <w:tcW w:w="600" w:type="dxa"/>
            <w:tcBorders>
              <w:top w:val="nil"/>
              <w:left w:val="nil"/>
              <w:bottom w:val="nil"/>
              <w:right w:val="nil"/>
              <w:tl2br w:val="nil"/>
              <w:tr2bl w:val="nil"/>
            </w:tcBorders>
            <w:shd w:val="clear" w:color="FFFFFF" w:fill="FFFFFF"/>
            <w:noWrap/>
            <w:tcMar>
              <w:left w:w="101" w:type="dxa"/>
              <w:right w:w="101" w:type="dxa"/>
            </w:tcMar>
          </w:tcPr>
          <w:p w14:paraId="0E723264"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 </w:t>
            </w:r>
          </w:p>
        </w:tc>
        <w:tc>
          <w:tcPr>
            <w:tcW w:w="1035" w:type="dxa"/>
            <w:tcBorders>
              <w:top w:val="nil"/>
              <w:left w:val="nil"/>
              <w:bottom w:val="nil"/>
              <w:right w:val="nil"/>
              <w:tl2br w:val="nil"/>
              <w:tr2bl w:val="nil"/>
            </w:tcBorders>
            <w:shd w:val="clear" w:color="FFFFFF" w:fill="FFFFFF"/>
            <w:noWrap/>
            <w:tcMar>
              <w:left w:w="101" w:type="dxa"/>
              <w:right w:w="101" w:type="dxa"/>
            </w:tcMar>
          </w:tcPr>
          <w:p w14:paraId="4E03CC77"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02C7DC88"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48640514" w14:textId="77777777" w:rsidR="00496618" w:rsidRDefault="0027723F">
            <w:pPr>
              <w:pStyle w:val="Normal17"/>
              <w:jc w:val="right"/>
              <w:rPr>
                <w:rFonts w:ascii="Calibri" w:eastAsia="Calibri" w:hAnsi="Calibri" w:cs="Calibri"/>
                <w:b/>
                <w:color w:val="000000"/>
                <w:sz w:val="18"/>
              </w:rPr>
            </w:pPr>
            <w:r>
              <w:rPr>
                <w:rFonts w:ascii="Calibri" w:eastAsia="Calibri" w:hAnsi="Calibri" w:cs="Calibri"/>
                <w:b/>
                <w:color w:val="000000"/>
                <w:sz w:val="18"/>
              </w:rPr>
              <w:t>-1</w:t>
            </w:r>
          </w:p>
        </w:tc>
      </w:tr>
      <w:tr w:rsidR="00496618" w14:paraId="586429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3055933" w14:textId="77777777" w:rsidR="00496618" w:rsidRDefault="00496618">
            <w:pPr>
              <w:pStyle w:val="Normal17"/>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6F3BD3AA" w14:textId="77777777" w:rsidR="00496618" w:rsidRDefault="00496618">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5340E4D" w14:textId="77777777" w:rsidR="00496618" w:rsidRDefault="00496618">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9158F65" w14:textId="77777777" w:rsidR="00496618" w:rsidRDefault="00496618">
            <w:pPr>
              <w:pStyle w:val="Normal17"/>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B2ACCFC" w14:textId="77777777" w:rsidR="00496618" w:rsidRDefault="00496618">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406E1B2" w14:textId="77777777" w:rsidR="00496618" w:rsidRDefault="00496618">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70D5722" w14:textId="77777777" w:rsidR="00496618" w:rsidRDefault="00496618">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5D49BA7" w14:textId="77777777" w:rsidR="00496618" w:rsidRDefault="00496618">
            <w:pPr>
              <w:pStyle w:val="Normal17"/>
              <w:rPr>
                <w:rFonts w:ascii="Calibri" w:eastAsia="Calibri" w:hAnsi="Calibri" w:cs="Calibri"/>
                <w:color w:val="000000"/>
                <w:sz w:val="18"/>
              </w:rPr>
            </w:pPr>
          </w:p>
        </w:tc>
      </w:tr>
    </w:tbl>
    <w:p w14:paraId="259DEDBE" w14:textId="77777777" w:rsidR="00EB585F" w:rsidRDefault="00EB585F" w:rsidP="00EB585F">
      <w:pPr>
        <w:pStyle w:val="Caption"/>
      </w:pPr>
    </w:p>
    <w:p w14:paraId="0B163FD9" w14:textId="77777777" w:rsidR="00EB585F" w:rsidRDefault="00EB585F">
      <w:pPr>
        <w:spacing w:before="0" w:after="0"/>
        <w:rPr>
          <w:b/>
          <w:bCs/>
          <w:color w:val="000000"/>
          <w:sz w:val="22"/>
          <w:szCs w:val="18"/>
        </w:rPr>
      </w:pPr>
      <w:r>
        <w:br w:type="page"/>
      </w:r>
    </w:p>
    <w:p w14:paraId="15996A3F" w14:textId="36B64F8A" w:rsidR="001F6B18" w:rsidRPr="00EB585F" w:rsidRDefault="0027723F" w:rsidP="00EB585F">
      <w:pPr>
        <w:pStyle w:val="Caption"/>
      </w:pPr>
      <w:r w:rsidRPr="00EB585F">
        <w:lastRenderedPageBreak/>
        <w:t>Table 30: ACT Health Directorate: Cash Flow Statement on behalf of the Territory</w:t>
      </w:r>
    </w:p>
    <w:tbl>
      <w:tblPr>
        <w:tblStyle w:val="CDMRange17"/>
        <w:tblW w:w="9639" w:type="dxa"/>
        <w:tblLayout w:type="fixed"/>
        <w:tblLook w:val="0600" w:firstRow="0" w:lastRow="0" w:firstColumn="0" w:lastColumn="0" w:noHBand="1" w:noVBand="1"/>
      </w:tblPr>
      <w:tblGrid>
        <w:gridCol w:w="1035"/>
        <w:gridCol w:w="3180"/>
        <w:gridCol w:w="904"/>
        <w:gridCol w:w="904"/>
        <w:gridCol w:w="904"/>
        <w:gridCol w:w="904"/>
        <w:gridCol w:w="904"/>
        <w:gridCol w:w="904"/>
      </w:tblGrid>
      <w:tr w:rsidR="00496618" w14:paraId="1D43ACDF" w14:textId="77777777" w:rsidTr="00BD1609">
        <w:trPr>
          <w:trHeight w:val="240"/>
        </w:trPr>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398DBCB1"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2020-21</w:t>
            </w:r>
          </w:p>
        </w:tc>
        <w:tc>
          <w:tcPr>
            <w:tcW w:w="3180" w:type="dxa"/>
            <w:tcBorders>
              <w:top w:val="single" w:sz="4" w:space="0" w:color="000000"/>
              <w:left w:val="nil"/>
              <w:bottom w:val="nil"/>
              <w:right w:val="nil"/>
              <w:tl2br w:val="nil"/>
              <w:tr2bl w:val="nil"/>
            </w:tcBorders>
            <w:shd w:val="clear" w:color="FFFFFF" w:fill="FFFFFF"/>
            <w:tcMar>
              <w:left w:w="0" w:type="dxa"/>
              <w:right w:w="0" w:type="dxa"/>
            </w:tcMar>
          </w:tcPr>
          <w:p w14:paraId="0D8CA8EC" w14:textId="77777777" w:rsidR="00496618" w:rsidRDefault="00496618">
            <w:pPr>
              <w:pStyle w:val="Normal18"/>
              <w:rPr>
                <w:rFonts w:ascii="Calibri" w:eastAsia="Calibri" w:hAnsi="Calibri" w:cs="Calibri"/>
                <w:b/>
                <w:color w:val="000000"/>
                <w:sz w:val="18"/>
              </w:rPr>
            </w:pPr>
          </w:p>
        </w:tc>
        <w:tc>
          <w:tcPr>
            <w:tcW w:w="904" w:type="dxa"/>
            <w:tcBorders>
              <w:top w:val="single" w:sz="4" w:space="0" w:color="000000"/>
              <w:left w:val="nil"/>
              <w:bottom w:val="nil"/>
              <w:right w:val="nil"/>
              <w:tl2br w:val="nil"/>
              <w:tr2bl w:val="nil"/>
            </w:tcBorders>
            <w:shd w:val="clear" w:color="FFFFFF" w:fill="FFFFFF"/>
            <w:tcMar>
              <w:left w:w="101" w:type="dxa"/>
              <w:right w:w="101" w:type="dxa"/>
            </w:tcMar>
          </w:tcPr>
          <w:p w14:paraId="6839184F"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2020-21</w:t>
            </w:r>
          </w:p>
        </w:tc>
        <w:tc>
          <w:tcPr>
            <w:tcW w:w="904" w:type="dxa"/>
            <w:tcBorders>
              <w:top w:val="single" w:sz="4" w:space="0" w:color="000000"/>
              <w:left w:val="nil"/>
              <w:bottom w:val="nil"/>
              <w:right w:val="nil"/>
              <w:tl2br w:val="nil"/>
              <w:tr2bl w:val="nil"/>
            </w:tcBorders>
            <w:shd w:val="clear" w:color="FFFFFF" w:fill="FFFFFF"/>
            <w:tcMar>
              <w:left w:w="101" w:type="dxa"/>
              <w:right w:w="101" w:type="dxa"/>
            </w:tcMar>
          </w:tcPr>
          <w:p w14:paraId="71667FD7"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2021-22</w:t>
            </w:r>
          </w:p>
        </w:tc>
        <w:tc>
          <w:tcPr>
            <w:tcW w:w="904" w:type="dxa"/>
            <w:tcBorders>
              <w:top w:val="single" w:sz="4" w:space="0" w:color="000000"/>
              <w:left w:val="nil"/>
              <w:bottom w:val="nil"/>
              <w:right w:val="nil"/>
              <w:tl2br w:val="nil"/>
              <w:tr2bl w:val="nil"/>
            </w:tcBorders>
            <w:shd w:val="clear" w:color="FFFFFF" w:fill="FFFFFF"/>
            <w:tcMar>
              <w:left w:w="101" w:type="dxa"/>
              <w:right w:w="101" w:type="dxa"/>
            </w:tcMar>
          </w:tcPr>
          <w:p w14:paraId="04433F97"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Var</w:t>
            </w:r>
          </w:p>
        </w:tc>
        <w:tc>
          <w:tcPr>
            <w:tcW w:w="904" w:type="dxa"/>
            <w:tcBorders>
              <w:top w:val="single" w:sz="4" w:space="0" w:color="000000"/>
              <w:left w:val="nil"/>
              <w:bottom w:val="nil"/>
              <w:right w:val="nil"/>
              <w:tl2br w:val="nil"/>
              <w:tr2bl w:val="nil"/>
            </w:tcBorders>
            <w:shd w:val="clear" w:color="FFFFFF" w:fill="FFFFFF"/>
            <w:tcMar>
              <w:left w:w="101" w:type="dxa"/>
              <w:right w:w="101" w:type="dxa"/>
            </w:tcMar>
          </w:tcPr>
          <w:p w14:paraId="22EB274C"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2022-23</w:t>
            </w:r>
          </w:p>
        </w:tc>
        <w:tc>
          <w:tcPr>
            <w:tcW w:w="904" w:type="dxa"/>
            <w:tcBorders>
              <w:top w:val="single" w:sz="4" w:space="0" w:color="000000"/>
              <w:left w:val="nil"/>
              <w:bottom w:val="nil"/>
              <w:right w:val="nil"/>
              <w:tl2br w:val="nil"/>
              <w:tr2bl w:val="nil"/>
            </w:tcBorders>
            <w:shd w:val="clear" w:color="FFFFFF" w:fill="FFFFFF"/>
            <w:tcMar>
              <w:left w:w="101" w:type="dxa"/>
              <w:right w:w="101" w:type="dxa"/>
            </w:tcMar>
          </w:tcPr>
          <w:p w14:paraId="324F653A"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2023-24</w:t>
            </w:r>
          </w:p>
        </w:tc>
        <w:tc>
          <w:tcPr>
            <w:tcW w:w="904" w:type="dxa"/>
            <w:tcBorders>
              <w:top w:val="single" w:sz="4" w:space="0" w:color="000000"/>
              <w:left w:val="nil"/>
              <w:bottom w:val="nil"/>
              <w:right w:val="nil"/>
              <w:tl2br w:val="nil"/>
              <w:tr2bl w:val="nil"/>
            </w:tcBorders>
            <w:shd w:val="clear" w:color="FFFFFF" w:fill="FFFFFF"/>
            <w:tcMar>
              <w:left w:w="101" w:type="dxa"/>
              <w:right w:w="101" w:type="dxa"/>
            </w:tcMar>
          </w:tcPr>
          <w:p w14:paraId="2AEB3B03"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2024-25</w:t>
            </w:r>
          </w:p>
        </w:tc>
      </w:tr>
      <w:tr w:rsidR="00496618" w14:paraId="0BECDC55"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84BA521"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Budget</w:t>
            </w:r>
          </w:p>
        </w:tc>
        <w:tc>
          <w:tcPr>
            <w:tcW w:w="3180" w:type="dxa"/>
            <w:tcBorders>
              <w:top w:val="nil"/>
              <w:left w:val="nil"/>
              <w:bottom w:val="nil"/>
              <w:right w:val="nil"/>
              <w:tl2br w:val="nil"/>
              <w:tr2bl w:val="nil"/>
            </w:tcBorders>
            <w:shd w:val="clear" w:color="FFFFFF" w:fill="FFFFFF"/>
            <w:tcMar>
              <w:left w:w="0" w:type="dxa"/>
              <w:right w:w="0" w:type="dxa"/>
            </w:tcMar>
          </w:tcPr>
          <w:p w14:paraId="190AACB8" w14:textId="77777777" w:rsidR="00496618" w:rsidRDefault="00496618">
            <w:pPr>
              <w:pStyle w:val="Normal18"/>
              <w:rPr>
                <w:rFonts w:ascii="Calibri" w:eastAsia="Calibri" w:hAnsi="Calibri" w:cs="Calibri"/>
                <w:b/>
                <w:color w:val="000000"/>
                <w:sz w:val="18"/>
              </w:rPr>
            </w:pPr>
          </w:p>
        </w:tc>
        <w:tc>
          <w:tcPr>
            <w:tcW w:w="904" w:type="dxa"/>
            <w:tcBorders>
              <w:top w:val="nil"/>
              <w:left w:val="nil"/>
              <w:bottom w:val="nil"/>
              <w:right w:val="nil"/>
              <w:tl2br w:val="nil"/>
              <w:tr2bl w:val="nil"/>
            </w:tcBorders>
            <w:shd w:val="clear" w:color="FFFFFF" w:fill="FFFFFF"/>
            <w:tcMar>
              <w:left w:w="101" w:type="dxa"/>
              <w:right w:w="101" w:type="dxa"/>
            </w:tcMar>
          </w:tcPr>
          <w:p w14:paraId="4990DE7E"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Interim Outcome</w:t>
            </w:r>
          </w:p>
        </w:tc>
        <w:tc>
          <w:tcPr>
            <w:tcW w:w="904" w:type="dxa"/>
            <w:tcBorders>
              <w:top w:val="nil"/>
              <w:left w:val="nil"/>
              <w:bottom w:val="nil"/>
              <w:right w:val="nil"/>
              <w:tl2br w:val="nil"/>
              <w:tr2bl w:val="nil"/>
            </w:tcBorders>
            <w:shd w:val="clear" w:color="FFFFFF" w:fill="FFFFFF"/>
            <w:tcMar>
              <w:left w:w="101" w:type="dxa"/>
              <w:right w:w="101" w:type="dxa"/>
            </w:tcMar>
          </w:tcPr>
          <w:p w14:paraId="55B464D5"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Budget</w:t>
            </w:r>
          </w:p>
        </w:tc>
        <w:tc>
          <w:tcPr>
            <w:tcW w:w="904" w:type="dxa"/>
            <w:tcBorders>
              <w:top w:val="nil"/>
              <w:left w:val="nil"/>
              <w:bottom w:val="nil"/>
              <w:right w:val="nil"/>
              <w:tl2br w:val="nil"/>
              <w:tr2bl w:val="nil"/>
            </w:tcBorders>
            <w:shd w:val="clear" w:color="FFFFFF" w:fill="FFFFFF"/>
            <w:tcMar>
              <w:left w:w="101" w:type="dxa"/>
              <w:right w:w="101" w:type="dxa"/>
            </w:tcMar>
          </w:tcPr>
          <w:p w14:paraId="048D3026"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904" w:type="dxa"/>
            <w:tcBorders>
              <w:top w:val="nil"/>
              <w:left w:val="nil"/>
              <w:bottom w:val="nil"/>
              <w:right w:val="nil"/>
              <w:tl2br w:val="nil"/>
              <w:tr2bl w:val="nil"/>
            </w:tcBorders>
            <w:shd w:val="clear" w:color="FFFFFF" w:fill="FFFFFF"/>
            <w:tcMar>
              <w:left w:w="101" w:type="dxa"/>
              <w:right w:w="101" w:type="dxa"/>
            </w:tcMar>
          </w:tcPr>
          <w:p w14:paraId="377CE371"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tc>
        <w:tc>
          <w:tcPr>
            <w:tcW w:w="904" w:type="dxa"/>
            <w:tcBorders>
              <w:top w:val="nil"/>
              <w:left w:val="nil"/>
              <w:bottom w:val="nil"/>
              <w:right w:val="nil"/>
              <w:tl2br w:val="nil"/>
              <w:tr2bl w:val="nil"/>
            </w:tcBorders>
            <w:shd w:val="clear" w:color="FFFFFF" w:fill="FFFFFF"/>
            <w:tcMar>
              <w:left w:w="101" w:type="dxa"/>
              <w:right w:w="101" w:type="dxa"/>
            </w:tcMar>
          </w:tcPr>
          <w:p w14:paraId="4D2E4463"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tc>
        <w:tc>
          <w:tcPr>
            <w:tcW w:w="904" w:type="dxa"/>
            <w:tcBorders>
              <w:top w:val="nil"/>
              <w:left w:val="nil"/>
              <w:bottom w:val="nil"/>
              <w:right w:val="nil"/>
              <w:tl2br w:val="nil"/>
              <w:tr2bl w:val="nil"/>
            </w:tcBorders>
            <w:shd w:val="clear" w:color="FFFFFF" w:fill="FFFFFF"/>
            <w:tcMar>
              <w:left w:w="101" w:type="dxa"/>
              <w:right w:w="101" w:type="dxa"/>
            </w:tcMar>
          </w:tcPr>
          <w:p w14:paraId="030257BF"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tc>
      </w:tr>
      <w:tr w:rsidR="00496618" w14:paraId="142B5C34"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18CD6739"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$'000</w:t>
            </w:r>
          </w:p>
        </w:tc>
        <w:tc>
          <w:tcPr>
            <w:tcW w:w="3180" w:type="dxa"/>
            <w:tcBorders>
              <w:top w:val="nil"/>
              <w:left w:val="nil"/>
              <w:bottom w:val="single" w:sz="4" w:space="0" w:color="000000"/>
              <w:right w:val="nil"/>
              <w:tl2br w:val="nil"/>
              <w:tr2bl w:val="nil"/>
            </w:tcBorders>
            <w:shd w:val="clear" w:color="FFFFFF" w:fill="FFFFFF"/>
            <w:tcMar>
              <w:left w:w="0" w:type="dxa"/>
              <w:right w:w="0" w:type="dxa"/>
            </w:tcMar>
          </w:tcPr>
          <w:p w14:paraId="1AFDC4F9" w14:textId="77777777" w:rsidR="00496618" w:rsidRDefault="00496618">
            <w:pPr>
              <w:pStyle w:val="Normal18"/>
              <w:rPr>
                <w:rFonts w:ascii="Calibri" w:eastAsia="Calibri" w:hAnsi="Calibri" w:cs="Calibri"/>
                <w:b/>
                <w:color w:val="000000"/>
                <w:sz w:val="18"/>
              </w:rPr>
            </w:pPr>
          </w:p>
        </w:tc>
        <w:tc>
          <w:tcPr>
            <w:tcW w:w="904" w:type="dxa"/>
            <w:tcBorders>
              <w:top w:val="nil"/>
              <w:left w:val="nil"/>
              <w:bottom w:val="single" w:sz="4" w:space="0" w:color="000000"/>
              <w:right w:val="nil"/>
              <w:tl2br w:val="nil"/>
              <w:tr2bl w:val="nil"/>
            </w:tcBorders>
            <w:shd w:val="clear" w:color="FFFFFF" w:fill="FFFFFF"/>
            <w:tcMar>
              <w:left w:w="101" w:type="dxa"/>
              <w:right w:w="101" w:type="dxa"/>
            </w:tcMar>
          </w:tcPr>
          <w:p w14:paraId="147A55CB"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$'000</w:t>
            </w:r>
          </w:p>
        </w:tc>
        <w:tc>
          <w:tcPr>
            <w:tcW w:w="904" w:type="dxa"/>
            <w:tcBorders>
              <w:top w:val="nil"/>
              <w:left w:val="nil"/>
              <w:bottom w:val="single" w:sz="4" w:space="0" w:color="000000"/>
              <w:right w:val="nil"/>
              <w:tl2br w:val="nil"/>
              <w:tr2bl w:val="nil"/>
            </w:tcBorders>
            <w:shd w:val="clear" w:color="FFFFFF" w:fill="FFFFFF"/>
            <w:tcMar>
              <w:left w:w="101" w:type="dxa"/>
              <w:right w:w="101" w:type="dxa"/>
            </w:tcMar>
          </w:tcPr>
          <w:p w14:paraId="343A19F6"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$'000</w:t>
            </w:r>
          </w:p>
        </w:tc>
        <w:tc>
          <w:tcPr>
            <w:tcW w:w="904" w:type="dxa"/>
            <w:tcBorders>
              <w:top w:val="nil"/>
              <w:left w:val="nil"/>
              <w:bottom w:val="single" w:sz="4" w:space="0" w:color="000000"/>
              <w:right w:val="nil"/>
              <w:tl2br w:val="nil"/>
              <w:tr2bl w:val="nil"/>
            </w:tcBorders>
            <w:shd w:val="clear" w:color="FFFFFF" w:fill="FFFFFF"/>
            <w:tcMar>
              <w:left w:w="0" w:type="dxa"/>
              <w:right w:w="0" w:type="dxa"/>
            </w:tcMar>
          </w:tcPr>
          <w:p w14:paraId="3402BFF5" w14:textId="77777777" w:rsidR="00496618" w:rsidRDefault="00496618">
            <w:pPr>
              <w:pStyle w:val="Normal18"/>
              <w:jc w:val="right"/>
              <w:rPr>
                <w:rFonts w:ascii="Calibri" w:eastAsia="Calibri" w:hAnsi="Calibri" w:cs="Calibri"/>
                <w:b/>
                <w:color w:val="000000"/>
                <w:sz w:val="18"/>
              </w:rPr>
            </w:pPr>
          </w:p>
        </w:tc>
        <w:tc>
          <w:tcPr>
            <w:tcW w:w="904" w:type="dxa"/>
            <w:tcBorders>
              <w:top w:val="nil"/>
              <w:left w:val="nil"/>
              <w:bottom w:val="single" w:sz="4" w:space="0" w:color="000000"/>
              <w:right w:val="nil"/>
              <w:tl2br w:val="nil"/>
              <w:tr2bl w:val="nil"/>
            </w:tcBorders>
            <w:shd w:val="clear" w:color="FFFFFF" w:fill="FFFFFF"/>
            <w:tcMar>
              <w:left w:w="101" w:type="dxa"/>
              <w:right w:w="101" w:type="dxa"/>
            </w:tcMar>
          </w:tcPr>
          <w:p w14:paraId="688AE412"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$'000</w:t>
            </w:r>
          </w:p>
        </w:tc>
        <w:tc>
          <w:tcPr>
            <w:tcW w:w="904" w:type="dxa"/>
            <w:tcBorders>
              <w:top w:val="nil"/>
              <w:left w:val="nil"/>
              <w:bottom w:val="single" w:sz="4" w:space="0" w:color="000000"/>
              <w:right w:val="nil"/>
              <w:tl2br w:val="nil"/>
              <w:tr2bl w:val="nil"/>
            </w:tcBorders>
            <w:shd w:val="clear" w:color="FFFFFF" w:fill="FFFFFF"/>
            <w:tcMar>
              <w:left w:w="101" w:type="dxa"/>
              <w:right w:w="101" w:type="dxa"/>
            </w:tcMar>
          </w:tcPr>
          <w:p w14:paraId="335C625D"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$'000</w:t>
            </w:r>
          </w:p>
        </w:tc>
        <w:tc>
          <w:tcPr>
            <w:tcW w:w="904" w:type="dxa"/>
            <w:tcBorders>
              <w:top w:val="nil"/>
              <w:left w:val="nil"/>
              <w:bottom w:val="single" w:sz="4" w:space="0" w:color="000000"/>
              <w:right w:val="nil"/>
              <w:tl2br w:val="nil"/>
              <w:tr2bl w:val="nil"/>
            </w:tcBorders>
            <w:shd w:val="clear" w:color="FFFFFF" w:fill="FFFFFF"/>
            <w:tcMar>
              <w:left w:w="101" w:type="dxa"/>
              <w:right w:w="101" w:type="dxa"/>
            </w:tcMar>
          </w:tcPr>
          <w:p w14:paraId="7A366771"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$'000</w:t>
            </w:r>
          </w:p>
        </w:tc>
      </w:tr>
      <w:tr w:rsidR="00496618" w14:paraId="4D225608"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5E7CFDFF" w14:textId="77777777" w:rsidR="00496618" w:rsidRDefault="00496618">
            <w:pPr>
              <w:pStyle w:val="Normal18"/>
              <w:rPr>
                <w:rFonts w:ascii="Calibri" w:eastAsia="Calibri" w:hAnsi="Calibri" w:cs="Calibri"/>
                <w:color w:val="000000"/>
                <w:sz w:val="18"/>
              </w:rPr>
            </w:pPr>
          </w:p>
        </w:tc>
        <w:tc>
          <w:tcPr>
            <w:tcW w:w="8604" w:type="dxa"/>
            <w:gridSpan w:val="7"/>
            <w:tcBorders>
              <w:top w:val="nil"/>
              <w:left w:val="nil"/>
              <w:bottom w:val="nil"/>
              <w:right w:val="nil"/>
              <w:tl2br w:val="nil"/>
              <w:tr2bl w:val="nil"/>
            </w:tcBorders>
            <w:shd w:val="clear" w:color="auto" w:fill="auto"/>
            <w:tcMar>
              <w:left w:w="101" w:type="dxa"/>
              <w:right w:w="101" w:type="dxa"/>
            </w:tcMar>
            <w:vAlign w:val="bottom"/>
          </w:tcPr>
          <w:p w14:paraId="7C2907EF" w14:textId="77777777" w:rsidR="00496618" w:rsidRDefault="0027723F">
            <w:pPr>
              <w:pStyle w:val="Normal18"/>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496618" w14:paraId="2AC36BDC"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94B54A3" w14:textId="77777777" w:rsidR="00496618" w:rsidRDefault="00496618">
            <w:pPr>
              <w:pStyle w:val="Normal18"/>
              <w:rPr>
                <w:rFonts w:ascii="Calibri" w:eastAsia="Calibri" w:hAnsi="Calibri" w:cs="Calibri"/>
                <w:color w:val="000000"/>
                <w:sz w:val="18"/>
              </w:rPr>
            </w:pPr>
          </w:p>
        </w:tc>
        <w:tc>
          <w:tcPr>
            <w:tcW w:w="3180" w:type="dxa"/>
            <w:tcBorders>
              <w:top w:val="nil"/>
              <w:left w:val="nil"/>
              <w:bottom w:val="nil"/>
              <w:right w:val="nil"/>
              <w:tl2br w:val="nil"/>
              <w:tr2bl w:val="nil"/>
            </w:tcBorders>
            <w:shd w:val="clear" w:color="FFFFFF" w:fill="FFFFFF"/>
            <w:noWrap/>
            <w:tcMar>
              <w:left w:w="101" w:type="dxa"/>
              <w:right w:w="101" w:type="dxa"/>
            </w:tcMar>
          </w:tcPr>
          <w:p w14:paraId="19FAC1FD" w14:textId="77777777" w:rsidR="00496618" w:rsidRDefault="0027723F">
            <w:pPr>
              <w:pStyle w:val="Normal18"/>
              <w:rPr>
                <w:rFonts w:ascii="Calibri" w:eastAsia="Calibri" w:hAnsi="Calibri" w:cs="Calibri"/>
                <w:b/>
                <w:color w:val="000000"/>
                <w:sz w:val="18"/>
              </w:rPr>
            </w:pPr>
            <w:r>
              <w:rPr>
                <w:rFonts w:ascii="Calibri" w:eastAsia="Calibri" w:hAnsi="Calibri" w:cs="Calibri"/>
                <w:b/>
                <w:color w:val="000000"/>
                <w:sz w:val="18"/>
              </w:rPr>
              <w:t>Receipts</w:t>
            </w:r>
          </w:p>
        </w:tc>
        <w:tc>
          <w:tcPr>
            <w:tcW w:w="904" w:type="dxa"/>
            <w:tcBorders>
              <w:top w:val="nil"/>
              <w:left w:val="nil"/>
              <w:bottom w:val="nil"/>
              <w:right w:val="nil"/>
              <w:tl2br w:val="nil"/>
              <w:tr2bl w:val="nil"/>
            </w:tcBorders>
            <w:shd w:val="clear" w:color="FFFFFF" w:fill="FFFFFF"/>
            <w:tcMar>
              <w:left w:w="0" w:type="dxa"/>
              <w:right w:w="0" w:type="dxa"/>
            </w:tcMar>
          </w:tcPr>
          <w:p w14:paraId="43F0D968"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09D14419"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3C2E3A57"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5480EB7A"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70D69949"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73C369EC" w14:textId="77777777" w:rsidR="00496618" w:rsidRDefault="00496618">
            <w:pPr>
              <w:pStyle w:val="Normal18"/>
              <w:rPr>
                <w:rFonts w:ascii="Calibri" w:eastAsia="Calibri" w:hAnsi="Calibri" w:cs="Calibri"/>
                <w:color w:val="000000"/>
                <w:sz w:val="18"/>
              </w:rPr>
            </w:pPr>
          </w:p>
        </w:tc>
      </w:tr>
      <w:tr w:rsidR="00496618" w14:paraId="25F4EA25"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0DAAC5"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14,202</w:t>
            </w:r>
          </w:p>
        </w:tc>
        <w:tc>
          <w:tcPr>
            <w:tcW w:w="3180" w:type="dxa"/>
            <w:tcBorders>
              <w:top w:val="nil"/>
              <w:left w:val="nil"/>
              <w:bottom w:val="nil"/>
              <w:right w:val="nil"/>
              <w:tl2br w:val="nil"/>
              <w:tr2bl w:val="nil"/>
            </w:tcBorders>
            <w:shd w:val="clear" w:color="auto" w:fill="auto"/>
            <w:noWrap/>
            <w:tcMar>
              <w:left w:w="101" w:type="dxa"/>
              <w:right w:w="101" w:type="dxa"/>
            </w:tcMar>
          </w:tcPr>
          <w:p w14:paraId="755D04DB" w14:textId="77777777" w:rsidR="00496618" w:rsidRDefault="0027723F">
            <w:pPr>
              <w:pStyle w:val="Normal18"/>
              <w:rPr>
                <w:rFonts w:ascii="Calibri" w:eastAsia="Calibri" w:hAnsi="Calibri" w:cs="Calibri"/>
                <w:color w:val="000000"/>
                <w:sz w:val="18"/>
              </w:rPr>
            </w:pPr>
            <w:r>
              <w:rPr>
                <w:rFonts w:ascii="Calibri" w:eastAsia="Calibri" w:hAnsi="Calibri" w:cs="Calibri"/>
                <w:color w:val="000000"/>
                <w:sz w:val="18"/>
              </w:rPr>
              <w:t>Payment for Expenses on Behalf of the Territory</w:t>
            </w:r>
          </w:p>
        </w:tc>
        <w:tc>
          <w:tcPr>
            <w:tcW w:w="904" w:type="dxa"/>
            <w:tcBorders>
              <w:top w:val="nil"/>
              <w:left w:val="nil"/>
              <w:bottom w:val="nil"/>
              <w:right w:val="nil"/>
              <w:tl2br w:val="nil"/>
              <w:tr2bl w:val="nil"/>
            </w:tcBorders>
            <w:shd w:val="clear" w:color="FFFFFF" w:fill="FFFFFF"/>
            <w:tcMar>
              <w:left w:w="101" w:type="dxa"/>
              <w:right w:w="101" w:type="dxa"/>
            </w:tcMar>
          </w:tcPr>
          <w:p w14:paraId="0C9035BB"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8,807</w:t>
            </w:r>
          </w:p>
        </w:tc>
        <w:tc>
          <w:tcPr>
            <w:tcW w:w="904" w:type="dxa"/>
            <w:tcBorders>
              <w:top w:val="nil"/>
              <w:left w:val="nil"/>
              <w:bottom w:val="nil"/>
              <w:right w:val="nil"/>
              <w:tl2br w:val="nil"/>
              <w:tr2bl w:val="nil"/>
            </w:tcBorders>
            <w:shd w:val="clear" w:color="FFFFFF" w:fill="FFFFFF"/>
            <w:tcMar>
              <w:left w:w="101" w:type="dxa"/>
              <w:right w:w="101" w:type="dxa"/>
            </w:tcMar>
          </w:tcPr>
          <w:p w14:paraId="1369F744"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16,475</w:t>
            </w:r>
          </w:p>
        </w:tc>
        <w:tc>
          <w:tcPr>
            <w:tcW w:w="904" w:type="dxa"/>
            <w:tcBorders>
              <w:top w:val="nil"/>
              <w:left w:val="nil"/>
              <w:bottom w:val="nil"/>
              <w:right w:val="nil"/>
              <w:tl2br w:val="nil"/>
              <w:tr2bl w:val="nil"/>
            </w:tcBorders>
            <w:shd w:val="clear" w:color="FFFFFF" w:fill="FFFFFF"/>
            <w:tcMar>
              <w:left w:w="101" w:type="dxa"/>
              <w:right w:w="101" w:type="dxa"/>
            </w:tcMar>
          </w:tcPr>
          <w:p w14:paraId="633FA53F"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 xml:space="preserve">87 </w:t>
            </w:r>
          </w:p>
        </w:tc>
        <w:tc>
          <w:tcPr>
            <w:tcW w:w="904" w:type="dxa"/>
            <w:tcBorders>
              <w:top w:val="nil"/>
              <w:left w:val="nil"/>
              <w:bottom w:val="nil"/>
              <w:right w:val="nil"/>
              <w:tl2br w:val="nil"/>
              <w:tr2bl w:val="nil"/>
            </w:tcBorders>
            <w:shd w:val="clear" w:color="FFFFFF" w:fill="FFFFFF"/>
            <w:tcMar>
              <w:left w:w="101" w:type="dxa"/>
              <w:right w:w="101" w:type="dxa"/>
            </w:tcMar>
          </w:tcPr>
          <w:p w14:paraId="1BB34EE9"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11,125</w:t>
            </w:r>
          </w:p>
        </w:tc>
        <w:tc>
          <w:tcPr>
            <w:tcW w:w="904" w:type="dxa"/>
            <w:tcBorders>
              <w:top w:val="nil"/>
              <w:left w:val="nil"/>
              <w:bottom w:val="nil"/>
              <w:right w:val="nil"/>
              <w:tl2br w:val="nil"/>
              <w:tr2bl w:val="nil"/>
            </w:tcBorders>
            <w:shd w:val="clear" w:color="FFFFFF" w:fill="FFFFFF"/>
            <w:tcMar>
              <w:left w:w="101" w:type="dxa"/>
              <w:right w:w="101" w:type="dxa"/>
            </w:tcMar>
          </w:tcPr>
          <w:p w14:paraId="48E6FF22"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1,978</w:t>
            </w:r>
          </w:p>
        </w:tc>
        <w:tc>
          <w:tcPr>
            <w:tcW w:w="904" w:type="dxa"/>
            <w:tcBorders>
              <w:top w:val="nil"/>
              <w:left w:val="nil"/>
              <w:bottom w:val="nil"/>
              <w:right w:val="nil"/>
              <w:tl2br w:val="nil"/>
              <w:tr2bl w:val="nil"/>
            </w:tcBorders>
            <w:shd w:val="clear" w:color="FFFFFF" w:fill="FFFFFF"/>
            <w:tcMar>
              <w:left w:w="101" w:type="dxa"/>
              <w:right w:w="101" w:type="dxa"/>
            </w:tcMar>
          </w:tcPr>
          <w:p w14:paraId="60D6A7EC"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1,002</w:t>
            </w:r>
          </w:p>
        </w:tc>
      </w:tr>
      <w:tr w:rsidR="00496618" w14:paraId="2880EA79"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C74603"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1,495</w:t>
            </w:r>
          </w:p>
        </w:tc>
        <w:tc>
          <w:tcPr>
            <w:tcW w:w="3180" w:type="dxa"/>
            <w:tcBorders>
              <w:top w:val="nil"/>
              <w:left w:val="nil"/>
              <w:bottom w:val="nil"/>
              <w:right w:val="nil"/>
              <w:tl2br w:val="nil"/>
              <w:tr2bl w:val="nil"/>
            </w:tcBorders>
            <w:shd w:val="clear" w:color="auto" w:fill="auto"/>
            <w:noWrap/>
            <w:tcMar>
              <w:left w:w="101" w:type="dxa"/>
              <w:right w:w="101" w:type="dxa"/>
            </w:tcMar>
          </w:tcPr>
          <w:p w14:paraId="5AD5C03F" w14:textId="77777777" w:rsidR="00496618" w:rsidRDefault="0027723F">
            <w:pPr>
              <w:pStyle w:val="Normal18"/>
              <w:rPr>
                <w:rFonts w:ascii="Calibri" w:eastAsia="Calibri" w:hAnsi="Calibri" w:cs="Calibri"/>
                <w:color w:val="000000"/>
                <w:sz w:val="18"/>
              </w:rPr>
            </w:pPr>
            <w:r>
              <w:rPr>
                <w:rFonts w:ascii="Calibri" w:eastAsia="Calibri" w:hAnsi="Calibri" w:cs="Calibri"/>
                <w:color w:val="000000"/>
                <w:sz w:val="18"/>
              </w:rPr>
              <w:t>Taxes, Licences, Fees and Fines</w:t>
            </w:r>
          </w:p>
        </w:tc>
        <w:tc>
          <w:tcPr>
            <w:tcW w:w="904" w:type="dxa"/>
            <w:tcBorders>
              <w:top w:val="nil"/>
              <w:left w:val="nil"/>
              <w:bottom w:val="nil"/>
              <w:right w:val="nil"/>
              <w:tl2br w:val="nil"/>
              <w:tr2bl w:val="nil"/>
            </w:tcBorders>
            <w:shd w:val="clear" w:color="FFFFFF" w:fill="FFFFFF"/>
            <w:tcMar>
              <w:left w:w="101" w:type="dxa"/>
              <w:right w:w="101" w:type="dxa"/>
            </w:tcMar>
          </w:tcPr>
          <w:p w14:paraId="553D24F3"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1,131</w:t>
            </w:r>
          </w:p>
        </w:tc>
        <w:tc>
          <w:tcPr>
            <w:tcW w:w="904" w:type="dxa"/>
            <w:tcBorders>
              <w:top w:val="nil"/>
              <w:left w:val="nil"/>
              <w:bottom w:val="nil"/>
              <w:right w:val="nil"/>
              <w:tl2br w:val="nil"/>
              <w:tr2bl w:val="nil"/>
            </w:tcBorders>
            <w:shd w:val="clear" w:color="FFFFFF" w:fill="FFFFFF"/>
            <w:tcMar>
              <w:left w:w="101" w:type="dxa"/>
              <w:right w:w="101" w:type="dxa"/>
            </w:tcMar>
          </w:tcPr>
          <w:p w14:paraId="25BF65FB"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1,540</w:t>
            </w:r>
          </w:p>
        </w:tc>
        <w:tc>
          <w:tcPr>
            <w:tcW w:w="904" w:type="dxa"/>
            <w:tcBorders>
              <w:top w:val="nil"/>
              <w:left w:val="nil"/>
              <w:bottom w:val="nil"/>
              <w:right w:val="nil"/>
              <w:tl2br w:val="nil"/>
              <w:tr2bl w:val="nil"/>
            </w:tcBorders>
            <w:shd w:val="clear" w:color="FFFFFF" w:fill="FFFFFF"/>
            <w:tcMar>
              <w:left w:w="101" w:type="dxa"/>
              <w:right w:w="101" w:type="dxa"/>
            </w:tcMar>
          </w:tcPr>
          <w:p w14:paraId="3AB810A5"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 xml:space="preserve">36 </w:t>
            </w:r>
          </w:p>
        </w:tc>
        <w:tc>
          <w:tcPr>
            <w:tcW w:w="904" w:type="dxa"/>
            <w:tcBorders>
              <w:top w:val="nil"/>
              <w:left w:val="nil"/>
              <w:bottom w:val="nil"/>
              <w:right w:val="nil"/>
              <w:tl2br w:val="nil"/>
              <w:tr2bl w:val="nil"/>
            </w:tcBorders>
            <w:shd w:val="clear" w:color="FFFFFF" w:fill="FFFFFF"/>
            <w:tcMar>
              <w:left w:w="101" w:type="dxa"/>
              <w:right w:w="101" w:type="dxa"/>
            </w:tcMar>
          </w:tcPr>
          <w:p w14:paraId="42636834"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1,578</w:t>
            </w:r>
          </w:p>
        </w:tc>
        <w:tc>
          <w:tcPr>
            <w:tcW w:w="904" w:type="dxa"/>
            <w:tcBorders>
              <w:top w:val="nil"/>
              <w:left w:val="nil"/>
              <w:bottom w:val="nil"/>
              <w:right w:val="nil"/>
              <w:tl2br w:val="nil"/>
              <w:tr2bl w:val="nil"/>
            </w:tcBorders>
            <w:shd w:val="clear" w:color="FFFFFF" w:fill="FFFFFF"/>
            <w:tcMar>
              <w:left w:w="101" w:type="dxa"/>
              <w:right w:w="101" w:type="dxa"/>
            </w:tcMar>
          </w:tcPr>
          <w:p w14:paraId="7AA159B2"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1,617</w:t>
            </w:r>
          </w:p>
        </w:tc>
        <w:tc>
          <w:tcPr>
            <w:tcW w:w="904" w:type="dxa"/>
            <w:tcBorders>
              <w:top w:val="nil"/>
              <w:left w:val="nil"/>
              <w:bottom w:val="nil"/>
              <w:right w:val="nil"/>
              <w:tl2br w:val="nil"/>
              <w:tr2bl w:val="nil"/>
            </w:tcBorders>
            <w:shd w:val="clear" w:color="FFFFFF" w:fill="FFFFFF"/>
            <w:tcMar>
              <w:left w:w="101" w:type="dxa"/>
              <w:right w:w="101" w:type="dxa"/>
            </w:tcMar>
          </w:tcPr>
          <w:p w14:paraId="1AFAF475"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1,657</w:t>
            </w:r>
          </w:p>
        </w:tc>
      </w:tr>
      <w:tr w:rsidR="00496618" w14:paraId="6CE720BA"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AFDFBF"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1,420</w:t>
            </w:r>
          </w:p>
        </w:tc>
        <w:tc>
          <w:tcPr>
            <w:tcW w:w="3180" w:type="dxa"/>
            <w:tcBorders>
              <w:top w:val="nil"/>
              <w:left w:val="nil"/>
              <w:bottom w:val="nil"/>
              <w:right w:val="nil"/>
              <w:tl2br w:val="nil"/>
              <w:tr2bl w:val="nil"/>
            </w:tcBorders>
            <w:shd w:val="clear" w:color="auto" w:fill="auto"/>
            <w:noWrap/>
            <w:tcMar>
              <w:left w:w="101" w:type="dxa"/>
              <w:right w:w="101" w:type="dxa"/>
            </w:tcMar>
          </w:tcPr>
          <w:p w14:paraId="1A27A0A5" w14:textId="77777777" w:rsidR="00496618" w:rsidRDefault="0027723F">
            <w:pPr>
              <w:pStyle w:val="Normal18"/>
              <w:rPr>
                <w:rFonts w:ascii="Calibri" w:eastAsia="Calibri" w:hAnsi="Calibri" w:cs="Calibri"/>
                <w:color w:val="000000"/>
                <w:sz w:val="18"/>
              </w:rPr>
            </w:pPr>
            <w:r>
              <w:rPr>
                <w:rFonts w:ascii="Calibri" w:eastAsia="Calibri" w:hAnsi="Calibri" w:cs="Calibri"/>
                <w:color w:val="000000"/>
                <w:sz w:val="18"/>
              </w:rPr>
              <w:t>Other</w:t>
            </w:r>
          </w:p>
        </w:tc>
        <w:tc>
          <w:tcPr>
            <w:tcW w:w="904" w:type="dxa"/>
            <w:tcBorders>
              <w:top w:val="nil"/>
              <w:left w:val="nil"/>
              <w:bottom w:val="nil"/>
              <w:right w:val="nil"/>
              <w:tl2br w:val="nil"/>
              <w:tr2bl w:val="nil"/>
            </w:tcBorders>
            <w:shd w:val="clear" w:color="FFFFFF" w:fill="FFFFFF"/>
            <w:tcMar>
              <w:left w:w="101" w:type="dxa"/>
              <w:right w:w="101" w:type="dxa"/>
            </w:tcMar>
          </w:tcPr>
          <w:p w14:paraId="7D4A8FF6"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614</w:t>
            </w:r>
          </w:p>
        </w:tc>
        <w:tc>
          <w:tcPr>
            <w:tcW w:w="904" w:type="dxa"/>
            <w:tcBorders>
              <w:top w:val="nil"/>
              <w:left w:val="nil"/>
              <w:bottom w:val="nil"/>
              <w:right w:val="nil"/>
              <w:tl2br w:val="nil"/>
              <w:tr2bl w:val="nil"/>
            </w:tcBorders>
            <w:shd w:val="clear" w:color="FFFFFF" w:fill="FFFFFF"/>
            <w:tcMar>
              <w:left w:w="101" w:type="dxa"/>
              <w:right w:w="101" w:type="dxa"/>
            </w:tcMar>
          </w:tcPr>
          <w:p w14:paraId="3081CF26"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1,631</w:t>
            </w:r>
          </w:p>
        </w:tc>
        <w:tc>
          <w:tcPr>
            <w:tcW w:w="904" w:type="dxa"/>
            <w:tcBorders>
              <w:top w:val="nil"/>
              <w:left w:val="nil"/>
              <w:bottom w:val="nil"/>
              <w:right w:val="nil"/>
              <w:tl2br w:val="nil"/>
              <w:tr2bl w:val="nil"/>
            </w:tcBorders>
            <w:shd w:val="clear" w:color="FFFFFF" w:fill="FFFFFF"/>
            <w:tcMar>
              <w:left w:w="101" w:type="dxa"/>
              <w:right w:w="101" w:type="dxa"/>
            </w:tcMar>
          </w:tcPr>
          <w:p w14:paraId="7EF4A52A"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 xml:space="preserve">166 </w:t>
            </w:r>
          </w:p>
        </w:tc>
        <w:tc>
          <w:tcPr>
            <w:tcW w:w="904" w:type="dxa"/>
            <w:tcBorders>
              <w:top w:val="nil"/>
              <w:left w:val="nil"/>
              <w:bottom w:val="nil"/>
              <w:right w:val="nil"/>
              <w:tl2br w:val="nil"/>
              <w:tr2bl w:val="nil"/>
            </w:tcBorders>
            <w:shd w:val="clear" w:color="FFFFFF" w:fill="FFFFFF"/>
            <w:tcMar>
              <w:left w:w="101" w:type="dxa"/>
              <w:right w:w="101" w:type="dxa"/>
            </w:tcMar>
          </w:tcPr>
          <w:p w14:paraId="0A713D96"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1,112</w:t>
            </w:r>
          </w:p>
        </w:tc>
        <w:tc>
          <w:tcPr>
            <w:tcW w:w="904" w:type="dxa"/>
            <w:tcBorders>
              <w:top w:val="nil"/>
              <w:left w:val="nil"/>
              <w:bottom w:val="nil"/>
              <w:right w:val="nil"/>
              <w:tl2br w:val="nil"/>
              <w:tr2bl w:val="nil"/>
            </w:tcBorders>
            <w:shd w:val="clear" w:color="FFFFFF" w:fill="FFFFFF"/>
            <w:tcMar>
              <w:left w:w="101" w:type="dxa"/>
              <w:right w:w="101" w:type="dxa"/>
            </w:tcMar>
          </w:tcPr>
          <w:p w14:paraId="35546AC0"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197</w:t>
            </w:r>
          </w:p>
        </w:tc>
        <w:tc>
          <w:tcPr>
            <w:tcW w:w="904" w:type="dxa"/>
            <w:tcBorders>
              <w:top w:val="nil"/>
              <w:left w:val="nil"/>
              <w:bottom w:val="nil"/>
              <w:right w:val="nil"/>
              <w:tl2br w:val="nil"/>
              <w:tr2bl w:val="nil"/>
            </w:tcBorders>
            <w:shd w:val="clear" w:color="FFFFFF" w:fill="FFFFFF"/>
            <w:tcMar>
              <w:left w:w="101" w:type="dxa"/>
              <w:right w:w="101" w:type="dxa"/>
            </w:tcMar>
          </w:tcPr>
          <w:p w14:paraId="029017A1"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97</w:t>
            </w:r>
          </w:p>
        </w:tc>
      </w:tr>
      <w:tr w:rsidR="00496618" w14:paraId="15D0BB3E"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DF63F9"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17,117</w:t>
            </w:r>
          </w:p>
        </w:tc>
        <w:tc>
          <w:tcPr>
            <w:tcW w:w="3180" w:type="dxa"/>
            <w:tcBorders>
              <w:top w:val="nil"/>
              <w:left w:val="nil"/>
              <w:bottom w:val="nil"/>
              <w:right w:val="nil"/>
              <w:tl2br w:val="nil"/>
              <w:tr2bl w:val="nil"/>
            </w:tcBorders>
            <w:shd w:val="clear" w:color="FFFFFF" w:fill="FFFFFF"/>
            <w:noWrap/>
            <w:tcMar>
              <w:left w:w="101" w:type="dxa"/>
              <w:right w:w="101" w:type="dxa"/>
            </w:tcMar>
          </w:tcPr>
          <w:p w14:paraId="0A0B47AA" w14:textId="77777777" w:rsidR="00496618" w:rsidRDefault="0027723F">
            <w:pPr>
              <w:pStyle w:val="Normal18"/>
              <w:rPr>
                <w:rFonts w:ascii="Calibri" w:eastAsia="Calibri" w:hAnsi="Calibri" w:cs="Calibri"/>
                <w:b/>
                <w:color w:val="000000"/>
                <w:sz w:val="18"/>
              </w:rPr>
            </w:pPr>
            <w:r>
              <w:rPr>
                <w:rFonts w:ascii="Calibri" w:eastAsia="Calibri" w:hAnsi="Calibri" w:cs="Calibri"/>
                <w:b/>
                <w:color w:val="000000"/>
                <w:sz w:val="18"/>
              </w:rPr>
              <w:t>Operating Receipts</w:t>
            </w:r>
          </w:p>
        </w:tc>
        <w:tc>
          <w:tcPr>
            <w:tcW w:w="904" w:type="dxa"/>
            <w:tcBorders>
              <w:top w:val="nil"/>
              <w:left w:val="nil"/>
              <w:bottom w:val="nil"/>
              <w:right w:val="nil"/>
              <w:tl2br w:val="nil"/>
              <w:tr2bl w:val="nil"/>
            </w:tcBorders>
            <w:shd w:val="clear" w:color="FFFFFF" w:fill="FFFFFF"/>
            <w:tcMar>
              <w:left w:w="101" w:type="dxa"/>
              <w:right w:w="101" w:type="dxa"/>
            </w:tcMar>
          </w:tcPr>
          <w:p w14:paraId="6DC8F024"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10,552</w:t>
            </w:r>
          </w:p>
        </w:tc>
        <w:tc>
          <w:tcPr>
            <w:tcW w:w="904" w:type="dxa"/>
            <w:tcBorders>
              <w:top w:val="nil"/>
              <w:left w:val="nil"/>
              <w:bottom w:val="nil"/>
              <w:right w:val="nil"/>
              <w:tl2br w:val="nil"/>
              <w:tr2bl w:val="nil"/>
            </w:tcBorders>
            <w:shd w:val="clear" w:color="FFFFFF" w:fill="FFFFFF"/>
            <w:tcMar>
              <w:left w:w="101" w:type="dxa"/>
              <w:right w:w="101" w:type="dxa"/>
            </w:tcMar>
          </w:tcPr>
          <w:p w14:paraId="50B1756F"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19,646</w:t>
            </w:r>
          </w:p>
        </w:tc>
        <w:tc>
          <w:tcPr>
            <w:tcW w:w="904" w:type="dxa"/>
            <w:tcBorders>
              <w:top w:val="nil"/>
              <w:left w:val="nil"/>
              <w:bottom w:val="nil"/>
              <w:right w:val="nil"/>
              <w:tl2br w:val="nil"/>
              <w:tr2bl w:val="nil"/>
            </w:tcBorders>
            <w:shd w:val="clear" w:color="FFFFFF" w:fill="FFFFFF"/>
            <w:tcMar>
              <w:left w:w="101" w:type="dxa"/>
              <w:right w:w="101" w:type="dxa"/>
            </w:tcMar>
          </w:tcPr>
          <w:p w14:paraId="42F313F1"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86 </w:t>
            </w:r>
          </w:p>
        </w:tc>
        <w:tc>
          <w:tcPr>
            <w:tcW w:w="904" w:type="dxa"/>
            <w:tcBorders>
              <w:top w:val="nil"/>
              <w:left w:val="nil"/>
              <w:bottom w:val="nil"/>
              <w:right w:val="nil"/>
              <w:tl2br w:val="nil"/>
              <w:tr2bl w:val="nil"/>
            </w:tcBorders>
            <w:shd w:val="clear" w:color="FFFFFF" w:fill="FFFFFF"/>
            <w:tcMar>
              <w:left w:w="101" w:type="dxa"/>
              <w:right w:w="101" w:type="dxa"/>
            </w:tcMar>
          </w:tcPr>
          <w:p w14:paraId="0250DE9E"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13,815</w:t>
            </w:r>
          </w:p>
        </w:tc>
        <w:tc>
          <w:tcPr>
            <w:tcW w:w="904" w:type="dxa"/>
            <w:tcBorders>
              <w:top w:val="nil"/>
              <w:left w:val="nil"/>
              <w:bottom w:val="nil"/>
              <w:right w:val="nil"/>
              <w:tl2br w:val="nil"/>
              <w:tr2bl w:val="nil"/>
            </w:tcBorders>
            <w:shd w:val="clear" w:color="FFFFFF" w:fill="FFFFFF"/>
            <w:tcMar>
              <w:left w:w="101" w:type="dxa"/>
              <w:right w:w="101" w:type="dxa"/>
            </w:tcMar>
          </w:tcPr>
          <w:p w14:paraId="7379139C"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3,792</w:t>
            </w:r>
          </w:p>
        </w:tc>
        <w:tc>
          <w:tcPr>
            <w:tcW w:w="904" w:type="dxa"/>
            <w:tcBorders>
              <w:top w:val="nil"/>
              <w:left w:val="nil"/>
              <w:bottom w:val="nil"/>
              <w:right w:val="nil"/>
              <w:tl2br w:val="nil"/>
              <w:tr2bl w:val="nil"/>
            </w:tcBorders>
            <w:shd w:val="clear" w:color="FFFFFF" w:fill="FFFFFF"/>
            <w:tcMar>
              <w:left w:w="101" w:type="dxa"/>
              <w:right w:w="101" w:type="dxa"/>
            </w:tcMar>
          </w:tcPr>
          <w:p w14:paraId="06F23B11"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2,756</w:t>
            </w:r>
          </w:p>
        </w:tc>
      </w:tr>
      <w:tr w:rsidR="00496618" w14:paraId="60AB3DD9"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3ABF89E" w14:textId="77777777" w:rsidR="00496618" w:rsidRDefault="00496618">
            <w:pPr>
              <w:pStyle w:val="Normal18"/>
              <w:rPr>
                <w:rFonts w:ascii="Calibri" w:eastAsia="Calibri" w:hAnsi="Calibri" w:cs="Calibri"/>
                <w:b/>
                <w:color w:val="000000"/>
                <w:sz w:val="18"/>
              </w:rPr>
            </w:pPr>
          </w:p>
        </w:tc>
        <w:tc>
          <w:tcPr>
            <w:tcW w:w="3180" w:type="dxa"/>
            <w:tcBorders>
              <w:top w:val="nil"/>
              <w:left w:val="nil"/>
              <w:bottom w:val="nil"/>
              <w:right w:val="nil"/>
              <w:tl2br w:val="nil"/>
              <w:tr2bl w:val="nil"/>
            </w:tcBorders>
            <w:shd w:val="clear" w:color="FFFFFF" w:fill="FFFFFF"/>
            <w:noWrap/>
            <w:tcMar>
              <w:left w:w="0" w:type="dxa"/>
              <w:right w:w="0" w:type="dxa"/>
            </w:tcMar>
          </w:tcPr>
          <w:p w14:paraId="776D76A0" w14:textId="77777777" w:rsidR="00496618" w:rsidRDefault="00496618">
            <w:pPr>
              <w:pStyle w:val="Normal18"/>
              <w:rPr>
                <w:rFonts w:ascii="Calibri" w:eastAsia="Calibri" w:hAnsi="Calibri" w:cs="Calibri"/>
                <w:b/>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3D6CBEED" w14:textId="77777777" w:rsidR="00496618" w:rsidRDefault="00496618">
            <w:pPr>
              <w:pStyle w:val="Normal18"/>
              <w:rPr>
                <w:rFonts w:ascii="Calibri" w:eastAsia="Calibri" w:hAnsi="Calibri" w:cs="Calibri"/>
                <w:b/>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0FE56C08" w14:textId="77777777" w:rsidR="00496618" w:rsidRDefault="00496618">
            <w:pPr>
              <w:pStyle w:val="Normal18"/>
              <w:rPr>
                <w:rFonts w:ascii="Calibri" w:eastAsia="Calibri" w:hAnsi="Calibri" w:cs="Calibri"/>
                <w:b/>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6F6E31E4" w14:textId="77777777" w:rsidR="00496618" w:rsidRDefault="00496618">
            <w:pPr>
              <w:pStyle w:val="Normal18"/>
              <w:jc w:val="right"/>
              <w:rPr>
                <w:rFonts w:ascii="Calibri" w:eastAsia="Calibri" w:hAnsi="Calibri" w:cs="Calibri"/>
                <w:b/>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717CE080" w14:textId="77777777" w:rsidR="00496618" w:rsidRDefault="00496618">
            <w:pPr>
              <w:pStyle w:val="Normal18"/>
              <w:rPr>
                <w:rFonts w:ascii="Calibri" w:eastAsia="Calibri" w:hAnsi="Calibri" w:cs="Calibri"/>
                <w:b/>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5EBD8543" w14:textId="77777777" w:rsidR="00496618" w:rsidRDefault="00496618">
            <w:pPr>
              <w:pStyle w:val="Normal18"/>
              <w:rPr>
                <w:rFonts w:ascii="Calibri" w:eastAsia="Calibri" w:hAnsi="Calibri" w:cs="Calibri"/>
                <w:b/>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27AE316F" w14:textId="77777777" w:rsidR="00496618" w:rsidRDefault="00496618">
            <w:pPr>
              <w:pStyle w:val="Normal18"/>
              <w:rPr>
                <w:rFonts w:ascii="Calibri" w:eastAsia="Calibri" w:hAnsi="Calibri" w:cs="Calibri"/>
                <w:b/>
                <w:color w:val="000000"/>
                <w:sz w:val="18"/>
              </w:rPr>
            </w:pPr>
          </w:p>
        </w:tc>
      </w:tr>
      <w:tr w:rsidR="00496618" w14:paraId="4CDA6265"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4709576" w14:textId="77777777" w:rsidR="00496618" w:rsidRDefault="00496618">
            <w:pPr>
              <w:pStyle w:val="Normal18"/>
              <w:rPr>
                <w:rFonts w:ascii="Calibri" w:eastAsia="Calibri" w:hAnsi="Calibri" w:cs="Calibri"/>
                <w:color w:val="000000"/>
                <w:sz w:val="18"/>
              </w:rPr>
            </w:pPr>
          </w:p>
        </w:tc>
        <w:tc>
          <w:tcPr>
            <w:tcW w:w="3180" w:type="dxa"/>
            <w:tcBorders>
              <w:top w:val="nil"/>
              <w:left w:val="nil"/>
              <w:bottom w:val="nil"/>
              <w:right w:val="nil"/>
              <w:tl2br w:val="nil"/>
              <w:tr2bl w:val="nil"/>
            </w:tcBorders>
            <w:shd w:val="clear" w:color="FFFFFF" w:fill="FFFFFF"/>
            <w:noWrap/>
            <w:tcMar>
              <w:left w:w="101" w:type="dxa"/>
              <w:right w:w="101" w:type="dxa"/>
            </w:tcMar>
          </w:tcPr>
          <w:p w14:paraId="0E228B5D" w14:textId="77777777" w:rsidR="00496618" w:rsidRDefault="0027723F">
            <w:pPr>
              <w:pStyle w:val="Normal18"/>
              <w:rPr>
                <w:rFonts w:ascii="Calibri" w:eastAsia="Calibri" w:hAnsi="Calibri" w:cs="Calibri"/>
                <w:b/>
                <w:color w:val="000000"/>
                <w:sz w:val="18"/>
              </w:rPr>
            </w:pPr>
            <w:r>
              <w:rPr>
                <w:rFonts w:ascii="Calibri" w:eastAsia="Calibri" w:hAnsi="Calibri" w:cs="Calibri"/>
                <w:b/>
                <w:color w:val="000000"/>
                <w:sz w:val="18"/>
              </w:rPr>
              <w:t>Payments</w:t>
            </w:r>
          </w:p>
        </w:tc>
        <w:tc>
          <w:tcPr>
            <w:tcW w:w="904" w:type="dxa"/>
            <w:tcBorders>
              <w:top w:val="nil"/>
              <w:left w:val="nil"/>
              <w:bottom w:val="nil"/>
              <w:right w:val="nil"/>
              <w:tl2br w:val="nil"/>
              <w:tr2bl w:val="nil"/>
            </w:tcBorders>
            <w:shd w:val="clear" w:color="FFFFFF" w:fill="FFFFFF"/>
            <w:tcMar>
              <w:left w:w="0" w:type="dxa"/>
              <w:right w:w="0" w:type="dxa"/>
            </w:tcMar>
          </w:tcPr>
          <w:p w14:paraId="5E492ACD"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37FBE745"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55E41204"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2993F607"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2C522477"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664DAC5D" w14:textId="77777777" w:rsidR="00496618" w:rsidRDefault="00496618">
            <w:pPr>
              <w:pStyle w:val="Normal18"/>
              <w:rPr>
                <w:rFonts w:ascii="Calibri" w:eastAsia="Calibri" w:hAnsi="Calibri" w:cs="Calibri"/>
                <w:color w:val="000000"/>
                <w:sz w:val="18"/>
              </w:rPr>
            </w:pPr>
          </w:p>
        </w:tc>
      </w:tr>
      <w:tr w:rsidR="00496618" w14:paraId="68B0CA83"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FDAB22"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14,202</w:t>
            </w:r>
          </w:p>
        </w:tc>
        <w:tc>
          <w:tcPr>
            <w:tcW w:w="3180" w:type="dxa"/>
            <w:tcBorders>
              <w:top w:val="nil"/>
              <w:left w:val="nil"/>
              <w:bottom w:val="nil"/>
              <w:right w:val="nil"/>
              <w:tl2br w:val="nil"/>
              <w:tr2bl w:val="nil"/>
            </w:tcBorders>
            <w:shd w:val="clear" w:color="FFFFFF" w:fill="FFFFFF"/>
            <w:noWrap/>
            <w:tcMar>
              <w:left w:w="101" w:type="dxa"/>
              <w:right w:w="101" w:type="dxa"/>
            </w:tcMar>
          </w:tcPr>
          <w:p w14:paraId="4E9B2D83" w14:textId="77777777" w:rsidR="00496618" w:rsidRDefault="0027723F">
            <w:pPr>
              <w:pStyle w:val="Normal18"/>
              <w:rPr>
                <w:rFonts w:ascii="Calibri" w:eastAsia="Calibri" w:hAnsi="Calibri" w:cs="Calibri"/>
                <w:color w:val="000000"/>
                <w:sz w:val="18"/>
              </w:rPr>
            </w:pPr>
            <w:r>
              <w:rPr>
                <w:rFonts w:ascii="Calibri" w:eastAsia="Calibri" w:hAnsi="Calibri" w:cs="Calibri"/>
                <w:color w:val="000000"/>
                <w:sz w:val="18"/>
              </w:rPr>
              <w:t>Grants and Purchased Services</w:t>
            </w:r>
          </w:p>
        </w:tc>
        <w:tc>
          <w:tcPr>
            <w:tcW w:w="904" w:type="dxa"/>
            <w:tcBorders>
              <w:top w:val="nil"/>
              <w:left w:val="nil"/>
              <w:bottom w:val="nil"/>
              <w:right w:val="nil"/>
              <w:tl2br w:val="nil"/>
              <w:tr2bl w:val="nil"/>
            </w:tcBorders>
            <w:shd w:val="clear" w:color="FFFFFF" w:fill="FFFFFF"/>
            <w:tcMar>
              <w:left w:w="101" w:type="dxa"/>
              <w:right w:w="101" w:type="dxa"/>
            </w:tcMar>
          </w:tcPr>
          <w:p w14:paraId="322DE5AA"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8,807</w:t>
            </w:r>
          </w:p>
        </w:tc>
        <w:tc>
          <w:tcPr>
            <w:tcW w:w="904" w:type="dxa"/>
            <w:tcBorders>
              <w:top w:val="nil"/>
              <w:left w:val="nil"/>
              <w:bottom w:val="nil"/>
              <w:right w:val="nil"/>
              <w:tl2br w:val="nil"/>
              <w:tr2bl w:val="nil"/>
            </w:tcBorders>
            <w:shd w:val="clear" w:color="FFFFFF" w:fill="FFFFFF"/>
            <w:tcMar>
              <w:left w:w="101" w:type="dxa"/>
              <w:right w:w="101" w:type="dxa"/>
            </w:tcMar>
          </w:tcPr>
          <w:p w14:paraId="25D073E4"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16,475</w:t>
            </w:r>
          </w:p>
        </w:tc>
        <w:tc>
          <w:tcPr>
            <w:tcW w:w="904" w:type="dxa"/>
            <w:tcBorders>
              <w:top w:val="nil"/>
              <w:left w:val="nil"/>
              <w:bottom w:val="nil"/>
              <w:right w:val="nil"/>
              <w:tl2br w:val="nil"/>
              <w:tr2bl w:val="nil"/>
            </w:tcBorders>
            <w:shd w:val="clear" w:color="FFFFFF" w:fill="FFFFFF"/>
            <w:tcMar>
              <w:left w:w="101" w:type="dxa"/>
              <w:right w:w="101" w:type="dxa"/>
            </w:tcMar>
          </w:tcPr>
          <w:p w14:paraId="48FAB018"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 xml:space="preserve">87 </w:t>
            </w:r>
          </w:p>
        </w:tc>
        <w:tc>
          <w:tcPr>
            <w:tcW w:w="904" w:type="dxa"/>
            <w:tcBorders>
              <w:top w:val="nil"/>
              <w:left w:val="nil"/>
              <w:bottom w:val="nil"/>
              <w:right w:val="nil"/>
              <w:tl2br w:val="nil"/>
              <w:tr2bl w:val="nil"/>
            </w:tcBorders>
            <w:shd w:val="clear" w:color="FFFFFF" w:fill="FFFFFF"/>
            <w:tcMar>
              <w:left w:w="101" w:type="dxa"/>
              <w:right w:w="101" w:type="dxa"/>
            </w:tcMar>
          </w:tcPr>
          <w:p w14:paraId="54426062"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11,125</w:t>
            </w:r>
          </w:p>
        </w:tc>
        <w:tc>
          <w:tcPr>
            <w:tcW w:w="904" w:type="dxa"/>
            <w:tcBorders>
              <w:top w:val="nil"/>
              <w:left w:val="nil"/>
              <w:bottom w:val="nil"/>
              <w:right w:val="nil"/>
              <w:tl2br w:val="nil"/>
              <w:tr2bl w:val="nil"/>
            </w:tcBorders>
            <w:shd w:val="clear" w:color="FFFFFF" w:fill="FFFFFF"/>
            <w:tcMar>
              <w:left w:w="101" w:type="dxa"/>
              <w:right w:w="101" w:type="dxa"/>
            </w:tcMar>
          </w:tcPr>
          <w:p w14:paraId="11787D60"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1,978</w:t>
            </w:r>
          </w:p>
        </w:tc>
        <w:tc>
          <w:tcPr>
            <w:tcW w:w="904" w:type="dxa"/>
            <w:tcBorders>
              <w:top w:val="nil"/>
              <w:left w:val="nil"/>
              <w:bottom w:val="nil"/>
              <w:right w:val="nil"/>
              <w:tl2br w:val="nil"/>
              <w:tr2bl w:val="nil"/>
            </w:tcBorders>
            <w:shd w:val="clear" w:color="FFFFFF" w:fill="FFFFFF"/>
            <w:tcMar>
              <w:left w:w="101" w:type="dxa"/>
              <w:right w:w="101" w:type="dxa"/>
            </w:tcMar>
          </w:tcPr>
          <w:p w14:paraId="566E8352"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1,002</w:t>
            </w:r>
          </w:p>
        </w:tc>
      </w:tr>
      <w:tr w:rsidR="00496618" w14:paraId="4A82027B"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155E8BE"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1,495</w:t>
            </w:r>
          </w:p>
        </w:tc>
        <w:tc>
          <w:tcPr>
            <w:tcW w:w="3180" w:type="dxa"/>
            <w:tcBorders>
              <w:top w:val="nil"/>
              <w:left w:val="nil"/>
              <w:bottom w:val="nil"/>
              <w:right w:val="nil"/>
              <w:tl2br w:val="nil"/>
              <w:tr2bl w:val="nil"/>
            </w:tcBorders>
            <w:shd w:val="clear" w:color="FFFFFF" w:fill="FFFFFF"/>
            <w:noWrap/>
            <w:tcMar>
              <w:left w:w="101" w:type="dxa"/>
              <w:right w:w="101" w:type="dxa"/>
            </w:tcMar>
          </w:tcPr>
          <w:p w14:paraId="37CEA31B" w14:textId="77777777" w:rsidR="00496618" w:rsidRDefault="0027723F">
            <w:pPr>
              <w:pStyle w:val="Normal18"/>
              <w:rPr>
                <w:rFonts w:ascii="Calibri" w:eastAsia="Calibri" w:hAnsi="Calibri" w:cs="Calibri"/>
                <w:color w:val="000000"/>
                <w:sz w:val="18"/>
              </w:rPr>
            </w:pPr>
            <w:r>
              <w:rPr>
                <w:rFonts w:ascii="Calibri" w:eastAsia="Calibri" w:hAnsi="Calibri" w:cs="Calibri"/>
                <w:color w:val="000000"/>
                <w:sz w:val="18"/>
              </w:rPr>
              <w:t>Transfer of Territory Receipts to the ACT Government</w:t>
            </w:r>
          </w:p>
        </w:tc>
        <w:tc>
          <w:tcPr>
            <w:tcW w:w="904" w:type="dxa"/>
            <w:tcBorders>
              <w:top w:val="nil"/>
              <w:left w:val="nil"/>
              <w:bottom w:val="nil"/>
              <w:right w:val="nil"/>
              <w:tl2br w:val="nil"/>
              <w:tr2bl w:val="nil"/>
            </w:tcBorders>
            <w:shd w:val="clear" w:color="FFFFFF" w:fill="FFFFFF"/>
            <w:tcMar>
              <w:left w:w="101" w:type="dxa"/>
              <w:right w:w="101" w:type="dxa"/>
            </w:tcMar>
          </w:tcPr>
          <w:p w14:paraId="0D5413BC"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1,132</w:t>
            </w:r>
          </w:p>
        </w:tc>
        <w:tc>
          <w:tcPr>
            <w:tcW w:w="904" w:type="dxa"/>
            <w:tcBorders>
              <w:top w:val="nil"/>
              <w:left w:val="nil"/>
              <w:bottom w:val="nil"/>
              <w:right w:val="nil"/>
              <w:tl2br w:val="nil"/>
              <w:tr2bl w:val="nil"/>
            </w:tcBorders>
            <w:shd w:val="clear" w:color="FFFFFF" w:fill="FFFFFF"/>
            <w:tcMar>
              <w:left w:w="101" w:type="dxa"/>
              <w:right w:w="101" w:type="dxa"/>
            </w:tcMar>
          </w:tcPr>
          <w:p w14:paraId="6D85CD5D"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1,540</w:t>
            </w:r>
          </w:p>
        </w:tc>
        <w:tc>
          <w:tcPr>
            <w:tcW w:w="904" w:type="dxa"/>
            <w:tcBorders>
              <w:top w:val="nil"/>
              <w:left w:val="nil"/>
              <w:bottom w:val="nil"/>
              <w:right w:val="nil"/>
              <w:tl2br w:val="nil"/>
              <w:tr2bl w:val="nil"/>
            </w:tcBorders>
            <w:shd w:val="clear" w:color="FFFFFF" w:fill="FFFFFF"/>
            <w:tcMar>
              <w:left w:w="101" w:type="dxa"/>
              <w:right w:w="101" w:type="dxa"/>
            </w:tcMar>
          </w:tcPr>
          <w:p w14:paraId="41246039"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 xml:space="preserve">36 </w:t>
            </w:r>
          </w:p>
        </w:tc>
        <w:tc>
          <w:tcPr>
            <w:tcW w:w="904" w:type="dxa"/>
            <w:tcBorders>
              <w:top w:val="nil"/>
              <w:left w:val="nil"/>
              <w:bottom w:val="nil"/>
              <w:right w:val="nil"/>
              <w:tl2br w:val="nil"/>
              <w:tr2bl w:val="nil"/>
            </w:tcBorders>
            <w:shd w:val="clear" w:color="FFFFFF" w:fill="FFFFFF"/>
            <w:tcMar>
              <w:left w:w="101" w:type="dxa"/>
              <w:right w:w="101" w:type="dxa"/>
            </w:tcMar>
          </w:tcPr>
          <w:p w14:paraId="2B8C32DD"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1,578</w:t>
            </w:r>
          </w:p>
        </w:tc>
        <w:tc>
          <w:tcPr>
            <w:tcW w:w="904" w:type="dxa"/>
            <w:tcBorders>
              <w:top w:val="nil"/>
              <w:left w:val="nil"/>
              <w:bottom w:val="nil"/>
              <w:right w:val="nil"/>
              <w:tl2br w:val="nil"/>
              <w:tr2bl w:val="nil"/>
            </w:tcBorders>
            <w:shd w:val="clear" w:color="FFFFFF" w:fill="FFFFFF"/>
            <w:tcMar>
              <w:left w:w="101" w:type="dxa"/>
              <w:right w:w="101" w:type="dxa"/>
            </w:tcMar>
          </w:tcPr>
          <w:p w14:paraId="3C881F0D"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1,617</w:t>
            </w:r>
          </w:p>
        </w:tc>
        <w:tc>
          <w:tcPr>
            <w:tcW w:w="904" w:type="dxa"/>
            <w:tcBorders>
              <w:top w:val="nil"/>
              <w:left w:val="nil"/>
              <w:bottom w:val="nil"/>
              <w:right w:val="nil"/>
              <w:tl2br w:val="nil"/>
              <w:tr2bl w:val="nil"/>
            </w:tcBorders>
            <w:shd w:val="clear" w:color="FFFFFF" w:fill="FFFFFF"/>
            <w:tcMar>
              <w:left w:w="101" w:type="dxa"/>
              <w:right w:w="101" w:type="dxa"/>
            </w:tcMar>
          </w:tcPr>
          <w:p w14:paraId="4D1C1C99"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1,657</w:t>
            </w:r>
          </w:p>
        </w:tc>
      </w:tr>
      <w:tr w:rsidR="00496618" w14:paraId="687B5C46"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8A60DE9"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1,420</w:t>
            </w:r>
          </w:p>
        </w:tc>
        <w:tc>
          <w:tcPr>
            <w:tcW w:w="3180" w:type="dxa"/>
            <w:tcBorders>
              <w:top w:val="nil"/>
              <w:left w:val="nil"/>
              <w:bottom w:val="nil"/>
              <w:right w:val="nil"/>
              <w:tl2br w:val="nil"/>
              <w:tr2bl w:val="nil"/>
            </w:tcBorders>
            <w:shd w:val="clear" w:color="FFFFFF" w:fill="FFFFFF"/>
            <w:noWrap/>
            <w:tcMar>
              <w:left w:w="101" w:type="dxa"/>
              <w:right w:w="101" w:type="dxa"/>
            </w:tcMar>
          </w:tcPr>
          <w:p w14:paraId="15708CB2" w14:textId="77777777" w:rsidR="00496618" w:rsidRDefault="0027723F">
            <w:pPr>
              <w:pStyle w:val="Normal18"/>
              <w:rPr>
                <w:rFonts w:ascii="Calibri" w:eastAsia="Calibri" w:hAnsi="Calibri" w:cs="Calibri"/>
                <w:color w:val="000000"/>
                <w:sz w:val="18"/>
              </w:rPr>
            </w:pPr>
            <w:r>
              <w:rPr>
                <w:rFonts w:ascii="Calibri" w:eastAsia="Calibri" w:hAnsi="Calibri" w:cs="Calibri"/>
                <w:color w:val="000000"/>
                <w:sz w:val="18"/>
              </w:rPr>
              <w:t>Other</w:t>
            </w:r>
          </w:p>
        </w:tc>
        <w:tc>
          <w:tcPr>
            <w:tcW w:w="904" w:type="dxa"/>
            <w:tcBorders>
              <w:top w:val="nil"/>
              <w:left w:val="nil"/>
              <w:bottom w:val="nil"/>
              <w:right w:val="nil"/>
              <w:tl2br w:val="nil"/>
              <w:tr2bl w:val="nil"/>
            </w:tcBorders>
            <w:shd w:val="clear" w:color="FFFFFF" w:fill="FFFFFF"/>
            <w:tcMar>
              <w:left w:w="101" w:type="dxa"/>
              <w:right w:w="101" w:type="dxa"/>
            </w:tcMar>
          </w:tcPr>
          <w:p w14:paraId="19D2559E"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431</w:t>
            </w:r>
          </w:p>
        </w:tc>
        <w:tc>
          <w:tcPr>
            <w:tcW w:w="904" w:type="dxa"/>
            <w:tcBorders>
              <w:top w:val="nil"/>
              <w:left w:val="nil"/>
              <w:bottom w:val="nil"/>
              <w:right w:val="nil"/>
              <w:tl2br w:val="nil"/>
              <w:tr2bl w:val="nil"/>
            </w:tcBorders>
            <w:shd w:val="clear" w:color="FFFFFF" w:fill="FFFFFF"/>
            <w:tcMar>
              <w:left w:w="101" w:type="dxa"/>
              <w:right w:w="101" w:type="dxa"/>
            </w:tcMar>
          </w:tcPr>
          <w:p w14:paraId="352B56C8"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1,631</w:t>
            </w:r>
          </w:p>
        </w:tc>
        <w:tc>
          <w:tcPr>
            <w:tcW w:w="904" w:type="dxa"/>
            <w:tcBorders>
              <w:top w:val="nil"/>
              <w:left w:val="nil"/>
              <w:bottom w:val="nil"/>
              <w:right w:val="nil"/>
              <w:tl2br w:val="nil"/>
              <w:tr2bl w:val="nil"/>
            </w:tcBorders>
            <w:shd w:val="clear" w:color="FFFFFF" w:fill="FFFFFF"/>
            <w:tcMar>
              <w:left w:w="101" w:type="dxa"/>
              <w:right w:w="101" w:type="dxa"/>
            </w:tcMar>
          </w:tcPr>
          <w:p w14:paraId="5AACFBF7"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 xml:space="preserve">278 </w:t>
            </w:r>
          </w:p>
        </w:tc>
        <w:tc>
          <w:tcPr>
            <w:tcW w:w="904" w:type="dxa"/>
            <w:tcBorders>
              <w:top w:val="nil"/>
              <w:left w:val="nil"/>
              <w:bottom w:val="nil"/>
              <w:right w:val="nil"/>
              <w:tl2br w:val="nil"/>
              <w:tr2bl w:val="nil"/>
            </w:tcBorders>
            <w:shd w:val="clear" w:color="FFFFFF" w:fill="FFFFFF"/>
            <w:tcMar>
              <w:left w:w="101" w:type="dxa"/>
              <w:right w:w="101" w:type="dxa"/>
            </w:tcMar>
          </w:tcPr>
          <w:p w14:paraId="394B0D3F"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1,112</w:t>
            </w:r>
          </w:p>
        </w:tc>
        <w:tc>
          <w:tcPr>
            <w:tcW w:w="904" w:type="dxa"/>
            <w:tcBorders>
              <w:top w:val="nil"/>
              <w:left w:val="nil"/>
              <w:bottom w:val="nil"/>
              <w:right w:val="nil"/>
              <w:tl2br w:val="nil"/>
              <w:tr2bl w:val="nil"/>
            </w:tcBorders>
            <w:shd w:val="clear" w:color="FFFFFF" w:fill="FFFFFF"/>
            <w:tcMar>
              <w:left w:w="101" w:type="dxa"/>
              <w:right w:w="101" w:type="dxa"/>
            </w:tcMar>
          </w:tcPr>
          <w:p w14:paraId="0F47ED8D"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197</w:t>
            </w:r>
          </w:p>
        </w:tc>
        <w:tc>
          <w:tcPr>
            <w:tcW w:w="904" w:type="dxa"/>
            <w:tcBorders>
              <w:top w:val="nil"/>
              <w:left w:val="nil"/>
              <w:bottom w:val="nil"/>
              <w:right w:val="nil"/>
              <w:tl2br w:val="nil"/>
              <w:tr2bl w:val="nil"/>
            </w:tcBorders>
            <w:shd w:val="clear" w:color="FFFFFF" w:fill="FFFFFF"/>
            <w:tcMar>
              <w:left w:w="101" w:type="dxa"/>
              <w:right w:w="101" w:type="dxa"/>
            </w:tcMar>
          </w:tcPr>
          <w:p w14:paraId="5570EE86" w14:textId="77777777" w:rsidR="00496618" w:rsidRDefault="0027723F">
            <w:pPr>
              <w:pStyle w:val="Normal18"/>
              <w:jc w:val="right"/>
              <w:rPr>
                <w:rFonts w:ascii="Calibri" w:eastAsia="Calibri" w:hAnsi="Calibri" w:cs="Calibri"/>
                <w:color w:val="000000"/>
                <w:sz w:val="18"/>
              </w:rPr>
            </w:pPr>
            <w:r>
              <w:rPr>
                <w:rFonts w:ascii="Calibri" w:eastAsia="Calibri" w:hAnsi="Calibri" w:cs="Calibri"/>
                <w:color w:val="000000"/>
                <w:sz w:val="18"/>
              </w:rPr>
              <w:t>97</w:t>
            </w:r>
          </w:p>
        </w:tc>
      </w:tr>
      <w:tr w:rsidR="00496618" w14:paraId="66B63C8F"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8FE236"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17,117</w:t>
            </w:r>
          </w:p>
        </w:tc>
        <w:tc>
          <w:tcPr>
            <w:tcW w:w="3180" w:type="dxa"/>
            <w:tcBorders>
              <w:top w:val="nil"/>
              <w:left w:val="nil"/>
              <w:bottom w:val="nil"/>
              <w:right w:val="nil"/>
              <w:tl2br w:val="nil"/>
              <w:tr2bl w:val="nil"/>
            </w:tcBorders>
            <w:shd w:val="clear" w:color="FFFFFF" w:fill="FFFFFF"/>
            <w:noWrap/>
            <w:tcMar>
              <w:left w:w="101" w:type="dxa"/>
              <w:right w:w="101" w:type="dxa"/>
            </w:tcMar>
          </w:tcPr>
          <w:p w14:paraId="2DE62A54" w14:textId="77777777" w:rsidR="00496618" w:rsidRDefault="0027723F">
            <w:pPr>
              <w:pStyle w:val="Normal18"/>
              <w:rPr>
                <w:rFonts w:ascii="Calibri" w:eastAsia="Calibri" w:hAnsi="Calibri" w:cs="Calibri"/>
                <w:b/>
                <w:color w:val="000000"/>
                <w:sz w:val="18"/>
              </w:rPr>
            </w:pPr>
            <w:r>
              <w:rPr>
                <w:rFonts w:ascii="Calibri" w:eastAsia="Calibri" w:hAnsi="Calibri" w:cs="Calibri"/>
                <w:b/>
                <w:color w:val="000000"/>
                <w:sz w:val="18"/>
              </w:rPr>
              <w:t>Operating Payments</w:t>
            </w:r>
          </w:p>
        </w:tc>
        <w:tc>
          <w:tcPr>
            <w:tcW w:w="904" w:type="dxa"/>
            <w:tcBorders>
              <w:top w:val="nil"/>
              <w:left w:val="nil"/>
              <w:bottom w:val="nil"/>
              <w:right w:val="nil"/>
              <w:tl2br w:val="nil"/>
              <w:tr2bl w:val="nil"/>
            </w:tcBorders>
            <w:shd w:val="clear" w:color="FFFFFF" w:fill="FFFFFF"/>
            <w:tcMar>
              <w:left w:w="101" w:type="dxa"/>
              <w:right w:w="101" w:type="dxa"/>
            </w:tcMar>
          </w:tcPr>
          <w:p w14:paraId="71F2A3E4"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10,370</w:t>
            </w:r>
          </w:p>
        </w:tc>
        <w:tc>
          <w:tcPr>
            <w:tcW w:w="904" w:type="dxa"/>
            <w:tcBorders>
              <w:top w:val="nil"/>
              <w:left w:val="nil"/>
              <w:bottom w:val="nil"/>
              <w:right w:val="nil"/>
              <w:tl2br w:val="nil"/>
              <w:tr2bl w:val="nil"/>
            </w:tcBorders>
            <w:shd w:val="clear" w:color="FFFFFF" w:fill="FFFFFF"/>
            <w:tcMar>
              <w:left w:w="101" w:type="dxa"/>
              <w:right w:w="101" w:type="dxa"/>
            </w:tcMar>
          </w:tcPr>
          <w:p w14:paraId="048657B2"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19,646</w:t>
            </w:r>
          </w:p>
        </w:tc>
        <w:tc>
          <w:tcPr>
            <w:tcW w:w="904" w:type="dxa"/>
            <w:tcBorders>
              <w:top w:val="nil"/>
              <w:left w:val="nil"/>
              <w:bottom w:val="nil"/>
              <w:right w:val="nil"/>
              <w:tl2br w:val="nil"/>
              <w:tr2bl w:val="nil"/>
            </w:tcBorders>
            <w:shd w:val="clear" w:color="FFFFFF" w:fill="FFFFFF"/>
            <w:tcMar>
              <w:left w:w="101" w:type="dxa"/>
              <w:right w:w="101" w:type="dxa"/>
            </w:tcMar>
          </w:tcPr>
          <w:p w14:paraId="30DEF080"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89 </w:t>
            </w:r>
          </w:p>
        </w:tc>
        <w:tc>
          <w:tcPr>
            <w:tcW w:w="904" w:type="dxa"/>
            <w:tcBorders>
              <w:top w:val="nil"/>
              <w:left w:val="nil"/>
              <w:bottom w:val="nil"/>
              <w:right w:val="nil"/>
              <w:tl2br w:val="nil"/>
              <w:tr2bl w:val="nil"/>
            </w:tcBorders>
            <w:shd w:val="clear" w:color="FFFFFF" w:fill="FFFFFF"/>
            <w:tcMar>
              <w:left w:w="101" w:type="dxa"/>
              <w:right w:w="101" w:type="dxa"/>
            </w:tcMar>
          </w:tcPr>
          <w:p w14:paraId="73BD381D"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13,815</w:t>
            </w:r>
          </w:p>
        </w:tc>
        <w:tc>
          <w:tcPr>
            <w:tcW w:w="904" w:type="dxa"/>
            <w:tcBorders>
              <w:top w:val="nil"/>
              <w:left w:val="nil"/>
              <w:bottom w:val="nil"/>
              <w:right w:val="nil"/>
              <w:tl2br w:val="nil"/>
              <w:tr2bl w:val="nil"/>
            </w:tcBorders>
            <w:shd w:val="clear" w:color="FFFFFF" w:fill="FFFFFF"/>
            <w:tcMar>
              <w:left w:w="101" w:type="dxa"/>
              <w:right w:w="101" w:type="dxa"/>
            </w:tcMar>
          </w:tcPr>
          <w:p w14:paraId="3D1E93AA"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3,792</w:t>
            </w:r>
          </w:p>
        </w:tc>
        <w:tc>
          <w:tcPr>
            <w:tcW w:w="904" w:type="dxa"/>
            <w:tcBorders>
              <w:top w:val="nil"/>
              <w:left w:val="nil"/>
              <w:bottom w:val="nil"/>
              <w:right w:val="nil"/>
              <w:tl2br w:val="nil"/>
              <w:tr2bl w:val="nil"/>
            </w:tcBorders>
            <w:shd w:val="clear" w:color="FFFFFF" w:fill="FFFFFF"/>
            <w:tcMar>
              <w:left w:w="101" w:type="dxa"/>
              <w:right w:w="101" w:type="dxa"/>
            </w:tcMar>
          </w:tcPr>
          <w:p w14:paraId="5913C696"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2,756</w:t>
            </w:r>
          </w:p>
        </w:tc>
      </w:tr>
      <w:tr w:rsidR="00496618" w14:paraId="49CC8F72"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83E3281"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0</w:t>
            </w:r>
          </w:p>
        </w:tc>
        <w:tc>
          <w:tcPr>
            <w:tcW w:w="3180" w:type="dxa"/>
            <w:tcBorders>
              <w:top w:val="nil"/>
              <w:left w:val="nil"/>
              <w:bottom w:val="nil"/>
              <w:right w:val="nil"/>
              <w:tl2br w:val="nil"/>
              <w:tr2bl w:val="nil"/>
            </w:tcBorders>
            <w:shd w:val="clear" w:color="FFFFFF" w:fill="FFFFFF"/>
            <w:noWrap/>
            <w:tcMar>
              <w:left w:w="101" w:type="dxa"/>
              <w:right w:w="101" w:type="dxa"/>
            </w:tcMar>
          </w:tcPr>
          <w:p w14:paraId="05248909" w14:textId="77777777" w:rsidR="00496618" w:rsidRDefault="0027723F">
            <w:pPr>
              <w:pStyle w:val="Normal18"/>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904" w:type="dxa"/>
            <w:tcBorders>
              <w:top w:val="nil"/>
              <w:left w:val="nil"/>
              <w:bottom w:val="nil"/>
              <w:right w:val="nil"/>
              <w:tl2br w:val="nil"/>
              <w:tr2bl w:val="nil"/>
            </w:tcBorders>
            <w:shd w:val="clear" w:color="FFFFFF" w:fill="FFFFFF"/>
            <w:tcMar>
              <w:left w:w="101" w:type="dxa"/>
              <w:right w:w="101" w:type="dxa"/>
            </w:tcMar>
          </w:tcPr>
          <w:p w14:paraId="65A9CFA5"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182</w:t>
            </w:r>
          </w:p>
        </w:tc>
        <w:tc>
          <w:tcPr>
            <w:tcW w:w="904" w:type="dxa"/>
            <w:tcBorders>
              <w:top w:val="nil"/>
              <w:left w:val="nil"/>
              <w:bottom w:val="nil"/>
              <w:right w:val="nil"/>
              <w:tl2br w:val="nil"/>
              <w:tr2bl w:val="nil"/>
            </w:tcBorders>
            <w:shd w:val="clear" w:color="FFFFFF" w:fill="FFFFFF"/>
            <w:tcMar>
              <w:left w:w="101" w:type="dxa"/>
              <w:right w:w="101" w:type="dxa"/>
            </w:tcMar>
          </w:tcPr>
          <w:p w14:paraId="3E8FE1AE"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0</w:t>
            </w:r>
          </w:p>
        </w:tc>
        <w:tc>
          <w:tcPr>
            <w:tcW w:w="904" w:type="dxa"/>
            <w:tcBorders>
              <w:top w:val="nil"/>
              <w:left w:val="nil"/>
              <w:bottom w:val="nil"/>
              <w:right w:val="nil"/>
              <w:tl2br w:val="nil"/>
              <w:tr2bl w:val="nil"/>
            </w:tcBorders>
            <w:shd w:val="clear" w:color="FFFFFF" w:fill="FFFFFF"/>
            <w:tcMar>
              <w:left w:w="101" w:type="dxa"/>
              <w:right w:w="101" w:type="dxa"/>
            </w:tcMar>
          </w:tcPr>
          <w:p w14:paraId="30D1A9E7"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904" w:type="dxa"/>
            <w:tcBorders>
              <w:top w:val="nil"/>
              <w:left w:val="nil"/>
              <w:bottom w:val="nil"/>
              <w:right w:val="nil"/>
              <w:tl2br w:val="nil"/>
              <w:tr2bl w:val="nil"/>
            </w:tcBorders>
            <w:shd w:val="clear" w:color="FFFFFF" w:fill="FFFFFF"/>
            <w:tcMar>
              <w:left w:w="101" w:type="dxa"/>
              <w:right w:w="101" w:type="dxa"/>
            </w:tcMar>
          </w:tcPr>
          <w:p w14:paraId="766FC6A6"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0</w:t>
            </w:r>
          </w:p>
        </w:tc>
        <w:tc>
          <w:tcPr>
            <w:tcW w:w="904" w:type="dxa"/>
            <w:tcBorders>
              <w:top w:val="nil"/>
              <w:left w:val="nil"/>
              <w:bottom w:val="nil"/>
              <w:right w:val="nil"/>
              <w:tl2br w:val="nil"/>
              <w:tr2bl w:val="nil"/>
            </w:tcBorders>
            <w:shd w:val="clear" w:color="FFFFFF" w:fill="FFFFFF"/>
            <w:tcMar>
              <w:left w:w="101" w:type="dxa"/>
              <w:right w:w="101" w:type="dxa"/>
            </w:tcMar>
          </w:tcPr>
          <w:p w14:paraId="3924D64D"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0</w:t>
            </w:r>
          </w:p>
        </w:tc>
        <w:tc>
          <w:tcPr>
            <w:tcW w:w="904" w:type="dxa"/>
            <w:tcBorders>
              <w:top w:val="nil"/>
              <w:left w:val="nil"/>
              <w:bottom w:val="nil"/>
              <w:right w:val="nil"/>
              <w:tl2br w:val="nil"/>
              <w:tr2bl w:val="nil"/>
            </w:tcBorders>
            <w:shd w:val="clear" w:color="FFFFFF" w:fill="FFFFFF"/>
            <w:tcMar>
              <w:left w:w="101" w:type="dxa"/>
              <w:right w:w="101" w:type="dxa"/>
            </w:tcMar>
          </w:tcPr>
          <w:p w14:paraId="553E1586"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0</w:t>
            </w:r>
          </w:p>
        </w:tc>
      </w:tr>
      <w:tr w:rsidR="00496618" w14:paraId="73D29424"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7A7D31E" w14:textId="77777777" w:rsidR="00496618" w:rsidRDefault="00496618">
            <w:pPr>
              <w:pStyle w:val="Normal18"/>
              <w:rPr>
                <w:rFonts w:ascii="Calibri" w:eastAsia="Calibri" w:hAnsi="Calibri" w:cs="Calibri"/>
                <w:color w:val="000000"/>
                <w:sz w:val="18"/>
              </w:rPr>
            </w:pPr>
          </w:p>
        </w:tc>
        <w:tc>
          <w:tcPr>
            <w:tcW w:w="3180" w:type="dxa"/>
            <w:tcBorders>
              <w:top w:val="nil"/>
              <w:left w:val="nil"/>
              <w:bottom w:val="nil"/>
              <w:right w:val="nil"/>
              <w:tl2br w:val="nil"/>
              <w:tr2bl w:val="nil"/>
            </w:tcBorders>
            <w:shd w:val="clear" w:color="FFFFFF" w:fill="FFFFFF"/>
            <w:tcMar>
              <w:left w:w="0" w:type="dxa"/>
              <w:right w:w="0" w:type="dxa"/>
            </w:tcMar>
          </w:tcPr>
          <w:p w14:paraId="0C5B036A"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1A9EA0FF"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529325E9"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72223C39"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266D5C15"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4C725164"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58A95945" w14:textId="77777777" w:rsidR="00496618" w:rsidRDefault="00496618">
            <w:pPr>
              <w:pStyle w:val="Normal18"/>
              <w:rPr>
                <w:rFonts w:ascii="Calibri" w:eastAsia="Calibri" w:hAnsi="Calibri" w:cs="Calibri"/>
                <w:color w:val="000000"/>
                <w:sz w:val="18"/>
              </w:rPr>
            </w:pPr>
          </w:p>
        </w:tc>
      </w:tr>
      <w:tr w:rsidR="00496618" w14:paraId="73003C58"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8A0E61"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28</w:t>
            </w:r>
          </w:p>
        </w:tc>
        <w:tc>
          <w:tcPr>
            <w:tcW w:w="3180" w:type="dxa"/>
            <w:tcBorders>
              <w:top w:val="nil"/>
              <w:left w:val="nil"/>
              <w:bottom w:val="nil"/>
              <w:right w:val="nil"/>
              <w:tl2br w:val="nil"/>
              <w:tr2bl w:val="nil"/>
            </w:tcBorders>
            <w:shd w:val="clear" w:color="auto" w:fill="auto"/>
            <w:noWrap/>
            <w:tcMar>
              <w:left w:w="101" w:type="dxa"/>
              <w:right w:w="101" w:type="dxa"/>
            </w:tcMar>
          </w:tcPr>
          <w:p w14:paraId="7B568F41" w14:textId="77777777" w:rsidR="00496618" w:rsidRDefault="0027723F">
            <w:pPr>
              <w:pStyle w:val="Normal18"/>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904" w:type="dxa"/>
            <w:tcBorders>
              <w:top w:val="nil"/>
              <w:left w:val="nil"/>
              <w:bottom w:val="nil"/>
              <w:right w:val="nil"/>
              <w:tl2br w:val="nil"/>
              <w:tr2bl w:val="nil"/>
            </w:tcBorders>
            <w:shd w:val="clear" w:color="FFFFFF" w:fill="FFFFFF"/>
            <w:tcMar>
              <w:left w:w="101" w:type="dxa"/>
              <w:right w:w="101" w:type="dxa"/>
            </w:tcMar>
          </w:tcPr>
          <w:p w14:paraId="42C29FBB"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28</w:t>
            </w:r>
          </w:p>
        </w:tc>
        <w:tc>
          <w:tcPr>
            <w:tcW w:w="904" w:type="dxa"/>
            <w:tcBorders>
              <w:top w:val="nil"/>
              <w:left w:val="nil"/>
              <w:bottom w:val="nil"/>
              <w:right w:val="nil"/>
              <w:tl2br w:val="nil"/>
              <w:tr2bl w:val="nil"/>
            </w:tcBorders>
            <w:shd w:val="clear" w:color="FFFFFF" w:fill="FFFFFF"/>
            <w:tcMar>
              <w:left w:w="101" w:type="dxa"/>
              <w:right w:w="101" w:type="dxa"/>
            </w:tcMar>
          </w:tcPr>
          <w:p w14:paraId="3F76B129"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210</w:t>
            </w:r>
          </w:p>
        </w:tc>
        <w:tc>
          <w:tcPr>
            <w:tcW w:w="904" w:type="dxa"/>
            <w:tcBorders>
              <w:top w:val="nil"/>
              <w:left w:val="nil"/>
              <w:bottom w:val="nil"/>
              <w:right w:val="nil"/>
              <w:tl2br w:val="nil"/>
              <w:tr2bl w:val="nil"/>
            </w:tcBorders>
            <w:shd w:val="clear" w:color="FFFFFF" w:fill="FFFFFF"/>
            <w:tcMar>
              <w:left w:w="101" w:type="dxa"/>
              <w:right w:w="101" w:type="dxa"/>
            </w:tcMar>
          </w:tcPr>
          <w:p w14:paraId="47773EC5"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650 </w:t>
            </w:r>
          </w:p>
        </w:tc>
        <w:tc>
          <w:tcPr>
            <w:tcW w:w="904" w:type="dxa"/>
            <w:tcBorders>
              <w:top w:val="nil"/>
              <w:left w:val="nil"/>
              <w:bottom w:val="nil"/>
              <w:right w:val="nil"/>
              <w:tl2br w:val="nil"/>
              <w:tr2bl w:val="nil"/>
            </w:tcBorders>
            <w:shd w:val="clear" w:color="FFFFFF" w:fill="FFFFFF"/>
            <w:tcMar>
              <w:left w:w="101" w:type="dxa"/>
              <w:right w:w="101" w:type="dxa"/>
            </w:tcMar>
          </w:tcPr>
          <w:p w14:paraId="44AFF358"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210</w:t>
            </w:r>
          </w:p>
        </w:tc>
        <w:tc>
          <w:tcPr>
            <w:tcW w:w="904" w:type="dxa"/>
            <w:tcBorders>
              <w:top w:val="nil"/>
              <w:left w:val="nil"/>
              <w:bottom w:val="nil"/>
              <w:right w:val="nil"/>
              <w:tl2br w:val="nil"/>
              <w:tr2bl w:val="nil"/>
            </w:tcBorders>
            <w:shd w:val="clear" w:color="FFFFFF" w:fill="FFFFFF"/>
            <w:tcMar>
              <w:left w:w="101" w:type="dxa"/>
              <w:right w:w="101" w:type="dxa"/>
            </w:tcMar>
          </w:tcPr>
          <w:p w14:paraId="2D174066"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210</w:t>
            </w:r>
          </w:p>
        </w:tc>
        <w:tc>
          <w:tcPr>
            <w:tcW w:w="904" w:type="dxa"/>
            <w:tcBorders>
              <w:top w:val="nil"/>
              <w:left w:val="nil"/>
              <w:bottom w:val="nil"/>
              <w:right w:val="nil"/>
              <w:tl2br w:val="nil"/>
              <w:tr2bl w:val="nil"/>
            </w:tcBorders>
            <w:shd w:val="clear" w:color="FFFFFF" w:fill="FFFFFF"/>
            <w:tcMar>
              <w:left w:w="101" w:type="dxa"/>
              <w:right w:w="101" w:type="dxa"/>
            </w:tcMar>
          </w:tcPr>
          <w:p w14:paraId="700E6331"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210</w:t>
            </w:r>
          </w:p>
        </w:tc>
      </w:tr>
      <w:tr w:rsidR="00496618" w14:paraId="790CD675"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B17EB63" w14:textId="77777777" w:rsidR="00496618" w:rsidRDefault="00496618">
            <w:pPr>
              <w:pStyle w:val="Normal18"/>
              <w:rPr>
                <w:rFonts w:ascii="Calibri" w:eastAsia="Calibri" w:hAnsi="Calibri" w:cs="Calibri"/>
                <w:color w:val="000000"/>
                <w:sz w:val="18"/>
              </w:rPr>
            </w:pPr>
          </w:p>
        </w:tc>
        <w:tc>
          <w:tcPr>
            <w:tcW w:w="3180" w:type="dxa"/>
            <w:tcBorders>
              <w:top w:val="nil"/>
              <w:left w:val="nil"/>
              <w:bottom w:val="nil"/>
              <w:right w:val="nil"/>
              <w:tl2br w:val="nil"/>
              <w:tr2bl w:val="nil"/>
            </w:tcBorders>
            <w:shd w:val="clear" w:color="auto" w:fill="auto"/>
            <w:noWrap/>
            <w:tcMar>
              <w:left w:w="0" w:type="dxa"/>
              <w:right w:w="0" w:type="dxa"/>
            </w:tcMar>
            <w:vAlign w:val="bottom"/>
          </w:tcPr>
          <w:p w14:paraId="0FAE12B4"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24103FDC"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1E6EA4CE"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15B52A10"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621B5644"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4DC96038" w14:textId="77777777" w:rsidR="00496618" w:rsidRDefault="00496618">
            <w:pPr>
              <w:pStyle w:val="Normal18"/>
              <w:rPr>
                <w:rFonts w:ascii="Calibri" w:eastAsia="Calibri" w:hAnsi="Calibri" w:cs="Calibri"/>
                <w:color w:val="000000"/>
                <w:sz w:val="18"/>
              </w:rPr>
            </w:pPr>
          </w:p>
        </w:tc>
        <w:tc>
          <w:tcPr>
            <w:tcW w:w="904" w:type="dxa"/>
            <w:tcBorders>
              <w:top w:val="nil"/>
              <w:left w:val="nil"/>
              <w:bottom w:val="nil"/>
              <w:right w:val="nil"/>
              <w:tl2br w:val="nil"/>
              <w:tr2bl w:val="nil"/>
            </w:tcBorders>
            <w:shd w:val="clear" w:color="FFFFFF" w:fill="FFFFFF"/>
            <w:tcMar>
              <w:left w:w="0" w:type="dxa"/>
              <w:right w:w="0" w:type="dxa"/>
            </w:tcMar>
          </w:tcPr>
          <w:p w14:paraId="417D254D" w14:textId="77777777" w:rsidR="00496618" w:rsidRDefault="00496618">
            <w:pPr>
              <w:pStyle w:val="Normal18"/>
              <w:rPr>
                <w:rFonts w:ascii="Calibri" w:eastAsia="Calibri" w:hAnsi="Calibri" w:cs="Calibri"/>
                <w:color w:val="000000"/>
                <w:sz w:val="18"/>
              </w:rPr>
            </w:pPr>
          </w:p>
        </w:tc>
      </w:tr>
      <w:tr w:rsidR="00496618" w14:paraId="08A61101"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8C3E63"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28</w:t>
            </w:r>
          </w:p>
        </w:tc>
        <w:tc>
          <w:tcPr>
            <w:tcW w:w="3180" w:type="dxa"/>
            <w:tcBorders>
              <w:top w:val="nil"/>
              <w:left w:val="nil"/>
              <w:bottom w:val="nil"/>
              <w:right w:val="nil"/>
              <w:tl2br w:val="nil"/>
              <w:tr2bl w:val="nil"/>
            </w:tcBorders>
            <w:shd w:val="clear" w:color="auto" w:fill="auto"/>
            <w:noWrap/>
            <w:tcMar>
              <w:left w:w="101" w:type="dxa"/>
              <w:right w:w="101" w:type="dxa"/>
            </w:tcMar>
          </w:tcPr>
          <w:p w14:paraId="2B424DC8" w14:textId="77777777" w:rsidR="00496618" w:rsidRDefault="0027723F">
            <w:pPr>
              <w:pStyle w:val="Normal18"/>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904" w:type="dxa"/>
            <w:tcBorders>
              <w:top w:val="nil"/>
              <w:left w:val="nil"/>
              <w:bottom w:val="nil"/>
              <w:right w:val="nil"/>
              <w:tl2br w:val="nil"/>
              <w:tr2bl w:val="nil"/>
            </w:tcBorders>
            <w:shd w:val="clear" w:color="FFFFFF" w:fill="FFFFFF"/>
            <w:tcMar>
              <w:left w:w="101" w:type="dxa"/>
              <w:right w:w="101" w:type="dxa"/>
            </w:tcMar>
          </w:tcPr>
          <w:p w14:paraId="29AEC833"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210</w:t>
            </w:r>
          </w:p>
        </w:tc>
        <w:tc>
          <w:tcPr>
            <w:tcW w:w="904" w:type="dxa"/>
            <w:tcBorders>
              <w:top w:val="nil"/>
              <w:left w:val="nil"/>
              <w:bottom w:val="nil"/>
              <w:right w:val="nil"/>
              <w:tl2br w:val="nil"/>
              <w:tr2bl w:val="nil"/>
            </w:tcBorders>
            <w:shd w:val="clear" w:color="FFFFFF" w:fill="FFFFFF"/>
            <w:tcMar>
              <w:left w:w="101" w:type="dxa"/>
              <w:right w:w="101" w:type="dxa"/>
            </w:tcMar>
          </w:tcPr>
          <w:p w14:paraId="31431E80"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210</w:t>
            </w:r>
          </w:p>
        </w:tc>
        <w:tc>
          <w:tcPr>
            <w:tcW w:w="904" w:type="dxa"/>
            <w:tcBorders>
              <w:top w:val="nil"/>
              <w:left w:val="nil"/>
              <w:bottom w:val="nil"/>
              <w:right w:val="nil"/>
              <w:tl2br w:val="nil"/>
              <w:tr2bl w:val="nil"/>
            </w:tcBorders>
            <w:shd w:val="clear" w:color="FFFFFF" w:fill="FFFFFF"/>
            <w:tcMar>
              <w:left w:w="101" w:type="dxa"/>
              <w:right w:w="101" w:type="dxa"/>
            </w:tcMar>
          </w:tcPr>
          <w:p w14:paraId="76F5E365"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904" w:type="dxa"/>
            <w:tcBorders>
              <w:top w:val="nil"/>
              <w:left w:val="nil"/>
              <w:bottom w:val="nil"/>
              <w:right w:val="nil"/>
              <w:tl2br w:val="nil"/>
              <w:tr2bl w:val="nil"/>
            </w:tcBorders>
            <w:shd w:val="clear" w:color="FFFFFF" w:fill="FFFFFF"/>
            <w:tcMar>
              <w:left w:w="101" w:type="dxa"/>
              <w:right w:w="101" w:type="dxa"/>
            </w:tcMar>
          </w:tcPr>
          <w:p w14:paraId="5221A428"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210</w:t>
            </w:r>
          </w:p>
        </w:tc>
        <w:tc>
          <w:tcPr>
            <w:tcW w:w="904" w:type="dxa"/>
            <w:tcBorders>
              <w:top w:val="nil"/>
              <w:left w:val="nil"/>
              <w:bottom w:val="nil"/>
              <w:right w:val="nil"/>
              <w:tl2br w:val="nil"/>
              <w:tr2bl w:val="nil"/>
            </w:tcBorders>
            <w:shd w:val="clear" w:color="FFFFFF" w:fill="FFFFFF"/>
            <w:tcMar>
              <w:left w:w="101" w:type="dxa"/>
              <w:right w:w="101" w:type="dxa"/>
            </w:tcMar>
          </w:tcPr>
          <w:p w14:paraId="6FA38625"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210</w:t>
            </w:r>
          </w:p>
        </w:tc>
        <w:tc>
          <w:tcPr>
            <w:tcW w:w="904" w:type="dxa"/>
            <w:tcBorders>
              <w:top w:val="nil"/>
              <w:left w:val="nil"/>
              <w:bottom w:val="nil"/>
              <w:right w:val="nil"/>
              <w:tl2br w:val="nil"/>
              <w:tr2bl w:val="nil"/>
            </w:tcBorders>
            <w:shd w:val="clear" w:color="FFFFFF" w:fill="FFFFFF"/>
            <w:tcMar>
              <w:left w:w="101" w:type="dxa"/>
              <w:right w:w="101" w:type="dxa"/>
            </w:tcMar>
          </w:tcPr>
          <w:p w14:paraId="6F5E1DB1" w14:textId="77777777" w:rsidR="00496618" w:rsidRDefault="0027723F">
            <w:pPr>
              <w:pStyle w:val="Normal18"/>
              <w:jc w:val="right"/>
              <w:rPr>
                <w:rFonts w:ascii="Calibri" w:eastAsia="Calibri" w:hAnsi="Calibri" w:cs="Calibri"/>
                <w:b/>
                <w:color w:val="000000"/>
                <w:sz w:val="18"/>
              </w:rPr>
            </w:pPr>
            <w:r>
              <w:rPr>
                <w:rFonts w:ascii="Calibri" w:eastAsia="Calibri" w:hAnsi="Calibri" w:cs="Calibri"/>
                <w:b/>
                <w:color w:val="000000"/>
                <w:sz w:val="18"/>
              </w:rPr>
              <w:t>210</w:t>
            </w:r>
          </w:p>
        </w:tc>
      </w:tr>
      <w:tr w:rsidR="00496618" w14:paraId="32A2A0E1" w14:textId="77777777" w:rsidTr="00BD1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5E71706" w14:textId="77777777" w:rsidR="00496618" w:rsidRDefault="00496618">
            <w:pPr>
              <w:pStyle w:val="Normal18"/>
              <w:rPr>
                <w:rFonts w:ascii="Calibri" w:eastAsia="Calibri" w:hAnsi="Calibri" w:cs="Calibri"/>
                <w:color w:val="000000"/>
                <w:sz w:val="18"/>
              </w:rPr>
            </w:pPr>
          </w:p>
        </w:tc>
        <w:tc>
          <w:tcPr>
            <w:tcW w:w="3180" w:type="dxa"/>
            <w:tcBorders>
              <w:top w:val="nil"/>
              <w:left w:val="nil"/>
              <w:bottom w:val="single" w:sz="4" w:space="0" w:color="000000"/>
              <w:right w:val="nil"/>
              <w:tl2br w:val="nil"/>
              <w:tr2bl w:val="nil"/>
            </w:tcBorders>
            <w:shd w:val="clear" w:color="FFFFFF" w:fill="FFFFFF"/>
            <w:tcMar>
              <w:left w:w="0" w:type="dxa"/>
              <w:right w:w="0" w:type="dxa"/>
            </w:tcMar>
          </w:tcPr>
          <w:p w14:paraId="6D6B1BD7" w14:textId="77777777" w:rsidR="00496618" w:rsidRDefault="00496618">
            <w:pPr>
              <w:pStyle w:val="Normal18"/>
              <w:rPr>
                <w:rFonts w:ascii="Calibri" w:eastAsia="Calibri" w:hAnsi="Calibri" w:cs="Calibri"/>
                <w:color w:val="000000"/>
                <w:sz w:val="18"/>
              </w:rPr>
            </w:pPr>
          </w:p>
        </w:tc>
        <w:tc>
          <w:tcPr>
            <w:tcW w:w="904" w:type="dxa"/>
            <w:tcBorders>
              <w:top w:val="nil"/>
              <w:left w:val="nil"/>
              <w:bottom w:val="single" w:sz="4" w:space="0" w:color="000000"/>
              <w:right w:val="nil"/>
              <w:tl2br w:val="nil"/>
              <w:tr2bl w:val="nil"/>
            </w:tcBorders>
            <w:shd w:val="clear" w:color="FFFFFF" w:fill="FFFFFF"/>
            <w:tcMar>
              <w:left w:w="0" w:type="dxa"/>
              <w:right w:w="0" w:type="dxa"/>
            </w:tcMar>
          </w:tcPr>
          <w:p w14:paraId="4117FF11" w14:textId="77777777" w:rsidR="00496618" w:rsidRDefault="00496618">
            <w:pPr>
              <w:pStyle w:val="Normal18"/>
              <w:rPr>
                <w:rFonts w:ascii="Calibri" w:eastAsia="Calibri" w:hAnsi="Calibri" w:cs="Calibri"/>
                <w:color w:val="000000"/>
                <w:sz w:val="18"/>
              </w:rPr>
            </w:pPr>
          </w:p>
        </w:tc>
        <w:tc>
          <w:tcPr>
            <w:tcW w:w="904" w:type="dxa"/>
            <w:tcBorders>
              <w:top w:val="nil"/>
              <w:left w:val="nil"/>
              <w:bottom w:val="single" w:sz="4" w:space="0" w:color="000000"/>
              <w:right w:val="nil"/>
              <w:tl2br w:val="nil"/>
              <w:tr2bl w:val="nil"/>
            </w:tcBorders>
            <w:shd w:val="clear" w:color="FFFFFF" w:fill="FFFFFF"/>
            <w:tcMar>
              <w:left w:w="0" w:type="dxa"/>
              <w:right w:w="0" w:type="dxa"/>
            </w:tcMar>
          </w:tcPr>
          <w:p w14:paraId="50A101AC" w14:textId="77777777" w:rsidR="00496618" w:rsidRDefault="00496618">
            <w:pPr>
              <w:pStyle w:val="Normal18"/>
              <w:rPr>
                <w:rFonts w:ascii="Calibri" w:eastAsia="Calibri" w:hAnsi="Calibri" w:cs="Calibri"/>
                <w:color w:val="000000"/>
                <w:sz w:val="18"/>
              </w:rPr>
            </w:pPr>
          </w:p>
        </w:tc>
        <w:tc>
          <w:tcPr>
            <w:tcW w:w="904" w:type="dxa"/>
            <w:tcBorders>
              <w:top w:val="nil"/>
              <w:left w:val="nil"/>
              <w:bottom w:val="single" w:sz="4" w:space="0" w:color="000000"/>
              <w:right w:val="nil"/>
              <w:tl2br w:val="nil"/>
              <w:tr2bl w:val="nil"/>
            </w:tcBorders>
            <w:shd w:val="clear" w:color="FFFFFF" w:fill="FFFFFF"/>
            <w:tcMar>
              <w:left w:w="0" w:type="dxa"/>
              <w:right w:w="0" w:type="dxa"/>
            </w:tcMar>
          </w:tcPr>
          <w:p w14:paraId="4BC9FCCC" w14:textId="77777777" w:rsidR="00496618" w:rsidRDefault="00496618">
            <w:pPr>
              <w:pStyle w:val="Normal18"/>
              <w:rPr>
                <w:rFonts w:ascii="Calibri" w:eastAsia="Calibri" w:hAnsi="Calibri" w:cs="Calibri"/>
                <w:color w:val="000000"/>
                <w:sz w:val="18"/>
              </w:rPr>
            </w:pPr>
          </w:p>
        </w:tc>
        <w:tc>
          <w:tcPr>
            <w:tcW w:w="904" w:type="dxa"/>
            <w:tcBorders>
              <w:top w:val="nil"/>
              <w:left w:val="nil"/>
              <w:bottom w:val="single" w:sz="4" w:space="0" w:color="000000"/>
              <w:right w:val="nil"/>
              <w:tl2br w:val="nil"/>
              <w:tr2bl w:val="nil"/>
            </w:tcBorders>
            <w:shd w:val="clear" w:color="FFFFFF" w:fill="FFFFFF"/>
            <w:tcMar>
              <w:left w:w="0" w:type="dxa"/>
              <w:right w:w="0" w:type="dxa"/>
            </w:tcMar>
          </w:tcPr>
          <w:p w14:paraId="1EF40BBB" w14:textId="77777777" w:rsidR="00496618" w:rsidRDefault="00496618">
            <w:pPr>
              <w:pStyle w:val="Normal18"/>
              <w:rPr>
                <w:rFonts w:ascii="Calibri" w:eastAsia="Calibri" w:hAnsi="Calibri" w:cs="Calibri"/>
                <w:color w:val="000000"/>
                <w:sz w:val="18"/>
              </w:rPr>
            </w:pPr>
          </w:p>
        </w:tc>
        <w:tc>
          <w:tcPr>
            <w:tcW w:w="904" w:type="dxa"/>
            <w:tcBorders>
              <w:top w:val="nil"/>
              <w:left w:val="nil"/>
              <w:bottom w:val="single" w:sz="4" w:space="0" w:color="000000"/>
              <w:right w:val="nil"/>
              <w:tl2br w:val="nil"/>
              <w:tr2bl w:val="nil"/>
            </w:tcBorders>
            <w:shd w:val="clear" w:color="FFFFFF" w:fill="FFFFFF"/>
            <w:tcMar>
              <w:left w:w="0" w:type="dxa"/>
              <w:right w:w="0" w:type="dxa"/>
            </w:tcMar>
          </w:tcPr>
          <w:p w14:paraId="1372D4CF" w14:textId="77777777" w:rsidR="00496618" w:rsidRDefault="00496618">
            <w:pPr>
              <w:pStyle w:val="Normal18"/>
              <w:rPr>
                <w:rFonts w:ascii="Calibri" w:eastAsia="Calibri" w:hAnsi="Calibri" w:cs="Calibri"/>
                <w:color w:val="000000"/>
                <w:sz w:val="18"/>
              </w:rPr>
            </w:pPr>
          </w:p>
        </w:tc>
        <w:tc>
          <w:tcPr>
            <w:tcW w:w="904" w:type="dxa"/>
            <w:tcBorders>
              <w:top w:val="nil"/>
              <w:left w:val="nil"/>
              <w:bottom w:val="single" w:sz="4" w:space="0" w:color="000000"/>
              <w:right w:val="nil"/>
              <w:tl2br w:val="nil"/>
              <w:tr2bl w:val="nil"/>
            </w:tcBorders>
            <w:shd w:val="clear" w:color="FFFFFF" w:fill="FFFFFF"/>
            <w:tcMar>
              <w:left w:w="0" w:type="dxa"/>
              <w:right w:w="0" w:type="dxa"/>
            </w:tcMar>
          </w:tcPr>
          <w:p w14:paraId="375AD4CD" w14:textId="77777777" w:rsidR="00496618" w:rsidRDefault="00496618">
            <w:pPr>
              <w:pStyle w:val="Normal18"/>
              <w:rPr>
                <w:rFonts w:ascii="Calibri" w:eastAsia="Calibri" w:hAnsi="Calibri" w:cs="Calibri"/>
                <w:color w:val="000000"/>
                <w:sz w:val="18"/>
              </w:rPr>
            </w:pPr>
          </w:p>
        </w:tc>
      </w:tr>
    </w:tbl>
    <w:p w14:paraId="24029A80" w14:textId="77777777" w:rsidR="001F6B18" w:rsidRDefault="0027723F" w:rsidP="008E3537">
      <w:pPr>
        <w:pStyle w:val="Heading3"/>
        <w:rPr>
          <w:bdr w:val="nil"/>
        </w:rPr>
      </w:pPr>
      <w:r>
        <w:rPr>
          <w:bdr w:val="nil"/>
        </w:rPr>
        <w:t>Notes to the Territorial Budget Statements</w:t>
      </w:r>
    </w:p>
    <w:p w14:paraId="12EDF446" w14:textId="77777777" w:rsidR="001F6B18" w:rsidRDefault="0027723F" w:rsidP="001F6B18">
      <w:pPr>
        <w:pBdr>
          <w:top w:val="nil"/>
          <w:left w:val="nil"/>
          <w:bottom w:val="nil"/>
          <w:right w:val="nil"/>
          <w:between w:val="nil"/>
          <w:bar w:val="nil"/>
        </w:pBdr>
        <w:rPr>
          <w:bdr w:val="nil"/>
        </w:rPr>
      </w:pPr>
      <w:r>
        <w:rPr>
          <w:bdr w:val="nil"/>
        </w:rPr>
        <w:t>Significant variations are as follows:</w:t>
      </w:r>
    </w:p>
    <w:p w14:paraId="4DC0D7C1" w14:textId="77777777" w:rsidR="001F6B18" w:rsidRDefault="0027723F" w:rsidP="001F6B18">
      <w:pPr>
        <w:pBdr>
          <w:top w:val="nil"/>
          <w:left w:val="nil"/>
          <w:bottom w:val="nil"/>
          <w:right w:val="nil"/>
          <w:between w:val="nil"/>
          <w:bar w:val="nil"/>
        </w:pBdr>
        <w:rPr>
          <w:b/>
          <w:i/>
          <w:bdr w:val="nil"/>
        </w:rPr>
      </w:pPr>
      <w:r>
        <w:rPr>
          <w:b/>
          <w:i/>
          <w:bdr w:val="nil"/>
        </w:rPr>
        <w:t>Statement of Income and Expenses on behalf of the Territory</w:t>
      </w:r>
    </w:p>
    <w:p w14:paraId="7A21D509" w14:textId="77777777" w:rsidR="001F6B18" w:rsidRDefault="0027723F" w:rsidP="0014646D">
      <w:pPr>
        <w:pStyle w:val="BSbullet1"/>
        <w:pBdr>
          <w:top w:val="nil"/>
          <w:left w:val="nil"/>
          <w:bottom w:val="nil"/>
          <w:right w:val="nil"/>
          <w:between w:val="nil"/>
          <w:bar w:val="nil"/>
        </w:pBdr>
        <w:jc w:val="both"/>
        <w:rPr>
          <w:bdr w:val="nil"/>
        </w:rPr>
      </w:pPr>
      <w:r>
        <w:rPr>
          <w:bdr w:val="nil"/>
        </w:rPr>
        <w:t xml:space="preserve">payment for Expenses on Behalf of the Territory and grants and purchased services: </w:t>
      </w:r>
    </w:p>
    <w:p w14:paraId="7EF6B6DF" w14:textId="4E80EF1F" w:rsidR="001F6B18" w:rsidRDefault="0027723F" w:rsidP="009832FC">
      <w:pPr>
        <w:pStyle w:val="BSbullet1"/>
        <w:numPr>
          <w:ilvl w:val="0"/>
          <w:numId w:val="32"/>
        </w:numPr>
        <w:pBdr>
          <w:top w:val="nil"/>
          <w:left w:val="nil"/>
          <w:bottom w:val="nil"/>
          <w:right w:val="nil"/>
          <w:between w:val="nil"/>
          <w:bar w:val="nil"/>
        </w:pBdr>
        <w:jc w:val="both"/>
        <w:rPr>
          <w:bdr w:val="nil"/>
        </w:rPr>
      </w:pPr>
      <w:r w:rsidRPr="001A13D4">
        <w:rPr>
          <w:bdr w:val="nil"/>
        </w:rPr>
        <w:t xml:space="preserve">the </w:t>
      </w:r>
      <w:r>
        <w:rPr>
          <w:bdr w:val="nil"/>
        </w:rPr>
        <w:t>decrease</w:t>
      </w:r>
      <w:r w:rsidRPr="001A13D4">
        <w:rPr>
          <w:bdr w:val="nil"/>
        </w:rPr>
        <w:t xml:space="preserve"> of $</w:t>
      </w:r>
      <w:r>
        <w:rPr>
          <w:bdr w:val="nil"/>
        </w:rPr>
        <w:t>5.395</w:t>
      </w:r>
      <w:r w:rsidRPr="001A13D4">
        <w:rPr>
          <w:bdr w:val="nil"/>
        </w:rPr>
        <w:t xml:space="preserve"> million in the </w:t>
      </w:r>
      <w:r>
        <w:rPr>
          <w:bdr w:val="nil"/>
        </w:rPr>
        <w:t>2020-21</w:t>
      </w:r>
      <w:r w:rsidRPr="001A13D4">
        <w:rPr>
          <w:bdr w:val="nil"/>
        </w:rPr>
        <w:t xml:space="preserve"> </w:t>
      </w:r>
      <w:r>
        <w:rPr>
          <w:bdr w:val="nil"/>
        </w:rPr>
        <w:t xml:space="preserve">Interim Outcome </w:t>
      </w:r>
      <w:r w:rsidRPr="001A13D4">
        <w:rPr>
          <w:bdr w:val="nil"/>
        </w:rPr>
        <w:t>from the 20</w:t>
      </w:r>
      <w:r>
        <w:rPr>
          <w:bdr w:val="nil"/>
        </w:rPr>
        <w:t>20-21</w:t>
      </w:r>
      <w:r w:rsidRPr="001A13D4">
        <w:rPr>
          <w:bdr w:val="nil"/>
        </w:rPr>
        <w:t xml:space="preserve"> </w:t>
      </w:r>
      <w:r>
        <w:rPr>
          <w:bdr w:val="nil"/>
        </w:rPr>
        <w:t>Budget wa</w:t>
      </w:r>
      <w:r w:rsidRPr="001A13D4">
        <w:rPr>
          <w:bdr w:val="nil"/>
        </w:rPr>
        <w:t xml:space="preserve">s due to </w:t>
      </w:r>
      <w:r>
        <w:rPr>
          <w:bdr w:val="nil"/>
        </w:rPr>
        <w:t xml:space="preserve">reprofiling of the Calvary Critical Infrastructure </w:t>
      </w:r>
      <w:r w:rsidR="004714CF">
        <w:rPr>
          <w:bdr w:val="nil"/>
        </w:rPr>
        <w:t xml:space="preserve">phase 1 </w:t>
      </w:r>
      <w:r>
        <w:rPr>
          <w:bdr w:val="nil"/>
        </w:rPr>
        <w:t>project; and</w:t>
      </w:r>
    </w:p>
    <w:p w14:paraId="59D28BE9" w14:textId="39A2740D" w:rsidR="001F6B18" w:rsidRPr="001A13D4" w:rsidRDefault="0027723F" w:rsidP="009832FC">
      <w:pPr>
        <w:pStyle w:val="BSbullet1"/>
        <w:numPr>
          <w:ilvl w:val="0"/>
          <w:numId w:val="32"/>
        </w:numPr>
        <w:pBdr>
          <w:top w:val="nil"/>
          <w:left w:val="nil"/>
          <w:bottom w:val="nil"/>
          <w:right w:val="nil"/>
          <w:between w:val="nil"/>
          <w:bar w:val="nil"/>
        </w:pBdr>
        <w:jc w:val="both"/>
        <w:rPr>
          <w:bdr w:val="nil"/>
        </w:rPr>
      </w:pPr>
      <w:r>
        <w:rPr>
          <w:bdr w:val="nil"/>
        </w:rPr>
        <w:t xml:space="preserve">the increase of $7.668 million in the 2021-22 Budget from the 2020-21 Interim Outcome </w:t>
      </w:r>
      <w:r w:rsidR="00436199">
        <w:rPr>
          <w:bdr w:val="nil"/>
        </w:rPr>
        <w:t xml:space="preserve">is </w:t>
      </w:r>
      <w:r>
        <w:rPr>
          <w:bdr w:val="nil"/>
        </w:rPr>
        <w:t>related to reprofiling of the Calvary Critical Infrastructure</w:t>
      </w:r>
      <w:r w:rsidR="005127B9">
        <w:rPr>
          <w:bdr w:val="nil"/>
        </w:rPr>
        <w:t xml:space="preserve"> phase 1</w:t>
      </w:r>
      <w:r w:rsidR="00436199">
        <w:rPr>
          <w:bdr w:val="nil"/>
        </w:rPr>
        <w:t xml:space="preserve"> </w:t>
      </w:r>
      <w:r>
        <w:rPr>
          <w:bdr w:val="nil"/>
        </w:rPr>
        <w:t>project and 2021-22 new initiatives.</w:t>
      </w:r>
    </w:p>
    <w:p w14:paraId="7D4E5011" w14:textId="261AC0D0" w:rsidR="001F6B18" w:rsidRDefault="0027723F" w:rsidP="0014646D">
      <w:pPr>
        <w:pStyle w:val="BSbullet1"/>
        <w:pBdr>
          <w:top w:val="nil"/>
          <w:left w:val="nil"/>
          <w:bottom w:val="nil"/>
          <w:right w:val="nil"/>
          <w:between w:val="nil"/>
          <w:bar w:val="nil"/>
        </w:pBdr>
        <w:jc w:val="both"/>
        <w:rPr>
          <w:bdr w:val="nil"/>
        </w:rPr>
      </w:pPr>
      <w:r>
        <w:rPr>
          <w:bdr w:val="nil"/>
        </w:rPr>
        <w:t xml:space="preserve">taxes, fees and fines and transfer expenses: </w:t>
      </w:r>
      <w:r w:rsidRPr="001A13D4">
        <w:rPr>
          <w:bdr w:val="nil"/>
        </w:rPr>
        <w:t>the</w:t>
      </w:r>
      <w:r>
        <w:rPr>
          <w:bdr w:val="nil"/>
        </w:rPr>
        <w:t xml:space="preserve"> decrease of $0.364 million in the 2020</w:t>
      </w:r>
      <w:r>
        <w:rPr>
          <w:bdr w:val="nil"/>
        </w:rPr>
        <w:noBreakHyphen/>
        <w:t>21 Interim Outcome from the original Budget was mainly due to a temporary exemption on food and infection control business licenses introduced in response to the COVID-19 pandemic.</w:t>
      </w:r>
    </w:p>
    <w:p w14:paraId="4062A7FE" w14:textId="77777777" w:rsidR="001F6B18" w:rsidRDefault="0027723F" w:rsidP="0014646D">
      <w:pPr>
        <w:pStyle w:val="Heading4"/>
        <w:pBdr>
          <w:top w:val="nil"/>
          <w:left w:val="nil"/>
          <w:bottom w:val="nil"/>
          <w:right w:val="nil"/>
          <w:between w:val="nil"/>
          <w:bar w:val="nil"/>
        </w:pBdr>
        <w:jc w:val="both"/>
        <w:rPr>
          <w:bCs w:val="0"/>
          <w:bdr w:val="nil"/>
        </w:rPr>
      </w:pPr>
      <w:r>
        <w:rPr>
          <w:bCs w:val="0"/>
          <w:bdr w:val="nil"/>
        </w:rPr>
        <w:t>Cash Flow Statement</w:t>
      </w:r>
    </w:p>
    <w:p w14:paraId="23D39304" w14:textId="4FB41DC6" w:rsidR="001F6B18" w:rsidRDefault="0027723F" w:rsidP="0014646D">
      <w:pPr>
        <w:pBdr>
          <w:top w:val="nil"/>
          <w:left w:val="nil"/>
          <w:bottom w:val="nil"/>
          <w:right w:val="nil"/>
          <w:between w:val="nil"/>
          <w:bar w:val="nil"/>
        </w:pBdr>
        <w:jc w:val="both"/>
        <w:rPr>
          <w:bdr w:val="nil"/>
        </w:rPr>
      </w:pPr>
      <w:r>
        <w:rPr>
          <w:bdr w:val="nil"/>
        </w:rPr>
        <w:t>Variations in the Statement are explained in the notes above.</w:t>
      </w:r>
    </w:p>
    <w:p w14:paraId="03E612A9" w14:textId="77777777" w:rsidR="009832FC" w:rsidRDefault="009832FC" w:rsidP="0014646D">
      <w:pPr>
        <w:pBdr>
          <w:top w:val="nil"/>
          <w:left w:val="nil"/>
          <w:bottom w:val="nil"/>
          <w:right w:val="nil"/>
          <w:between w:val="nil"/>
          <w:bar w:val="nil"/>
        </w:pBdr>
        <w:jc w:val="both"/>
        <w:rPr>
          <w:rFonts w:eastAsia="TimesNewRomanPS-ItalicMT"/>
          <w:bdr w:val="nil"/>
        </w:rPr>
        <w:sectPr w:rsidR="009832FC" w:rsidSect="000A4550">
          <w:footerReference w:type="default" r:id="rId17"/>
          <w:pgSz w:w="11906" w:h="16838"/>
          <w:pgMar w:top="1151" w:right="1440" w:bottom="1729" w:left="1440" w:header="720" w:footer="720" w:gutter="0"/>
          <w:pgBorders>
            <w:top w:val="nil"/>
            <w:left w:val="nil"/>
            <w:bottom w:val="nil"/>
            <w:right w:val="nil"/>
          </w:pgBorders>
          <w:pgNumType w:start="1"/>
          <w:cols w:space="720"/>
        </w:sectPr>
      </w:pPr>
    </w:p>
    <w:p w14:paraId="15482BF2" w14:textId="77777777" w:rsidR="009832FC" w:rsidRPr="009832FC" w:rsidRDefault="009832FC" w:rsidP="009832FC">
      <w:pPr>
        <w:keepNext/>
        <w:pageBreakBefore/>
        <w:pBdr>
          <w:top w:val="nil"/>
          <w:left w:val="nil"/>
          <w:bottom w:val="single" w:sz="18" w:space="2" w:color="auto"/>
          <w:right w:val="nil"/>
          <w:between w:val="nil"/>
          <w:bar w:val="nil"/>
        </w:pBdr>
        <w:spacing w:after="480"/>
        <w:outlineLvl w:val="0"/>
        <w:rPr>
          <w:b/>
          <w:kern w:val="28"/>
          <w:sz w:val="48"/>
          <w:bdr w:val="nil"/>
        </w:rPr>
      </w:pPr>
      <w:bookmarkStart w:id="39" w:name="_Toc83910746"/>
      <w:r w:rsidRPr="009832FC">
        <w:rPr>
          <w:b/>
          <w:kern w:val="28"/>
          <w:sz w:val="36"/>
          <w:szCs w:val="36"/>
          <w:bdr w:val="nil"/>
        </w:rPr>
        <w:lastRenderedPageBreak/>
        <w:t>CANBERRA HEALTH SERVICES</w:t>
      </w:r>
      <w:bookmarkEnd w:id="39"/>
    </w:p>
    <w:p w14:paraId="0CCAAF6B" w14:textId="77777777" w:rsidR="009832FC" w:rsidRPr="009832FC" w:rsidRDefault="009832FC" w:rsidP="009832FC">
      <w:pPr>
        <w:keepNext/>
        <w:spacing w:before="360"/>
        <w:outlineLvl w:val="1"/>
        <w:rPr>
          <w:b/>
          <w:snapToGrid w:val="0"/>
          <w:sz w:val="32"/>
        </w:rPr>
      </w:pPr>
      <w:bookmarkStart w:id="40" w:name="_Toc452467795"/>
      <w:bookmarkStart w:id="41" w:name="_Toc451895557"/>
      <w:bookmarkStart w:id="42" w:name="_Toc83910747"/>
      <w:r w:rsidRPr="009832FC">
        <w:rPr>
          <w:b/>
          <w:snapToGrid w:val="0"/>
          <w:sz w:val="32"/>
        </w:rPr>
        <w:t>Purpose</w:t>
      </w:r>
      <w:bookmarkEnd w:id="40"/>
      <w:bookmarkEnd w:id="41"/>
      <w:bookmarkEnd w:id="42"/>
    </w:p>
    <w:p w14:paraId="56B860CE" w14:textId="77777777" w:rsidR="009832FC" w:rsidRPr="009832FC" w:rsidRDefault="009832FC" w:rsidP="00DF6221">
      <w:pPr>
        <w:pStyle w:val="BSbullet1"/>
        <w:numPr>
          <w:ilvl w:val="0"/>
          <w:numId w:val="0"/>
        </w:numPr>
        <w:pBdr>
          <w:top w:val="nil"/>
          <w:left w:val="nil"/>
          <w:bottom w:val="nil"/>
          <w:right w:val="nil"/>
          <w:between w:val="nil"/>
          <w:bar w:val="nil"/>
        </w:pBdr>
        <w:jc w:val="both"/>
        <w:rPr>
          <w:bdr w:val="nil"/>
        </w:rPr>
      </w:pPr>
      <w:r w:rsidRPr="009832FC">
        <w:rPr>
          <w:bdr w:val="nil"/>
        </w:rPr>
        <w:t xml:space="preserve">Canberra Health Services partners with the community and consumers, creating exceptional health care together, by: </w:t>
      </w:r>
    </w:p>
    <w:p w14:paraId="7A669CDE" w14:textId="77777777" w:rsidR="009832FC" w:rsidRPr="009832FC" w:rsidRDefault="009832FC" w:rsidP="00DF6221">
      <w:pPr>
        <w:pStyle w:val="BSbullet1"/>
        <w:pBdr>
          <w:top w:val="nil"/>
          <w:left w:val="nil"/>
          <w:bottom w:val="nil"/>
          <w:right w:val="nil"/>
          <w:between w:val="nil"/>
          <w:bar w:val="nil"/>
        </w:pBdr>
        <w:jc w:val="both"/>
        <w:rPr>
          <w:bdr w:val="nil"/>
        </w:rPr>
      </w:pPr>
      <w:r w:rsidRPr="009832FC">
        <w:rPr>
          <w:bdr w:val="nil"/>
        </w:rPr>
        <w:t>delivering personal health services;</w:t>
      </w:r>
    </w:p>
    <w:p w14:paraId="4D9CEF47" w14:textId="77777777" w:rsidR="009832FC" w:rsidRPr="009832FC" w:rsidRDefault="009832FC" w:rsidP="00DF6221">
      <w:pPr>
        <w:pStyle w:val="BSbullet1"/>
        <w:pBdr>
          <w:top w:val="nil"/>
          <w:left w:val="nil"/>
          <w:bottom w:val="nil"/>
          <w:right w:val="nil"/>
          <w:between w:val="nil"/>
          <w:bar w:val="nil"/>
        </w:pBdr>
        <w:jc w:val="both"/>
        <w:rPr>
          <w:bdr w:val="nil"/>
        </w:rPr>
      </w:pPr>
      <w:r w:rsidRPr="009832FC">
        <w:rPr>
          <w:bdr w:val="nil"/>
        </w:rPr>
        <w:t>working in partnerships to improve people’s health;</w:t>
      </w:r>
    </w:p>
    <w:p w14:paraId="18944FBC" w14:textId="77777777" w:rsidR="009832FC" w:rsidRPr="009832FC" w:rsidRDefault="009832FC" w:rsidP="00DF6221">
      <w:pPr>
        <w:pStyle w:val="BSbullet1"/>
        <w:pBdr>
          <w:top w:val="nil"/>
          <w:left w:val="nil"/>
          <w:bottom w:val="nil"/>
          <w:right w:val="nil"/>
          <w:between w:val="nil"/>
          <w:bar w:val="nil"/>
        </w:pBdr>
        <w:jc w:val="both"/>
        <w:rPr>
          <w:bdr w:val="nil"/>
        </w:rPr>
      </w:pPr>
      <w:r w:rsidRPr="009832FC">
        <w:rPr>
          <w:bdr w:val="nil"/>
        </w:rPr>
        <w:t xml:space="preserve">improving the experience of our consumers by engaging and listening; </w:t>
      </w:r>
    </w:p>
    <w:p w14:paraId="0CC3AA14" w14:textId="77777777" w:rsidR="009832FC" w:rsidRPr="009832FC" w:rsidRDefault="009832FC" w:rsidP="00DF6221">
      <w:pPr>
        <w:pStyle w:val="BSbullet1"/>
        <w:pBdr>
          <w:top w:val="nil"/>
          <w:left w:val="nil"/>
          <w:bottom w:val="nil"/>
          <w:right w:val="nil"/>
          <w:between w:val="nil"/>
          <w:bar w:val="nil"/>
        </w:pBdr>
        <w:jc w:val="both"/>
        <w:rPr>
          <w:bdr w:val="nil"/>
        </w:rPr>
      </w:pPr>
      <w:r w:rsidRPr="009832FC">
        <w:rPr>
          <w:bdr w:val="nil"/>
        </w:rPr>
        <w:t xml:space="preserve">providing leadership in research, education, and clinical excellence; and </w:t>
      </w:r>
    </w:p>
    <w:p w14:paraId="49607F62" w14:textId="77777777" w:rsidR="009832FC" w:rsidRPr="009832FC" w:rsidRDefault="009832FC" w:rsidP="00DF6221">
      <w:pPr>
        <w:pStyle w:val="BSbullet1"/>
        <w:pBdr>
          <w:top w:val="nil"/>
          <w:left w:val="nil"/>
          <w:bottom w:val="nil"/>
          <w:right w:val="nil"/>
          <w:between w:val="nil"/>
          <w:bar w:val="nil"/>
        </w:pBdr>
        <w:jc w:val="both"/>
        <w:rPr>
          <w:bdr w:val="nil"/>
        </w:rPr>
      </w:pPr>
      <w:r w:rsidRPr="009832FC">
        <w:rPr>
          <w:bdr w:val="nil"/>
        </w:rPr>
        <w:t>designing models of care that deliver the highest standards of safety and quality.</w:t>
      </w:r>
    </w:p>
    <w:p w14:paraId="16039C55" w14:textId="77777777" w:rsidR="009832FC" w:rsidRPr="009832FC" w:rsidRDefault="009832FC" w:rsidP="009832FC">
      <w:pPr>
        <w:keepNext/>
        <w:spacing w:before="360"/>
        <w:outlineLvl w:val="1"/>
        <w:rPr>
          <w:b/>
          <w:snapToGrid w:val="0"/>
          <w:sz w:val="32"/>
        </w:rPr>
      </w:pPr>
      <w:bookmarkStart w:id="43" w:name="_Toc83910748"/>
      <w:r w:rsidRPr="009832FC">
        <w:rPr>
          <w:b/>
          <w:snapToGrid w:val="0"/>
          <w:sz w:val="32"/>
        </w:rPr>
        <w:t>2021-22 Priorities</w:t>
      </w:r>
      <w:bookmarkEnd w:id="43"/>
    </w:p>
    <w:p w14:paraId="23913888" w14:textId="77777777" w:rsidR="009832FC" w:rsidRPr="009832FC" w:rsidRDefault="009832FC" w:rsidP="009832FC">
      <w:pPr>
        <w:pBdr>
          <w:top w:val="nil"/>
          <w:left w:val="nil"/>
          <w:bottom w:val="nil"/>
          <w:right w:val="nil"/>
          <w:between w:val="nil"/>
          <w:bar w:val="nil"/>
        </w:pBdr>
        <w:tabs>
          <w:tab w:val="left" w:pos="720"/>
        </w:tabs>
        <w:spacing w:after="120"/>
        <w:jc w:val="both"/>
        <w:rPr>
          <w:bdr w:val="nil"/>
        </w:rPr>
      </w:pPr>
      <w:r w:rsidRPr="009832FC">
        <w:rPr>
          <w:bdr w:val="nil"/>
        </w:rPr>
        <w:t xml:space="preserve">In 2021-22, there will be a continued focus on people-centred care and improving our performance against key safety and quality performance measures. There will also be a continued focus on timely care and patient flow to ensure our community is accessing the right care, at the right time, in the right place, with the right clinician. </w:t>
      </w:r>
    </w:p>
    <w:p w14:paraId="1532701B" w14:textId="6149C6E8" w:rsidR="009832FC" w:rsidRPr="009832FC" w:rsidRDefault="009832FC" w:rsidP="009832FC">
      <w:pPr>
        <w:pBdr>
          <w:top w:val="nil"/>
          <w:left w:val="nil"/>
          <w:bottom w:val="nil"/>
          <w:right w:val="nil"/>
          <w:between w:val="nil"/>
          <w:bar w:val="nil"/>
        </w:pBdr>
        <w:tabs>
          <w:tab w:val="left" w:pos="720"/>
        </w:tabs>
        <w:spacing w:after="120"/>
        <w:jc w:val="both"/>
        <w:rPr>
          <w:bdr w:val="nil"/>
        </w:rPr>
      </w:pPr>
      <w:r w:rsidRPr="009832FC">
        <w:rPr>
          <w:bdr w:val="nil"/>
        </w:rPr>
        <w:t xml:space="preserve">To enable us to meet our goals, Canberra Health Services will support and facilitate delivery of an integrated digital health record system that supports safer patient care and efficiencies in clinical workflows. Canberra Health Services will also support delivery of major infrastructure projects that </w:t>
      </w:r>
      <w:r w:rsidR="00D75E0E">
        <w:rPr>
          <w:bdr w:val="nil"/>
        </w:rPr>
        <w:t>improves the care</w:t>
      </w:r>
      <w:r w:rsidRPr="009832FC">
        <w:rPr>
          <w:bdr w:val="nil"/>
        </w:rPr>
        <w:t xml:space="preserve"> experience for patients, their families and carers. </w:t>
      </w:r>
    </w:p>
    <w:p w14:paraId="4B038636" w14:textId="77777777" w:rsidR="009832FC" w:rsidRPr="009832FC" w:rsidRDefault="009832FC" w:rsidP="009832FC">
      <w:pPr>
        <w:pBdr>
          <w:top w:val="nil"/>
          <w:left w:val="nil"/>
          <w:bottom w:val="nil"/>
          <w:right w:val="nil"/>
          <w:between w:val="nil"/>
          <w:bar w:val="nil"/>
        </w:pBdr>
        <w:tabs>
          <w:tab w:val="left" w:pos="720"/>
        </w:tabs>
        <w:spacing w:after="120"/>
        <w:jc w:val="both"/>
        <w:rPr>
          <w:bdr w:val="nil"/>
        </w:rPr>
      </w:pPr>
      <w:r w:rsidRPr="009832FC">
        <w:rPr>
          <w:bdr w:val="nil"/>
        </w:rPr>
        <w:t xml:space="preserve">Canberra Health Services will continue partnering with primary care providers to co-design and implement services that help address the challenges of preventing and managing chronic and complex conditions.  </w:t>
      </w:r>
    </w:p>
    <w:p w14:paraId="6140AD9E" w14:textId="77777777" w:rsidR="009832FC" w:rsidRPr="009832FC" w:rsidRDefault="009832FC" w:rsidP="009832FC">
      <w:pPr>
        <w:keepNext/>
        <w:spacing w:before="360"/>
        <w:outlineLvl w:val="1"/>
        <w:rPr>
          <w:b/>
          <w:snapToGrid w:val="0"/>
          <w:sz w:val="32"/>
        </w:rPr>
      </w:pPr>
      <w:bookmarkStart w:id="44" w:name="_Toc83910749"/>
      <w:r w:rsidRPr="009832FC">
        <w:rPr>
          <w:b/>
          <w:snapToGrid w:val="0"/>
          <w:sz w:val="32"/>
        </w:rPr>
        <w:t>Estimated Employment Level</w:t>
      </w:r>
      <w:bookmarkEnd w:id="44"/>
    </w:p>
    <w:p w14:paraId="095164BD" w14:textId="12972421" w:rsidR="009832FC" w:rsidRPr="009832FC" w:rsidRDefault="009832FC" w:rsidP="009832FC">
      <w:pPr>
        <w:keepNext/>
        <w:pBdr>
          <w:top w:val="nil"/>
          <w:left w:val="nil"/>
          <w:bottom w:val="nil"/>
          <w:right w:val="nil"/>
          <w:between w:val="nil"/>
          <w:bar w:val="nil"/>
        </w:pBdr>
        <w:spacing w:before="240"/>
        <w:rPr>
          <w:b/>
          <w:bCs/>
          <w:color w:val="000000"/>
          <w:sz w:val="22"/>
          <w:szCs w:val="18"/>
          <w:bdr w:val="nil"/>
        </w:rPr>
      </w:pPr>
      <w:r w:rsidRPr="009832FC">
        <w:rPr>
          <w:b/>
          <w:bCs/>
          <w:color w:val="000000"/>
          <w:sz w:val="22"/>
          <w:szCs w:val="18"/>
          <w:bdr w:val="nil"/>
        </w:rPr>
        <w:t>Table</w:t>
      </w:r>
      <w:r w:rsidR="008E5AA9">
        <w:rPr>
          <w:b/>
          <w:bCs/>
          <w:color w:val="000000"/>
          <w:sz w:val="22"/>
          <w:szCs w:val="18"/>
          <w:bdr w:val="nil"/>
        </w:rPr>
        <w:t xml:space="preserve"> 1</w:t>
      </w:r>
      <w:r w:rsidRPr="009832FC">
        <w:rPr>
          <w:b/>
          <w:bCs/>
          <w:color w:val="000000"/>
          <w:sz w:val="22"/>
          <w:szCs w:val="18"/>
          <w:bdr w:val="nil"/>
        </w:rPr>
        <w:t>: Estimated Employment Level</w:t>
      </w:r>
    </w:p>
    <w:tbl>
      <w:tblPr>
        <w:tblW w:w="9214" w:type="dxa"/>
        <w:tblInd w:w="-34" w:type="dxa"/>
        <w:tblBorders>
          <w:top w:val="single" w:sz="12" w:space="0" w:color="000000"/>
        </w:tblBorders>
        <w:tblLayout w:type="fixed"/>
        <w:tblLook w:val="04A0" w:firstRow="1" w:lastRow="0" w:firstColumn="1" w:lastColumn="0" w:noHBand="0" w:noVBand="1"/>
      </w:tblPr>
      <w:tblGrid>
        <w:gridCol w:w="2756"/>
        <w:gridCol w:w="1615"/>
        <w:gridCol w:w="1615"/>
        <w:gridCol w:w="1615"/>
        <w:gridCol w:w="1613"/>
      </w:tblGrid>
      <w:tr w:rsidR="009832FC" w:rsidRPr="009832FC" w14:paraId="1E65AB8B" w14:textId="77777777" w:rsidTr="00EB585F">
        <w:trPr>
          <w:trHeight w:val="392"/>
          <w:tblHeader/>
        </w:trPr>
        <w:tc>
          <w:tcPr>
            <w:tcW w:w="2756" w:type="dxa"/>
            <w:tcBorders>
              <w:top w:val="single" w:sz="4" w:space="0" w:color="auto"/>
              <w:left w:val="nil"/>
              <w:bottom w:val="single" w:sz="6" w:space="0" w:color="000000"/>
              <w:right w:val="nil"/>
            </w:tcBorders>
            <w:vAlign w:val="bottom"/>
          </w:tcPr>
          <w:p w14:paraId="12924E13" w14:textId="77777777" w:rsidR="009832FC" w:rsidRPr="009832FC" w:rsidRDefault="009832FC" w:rsidP="009832FC">
            <w:pPr>
              <w:pBdr>
                <w:top w:val="nil"/>
                <w:left w:val="nil"/>
                <w:bottom w:val="nil"/>
                <w:right w:val="nil"/>
                <w:between w:val="nil"/>
                <w:bar w:val="nil"/>
              </w:pBdr>
              <w:spacing w:before="0" w:after="0"/>
              <w:ind w:left="227" w:hanging="227"/>
              <w:rPr>
                <w:bCs/>
                <w:sz w:val="20"/>
                <w:bdr w:val="nil"/>
                <w:lang w:eastAsia="en-AU"/>
              </w:rPr>
            </w:pPr>
          </w:p>
        </w:tc>
        <w:tc>
          <w:tcPr>
            <w:tcW w:w="1615" w:type="dxa"/>
            <w:tcBorders>
              <w:top w:val="single" w:sz="4" w:space="0" w:color="auto"/>
              <w:left w:val="nil"/>
              <w:bottom w:val="single" w:sz="6" w:space="0" w:color="000000"/>
              <w:right w:val="nil"/>
            </w:tcBorders>
            <w:hideMark/>
          </w:tcPr>
          <w:p w14:paraId="11C9F736"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2019-20</w:t>
            </w:r>
          </w:p>
          <w:p w14:paraId="0C1D90F6"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Actual</w:t>
            </w:r>
          </w:p>
          <w:p w14:paraId="654EE5A3"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Outcome</w:t>
            </w:r>
          </w:p>
        </w:tc>
        <w:tc>
          <w:tcPr>
            <w:tcW w:w="1615" w:type="dxa"/>
            <w:tcBorders>
              <w:top w:val="single" w:sz="4" w:space="0" w:color="auto"/>
              <w:left w:val="nil"/>
              <w:bottom w:val="single" w:sz="6" w:space="0" w:color="000000"/>
              <w:right w:val="nil"/>
            </w:tcBorders>
            <w:hideMark/>
          </w:tcPr>
          <w:p w14:paraId="1ECC87DE"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p w14:paraId="27850779"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Budget</w:t>
            </w:r>
          </w:p>
        </w:tc>
        <w:tc>
          <w:tcPr>
            <w:tcW w:w="1615" w:type="dxa"/>
            <w:tcBorders>
              <w:top w:val="single" w:sz="4" w:space="0" w:color="auto"/>
              <w:left w:val="nil"/>
              <w:bottom w:val="single" w:sz="6" w:space="0" w:color="000000"/>
              <w:right w:val="nil"/>
            </w:tcBorders>
            <w:hideMark/>
          </w:tcPr>
          <w:p w14:paraId="357C6CCC"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2020-21</w:t>
            </w:r>
          </w:p>
          <w:p w14:paraId="01669EA9"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Interim</w:t>
            </w:r>
          </w:p>
          <w:p w14:paraId="58E176FC"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Outcome</w:t>
            </w:r>
          </w:p>
        </w:tc>
        <w:tc>
          <w:tcPr>
            <w:tcW w:w="1613" w:type="dxa"/>
            <w:tcBorders>
              <w:top w:val="single" w:sz="4" w:space="0" w:color="auto"/>
              <w:left w:val="nil"/>
              <w:bottom w:val="single" w:sz="6" w:space="0" w:color="000000"/>
              <w:right w:val="nil"/>
            </w:tcBorders>
            <w:noWrap/>
            <w:hideMark/>
          </w:tcPr>
          <w:p w14:paraId="5C9E8739"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2021-22</w:t>
            </w:r>
          </w:p>
          <w:p w14:paraId="48B68DAB"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Budget</w:t>
            </w:r>
            <w:r w:rsidRPr="009832FC">
              <w:rPr>
                <w:b/>
                <w:bCs/>
                <w:sz w:val="20"/>
                <w:bdr w:val="nil"/>
                <w:vertAlign w:val="superscript"/>
              </w:rPr>
              <w:t>1</w:t>
            </w:r>
          </w:p>
        </w:tc>
      </w:tr>
      <w:tr w:rsidR="009832FC" w:rsidRPr="009832FC" w14:paraId="1C377CDF" w14:textId="77777777" w:rsidTr="00EB585F">
        <w:trPr>
          <w:trHeight w:val="319"/>
          <w:tblHeader/>
        </w:trPr>
        <w:tc>
          <w:tcPr>
            <w:tcW w:w="2756" w:type="dxa"/>
            <w:tcBorders>
              <w:top w:val="single" w:sz="6" w:space="0" w:color="000000"/>
              <w:left w:val="nil"/>
              <w:bottom w:val="single" w:sz="6" w:space="0" w:color="000000"/>
              <w:right w:val="nil"/>
            </w:tcBorders>
            <w:vAlign w:val="bottom"/>
            <w:hideMark/>
          </w:tcPr>
          <w:p w14:paraId="3D72C5D8" w14:textId="77777777" w:rsidR="009832FC" w:rsidRPr="009832FC" w:rsidRDefault="009832FC" w:rsidP="009832FC">
            <w:pPr>
              <w:pBdr>
                <w:top w:val="nil"/>
                <w:left w:val="nil"/>
                <w:bottom w:val="nil"/>
                <w:right w:val="nil"/>
                <w:between w:val="nil"/>
                <w:bar w:val="nil"/>
              </w:pBdr>
              <w:spacing w:before="0" w:after="0"/>
              <w:ind w:left="227" w:hanging="227"/>
              <w:rPr>
                <w:b/>
                <w:bCs/>
                <w:sz w:val="20"/>
                <w:bdr w:val="nil"/>
                <w:lang w:eastAsia="en-AU"/>
              </w:rPr>
            </w:pPr>
            <w:r w:rsidRPr="009832FC">
              <w:rPr>
                <w:b/>
                <w:sz w:val="20"/>
                <w:bdr w:val="nil"/>
                <w:lang w:eastAsia="en-AU"/>
              </w:rPr>
              <w:t>Staffing (FTE)</w:t>
            </w:r>
          </w:p>
        </w:tc>
        <w:tc>
          <w:tcPr>
            <w:tcW w:w="1615" w:type="dxa"/>
            <w:tcBorders>
              <w:top w:val="single" w:sz="6" w:space="0" w:color="000000"/>
              <w:left w:val="nil"/>
              <w:bottom w:val="single" w:sz="6" w:space="0" w:color="000000"/>
              <w:right w:val="nil"/>
            </w:tcBorders>
            <w:vAlign w:val="bottom"/>
            <w:hideMark/>
          </w:tcPr>
          <w:p w14:paraId="771CBAD8" w14:textId="77777777" w:rsidR="009832FC" w:rsidRPr="009832FC" w:rsidRDefault="009832FC" w:rsidP="009832FC">
            <w:pPr>
              <w:pBdr>
                <w:top w:val="nil"/>
                <w:left w:val="nil"/>
                <w:bottom w:val="nil"/>
                <w:right w:val="nil"/>
                <w:between w:val="nil"/>
                <w:bar w:val="nil"/>
              </w:pBdr>
              <w:spacing w:before="0" w:after="0"/>
              <w:ind w:left="227" w:hanging="227"/>
              <w:jc w:val="right"/>
              <w:rPr>
                <w:sz w:val="20"/>
                <w:bdr w:val="nil"/>
                <w:lang w:eastAsia="en-AU"/>
              </w:rPr>
            </w:pPr>
            <w:r w:rsidRPr="009832FC">
              <w:rPr>
                <w:sz w:val="20"/>
                <w:bdr w:val="nil"/>
                <w:lang w:eastAsia="en-AU"/>
              </w:rPr>
              <w:t>6,667</w:t>
            </w:r>
          </w:p>
        </w:tc>
        <w:tc>
          <w:tcPr>
            <w:tcW w:w="1615" w:type="dxa"/>
            <w:tcBorders>
              <w:top w:val="single" w:sz="6" w:space="0" w:color="000000"/>
              <w:left w:val="nil"/>
              <w:bottom w:val="single" w:sz="6" w:space="0" w:color="000000"/>
              <w:right w:val="nil"/>
            </w:tcBorders>
            <w:vAlign w:val="bottom"/>
            <w:hideMark/>
          </w:tcPr>
          <w:p w14:paraId="2438E655" w14:textId="77777777" w:rsidR="009832FC" w:rsidRPr="009832FC" w:rsidRDefault="009832FC" w:rsidP="009832FC">
            <w:pPr>
              <w:pBdr>
                <w:top w:val="nil"/>
                <w:left w:val="nil"/>
                <w:bottom w:val="nil"/>
                <w:right w:val="nil"/>
                <w:between w:val="nil"/>
                <w:bar w:val="nil"/>
              </w:pBdr>
              <w:spacing w:before="0" w:after="0"/>
              <w:ind w:left="227" w:hanging="227"/>
              <w:jc w:val="right"/>
              <w:rPr>
                <w:sz w:val="20"/>
                <w:bdr w:val="nil"/>
                <w:lang w:eastAsia="en-AU"/>
              </w:rPr>
            </w:pPr>
            <w:r w:rsidRPr="009832FC">
              <w:rPr>
                <w:sz w:val="20"/>
                <w:bdr w:val="nil"/>
                <w:lang w:eastAsia="en-AU"/>
              </w:rPr>
              <w:t>6,752</w:t>
            </w:r>
          </w:p>
        </w:tc>
        <w:tc>
          <w:tcPr>
            <w:tcW w:w="1615" w:type="dxa"/>
            <w:tcBorders>
              <w:top w:val="single" w:sz="6" w:space="0" w:color="000000"/>
              <w:left w:val="nil"/>
              <w:bottom w:val="single" w:sz="6" w:space="0" w:color="000000"/>
              <w:right w:val="nil"/>
            </w:tcBorders>
            <w:vAlign w:val="bottom"/>
            <w:hideMark/>
          </w:tcPr>
          <w:p w14:paraId="35E91A14" w14:textId="77777777" w:rsidR="009832FC" w:rsidRPr="009832FC" w:rsidRDefault="009832FC" w:rsidP="009832FC">
            <w:pPr>
              <w:pBdr>
                <w:top w:val="nil"/>
                <w:left w:val="nil"/>
                <w:bottom w:val="nil"/>
                <w:right w:val="nil"/>
                <w:between w:val="nil"/>
                <w:bar w:val="nil"/>
              </w:pBdr>
              <w:spacing w:before="0" w:after="0"/>
              <w:ind w:left="227" w:hanging="227"/>
              <w:jc w:val="right"/>
              <w:rPr>
                <w:sz w:val="20"/>
                <w:bdr w:val="nil"/>
                <w:lang w:eastAsia="en-AU"/>
              </w:rPr>
            </w:pPr>
            <w:r w:rsidRPr="009832FC">
              <w:rPr>
                <w:sz w:val="20"/>
                <w:bdr w:val="nil"/>
                <w:lang w:eastAsia="en-AU"/>
              </w:rPr>
              <w:t>6,888</w:t>
            </w:r>
          </w:p>
        </w:tc>
        <w:tc>
          <w:tcPr>
            <w:tcW w:w="1613" w:type="dxa"/>
            <w:tcBorders>
              <w:top w:val="single" w:sz="6" w:space="0" w:color="000000"/>
              <w:left w:val="nil"/>
              <w:bottom w:val="single" w:sz="6" w:space="0" w:color="000000"/>
              <w:right w:val="nil"/>
            </w:tcBorders>
            <w:noWrap/>
            <w:vAlign w:val="bottom"/>
            <w:hideMark/>
          </w:tcPr>
          <w:p w14:paraId="4A9A4AE1" w14:textId="77777777" w:rsidR="009832FC" w:rsidRPr="009832FC" w:rsidRDefault="009832FC" w:rsidP="009832FC">
            <w:pPr>
              <w:pBdr>
                <w:top w:val="nil"/>
                <w:left w:val="nil"/>
                <w:bottom w:val="nil"/>
                <w:right w:val="nil"/>
                <w:between w:val="nil"/>
                <w:bar w:val="nil"/>
              </w:pBdr>
              <w:spacing w:before="0" w:after="0"/>
              <w:ind w:left="227" w:hanging="227"/>
              <w:jc w:val="right"/>
              <w:rPr>
                <w:sz w:val="20"/>
                <w:bdr w:val="nil"/>
                <w:lang w:eastAsia="en-AU"/>
              </w:rPr>
            </w:pPr>
            <w:r w:rsidRPr="009832FC">
              <w:rPr>
                <w:sz w:val="20"/>
                <w:bdr w:val="nil"/>
                <w:lang w:eastAsia="en-AU"/>
              </w:rPr>
              <w:t>7,127</w:t>
            </w:r>
          </w:p>
        </w:tc>
      </w:tr>
    </w:tbl>
    <w:p w14:paraId="17BE3667" w14:textId="77777777" w:rsidR="009832FC" w:rsidRPr="009832FC" w:rsidRDefault="009832FC" w:rsidP="009832FC">
      <w:pPr>
        <w:pBdr>
          <w:top w:val="nil"/>
          <w:left w:val="nil"/>
          <w:bottom w:val="nil"/>
          <w:right w:val="nil"/>
          <w:between w:val="nil"/>
          <w:bar w:val="nil"/>
        </w:pBdr>
        <w:spacing w:after="0"/>
        <w:rPr>
          <w:b/>
          <w:sz w:val="18"/>
          <w:szCs w:val="18"/>
          <w:bdr w:val="nil"/>
        </w:rPr>
      </w:pPr>
      <w:r w:rsidRPr="009832FC">
        <w:rPr>
          <w:b/>
          <w:sz w:val="18"/>
          <w:szCs w:val="18"/>
          <w:bdr w:val="nil"/>
        </w:rPr>
        <w:t>Note:</w:t>
      </w:r>
    </w:p>
    <w:p w14:paraId="7739DA84" w14:textId="77777777" w:rsidR="009832FC" w:rsidRPr="009832FC" w:rsidRDefault="009832FC" w:rsidP="0074428A">
      <w:pPr>
        <w:numPr>
          <w:ilvl w:val="0"/>
          <w:numId w:val="50"/>
        </w:numPr>
        <w:spacing w:before="0" w:after="0"/>
        <w:ind w:left="284" w:hanging="284"/>
        <w:jc w:val="both"/>
        <w:rPr>
          <w:sz w:val="18"/>
          <w:szCs w:val="24"/>
          <w:bdr w:val="nil"/>
        </w:rPr>
      </w:pPr>
      <w:r w:rsidRPr="009832FC">
        <w:rPr>
          <w:sz w:val="18"/>
          <w:szCs w:val="24"/>
          <w:bdr w:val="nil"/>
        </w:rPr>
        <w:t>2021-22 Budget includes 210 FTE associated with the COVID-19 Clinical Health response and COVID-19 vaccination program.</w:t>
      </w:r>
    </w:p>
    <w:p w14:paraId="0180F6A3" w14:textId="77777777" w:rsidR="009832FC" w:rsidRPr="009832FC" w:rsidRDefault="009832FC" w:rsidP="009832FC">
      <w:pPr>
        <w:pBdr>
          <w:top w:val="nil"/>
          <w:left w:val="nil"/>
          <w:bottom w:val="nil"/>
          <w:right w:val="nil"/>
          <w:between w:val="nil"/>
          <w:bar w:val="nil"/>
        </w:pBdr>
        <w:spacing w:after="0"/>
        <w:rPr>
          <w:b/>
          <w:sz w:val="18"/>
          <w:szCs w:val="18"/>
          <w:bdr w:val="nil"/>
        </w:rPr>
      </w:pPr>
    </w:p>
    <w:p w14:paraId="4B828848" w14:textId="77777777" w:rsidR="009832FC" w:rsidRPr="009832FC" w:rsidRDefault="009832FC" w:rsidP="009832FC">
      <w:pPr>
        <w:pBdr>
          <w:top w:val="nil"/>
          <w:left w:val="nil"/>
          <w:bottom w:val="nil"/>
          <w:right w:val="nil"/>
          <w:between w:val="nil"/>
          <w:bar w:val="nil"/>
        </w:pBdr>
        <w:spacing w:before="0" w:after="0"/>
        <w:ind w:left="360" w:hanging="360"/>
        <w:rPr>
          <w:sz w:val="18"/>
          <w:szCs w:val="24"/>
          <w:bdr w:val="nil"/>
        </w:rPr>
      </w:pPr>
      <w:r w:rsidRPr="009832FC">
        <w:rPr>
          <w:sz w:val="18"/>
          <w:szCs w:val="24"/>
        </w:rPr>
        <w:t xml:space="preserve"> </w:t>
      </w:r>
    </w:p>
    <w:p w14:paraId="69B30D6B" w14:textId="77777777" w:rsidR="009832FC" w:rsidRPr="009832FC" w:rsidRDefault="009832FC" w:rsidP="009832FC">
      <w:pPr>
        <w:keepNext/>
        <w:pageBreakBefore/>
        <w:pBdr>
          <w:top w:val="nil"/>
          <w:left w:val="nil"/>
          <w:bottom w:val="nil"/>
          <w:right w:val="nil"/>
          <w:between w:val="nil"/>
          <w:bar w:val="nil"/>
        </w:pBdr>
        <w:snapToGrid w:val="0"/>
        <w:spacing w:before="360"/>
        <w:outlineLvl w:val="1"/>
        <w:rPr>
          <w:b/>
          <w:sz w:val="32"/>
          <w:bdr w:val="nil"/>
        </w:rPr>
      </w:pPr>
      <w:bookmarkStart w:id="45" w:name="_Toc83910750"/>
      <w:r w:rsidRPr="009832FC">
        <w:rPr>
          <w:b/>
          <w:sz w:val="32"/>
          <w:bdr w:val="nil"/>
        </w:rPr>
        <w:lastRenderedPageBreak/>
        <w:t>Strategic Objectives and Indicators</w:t>
      </w:r>
      <w:bookmarkEnd w:id="45"/>
      <w:r w:rsidRPr="009832FC">
        <w:rPr>
          <w:b/>
          <w:sz w:val="32"/>
          <w:bdr w:val="nil"/>
        </w:rPr>
        <w:t xml:space="preserve"> </w:t>
      </w:r>
    </w:p>
    <w:p w14:paraId="1516B051" w14:textId="77777777" w:rsidR="009832FC" w:rsidRPr="003905AE" w:rsidRDefault="009832FC" w:rsidP="008E3537">
      <w:pPr>
        <w:pStyle w:val="Heading3"/>
        <w:rPr>
          <w:bdr w:val="nil"/>
        </w:rPr>
      </w:pPr>
      <w:bookmarkStart w:id="46" w:name="_Toc514832544"/>
      <w:bookmarkStart w:id="47" w:name="_Toc514832361"/>
      <w:bookmarkStart w:id="48" w:name="_Toc514765737"/>
      <w:bookmarkStart w:id="49" w:name="_Toc514764109"/>
      <w:r w:rsidRPr="009832FC">
        <w:rPr>
          <w:bdr w:val="nil"/>
        </w:rPr>
        <w:t xml:space="preserve">Strategic Objective </w:t>
      </w:r>
      <w:bookmarkEnd w:id="46"/>
      <w:bookmarkEnd w:id="47"/>
      <w:bookmarkEnd w:id="48"/>
      <w:bookmarkEnd w:id="49"/>
      <w:r w:rsidRPr="009832FC">
        <w:rPr>
          <w:bdr w:val="nil"/>
        </w:rPr>
        <w:t>1 - Reducing the Usage of Seclusion in Mental Health Episodes</w:t>
      </w:r>
    </w:p>
    <w:p w14:paraId="2276E33A" w14:textId="77777777" w:rsidR="009832FC" w:rsidRPr="009832FC" w:rsidRDefault="009832FC" w:rsidP="00D62507">
      <w:pPr>
        <w:keepNext/>
        <w:keepLines/>
        <w:spacing w:before="240" w:after="120"/>
        <w:jc w:val="both"/>
        <w:outlineLvl w:val="3"/>
        <w:rPr>
          <w:b/>
          <w:i/>
        </w:rPr>
      </w:pPr>
      <w:r w:rsidRPr="009832FC">
        <w:rPr>
          <w:b/>
          <w:i/>
        </w:rPr>
        <w:t>Strategic Indicator 1.1 – The rate of clients with a mental health seclusion episode</w:t>
      </w:r>
    </w:p>
    <w:p w14:paraId="45F7ECB4" w14:textId="77777777" w:rsidR="009832FC" w:rsidRPr="009832FC" w:rsidRDefault="009832FC" w:rsidP="00D62507">
      <w:pPr>
        <w:pBdr>
          <w:top w:val="nil"/>
          <w:left w:val="nil"/>
          <w:bottom w:val="nil"/>
          <w:right w:val="nil"/>
          <w:between w:val="nil"/>
          <w:bar w:val="nil"/>
        </w:pBdr>
        <w:jc w:val="both"/>
        <w:rPr>
          <w:bdr w:val="nil"/>
        </w:rPr>
      </w:pPr>
      <w:r w:rsidRPr="009832FC">
        <w:rPr>
          <w:bdr w:val="nil"/>
        </w:rPr>
        <w:t>This measures the effectiveness of public mental health services in the ACT over time, in providing services that minimise the need for seclusion.</w:t>
      </w:r>
    </w:p>
    <w:p w14:paraId="53409DEA" w14:textId="77777777" w:rsidR="009832FC" w:rsidRPr="009832FC" w:rsidRDefault="009832FC" w:rsidP="00D62507">
      <w:pPr>
        <w:keepNext/>
        <w:spacing w:before="240"/>
        <w:jc w:val="both"/>
        <w:rPr>
          <w:b/>
          <w:bCs/>
          <w:color w:val="000000"/>
          <w:sz w:val="22"/>
          <w:szCs w:val="18"/>
          <w:bdr w:val="nil"/>
        </w:rPr>
      </w:pPr>
      <w:r w:rsidRPr="009832FC">
        <w:rPr>
          <w:b/>
          <w:bCs/>
          <w:color w:val="000000"/>
          <w:sz w:val="22"/>
          <w:szCs w:val="18"/>
          <w:bdr w:val="nil"/>
        </w:rPr>
        <w:t>Table 2: The rate of mental health clients who are subject to a seclusion event while being an admitted patient in an ACT public mental health inpatient unit per 1,000 bed days</w:t>
      </w:r>
    </w:p>
    <w:tbl>
      <w:tblPr>
        <w:tblW w:w="9120" w:type="dxa"/>
        <w:tblInd w:w="108" w:type="dxa"/>
        <w:tblBorders>
          <w:top w:val="single" w:sz="4" w:space="0" w:color="auto"/>
          <w:bottom w:val="single" w:sz="4" w:space="0" w:color="auto"/>
        </w:tblBorders>
        <w:tblLayout w:type="fixed"/>
        <w:tblLook w:val="04A0" w:firstRow="1" w:lastRow="0" w:firstColumn="1" w:lastColumn="0" w:noHBand="0" w:noVBand="1"/>
      </w:tblPr>
      <w:tblGrid>
        <w:gridCol w:w="4837"/>
        <w:gridCol w:w="11"/>
        <w:gridCol w:w="1415"/>
        <w:gridCol w:w="9"/>
        <w:gridCol w:w="1412"/>
        <w:gridCol w:w="12"/>
        <w:gridCol w:w="1409"/>
        <w:gridCol w:w="15"/>
      </w:tblGrid>
      <w:tr w:rsidR="009832FC" w:rsidRPr="009832FC" w14:paraId="0AFB862F" w14:textId="77777777" w:rsidTr="00EB585F">
        <w:trPr>
          <w:gridAfter w:val="1"/>
          <w:wAfter w:w="15" w:type="dxa"/>
          <w:trHeight w:val="58"/>
        </w:trPr>
        <w:tc>
          <w:tcPr>
            <w:tcW w:w="4837" w:type="dxa"/>
            <w:tcBorders>
              <w:top w:val="single" w:sz="4" w:space="0" w:color="auto"/>
              <w:bottom w:val="nil"/>
            </w:tcBorders>
            <w:hideMark/>
          </w:tcPr>
          <w:p w14:paraId="70F702C1" w14:textId="77777777" w:rsidR="009832FC" w:rsidRPr="009832FC" w:rsidRDefault="009832FC" w:rsidP="009832FC">
            <w:pPr>
              <w:pBdr>
                <w:top w:val="nil"/>
                <w:left w:val="nil"/>
                <w:bottom w:val="nil"/>
                <w:right w:val="nil"/>
                <w:between w:val="nil"/>
                <w:bar w:val="nil"/>
              </w:pBdr>
              <w:spacing w:before="0" w:after="0"/>
              <w:rPr>
                <w:b/>
                <w:bCs/>
                <w:sz w:val="20"/>
                <w:bdr w:val="nil"/>
              </w:rPr>
            </w:pPr>
            <w:r w:rsidRPr="009832FC">
              <w:rPr>
                <w:b/>
                <w:bCs/>
                <w:sz w:val="20"/>
                <w:bdr w:val="nil"/>
              </w:rPr>
              <w:t>Strategic Indicator</w:t>
            </w:r>
          </w:p>
        </w:tc>
        <w:tc>
          <w:tcPr>
            <w:tcW w:w="1426" w:type="dxa"/>
            <w:gridSpan w:val="2"/>
            <w:tcBorders>
              <w:top w:val="single" w:sz="4" w:space="0" w:color="auto"/>
              <w:bottom w:val="nil"/>
            </w:tcBorders>
            <w:hideMark/>
          </w:tcPr>
          <w:p w14:paraId="4F31A3C4"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bottom w:val="nil"/>
            </w:tcBorders>
            <w:hideMark/>
          </w:tcPr>
          <w:p w14:paraId="3E648792"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bottom w:val="nil"/>
            </w:tcBorders>
            <w:hideMark/>
          </w:tcPr>
          <w:p w14:paraId="31B1BF10"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tc>
      </w:tr>
      <w:tr w:rsidR="009832FC" w:rsidRPr="009832FC" w14:paraId="3EC1470E" w14:textId="77777777" w:rsidTr="00EB585F">
        <w:trPr>
          <w:gridAfter w:val="1"/>
          <w:wAfter w:w="15" w:type="dxa"/>
        </w:trPr>
        <w:tc>
          <w:tcPr>
            <w:tcW w:w="4837" w:type="dxa"/>
            <w:tcBorders>
              <w:top w:val="nil"/>
              <w:bottom w:val="single" w:sz="4" w:space="0" w:color="auto"/>
            </w:tcBorders>
          </w:tcPr>
          <w:p w14:paraId="6E57637B" w14:textId="77777777" w:rsidR="009832FC" w:rsidRPr="009832FC" w:rsidRDefault="009832FC" w:rsidP="009832FC">
            <w:pPr>
              <w:pBdr>
                <w:top w:val="nil"/>
                <w:left w:val="nil"/>
                <w:bottom w:val="nil"/>
                <w:right w:val="nil"/>
                <w:between w:val="nil"/>
                <w:bar w:val="nil"/>
              </w:pBdr>
              <w:spacing w:before="0" w:after="0" w:line="254" w:lineRule="auto"/>
              <w:ind w:left="227" w:hanging="227"/>
              <w:rPr>
                <w:b/>
                <w:bCs/>
                <w:sz w:val="20"/>
                <w:bdr w:val="nil"/>
              </w:rPr>
            </w:pPr>
          </w:p>
        </w:tc>
        <w:tc>
          <w:tcPr>
            <w:tcW w:w="1426" w:type="dxa"/>
            <w:gridSpan w:val="2"/>
            <w:tcBorders>
              <w:top w:val="nil"/>
              <w:bottom w:val="single" w:sz="4" w:space="0" w:color="auto"/>
            </w:tcBorders>
            <w:hideMark/>
          </w:tcPr>
          <w:p w14:paraId="29905E8B"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c>
          <w:tcPr>
            <w:tcW w:w="1421" w:type="dxa"/>
            <w:gridSpan w:val="2"/>
            <w:tcBorders>
              <w:top w:val="nil"/>
              <w:bottom w:val="single" w:sz="4" w:space="0" w:color="auto"/>
            </w:tcBorders>
            <w:hideMark/>
          </w:tcPr>
          <w:p w14:paraId="2287D3E3"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Interim Outcome</w:t>
            </w:r>
          </w:p>
        </w:tc>
        <w:tc>
          <w:tcPr>
            <w:tcW w:w="1421" w:type="dxa"/>
            <w:gridSpan w:val="2"/>
            <w:tcBorders>
              <w:top w:val="nil"/>
              <w:bottom w:val="single" w:sz="4" w:space="0" w:color="auto"/>
            </w:tcBorders>
            <w:hideMark/>
          </w:tcPr>
          <w:p w14:paraId="4FD879B0"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r w:rsidRPr="009832FC">
              <w:rPr>
                <w:b/>
                <w:sz w:val="20"/>
                <w:bdr w:val="nil"/>
                <w:vertAlign w:val="superscript"/>
              </w:rPr>
              <w:t>1</w:t>
            </w:r>
          </w:p>
        </w:tc>
      </w:tr>
      <w:tr w:rsidR="009832FC" w:rsidRPr="009832FC" w14:paraId="483D14EC" w14:textId="77777777" w:rsidTr="00EB585F">
        <w:trPr>
          <w:trHeight w:val="1095"/>
        </w:trPr>
        <w:tc>
          <w:tcPr>
            <w:tcW w:w="4848" w:type="dxa"/>
            <w:gridSpan w:val="2"/>
            <w:hideMark/>
          </w:tcPr>
          <w:p w14:paraId="17CFB011" w14:textId="77777777" w:rsidR="009832FC" w:rsidRPr="009832FC" w:rsidRDefault="009832FC" w:rsidP="009832FC">
            <w:pPr>
              <w:pBdr>
                <w:top w:val="nil"/>
                <w:left w:val="nil"/>
                <w:bottom w:val="nil"/>
                <w:right w:val="nil"/>
                <w:between w:val="nil"/>
                <w:bar w:val="nil"/>
              </w:pBdr>
              <w:spacing w:before="0" w:after="0" w:line="254" w:lineRule="auto"/>
              <w:ind w:left="178" w:hanging="178"/>
              <w:rPr>
                <w:b/>
                <w:bCs/>
                <w:sz w:val="20"/>
                <w:bdr w:val="nil"/>
                <w:vertAlign w:val="superscript"/>
              </w:rPr>
            </w:pPr>
            <w:r w:rsidRPr="009832FC">
              <w:rPr>
                <w:bCs/>
                <w:sz w:val="20"/>
                <w:bdr w:val="nil"/>
              </w:rPr>
              <w:t>The rate of mental health clients who are subject to a seclusion event while being an admitted patient in an ACT public mental health inpatient unit per 1,000 bed days</w:t>
            </w:r>
          </w:p>
        </w:tc>
        <w:tc>
          <w:tcPr>
            <w:tcW w:w="1424" w:type="dxa"/>
            <w:gridSpan w:val="2"/>
            <w:hideMark/>
          </w:tcPr>
          <w:p w14:paraId="15A236B3" w14:textId="77777777" w:rsidR="009832FC" w:rsidRPr="009832FC" w:rsidRDefault="009832FC" w:rsidP="009832FC">
            <w:pPr>
              <w:pBdr>
                <w:top w:val="nil"/>
                <w:left w:val="nil"/>
                <w:bottom w:val="nil"/>
                <w:right w:val="nil"/>
                <w:between w:val="nil"/>
                <w:bar w:val="nil"/>
              </w:pBdr>
              <w:spacing w:before="0" w:after="0" w:line="254" w:lineRule="auto"/>
              <w:jc w:val="right"/>
              <w:rPr>
                <w:sz w:val="20"/>
                <w:bdr w:val="nil"/>
                <w:vertAlign w:val="superscript"/>
              </w:rPr>
            </w:pPr>
            <w:r w:rsidRPr="009832FC">
              <w:rPr>
                <w:sz w:val="20"/>
                <w:bdr w:val="nil"/>
              </w:rPr>
              <w:t>&lt;7 per 1,000 bed days</w:t>
            </w:r>
          </w:p>
        </w:tc>
        <w:tc>
          <w:tcPr>
            <w:tcW w:w="1424" w:type="dxa"/>
            <w:gridSpan w:val="2"/>
            <w:hideMark/>
          </w:tcPr>
          <w:p w14:paraId="0B191F30" w14:textId="77777777" w:rsidR="009832FC" w:rsidRPr="009832FC" w:rsidRDefault="009832FC" w:rsidP="009832FC">
            <w:pPr>
              <w:pBdr>
                <w:top w:val="nil"/>
                <w:left w:val="nil"/>
                <w:bottom w:val="nil"/>
                <w:right w:val="nil"/>
                <w:between w:val="nil"/>
                <w:bar w:val="nil"/>
              </w:pBdr>
              <w:spacing w:before="0" w:after="0" w:line="254" w:lineRule="auto"/>
              <w:jc w:val="right"/>
              <w:rPr>
                <w:sz w:val="20"/>
                <w:bdr w:val="nil"/>
              </w:rPr>
            </w:pPr>
            <w:r w:rsidRPr="009832FC">
              <w:rPr>
                <w:sz w:val="20"/>
                <w:bdr w:val="nil"/>
              </w:rPr>
              <w:t>9.6 per 1,000 bed day</w:t>
            </w:r>
          </w:p>
        </w:tc>
        <w:tc>
          <w:tcPr>
            <w:tcW w:w="1424" w:type="dxa"/>
            <w:gridSpan w:val="2"/>
            <w:hideMark/>
          </w:tcPr>
          <w:p w14:paraId="5DCE23B7" w14:textId="77777777" w:rsidR="009832FC" w:rsidRPr="009832FC" w:rsidRDefault="009832FC" w:rsidP="009832FC">
            <w:pPr>
              <w:pBdr>
                <w:top w:val="nil"/>
                <w:left w:val="nil"/>
                <w:bottom w:val="nil"/>
                <w:right w:val="nil"/>
                <w:between w:val="nil"/>
                <w:bar w:val="nil"/>
              </w:pBdr>
              <w:spacing w:before="0" w:after="0" w:line="254" w:lineRule="auto"/>
              <w:jc w:val="right"/>
              <w:rPr>
                <w:sz w:val="20"/>
                <w:bdr w:val="nil"/>
              </w:rPr>
            </w:pPr>
            <w:r w:rsidRPr="009832FC">
              <w:rPr>
                <w:sz w:val="20"/>
                <w:bdr w:val="nil"/>
              </w:rPr>
              <w:t>N/A</w:t>
            </w:r>
          </w:p>
        </w:tc>
      </w:tr>
    </w:tbl>
    <w:p w14:paraId="6A587BB9" w14:textId="77777777" w:rsidR="009832FC" w:rsidRPr="009832FC" w:rsidRDefault="009832FC" w:rsidP="009832FC">
      <w:pPr>
        <w:keepNext/>
        <w:pBdr>
          <w:top w:val="nil"/>
          <w:left w:val="nil"/>
          <w:bottom w:val="nil"/>
          <w:right w:val="nil"/>
          <w:between w:val="nil"/>
          <w:bar w:val="nil"/>
        </w:pBdr>
        <w:spacing w:before="120" w:after="0"/>
        <w:rPr>
          <w:b/>
          <w:sz w:val="18"/>
          <w:szCs w:val="18"/>
          <w:bdr w:val="nil"/>
        </w:rPr>
      </w:pPr>
      <w:bookmarkStart w:id="50" w:name="_Toc514832545"/>
      <w:bookmarkStart w:id="51" w:name="_Toc514832362"/>
      <w:bookmarkStart w:id="52" w:name="_Toc514765738"/>
      <w:bookmarkStart w:id="53" w:name="_Toc514764110"/>
      <w:r w:rsidRPr="009832FC">
        <w:rPr>
          <w:b/>
          <w:sz w:val="18"/>
          <w:szCs w:val="18"/>
          <w:bdr w:val="nil"/>
          <w:lang w:eastAsia="en-AU"/>
        </w:rPr>
        <w:t>Note:</w:t>
      </w:r>
    </w:p>
    <w:p w14:paraId="5F8F47D0" w14:textId="77777777" w:rsidR="009832FC" w:rsidRPr="009832FC" w:rsidRDefault="009832FC" w:rsidP="00812F22">
      <w:pPr>
        <w:numPr>
          <w:ilvl w:val="0"/>
          <w:numId w:val="48"/>
        </w:numPr>
        <w:spacing w:before="0" w:after="0"/>
        <w:jc w:val="both"/>
        <w:rPr>
          <w:sz w:val="18"/>
          <w:szCs w:val="24"/>
          <w:bdr w:val="nil"/>
        </w:rPr>
      </w:pPr>
      <w:r w:rsidRPr="009832FC">
        <w:rPr>
          <w:sz w:val="18"/>
          <w:szCs w:val="24"/>
          <w:bdr w:val="nil"/>
        </w:rPr>
        <w:t xml:space="preserve">As a result of a review of all performance indicators against the ACT Government’s Performance and Accountability Framework, this strategic </w:t>
      </w:r>
      <w:r w:rsidRPr="009832FC">
        <w:rPr>
          <w:sz w:val="18"/>
          <w:szCs w:val="24"/>
          <w:bdr w:val="nil"/>
          <w:lang w:eastAsia="en-AU"/>
        </w:rPr>
        <w:t>indicator</w:t>
      </w:r>
      <w:r w:rsidRPr="009832FC">
        <w:rPr>
          <w:sz w:val="18"/>
          <w:szCs w:val="24"/>
          <w:bdr w:val="nil"/>
        </w:rPr>
        <w:t xml:space="preserve"> has been moved to an Accountability Indicator from 2021-22.</w:t>
      </w:r>
    </w:p>
    <w:p w14:paraId="16C2EE13" w14:textId="335B8498" w:rsidR="009832FC" w:rsidRPr="003905AE" w:rsidRDefault="009832FC" w:rsidP="008E3537">
      <w:pPr>
        <w:pStyle w:val="Heading3"/>
        <w:rPr>
          <w:bdr w:val="nil"/>
        </w:rPr>
      </w:pPr>
      <w:r w:rsidRPr="009832FC">
        <w:rPr>
          <w:bdr w:val="nil"/>
        </w:rPr>
        <w:t>Strategic Objective</w:t>
      </w:r>
      <w:bookmarkEnd w:id="50"/>
      <w:bookmarkEnd w:id="51"/>
      <w:bookmarkEnd w:id="52"/>
      <w:bookmarkEnd w:id="53"/>
      <w:r w:rsidRPr="009832FC">
        <w:rPr>
          <w:bdr w:val="nil"/>
        </w:rPr>
        <w:t xml:space="preserve"> 2 - Maintaining Reduced Rates of Patient Return to an ACT Public Acute Psychiatric Inpatient Unit</w:t>
      </w:r>
    </w:p>
    <w:p w14:paraId="4F341DE0" w14:textId="77777777" w:rsidR="009832FC" w:rsidRPr="009832FC" w:rsidRDefault="009832FC" w:rsidP="00D62507">
      <w:pPr>
        <w:keepNext/>
        <w:keepLines/>
        <w:spacing w:before="240" w:after="120"/>
        <w:jc w:val="both"/>
        <w:outlineLvl w:val="3"/>
        <w:rPr>
          <w:b/>
          <w:i/>
        </w:rPr>
      </w:pPr>
      <w:r w:rsidRPr="009832FC">
        <w:rPr>
          <w:b/>
          <w:i/>
        </w:rPr>
        <w:t>Strategic Indicator 2.1 – Acute psychiatric unit patient 18 day readmission rate</w:t>
      </w:r>
    </w:p>
    <w:p w14:paraId="1D6B0573" w14:textId="77777777" w:rsidR="009832FC" w:rsidRPr="009832FC" w:rsidRDefault="009832FC" w:rsidP="00D62507">
      <w:pPr>
        <w:pBdr>
          <w:top w:val="nil"/>
          <w:left w:val="nil"/>
          <w:bottom w:val="nil"/>
          <w:right w:val="nil"/>
          <w:between w:val="nil"/>
          <w:bar w:val="nil"/>
        </w:pBdr>
        <w:jc w:val="both"/>
        <w:rPr>
          <w:bdr w:val="nil"/>
        </w:rPr>
      </w:pPr>
      <w:r w:rsidRPr="009832FC">
        <w:rPr>
          <w:bdr w:val="nil"/>
        </w:rPr>
        <w:t xml:space="preserve">This indicator reflects the quality of care provided to acute mental health patients. </w:t>
      </w:r>
    </w:p>
    <w:p w14:paraId="2DBCD5E9" w14:textId="77777777" w:rsidR="009832FC" w:rsidRPr="009832FC" w:rsidRDefault="009832FC" w:rsidP="00D62507">
      <w:pPr>
        <w:keepNext/>
        <w:spacing w:before="240"/>
        <w:jc w:val="both"/>
        <w:rPr>
          <w:b/>
          <w:bCs/>
          <w:color w:val="000000"/>
          <w:sz w:val="22"/>
          <w:szCs w:val="18"/>
          <w:bdr w:val="nil"/>
        </w:rPr>
      </w:pPr>
      <w:r w:rsidRPr="009832FC">
        <w:rPr>
          <w:b/>
          <w:bCs/>
          <w:color w:val="000000"/>
          <w:sz w:val="22"/>
          <w:szCs w:val="18"/>
          <w:bdr w:val="nil"/>
        </w:rPr>
        <w:t>Table 3: The proportion of clients who return to hospital within 28 days of discharge from an ACT public acute psychiatric unit following an acute episode of care</w:t>
      </w:r>
    </w:p>
    <w:tbl>
      <w:tblPr>
        <w:tblW w:w="9120" w:type="dxa"/>
        <w:tblInd w:w="108" w:type="dxa"/>
        <w:tblLayout w:type="fixed"/>
        <w:tblLook w:val="04A0" w:firstRow="1" w:lastRow="0" w:firstColumn="1" w:lastColumn="0" w:noHBand="0" w:noVBand="1"/>
      </w:tblPr>
      <w:tblGrid>
        <w:gridCol w:w="4837"/>
        <w:gridCol w:w="11"/>
        <w:gridCol w:w="1415"/>
        <w:gridCol w:w="9"/>
        <w:gridCol w:w="1412"/>
        <w:gridCol w:w="12"/>
        <w:gridCol w:w="1409"/>
        <w:gridCol w:w="15"/>
      </w:tblGrid>
      <w:tr w:rsidR="009832FC" w:rsidRPr="009832FC" w14:paraId="3AE93524" w14:textId="77777777" w:rsidTr="00EB585F">
        <w:trPr>
          <w:gridAfter w:val="1"/>
          <w:wAfter w:w="15" w:type="dxa"/>
          <w:trHeight w:val="134"/>
        </w:trPr>
        <w:tc>
          <w:tcPr>
            <w:tcW w:w="4837" w:type="dxa"/>
            <w:tcBorders>
              <w:top w:val="single" w:sz="4" w:space="0" w:color="auto"/>
              <w:left w:val="nil"/>
              <w:bottom w:val="nil"/>
              <w:right w:val="nil"/>
            </w:tcBorders>
            <w:hideMark/>
          </w:tcPr>
          <w:p w14:paraId="406709E9" w14:textId="77777777" w:rsidR="009832FC" w:rsidRPr="009832FC" w:rsidRDefault="009832FC" w:rsidP="009832FC">
            <w:pPr>
              <w:pBdr>
                <w:top w:val="nil"/>
                <w:left w:val="nil"/>
                <w:bottom w:val="nil"/>
                <w:right w:val="nil"/>
                <w:between w:val="nil"/>
                <w:bar w:val="nil"/>
              </w:pBdr>
              <w:spacing w:before="0" w:after="0"/>
              <w:rPr>
                <w:i/>
                <w:sz w:val="20"/>
                <w:szCs w:val="24"/>
                <w:bdr w:val="nil"/>
              </w:rPr>
            </w:pPr>
            <w:r w:rsidRPr="009832FC">
              <w:rPr>
                <w:b/>
                <w:bCs/>
                <w:sz w:val="20"/>
                <w:bdr w:val="nil"/>
              </w:rPr>
              <w:t>Strategic Indicator</w:t>
            </w:r>
          </w:p>
        </w:tc>
        <w:tc>
          <w:tcPr>
            <w:tcW w:w="1426" w:type="dxa"/>
            <w:gridSpan w:val="2"/>
            <w:tcBorders>
              <w:top w:val="single" w:sz="4" w:space="0" w:color="auto"/>
              <w:left w:val="nil"/>
              <w:bottom w:val="nil"/>
              <w:right w:val="nil"/>
            </w:tcBorders>
            <w:hideMark/>
          </w:tcPr>
          <w:p w14:paraId="4BF4074F"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6BC94F78"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24FA8C68"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tc>
      </w:tr>
      <w:tr w:rsidR="009832FC" w:rsidRPr="009832FC" w14:paraId="281B5346" w14:textId="77777777" w:rsidTr="00EB585F">
        <w:trPr>
          <w:gridAfter w:val="1"/>
          <w:wAfter w:w="15" w:type="dxa"/>
        </w:trPr>
        <w:tc>
          <w:tcPr>
            <w:tcW w:w="4837" w:type="dxa"/>
            <w:tcBorders>
              <w:top w:val="nil"/>
              <w:left w:val="nil"/>
              <w:bottom w:val="single" w:sz="4" w:space="0" w:color="auto"/>
              <w:right w:val="nil"/>
            </w:tcBorders>
            <w:hideMark/>
          </w:tcPr>
          <w:p w14:paraId="1FA88B3C" w14:textId="77777777" w:rsidR="009832FC" w:rsidRPr="009832FC" w:rsidRDefault="009832FC" w:rsidP="009832FC">
            <w:pPr>
              <w:pBdr>
                <w:top w:val="nil"/>
                <w:left w:val="nil"/>
                <w:bottom w:val="nil"/>
                <w:right w:val="nil"/>
                <w:between w:val="nil"/>
                <w:bar w:val="nil"/>
              </w:pBdr>
              <w:spacing w:before="0" w:after="0" w:line="254" w:lineRule="auto"/>
              <w:ind w:left="227" w:hanging="227"/>
              <w:rPr>
                <w:b/>
                <w:bCs/>
                <w:sz w:val="20"/>
                <w:bdr w:val="nil"/>
              </w:rPr>
            </w:pPr>
          </w:p>
        </w:tc>
        <w:tc>
          <w:tcPr>
            <w:tcW w:w="1426" w:type="dxa"/>
            <w:gridSpan w:val="2"/>
            <w:tcBorders>
              <w:top w:val="nil"/>
              <w:left w:val="nil"/>
              <w:bottom w:val="single" w:sz="4" w:space="0" w:color="auto"/>
              <w:right w:val="nil"/>
            </w:tcBorders>
            <w:hideMark/>
          </w:tcPr>
          <w:p w14:paraId="1FF23884"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c>
          <w:tcPr>
            <w:tcW w:w="1421" w:type="dxa"/>
            <w:gridSpan w:val="2"/>
            <w:tcBorders>
              <w:top w:val="nil"/>
              <w:left w:val="nil"/>
              <w:bottom w:val="single" w:sz="4" w:space="0" w:color="auto"/>
              <w:right w:val="nil"/>
            </w:tcBorders>
            <w:hideMark/>
          </w:tcPr>
          <w:p w14:paraId="2A6EF0E1"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Interim Outcome</w:t>
            </w:r>
          </w:p>
        </w:tc>
        <w:tc>
          <w:tcPr>
            <w:tcW w:w="1421" w:type="dxa"/>
            <w:gridSpan w:val="2"/>
            <w:tcBorders>
              <w:top w:val="nil"/>
              <w:left w:val="nil"/>
              <w:bottom w:val="single" w:sz="4" w:space="0" w:color="auto"/>
              <w:right w:val="nil"/>
            </w:tcBorders>
            <w:hideMark/>
          </w:tcPr>
          <w:p w14:paraId="7D1BA1CE"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r w:rsidRPr="009832FC">
              <w:rPr>
                <w:b/>
                <w:sz w:val="20"/>
                <w:bdr w:val="nil"/>
                <w:vertAlign w:val="superscript"/>
              </w:rPr>
              <w:t>1</w:t>
            </w:r>
          </w:p>
        </w:tc>
      </w:tr>
      <w:tr w:rsidR="009832FC" w:rsidRPr="009832FC" w14:paraId="259B7CD2" w14:textId="77777777" w:rsidTr="00EB585F">
        <w:trPr>
          <w:trHeight w:val="877"/>
        </w:trPr>
        <w:tc>
          <w:tcPr>
            <w:tcW w:w="4848" w:type="dxa"/>
            <w:gridSpan w:val="2"/>
            <w:tcBorders>
              <w:top w:val="single" w:sz="4" w:space="0" w:color="auto"/>
              <w:left w:val="nil"/>
              <w:bottom w:val="single" w:sz="4" w:space="0" w:color="auto"/>
              <w:right w:val="nil"/>
            </w:tcBorders>
            <w:hideMark/>
          </w:tcPr>
          <w:p w14:paraId="3B566C96" w14:textId="77777777" w:rsidR="009832FC" w:rsidRPr="009832FC" w:rsidRDefault="009832FC" w:rsidP="009832FC">
            <w:pPr>
              <w:pBdr>
                <w:top w:val="nil"/>
                <w:left w:val="nil"/>
                <w:bottom w:val="nil"/>
                <w:right w:val="nil"/>
                <w:between w:val="nil"/>
                <w:bar w:val="nil"/>
              </w:pBdr>
              <w:spacing w:before="0" w:after="0" w:line="254" w:lineRule="auto"/>
              <w:ind w:left="178" w:hanging="178"/>
              <w:rPr>
                <w:b/>
                <w:bCs/>
                <w:sz w:val="20"/>
                <w:bdr w:val="nil"/>
              </w:rPr>
            </w:pPr>
            <w:r w:rsidRPr="009832FC">
              <w:rPr>
                <w:bCs/>
                <w:sz w:val="20"/>
                <w:bdr w:val="nil"/>
              </w:rPr>
              <w:t>Proportion of clients who return to hospital within 28 days of discharge from an ACT acute psychiatric mental health inpatient unit</w:t>
            </w:r>
          </w:p>
        </w:tc>
        <w:tc>
          <w:tcPr>
            <w:tcW w:w="1424" w:type="dxa"/>
            <w:gridSpan w:val="2"/>
            <w:tcBorders>
              <w:top w:val="single" w:sz="4" w:space="0" w:color="auto"/>
              <w:left w:val="nil"/>
              <w:bottom w:val="single" w:sz="4" w:space="0" w:color="auto"/>
              <w:right w:val="nil"/>
            </w:tcBorders>
            <w:hideMark/>
          </w:tcPr>
          <w:p w14:paraId="7D908D41" w14:textId="77777777" w:rsidR="009832FC" w:rsidRPr="009832FC" w:rsidRDefault="009832FC" w:rsidP="009832FC">
            <w:pPr>
              <w:pBdr>
                <w:top w:val="nil"/>
                <w:left w:val="nil"/>
                <w:bottom w:val="nil"/>
                <w:right w:val="nil"/>
                <w:between w:val="nil"/>
                <w:bar w:val="nil"/>
              </w:pBdr>
              <w:spacing w:before="0" w:after="0" w:line="254" w:lineRule="auto"/>
              <w:jc w:val="right"/>
              <w:rPr>
                <w:sz w:val="20"/>
                <w:bdr w:val="nil"/>
              </w:rPr>
            </w:pPr>
            <w:r w:rsidRPr="009832FC">
              <w:rPr>
                <w:sz w:val="20"/>
                <w:bdr w:val="nil"/>
              </w:rPr>
              <w:t>&lt;17%</w:t>
            </w:r>
          </w:p>
        </w:tc>
        <w:tc>
          <w:tcPr>
            <w:tcW w:w="1424" w:type="dxa"/>
            <w:gridSpan w:val="2"/>
            <w:tcBorders>
              <w:top w:val="single" w:sz="4" w:space="0" w:color="auto"/>
              <w:left w:val="nil"/>
              <w:bottom w:val="single" w:sz="4" w:space="0" w:color="auto"/>
              <w:right w:val="nil"/>
            </w:tcBorders>
            <w:hideMark/>
          </w:tcPr>
          <w:p w14:paraId="2D8803DB" w14:textId="77777777" w:rsidR="009832FC" w:rsidRPr="009832FC" w:rsidRDefault="009832FC" w:rsidP="009832FC">
            <w:pPr>
              <w:pBdr>
                <w:top w:val="nil"/>
                <w:left w:val="nil"/>
                <w:bottom w:val="nil"/>
                <w:right w:val="nil"/>
                <w:between w:val="nil"/>
                <w:bar w:val="nil"/>
              </w:pBdr>
              <w:spacing w:before="0" w:after="0" w:line="254" w:lineRule="auto"/>
              <w:jc w:val="right"/>
              <w:rPr>
                <w:sz w:val="20"/>
                <w:bdr w:val="nil"/>
              </w:rPr>
            </w:pPr>
            <w:r w:rsidRPr="009832FC">
              <w:rPr>
                <w:sz w:val="20"/>
                <w:bdr w:val="nil"/>
              </w:rPr>
              <w:t>15%</w:t>
            </w:r>
          </w:p>
        </w:tc>
        <w:tc>
          <w:tcPr>
            <w:tcW w:w="1424" w:type="dxa"/>
            <w:gridSpan w:val="2"/>
            <w:tcBorders>
              <w:top w:val="single" w:sz="4" w:space="0" w:color="auto"/>
              <w:left w:val="nil"/>
              <w:bottom w:val="single" w:sz="4" w:space="0" w:color="auto"/>
              <w:right w:val="nil"/>
            </w:tcBorders>
            <w:hideMark/>
          </w:tcPr>
          <w:p w14:paraId="5608AB2B" w14:textId="77777777" w:rsidR="009832FC" w:rsidRPr="009832FC" w:rsidRDefault="009832FC" w:rsidP="009832FC">
            <w:pPr>
              <w:pBdr>
                <w:top w:val="nil"/>
                <w:left w:val="nil"/>
                <w:bottom w:val="nil"/>
                <w:right w:val="nil"/>
                <w:between w:val="nil"/>
                <w:bar w:val="nil"/>
              </w:pBdr>
              <w:spacing w:before="0" w:after="0" w:line="254" w:lineRule="auto"/>
              <w:jc w:val="right"/>
              <w:rPr>
                <w:sz w:val="20"/>
                <w:bdr w:val="nil"/>
              </w:rPr>
            </w:pPr>
            <w:r w:rsidRPr="009832FC">
              <w:rPr>
                <w:sz w:val="20"/>
                <w:bdr w:val="nil"/>
              </w:rPr>
              <w:t>N/A</w:t>
            </w:r>
          </w:p>
        </w:tc>
      </w:tr>
    </w:tbl>
    <w:p w14:paraId="591042DA" w14:textId="77777777" w:rsidR="009832FC" w:rsidRPr="009832FC" w:rsidRDefault="009832FC" w:rsidP="009832FC">
      <w:pPr>
        <w:keepNext/>
        <w:pBdr>
          <w:top w:val="nil"/>
          <w:left w:val="nil"/>
          <w:bottom w:val="nil"/>
          <w:right w:val="nil"/>
          <w:between w:val="nil"/>
          <w:bar w:val="nil"/>
        </w:pBdr>
        <w:spacing w:before="120" w:after="0"/>
        <w:rPr>
          <w:b/>
          <w:sz w:val="18"/>
          <w:szCs w:val="18"/>
          <w:bdr w:val="nil"/>
        </w:rPr>
      </w:pPr>
      <w:r w:rsidRPr="009832FC">
        <w:rPr>
          <w:b/>
          <w:sz w:val="18"/>
          <w:szCs w:val="18"/>
          <w:bdr w:val="nil"/>
          <w:lang w:eastAsia="en-AU"/>
        </w:rPr>
        <w:t>Note:</w:t>
      </w:r>
    </w:p>
    <w:p w14:paraId="5FE198BC" w14:textId="77777777" w:rsidR="009832FC" w:rsidRPr="009832FC" w:rsidRDefault="009832FC" w:rsidP="00812F22">
      <w:pPr>
        <w:numPr>
          <w:ilvl w:val="0"/>
          <w:numId w:val="49"/>
        </w:numPr>
        <w:spacing w:before="0" w:after="0"/>
        <w:jc w:val="both"/>
        <w:rPr>
          <w:sz w:val="18"/>
          <w:szCs w:val="24"/>
          <w:bdr w:val="nil"/>
          <w:lang w:eastAsia="en-AU"/>
        </w:rPr>
      </w:pPr>
      <w:r w:rsidRPr="009832FC">
        <w:rPr>
          <w:sz w:val="18"/>
          <w:szCs w:val="24"/>
          <w:bdr w:val="nil"/>
        </w:rPr>
        <w:t xml:space="preserve">As a result of a review of all performance indicators against the ACT Government’s Performance and Accountability Framework, </w:t>
      </w:r>
      <w:r w:rsidRPr="009832FC">
        <w:rPr>
          <w:sz w:val="18"/>
          <w:szCs w:val="24"/>
          <w:bdr w:val="nil"/>
          <w:lang w:eastAsia="en-AU"/>
        </w:rPr>
        <w:t>this strategic indicator has been moved to an Accountability Indicator from 2021-22.</w:t>
      </w:r>
    </w:p>
    <w:p w14:paraId="6CAD4195" w14:textId="77777777" w:rsidR="009832FC" w:rsidRPr="003905AE" w:rsidRDefault="009832FC" w:rsidP="008E3537">
      <w:pPr>
        <w:pStyle w:val="Heading3"/>
        <w:rPr>
          <w:bdr w:val="nil"/>
        </w:rPr>
      </w:pPr>
      <w:r w:rsidRPr="009832FC">
        <w:rPr>
          <w:bdr w:val="nil"/>
        </w:rPr>
        <w:lastRenderedPageBreak/>
        <w:t>Strategic Objective 3 - Maximising the Quality of Hospital Services</w:t>
      </w:r>
    </w:p>
    <w:p w14:paraId="4DB9D070" w14:textId="7C3CB7AE" w:rsidR="009832FC" w:rsidRPr="009832FC" w:rsidRDefault="009832FC" w:rsidP="00D62507">
      <w:pPr>
        <w:keepNext/>
        <w:keepLines/>
        <w:spacing w:before="240" w:after="120"/>
        <w:jc w:val="both"/>
        <w:outlineLvl w:val="3"/>
        <w:rPr>
          <w:b/>
          <w:i/>
        </w:rPr>
      </w:pPr>
      <w:r w:rsidRPr="009832FC">
        <w:rPr>
          <w:b/>
          <w:i/>
        </w:rPr>
        <w:t xml:space="preserve">Strategic Indicator 3.1 – Quality of care provided to </w:t>
      </w:r>
      <w:r w:rsidR="00F54F3E" w:rsidRPr="009832FC">
        <w:rPr>
          <w:b/>
          <w:i/>
        </w:rPr>
        <w:t>patients</w:t>
      </w:r>
    </w:p>
    <w:p w14:paraId="6C7E3453" w14:textId="52994580" w:rsidR="009832FC" w:rsidRPr="009832FC" w:rsidRDefault="009832FC" w:rsidP="00D62507">
      <w:pPr>
        <w:keepNext/>
        <w:keepLines/>
        <w:pBdr>
          <w:top w:val="nil"/>
          <w:left w:val="nil"/>
          <w:bottom w:val="nil"/>
          <w:right w:val="nil"/>
          <w:between w:val="nil"/>
          <w:bar w:val="nil"/>
        </w:pBdr>
        <w:spacing w:before="120" w:after="120"/>
        <w:jc w:val="both"/>
        <w:rPr>
          <w:kern w:val="28"/>
          <w:bdr w:val="nil"/>
          <w:lang w:eastAsia="en-AU"/>
        </w:rPr>
      </w:pPr>
      <w:r w:rsidRPr="009832FC">
        <w:rPr>
          <w:kern w:val="28"/>
          <w:bdr w:val="nil"/>
          <w:lang w:eastAsia="en-AU"/>
        </w:rPr>
        <w:t xml:space="preserve">This </w:t>
      </w:r>
      <w:r w:rsidRPr="009832FC">
        <w:rPr>
          <w:bdr w:val="nil"/>
          <w:lang w:eastAsia="en-AU"/>
        </w:rPr>
        <w:t>indicator</w:t>
      </w:r>
      <w:r w:rsidRPr="009832FC">
        <w:rPr>
          <w:b/>
          <w:bdr w:val="nil"/>
          <w:lang w:eastAsia="en-AU"/>
        </w:rPr>
        <w:t xml:space="preserve"> </w:t>
      </w:r>
      <w:r w:rsidRPr="009832FC">
        <w:rPr>
          <w:kern w:val="28"/>
          <w:bdr w:val="nil"/>
          <w:lang w:eastAsia="en-AU"/>
        </w:rPr>
        <w:t xml:space="preserve">highlights </w:t>
      </w:r>
      <w:r w:rsidR="00D75E0E">
        <w:rPr>
          <w:kern w:val="28"/>
          <w:bdr w:val="nil"/>
          <w:lang w:eastAsia="en-AU"/>
        </w:rPr>
        <w:t xml:space="preserve">patients’ experience of the </w:t>
      </w:r>
      <w:r w:rsidRPr="009832FC">
        <w:rPr>
          <w:kern w:val="28"/>
          <w:bdr w:val="nil"/>
          <w:lang w:eastAsia="en-AU"/>
        </w:rPr>
        <w:t>effectiveness and quality of care provided within Canberra Health Services</w:t>
      </w:r>
      <w:r w:rsidR="00D75E0E">
        <w:rPr>
          <w:kern w:val="28"/>
          <w:bdr w:val="nil"/>
          <w:lang w:eastAsia="en-AU"/>
        </w:rPr>
        <w:t>.</w:t>
      </w:r>
    </w:p>
    <w:p w14:paraId="40AA339C" w14:textId="77777777" w:rsidR="009832FC" w:rsidRPr="009832FC" w:rsidRDefault="009832FC" w:rsidP="00D62507">
      <w:pPr>
        <w:keepNext/>
        <w:spacing w:before="240"/>
        <w:jc w:val="both"/>
        <w:rPr>
          <w:b/>
          <w:bCs/>
          <w:color w:val="000000"/>
          <w:sz w:val="22"/>
          <w:szCs w:val="18"/>
          <w:bdr w:val="nil"/>
        </w:rPr>
      </w:pPr>
      <w:r w:rsidRPr="009832FC">
        <w:rPr>
          <w:b/>
          <w:bCs/>
          <w:color w:val="000000"/>
          <w:sz w:val="22"/>
          <w:szCs w:val="18"/>
          <w:bdr w:val="nil"/>
        </w:rPr>
        <w:t>Table 4: Overall how would you rate the care you received in hospital</w:t>
      </w:r>
    </w:p>
    <w:tbl>
      <w:tblPr>
        <w:tblW w:w="9120" w:type="dxa"/>
        <w:tblInd w:w="108" w:type="dxa"/>
        <w:tblLayout w:type="fixed"/>
        <w:tblLook w:val="04A0" w:firstRow="1" w:lastRow="0" w:firstColumn="1" w:lastColumn="0" w:noHBand="0" w:noVBand="1"/>
      </w:tblPr>
      <w:tblGrid>
        <w:gridCol w:w="3861"/>
        <w:gridCol w:w="976"/>
        <w:gridCol w:w="1426"/>
        <w:gridCol w:w="8"/>
        <w:gridCol w:w="1413"/>
        <w:gridCol w:w="12"/>
        <w:gridCol w:w="1409"/>
        <w:gridCol w:w="15"/>
      </w:tblGrid>
      <w:tr w:rsidR="009832FC" w:rsidRPr="009832FC" w14:paraId="388A59E0" w14:textId="77777777" w:rsidTr="00EB585F">
        <w:trPr>
          <w:gridAfter w:val="1"/>
          <w:wAfter w:w="15" w:type="dxa"/>
          <w:trHeight w:val="134"/>
        </w:trPr>
        <w:tc>
          <w:tcPr>
            <w:tcW w:w="4837" w:type="dxa"/>
            <w:gridSpan w:val="2"/>
            <w:tcBorders>
              <w:top w:val="single" w:sz="4" w:space="0" w:color="auto"/>
              <w:left w:val="nil"/>
              <w:bottom w:val="nil"/>
              <w:right w:val="nil"/>
            </w:tcBorders>
            <w:hideMark/>
          </w:tcPr>
          <w:p w14:paraId="5C8AD165" w14:textId="77777777" w:rsidR="009832FC" w:rsidRPr="009832FC" w:rsidRDefault="009832FC" w:rsidP="009832FC">
            <w:pPr>
              <w:keepNext/>
              <w:keepLines/>
              <w:pBdr>
                <w:top w:val="nil"/>
                <w:left w:val="nil"/>
                <w:bottom w:val="nil"/>
                <w:right w:val="nil"/>
                <w:between w:val="nil"/>
                <w:bar w:val="nil"/>
              </w:pBdr>
              <w:spacing w:before="0" w:after="0"/>
              <w:rPr>
                <w:i/>
                <w:sz w:val="20"/>
                <w:szCs w:val="24"/>
                <w:bdr w:val="nil"/>
              </w:rPr>
            </w:pPr>
            <w:r w:rsidRPr="009832FC">
              <w:rPr>
                <w:b/>
                <w:bCs/>
                <w:sz w:val="20"/>
                <w:bdr w:val="nil"/>
              </w:rPr>
              <w:t>Strategic Indicator</w:t>
            </w:r>
          </w:p>
        </w:tc>
        <w:tc>
          <w:tcPr>
            <w:tcW w:w="1426" w:type="dxa"/>
            <w:tcBorders>
              <w:top w:val="single" w:sz="4" w:space="0" w:color="auto"/>
              <w:left w:val="nil"/>
              <w:bottom w:val="nil"/>
              <w:right w:val="nil"/>
            </w:tcBorders>
            <w:hideMark/>
          </w:tcPr>
          <w:p w14:paraId="548FF4D8"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31B0E48D"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6A3CC625"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2021-22</w:t>
            </w:r>
          </w:p>
        </w:tc>
      </w:tr>
      <w:tr w:rsidR="009832FC" w:rsidRPr="009832FC" w14:paraId="0889B7DF" w14:textId="77777777" w:rsidTr="00EB585F">
        <w:trPr>
          <w:gridAfter w:val="1"/>
          <w:wAfter w:w="15" w:type="dxa"/>
        </w:trPr>
        <w:tc>
          <w:tcPr>
            <w:tcW w:w="4837" w:type="dxa"/>
            <w:gridSpan w:val="2"/>
            <w:tcBorders>
              <w:top w:val="nil"/>
              <w:left w:val="nil"/>
              <w:bottom w:val="single" w:sz="4" w:space="0" w:color="auto"/>
              <w:right w:val="nil"/>
            </w:tcBorders>
            <w:hideMark/>
          </w:tcPr>
          <w:p w14:paraId="2EA6B773"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rPr>
                <w:b/>
                <w:bCs/>
                <w:sz w:val="20"/>
                <w:bdr w:val="nil"/>
              </w:rPr>
            </w:pPr>
          </w:p>
        </w:tc>
        <w:tc>
          <w:tcPr>
            <w:tcW w:w="1426" w:type="dxa"/>
            <w:tcBorders>
              <w:top w:val="nil"/>
              <w:left w:val="nil"/>
              <w:bottom w:val="single" w:sz="4" w:space="0" w:color="auto"/>
              <w:right w:val="nil"/>
            </w:tcBorders>
            <w:hideMark/>
          </w:tcPr>
          <w:p w14:paraId="4CD87EC8"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c>
          <w:tcPr>
            <w:tcW w:w="1421" w:type="dxa"/>
            <w:gridSpan w:val="2"/>
            <w:tcBorders>
              <w:top w:val="nil"/>
              <w:left w:val="nil"/>
              <w:bottom w:val="single" w:sz="4" w:space="0" w:color="auto"/>
              <w:right w:val="nil"/>
            </w:tcBorders>
            <w:hideMark/>
          </w:tcPr>
          <w:p w14:paraId="2884ADDA"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Interim</w:t>
            </w:r>
          </w:p>
          <w:p w14:paraId="050E4CF4"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Outcome</w:t>
            </w:r>
          </w:p>
        </w:tc>
        <w:tc>
          <w:tcPr>
            <w:tcW w:w="1421" w:type="dxa"/>
            <w:gridSpan w:val="2"/>
            <w:tcBorders>
              <w:top w:val="nil"/>
              <w:left w:val="nil"/>
              <w:bottom w:val="single" w:sz="4" w:space="0" w:color="auto"/>
              <w:right w:val="nil"/>
            </w:tcBorders>
            <w:hideMark/>
          </w:tcPr>
          <w:p w14:paraId="10AAEE6E"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r w:rsidRPr="009832FC">
              <w:rPr>
                <w:b/>
                <w:sz w:val="20"/>
                <w:bdr w:val="nil"/>
                <w:vertAlign w:val="superscript"/>
              </w:rPr>
              <w:t>1</w:t>
            </w:r>
          </w:p>
        </w:tc>
      </w:tr>
      <w:tr w:rsidR="009832FC" w:rsidRPr="009832FC" w14:paraId="4EACA8AD" w14:textId="77777777" w:rsidTr="00EB585F">
        <w:trPr>
          <w:trHeight w:val="233"/>
        </w:trPr>
        <w:tc>
          <w:tcPr>
            <w:tcW w:w="3861" w:type="dxa"/>
            <w:tcBorders>
              <w:top w:val="single" w:sz="4" w:space="0" w:color="auto"/>
              <w:left w:val="nil"/>
              <w:right w:val="nil"/>
            </w:tcBorders>
            <w:hideMark/>
          </w:tcPr>
          <w:p w14:paraId="265FAB8C" w14:textId="77777777" w:rsidR="009832FC" w:rsidRPr="009832FC" w:rsidRDefault="009832FC" w:rsidP="009832FC">
            <w:pPr>
              <w:keepNext/>
              <w:keepLines/>
              <w:pBdr>
                <w:top w:val="nil"/>
                <w:left w:val="nil"/>
                <w:bottom w:val="nil"/>
                <w:right w:val="nil"/>
                <w:between w:val="nil"/>
                <w:bar w:val="nil"/>
              </w:pBdr>
              <w:spacing w:before="0" w:after="0" w:line="254" w:lineRule="auto"/>
              <w:ind w:left="178" w:hanging="178"/>
              <w:rPr>
                <w:b/>
                <w:bCs/>
                <w:sz w:val="20"/>
                <w:bdr w:val="nil"/>
                <w:shd w:val="clear" w:color="auto" w:fill="FFFF00"/>
              </w:rPr>
            </w:pPr>
            <w:r w:rsidRPr="009832FC">
              <w:rPr>
                <w:bCs/>
                <w:sz w:val="20"/>
                <w:bdr w:val="nil"/>
              </w:rPr>
              <w:t>Patient Experience Survey – score of positive patient experience responses</w:t>
            </w:r>
          </w:p>
        </w:tc>
        <w:tc>
          <w:tcPr>
            <w:tcW w:w="2410" w:type="dxa"/>
            <w:gridSpan w:val="3"/>
            <w:tcBorders>
              <w:top w:val="single" w:sz="4" w:space="0" w:color="auto"/>
              <w:left w:val="nil"/>
              <w:right w:val="nil"/>
            </w:tcBorders>
            <w:hideMark/>
          </w:tcPr>
          <w:p w14:paraId="3F44E2EA"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&gt;80</w:t>
            </w:r>
          </w:p>
        </w:tc>
        <w:tc>
          <w:tcPr>
            <w:tcW w:w="1425" w:type="dxa"/>
            <w:gridSpan w:val="2"/>
            <w:tcBorders>
              <w:top w:val="single" w:sz="4" w:space="0" w:color="auto"/>
              <w:left w:val="nil"/>
              <w:right w:val="nil"/>
            </w:tcBorders>
            <w:hideMark/>
          </w:tcPr>
          <w:p w14:paraId="50C208AB"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86</w:t>
            </w:r>
          </w:p>
        </w:tc>
        <w:tc>
          <w:tcPr>
            <w:tcW w:w="1424" w:type="dxa"/>
            <w:gridSpan w:val="2"/>
            <w:tcBorders>
              <w:top w:val="single" w:sz="4" w:space="0" w:color="auto"/>
              <w:left w:val="nil"/>
              <w:right w:val="nil"/>
            </w:tcBorders>
            <w:hideMark/>
          </w:tcPr>
          <w:p w14:paraId="3ED363E9" w14:textId="77777777" w:rsidR="009832FC" w:rsidRPr="009832FC" w:rsidRDefault="009832FC" w:rsidP="009832FC">
            <w:pPr>
              <w:keepNext/>
              <w:keepLines/>
              <w:pBdr>
                <w:top w:val="nil"/>
                <w:left w:val="nil"/>
                <w:bottom w:val="nil"/>
                <w:right w:val="nil"/>
                <w:between w:val="nil"/>
                <w:bar w:val="nil"/>
              </w:pBdr>
              <w:spacing w:before="0" w:after="0" w:line="254" w:lineRule="auto"/>
              <w:ind w:left="720"/>
              <w:jc w:val="center"/>
              <w:rPr>
                <w:sz w:val="20"/>
                <w:bdr w:val="nil"/>
              </w:rPr>
            </w:pPr>
            <w:r w:rsidRPr="009832FC">
              <w:rPr>
                <w:sz w:val="20"/>
                <w:bdr w:val="nil"/>
              </w:rPr>
              <w:t>N/A</w:t>
            </w:r>
          </w:p>
        </w:tc>
      </w:tr>
      <w:tr w:rsidR="009832FC" w:rsidRPr="009832FC" w14:paraId="7AF8FD48" w14:textId="77777777" w:rsidTr="00EB585F">
        <w:trPr>
          <w:trHeight w:val="900"/>
        </w:trPr>
        <w:tc>
          <w:tcPr>
            <w:tcW w:w="3861" w:type="dxa"/>
            <w:tcBorders>
              <w:left w:val="nil"/>
              <w:bottom w:val="single" w:sz="4" w:space="0" w:color="auto"/>
              <w:right w:val="nil"/>
            </w:tcBorders>
            <w:hideMark/>
          </w:tcPr>
          <w:p w14:paraId="50CFD62E" w14:textId="77777777" w:rsidR="009832FC" w:rsidRPr="009832FC" w:rsidRDefault="009832FC" w:rsidP="009832FC">
            <w:pPr>
              <w:keepNext/>
              <w:keepLines/>
              <w:pBdr>
                <w:top w:val="nil"/>
                <w:left w:val="nil"/>
                <w:bottom w:val="nil"/>
                <w:right w:val="nil"/>
                <w:between w:val="nil"/>
                <w:bar w:val="nil"/>
              </w:pBdr>
              <w:spacing w:before="0" w:after="0" w:line="254" w:lineRule="auto"/>
              <w:ind w:left="178" w:hanging="178"/>
              <w:rPr>
                <w:bCs/>
                <w:sz w:val="20"/>
                <w:bdr w:val="nil"/>
              </w:rPr>
            </w:pPr>
            <w:r w:rsidRPr="009832FC">
              <w:rPr>
                <w:bCs/>
                <w:sz w:val="20"/>
                <w:bdr w:val="nil"/>
              </w:rPr>
              <w:t>Patient Experience Survey – Proportion of respondents rating their overall care as good or very good</w:t>
            </w:r>
          </w:p>
        </w:tc>
        <w:tc>
          <w:tcPr>
            <w:tcW w:w="2410" w:type="dxa"/>
            <w:gridSpan w:val="3"/>
            <w:tcBorders>
              <w:left w:val="nil"/>
              <w:bottom w:val="single" w:sz="4" w:space="0" w:color="auto"/>
              <w:right w:val="nil"/>
            </w:tcBorders>
            <w:hideMark/>
          </w:tcPr>
          <w:p w14:paraId="50587AAD"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5" w:type="dxa"/>
            <w:gridSpan w:val="2"/>
            <w:tcBorders>
              <w:left w:val="nil"/>
              <w:bottom w:val="single" w:sz="4" w:space="0" w:color="auto"/>
              <w:right w:val="nil"/>
            </w:tcBorders>
            <w:hideMark/>
          </w:tcPr>
          <w:p w14:paraId="6D672220"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4" w:type="dxa"/>
            <w:gridSpan w:val="2"/>
            <w:tcBorders>
              <w:left w:val="nil"/>
              <w:bottom w:val="single" w:sz="4" w:space="0" w:color="auto"/>
              <w:right w:val="nil"/>
            </w:tcBorders>
            <w:hideMark/>
          </w:tcPr>
          <w:p w14:paraId="28951951" w14:textId="77777777" w:rsidR="009832FC" w:rsidRPr="009832FC" w:rsidRDefault="009832FC" w:rsidP="009832FC">
            <w:pPr>
              <w:keepNext/>
              <w:keepLines/>
              <w:pBdr>
                <w:top w:val="nil"/>
                <w:left w:val="nil"/>
                <w:bottom w:val="nil"/>
                <w:right w:val="nil"/>
                <w:between w:val="nil"/>
                <w:bar w:val="nil"/>
              </w:pBdr>
              <w:spacing w:before="0" w:after="0" w:line="254" w:lineRule="auto"/>
              <w:ind w:left="720"/>
              <w:jc w:val="center"/>
              <w:rPr>
                <w:sz w:val="20"/>
                <w:bdr w:val="nil"/>
              </w:rPr>
            </w:pPr>
            <w:r w:rsidRPr="009832FC">
              <w:rPr>
                <w:sz w:val="20"/>
                <w:bdr w:val="nil"/>
              </w:rPr>
              <w:t>&gt;85%</w:t>
            </w:r>
          </w:p>
        </w:tc>
      </w:tr>
    </w:tbl>
    <w:p w14:paraId="3D19B096" w14:textId="77777777" w:rsidR="009832FC" w:rsidRPr="009832FC" w:rsidRDefault="009832FC" w:rsidP="00D75E0E">
      <w:pPr>
        <w:keepNext/>
        <w:keepLines/>
        <w:pBdr>
          <w:top w:val="nil"/>
          <w:left w:val="nil"/>
          <w:bottom w:val="nil"/>
          <w:right w:val="nil"/>
          <w:between w:val="nil"/>
          <w:bar w:val="nil"/>
        </w:pBdr>
        <w:spacing w:before="120" w:after="0"/>
        <w:rPr>
          <w:b/>
          <w:sz w:val="18"/>
          <w:szCs w:val="18"/>
          <w:bdr w:val="nil"/>
        </w:rPr>
      </w:pPr>
      <w:r w:rsidRPr="009832FC">
        <w:rPr>
          <w:b/>
          <w:sz w:val="18"/>
          <w:szCs w:val="18"/>
          <w:bdr w:val="nil"/>
          <w:lang w:eastAsia="en-AU"/>
        </w:rPr>
        <w:t>Note:</w:t>
      </w:r>
    </w:p>
    <w:p w14:paraId="1D984708" w14:textId="77777777" w:rsidR="009832FC" w:rsidRPr="00D75E0E" w:rsidRDefault="009832FC" w:rsidP="00D75E0E">
      <w:pPr>
        <w:pStyle w:val="BSnoteslist"/>
        <w:numPr>
          <w:ilvl w:val="0"/>
          <w:numId w:val="65"/>
        </w:numPr>
        <w:jc w:val="both"/>
        <w:rPr>
          <w:bdr w:val="nil"/>
          <w:lang w:eastAsia="en-AU"/>
        </w:rPr>
      </w:pPr>
      <w:r w:rsidRPr="00D75E0E">
        <w:rPr>
          <w:bdr w:val="nil"/>
        </w:rPr>
        <w:t>As a result of a review of all performance indicators against the ACT Government’s Performance and Accountability Framework, t</w:t>
      </w:r>
      <w:r w:rsidRPr="00D75E0E">
        <w:rPr>
          <w:bdr w:val="nil"/>
          <w:lang w:eastAsia="en-AU"/>
        </w:rPr>
        <w:t>he Strategic Indicator has been amended to provide a more meaningful measure and provide greater clarity over measurement.</w:t>
      </w:r>
      <w:bookmarkStart w:id="54" w:name="_Toc514832585"/>
      <w:bookmarkStart w:id="55" w:name="_Toc514832402"/>
      <w:bookmarkStart w:id="56" w:name="_Toc514765778"/>
      <w:bookmarkStart w:id="57" w:name="_Toc514764152"/>
      <w:bookmarkStart w:id="58" w:name="_Toc483492183"/>
      <w:bookmarkStart w:id="59" w:name="_Toc483560965"/>
      <w:bookmarkStart w:id="60" w:name="_Toc483919460"/>
      <w:bookmarkStart w:id="61" w:name="_Toc484069707"/>
    </w:p>
    <w:p w14:paraId="75E9BDE4" w14:textId="77777777" w:rsidR="009832FC" w:rsidRPr="009832FC" w:rsidRDefault="009832FC" w:rsidP="00D62507">
      <w:pPr>
        <w:keepNext/>
        <w:keepLines/>
        <w:spacing w:before="240" w:after="120"/>
        <w:jc w:val="both"/>
        <w:outlineLvl w:val="3"/>
        <w:rPr>
          <w:rFonts w:ascii="Arial" w:hAnsi="Arial"/>
          <w:i/>
          <w:szCs w:val="26"/>
          <w:bdr w:val="nil"/>
          <w:lang w:eastAsia="en-AU"/>
        </w:rPr>
      </w:pPr>
      <w:r w:rsidRPr="009832FC">
        <w:rPr>
          <w:b/>
          <w:i/>
        </w:rPr>
        <w:t xml:space="preserve">Strategic Indicator 3.2 - </w:t>
      </w:r>
      <w:r w:rsidRPr="009832FC">
        <w:rPr>
          <w:b/>
          <w:i/>
          <w:bdr w:val="nil"/>
          <w:lang w:eastAsia="en-AU"/>
        </w:rPr>
        <w:t>The number of people admitted to hospitals per 10,000 occupied bed days who acquire a Staphylococcus Aureus Bacteraemia infection (SAB infection) during their stay</w:t>
      </w:r>
      <w:bookmarkEnd w:id="54"/>
      <w:bookmarkEnd w:id="55"/>
      <w:bookmarkEnd w:id="56"/>
      <w:bookmarkEnd w:id="57"/>
      <w:bookmarkEnd w:id="58"/>
      <w:bookmarkEnd w:id="59"/>
      <w:bookmarkEnd w:id="60"/>
      <w:bookmarkEnd w:id="61"/>
    </w:p>
    <w:p w14:paraId="2326D8AE" w14:textId="77777777" w:rsidR="009832FC" w:rsidRPr="009832FC" w:rsidRDefault="009832FC" w:rsidP="00D62507">
      <w:pPr>
        <w:keepNext/>
        <w:keepLines/>
        <w:pBdr>
          <w:top w:val="nil"/>
          <w:left w:val="nil"/>
          <w:bottom w:val="nil"/>
          <w:right w:val="nil"/>
          <w:between w:val="nil"/>
          <w:bar w:val="nil"/>
        </w:pBdr>
        <w:spacing w:after="120"/>
        <w:jc w:val="both"/>
        <w:rPr>
          <w:bdr w:val="nil"/>
          <w:lang w:eastAsia="en-AU"/>
        </w:rPr>
      </w:pPr>
      <w:r w:rsidRPr="009832FC">
        <w:rPr>
          <w:bdr w:val="nil"/>
          <w:lang w:eastAsia="en-AU"/>
        </w:rPr>
        <w:t>This provides an indication of the safety of hospital-based services.</w:t>
      </w:r>
    </w:p>
    <w:p w14:paraId="245340A3" w14:textId="77777777" w:rsidR="009832FC" w:rsidRPr="009832FC" w:rsidRDefault="009832FC" w:rsidP="00D62507">
      <w:pPr>
        <w:keepNext/>
        <w:spacing w:before="240"/>
        <w:jc w:val="both"/>
        <w:rPr>
          <w:b/>
          <w:bCs/>
          <w:color w:val="000000"/>
          <w:sz w:val="22"/>
          <w:szCs w:val="18"/>
          <w:bdr w:val="nil"/>
        </w:rPr>
      </w:pPr>
      <w:r w:rsidRPr="009832FC">
        <w:rPr>
          <w:b/>
          <w:bCs/>
          <w:color w:val="000000"/>
          <w:sz w:val="22"/>
          <w:szCs w:val="18"/>
          <w:bdr w:val="nil"/>
        </w:rPr>
        <w:t>Table 5: The number of people admitted to hospitals per 10,000 occupied bed days who acquire a Staphylococcus Aureus Bacteraemia infection (SAB infection) during their stay</w:t>
      </w:r>
    </w:p>
    <w:tbl>
      <w:tblPr>
        <w:tblW w:w="9120" w:type="dxa"/>
        <w:tblInd w:w="108" w:type="dxa"/>
        <w:tblLayout w:type="fixed"/>
        <w:tblLook w:val="04A0" w:firstRow="1" w:lastRow="0" w:firstColumn="1" w:lastColumn="0" w:noHBand="0" w:noVBand="1"/>
      </w:tblPr>
      <w:tblGrid>
        <w:gridCol w:w="3861"/>
        <w:gridCol w:w="976"/>
        <w:gridCol w:w="1426"/>
        <w:gridCol w:w="8"/>
        <w:gridCol w:w="1413"/>
        <w:gridCol w:w="12"/>
        <w:gridCol w:w="1409"/>
        <w:gridCol w:w="15"/>
      </w:tblGrid>
      <w:tr w:rsidR="009832FC" w:rsidRPr="009832FC" w14:paraId="46790982" w14:textId="77777777" w:rsidTr="00EB585F">
        <w:trPr>
          <w:gridAfter w:val="1"/>
          <w:wAfter w:w="15" w:type="dxa"/>
          <w:trHeight w:val="134"/>
        </w:trPr>
        <w:tc>
          <w:tcPr>
            <w:tcW w:w="4837" w:type="dxa"/>
            <w:gridSpan w:val="2"/>
            <w:tcBorders>
              <w:top w:val="single" w:sz="4" w:space="0" w:color="auto"/>
              <w:left w:val="nil"/>
              <w:bottom w:val="nil"/>
              <w:right w:val="nil"/>
            </w:tcBorders>
            <w:hideMark/>
          </w:tcPr>
          <w:p w14:paraId="28E37440" w14:textId="77777777" w:rsidR="009832FC" w:rsidRPr="009832FC" w:rsidRDefault="009832FC" w:rsidP="009832FC">
            <w:pPr>
              <w:pBdr>
                <w:top w:val="nil"/>
                <w:left w:val="nil"/>
                <w:bottom w:val="nil"/>
                <w:right w:val="nil"/>
                <w:between w:val="nil"/>
                <w:bar w:val="nil"/>
              </w:pBdr>
              <w:spacing w:before="0" w:after="0"/>
              <w:rPr>
                <w:i/>
                <w:sz w:val="20"/>
                <w:szCs w:val="24"/>
                <w:bdr w:val="nil"/>
              </w:rPr>
            </w:pPr>
            <w:r w:rsidRPr="009832FC">
              <w:rPr>
                <w:b/>
                <w:bCs/>
                <w:sz w:val="20"/>
                <w:bdr w:val="nil"/>
              </w:rPr>
              <w:t>Strategic Indicator</w:t>
            </w:r>
          </w:p>
        </w:tc>
        <w:tc>
          <w:tcPr>
            <w:tcW w:w="1426" w:type="dxa"/>
            <w:tcBorders>
              <w:top w:val="single" w:sz="4" w:space="0" w:color="auto"/>
              <w:left w:val="nil"/>
              <w:bottom w:val="nil"/>
              <w:right w:val="nil"/>
            </w:tcBorders>
            <w:hideMark/>
          </w:tcPr>
          <w:p w14:paraId="38EF7638"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55971A4F"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20D92BFB"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tc>
      </w:tr>
      <w:tr w:rsidR="009832FC" w:rsidRPr="009832FC" w14:paraId="5E1FB509" w14:textId="77777777" w:rsidTr="00EB585F">
        <w:trPr>
          <w:gridAfter w:val="1"/>
          <w:wAfter w:w="15" w:type="dxa"/>
        </w:trPr>
        <w:tc>
          <w:tcPr>
            <w:tcW w:w="4837" w:type="dxa"/>
            <w:gridSpan w:val="2"/>
            <w:tcBorders>
              <w:top w:val="nil"/>
              <w:left w:val="nil"/>
              <w:bottom w:val="single" w:sz="4" w:space="0" w:color="auto"/>
              <w:right w:val="nil"/>
            </w:tcBorders>
            <w:hideMark/>
          </w:tcPr>
          <w:p w14:paraId="2C6EAB73" w14:textId="77777777" w:rsidR="009832FC" w:rsidRPr="009832FC" w:rsidRDefault="009832FC" w:rsidP="009832FC">
            <w:pPr>
              <w:pBdr>
                <w:top w:val="nil"/>
                <w:left w:val="nil"/>
                <w:bottom w:val="nil"/>
                <w:right w:val="nil"/>
                <w:between w:val="nil"/>
                <w:bar w:val="nil"/>
              </w:pBdr>
              <w:spacing w:before="0" w:after="0" w:line="254" w:lineRule="auto"/>
              <w:ind w:left="227" w:hanging="227"/>
              <w:rPr>
                <w:b/>
                <w:bCs/>
                <w:sz w:val="20"/>
                <w:bdr w:val="nil"/>
              </w:rPr>
            </w:pPr>
          </w:p>
        </w:tc>
        <w:tc>
          <w:tcPr>
            <w:tcW w:w="1426" w:type="dxa"/>
            <w:tcBorders>
              <w:top w:val="nil"/>
              <w:left w:val="nil"/>
              <w:bottom w:val="single" w:sz="4" w:space="0" w:color="auto"/>
              <w:right w:val="nil"/>
            </w:tcBorders>
            <w:hideMark/>
          </w:tcPr>
          <w:p w14:paraId="2CB431D8"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c>
          <w:tcPr>
            <w:tcW w:w="1421" w:type="dxa"/>
            <w:gridSpan w:val="2"/>
            <w:tcBorders>
              <w:top w:val="nil"/>
              <w:left w:val="nil"/>
              <w:bottom w:val="single" w:sz="4" w:space="0" w:color="auto"/>
              <w:right w:val="nil"/>
            </w:tcBorders>
            <w:hideMark/>
          </w:tcPr>
          <w:p w14:paraId="17E907DC"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Interim</w:t>
            </w:r>
          </w:p>
          <w:p w14:paraId="61DF34F9"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Outcome</w:t>
            </w:r>
          </w:p>
        </w:tc>
        <w:tc>
          <w:tcPr>
            <w:tcW w:w="1421" w:type="dxa"/>
            <w:gridSpan w:val="2"/>
            <w:tcBorders>
              <w:top w:val="nil"/>
              <w:left w:val="nil"/>
              <w:bottom w:val="single" w:sz="4" w:space="0" w:color="auto"/>
              <w:right w:val="nil"/>
            </w:tcBorders>
            <w:hideMark/>
          </w:tcPr>
          <w:p w14:paraId="4B001B2F"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vertAlign w:val="superscript"/>
              </w:rPr>
            </w:pPr>
            <w:r w:rsidRPr="009832FC">
              <w:rPr>
                <w:b/>
                <w:sz w:val="20"/>
                <w:bdr w:val="nil"/>
              </w:rPr>
              <w:t>Target</w:t>
            </w:r>
          </w:p>
        </w:tc>
      </w:tr>
      <w:tr w:rsidR="009832FC" w:rsidRPr="009832FC" w14:paraId="2DF845D6" w14:textId="77777777" w:rsidTr="00EB585F">
        <w:trPr>
          <w:trHeight w:val="598"/>
        </w:trPr>
        <w:tc>
          <w:tcPr>
            <w:tcW w:w="3861" w:type="dxa"/>
            <w:tcBorders>
              <w:top w:val="single" w:sz="4" w:space="0" w:color="auto"/>
              <w:left w:val="nil"/>
              <w:bottom w:val="single" w:sz="4" w:space="0" w:color="auto"/>
              <w:right w:val="nil"/>
            </w:tcBorders>
            <w:hideMark/>
          </w:tcPr>
          <w:p w14:paraId="017107BE" w14:textId="77777777" w:rsidR="009832FC" w:rsidRPr="009832FC" w:rsidRDefault="009832FC" w:rsidP="009832FC">
            <w:pPr>
              <w:pBdr>
                <w:top w:val="nil"/>
                <w:left w:val="nil"/>
                <w:bottom w:val="nil"/>
                <w:right w:val="nil"/>
                <w:between w:val="nil"/>
                <w:bar w:val="nil"/>
              </w:pBdr>
              <w:spacing w:before="0" w:after="0" w:line="254" w:lineRule="auto"/>
              <w:ind w:left="178" w:hanging="178"/>
              <w:rPr>
                <w:b/>
                <w:bCs/>
                <w:sz w:val="20"/>
                <w:bdr w:val="nil"/>
                <w:shd w:val="clear" w:color="auto" w:fill="FFFF00"/>
                <w:vertAlign w:val="superscript"/>
              </w:rPr>
            </w:pPr>
            <w:r w:rsidRPr="009832FC">
              <w:rPr>
                <w:bCs/>
                <w:sz w:val="20"/>
                <w:bdr w:val="nil"/>
              </w:rPr>
              <w:t>Number of admitted patients who acquire a SAB infection per 10,000 bed days</w:t>
            </w:r>
            <w:r w:rsidRPr="009832FC">
              <w:rPr>
                <w:bCs/>
                <w:sz w:val="20"/>
                <w:bdr w:val="nil"/>
                <w:vertAlign w:val="superscript"/>
              </w:rPr>
              <w:t>1</w:t>
            </w:r>
          </w:p>
        </w:tc>
        <w:tc>
          <w:tcPr>
            <w:tcW w:w="2410" w:type="dxa"/>
            <w:gridSpan w:val="3"/>
            <w:tcBorders>
              <w:top w:val="single" w:sz="4" w:space="0" w:color="auto"/>
              <w:left w:val="nil"/>
              <w:bottom w:val="single" w:sz="4" w:space="0" w:color="auto"/>
              <w:right w:val="nil"/>
            </w:tcBorders>
            <w:hideMark/>
          </w:tcPr>
          <w:p w14:paraId="6842C5F5"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 xml:space="preserve">&lt;2.0 per </w:t>
            </w:r>
          </w:p>
          <w:p w14:paraId="64B14236"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10,000</w:t>
            </w:r>
          </w:p>
        </w:tc>
        <w:tc>
          <w:tcPr>
            <w:tcW w:w="1425" w:type="dxa"/>
            <w:gridSpan w:val="2"/>
            <w:tcBorders>
              <w:top w:val="single" w:sz="4" w:space="0" w:color="auto"/>
              <w:left w:val="nil"/>
              <w:bottom w:val="single" w:sz="4" w:space="0" w:color="auto"/>
              <w:right w:val="nil"/>
            </w:tcBorders>
            <w:hideMark/>
          </w:tcPr>
          <w:p w14:paraId="7F4600BB"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1.28 per 10,000</w:t>
            </w:r>
          </w:p>
        </w:tc>
        <w:tc>
          <w:tcPr>
            <w:tcW w:w="1424" w:type="dxa"/>
            <w:gridSpan w:val="2"/>
            <w:tcBorders>
              <w:top w:val="single" w:sz="4" w:space="0" w:color="auto"/>
              <w:left w:val="nil"/>
              <w:bottom w:val="single" w:sz="4" w:space="0" w:color="auto"/>
              <w:right w:val="nil"/>
            </w:tcBorders>
            <w:hideMark/>
          </w:tcPr>
          <w:p w14:paraId="3B971473"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&lt;2.0 per 10,000</w:t>
            </w:r>
          </w:p>
        </w:tc>
      </w:tr>
    </w:tbl>
    <w:p w14:paraId="289BF637" w14:textId="77777777" w:rsidR="009832FC" w:rsidRPr="009832FC" w:rsidRDefault="009832FC" w:rsidP="00D62507">
      <w:pPr>
        <w:keepNext/>
        <w:pBdr>
          <w:top w:val="nil"/>
          <w:left w:val="nil"/>
          <w:bottom w:val="nil"/>
          <w:right w:val="nil"/>
          <w:between w:val="nil"/>
          <w:bar w:val="nil"/>
        </w:pBdr>
        <w:spacing w:before="120" w:after="0"/>
        <w:ind w:firstLine="142"/>
        <w:jc w:val="both"/>
        <w:rPr>
          <w:b/>
          <w:sz w:val="18"/>
          <w:szCs w:val="18"/>
          <w:bdr w:val="nil"/>
        </w:rPr>
      </w:pPr>
      <w:r w:rsidRPr="009832FC">
        <w:rPr>
          <w:b/>
          <w:sz w:val="18"/>
          <w:szCs w:val="18"/>
          <w:bdr w:val="nil"/>
          <w:lang w:eastAsia="en-AU"/>
        </w:rPr>
        <w:t>Note:</w:t>
      </w:r>
    </w:p>
    <w:p w14:paraId="02415CCC" w14:textId="77777777" w:rsidR="009832FC" w:rsidRPr="009832FC" w:rsidRDefault="009832FC" w:rsidP="00D62507">
      <w:pPr>
        <w:numPr>
          <w:ilvl w:val="0"/>
          <w:numId w:val="35"/>
        </w:numPr>
        <w:pBdr>
          <w:top w:val="nil"/>
          <w:left w:val="nil"/>
          <w:bottom w:val="nil"/>
          <w:right w:val="nil"/>
          <w:between w:val="nil"/>
          <w:bar w:val="nil"/>
        </w:pBdr>
        <w:spacing w:before="0" w:after="0"/>
        <w:ind w:left="502"/>
        <w:jc w:val="both"/>
        <w:rPr>
          <w:sz w:val="18"/>
          <w:szCs w:val="18"/>
          <w:bdr w:val="nil"/>
          <w:lang w:eastAsia="en-AU"/>
        </w:rPr>
      </w:pPr>
      <w:r w:rsidRPr="009832FC">
        <w:rPr>
          <w:sz w:val="18"/>
          <w:szCs w:val="18"/>
          <w:bdr w:val="nil"/>
          <w:lang w:eastAsia="en-AU"/>
        </w:rPr>
        <w:t>This is an Australian Commission on Safety and Quality in Health Care national indicator.</w:t>
      </w:r>
    </w:p>
    <w:p w14:paraId="4EB808F5" w14:textId="77777777" w:rsidR="00781CFC" w:rsidRDefault="00781CFC">
      <w:pPr>
        <w:spacing w:before="0" w:after="0"/>
        <w:rPr>
          <w:b/>
          <w:i/>
        </w:rPr>
      </w:pPr>
      <w:r>
        <w:rPr>
          <w:b/>
          <w:i/>
        </w:rPr>
        <w:br w:type="page"/>
      </w:r>
    </w:p>
    <w:p w14:paraId="2091B628" w14:textId="1FF32AA7" w:rsidR="009832FC" w:rsidRPr="009832FC" w:rsidRDefault="009832FC" w:rsidP="00D62507">
      <w:pPr>
        <w:keepNext/>
        <w:keepLines/>
        <w:spacing w:before="240" w:after="120"/>
        <w:jc w:val="both"/>
        <w:outlineLvl w:val="3"/>
        <w:rPr>
          <w:b/>
          <w:i/>
        </w:rPr>
      </w:pPr>
      <w:r w:rsidRPr="009832FC">
        <w:rPr>
          <w:b/>
          <w:i/>
        </w:rPr>
        <w:lastRenderedPageBreak/>
        <w:t xml:space="preserve">Strategic Indicator 3.3 – The estimated hand hygiene rate </w:t>
      </w:r>
    </w:p>
    <w:p w14:paraId="1105F148" w14:textId="77777777" w:rsidR="009832FC" w:rsidRPr="009832FC" w:rsidRDefault="009832FC" w:rsidP="00D62507">
      <w:pPr>
        <w:pBdr>
          <w:top w:val="nil"/>
          <w:left w:val="nil"/>
          <w:bottom w:val="nil"/>
          <w:right w:val="nil"/>
          <w:between w:val="nil"/>
          <w:bar w:val="nil"/>
        </w:pBdr>
        <w:spacing w:after="120"/>
        <w:jc w:val="both"/>
        <w:rPr>
          <w:bdr w:val="nil"/>
          <w:lang w:eastAsia="en-AU"/>
        </w:rPr>
      </w:pPr>
      <w:r w:rsidRPr="009832FC">
        <w:rPr>
          <w:bdr w:val="nil"/>
          <w:lang w:eastAsia="en-AU"/>
        </w:rPr>
        <w:t>The estimated hand hygiene rate for a hospital is a measure of how often (as a percentage) hand hygiene is correctly performed.</w:t>
      </w:r>
    </w:p>
    <w:p w14:paraId="2C060BFB" w14:textId="77777777" w:rsidR="009832FC" w:rsidRPr="009832FC" w:rsidRDefault="009832FC" w:rsidP="00D62507">
      <w:pPr>
        <w:pBdr>
          <w:top w:val="nil"/>
          <w:left w:val="nil"/>
          <w:bottom w:val="nil"/>
          <w:right w:val="nil"/>
          <w:between w:val="nil"/>
          <w:bar w:val="nil"/>
        </w:pBdr>
        <w:spacing w:before="120" w:after="120"/>
        <w:jc w:val="both"/>
        <w:rPr>
          <w:bdr w:val="nil"/>
          <w:lang w:eastAsia="en-AU"/>
        </w:rPr>
      </w:pPr>
      <w:r w:rsidRPr="009832FC">
        <w:rPr>
          <w:bdr w:val="nil"/>
          <w:lang w:eastAsia="en-AU"/>
        </w:rPr>
        <w:t>It is calculated by dividing the number of observed hand hygiene 'moments' where proper hand hygiene was practiced in a specified audit period, by the total number of observed hand hygiene 'moments' in the same audit period.</w:t>
      </w:r>
    </w:p>
    <w:p w14:paraId="7F067831" w14:textId="77777777" w:rsidR="009832FC" w:rsidRPr="009832FC" w:rsidRDefault="009832FC" w:rsidP="009832FC">
      <w:pPr>
        <w:keepNext/>
        <w:spacing w:before="240"/>
        <w:rPr>
          <w:b/>
          <w:bCs/>
          <w:color w:val="000000"/>
          <w:sz w:val="22"/>
          <w:szCs w:val="18"/>
          <w:bdr w:val="nil"/>
        </w:rPr>
      </w:pPr>
      <w:r w:rsidRPr="009832FC">
        <w:rPr>
          <w:b/>
          <w:bCs/>
          <w:color w:val="000000"/>
          <w:sz w:val="22"/>
          <w:szCs w:val="18"/>
          <w:bdr w:val="nil"/>
        </w:rPr>
        <w:t>Table 6: Estimated Hand Hygiene Rate</w:t>
      </w:r>
    </w:p>
    <w:tbl>
      <w:tblPr>
        <w:tblW w:w="9120" w:type="dxa"/>
        <w:tblInd w:w="108" w:type="dxa"/>
        <w:tblLayout w:type="fixed"/>
        <w:tblLook w:val="04A0" w:firstRow="1" w:lastRow="0" w:firstColumn="1" w:lastColumn="0" w:noHBand="0" w:noVBand="1"/>
      </w:tblPr>
      <w:tblGrid>
        <w:gridCol w:w="4003"/>
        <w:gridCol w:w="834"/>
        <w:gridCol w:w="1426"/>
        <w:gridCol w:w="8"/>
        <w:gridCol w:w="1413"/>
        <w:gridCol w:w="12"/>
        <w:gridCol w:w="1409"/>
        <w:gridCol w:w="15"/>
      </w:tblGrid>
      <w:tr w:rsidR="009832FC" w:rsidRPr="009832FC" w14:paraId="29F99084" w14:textId="77777777" w:rsidTr="00EB585F">
        <w:trPr>
          <w:gridAfter w:val="1"/>
          <w:wAfter w:w="15" w:type="dxa"/>
          <w:trHeight w:val="134"/>
        </w:trPr>
        <w:tc>
          <w:tcPr>
            <w:tcW w:w="4837" w:type="dxa"/>
            <w:gridSpan w:val="2"/>
            <w:tcBorders>
              <w:top w:val="single" w:sz="4" w:space="0" w:color="auto"/>
              <w:left w:val="nil"/>
              <w:right w:val="nil"/>
            </w:tcBorders>
            <w:hideMark/>
          </w:tcPr>
          <w:p w14:paraId="363DF21A" w14:textId="77777777" w:rsidR="009832FC" w:rsidRPr="009832FC" w:rsidRDefault="009832FC" w:rsidP="009832FC">
            <w:pPr>
              <w:keepNext/>
              <w:keepLines/>
              <w:pBdr>
                <w:top w:val="nil"/>
                <w:left w:val="nil"/>
                <w:bottom w:val="nil"/>
                <w:right w:val="nil"/>
                <w:between w:val="nil"/>
                <w:bar w:val="nil"/>
              </w:pBdr>
              <w:spacing w:before="0" w:after="0"/>
              <w:rPr>
                <w:sz w:val="22"/>
                <w:szCs w:val="18"/>
                <w:bdr w:val="nil"/>
              </w:rPr>
            </w:pPr>
            <w:r w:rsidRPr="009832FC">
              <w:rPr>
                <w:b/>
                <w:bCs/>
                <w:sz w:val="20"/>
                <w:bdr w:val="nil"/>
              </w:rPr>
              <w:t>Strategic Indicator</w:t>
            </w:r>
          </w:p>
        </w:tc>
        <w:tc>
          <w:tcPr>
            <w:tcW w:w="1426" w:type="dxa"/>
            <w:tcBorders>
              <w:top w:val="single" w:sz="4" w:space="0" w:color="auto"/>
              <w:left w:val="nil"/>
              <w:right w:val="nil"/>
            </w:tcBorders>
            <w:hideMark/>
          </w:tcPr>
          <w:p w14:paraId="017DA47E"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right w:val="nil"/>
            </w:tcBorders>
            <w:hideMark/>
          </w:tcPr>
          <w:p w14:paraId="4C1C2F78"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right w:val="nil"/>
            </w:tcBorders>
            <w:hideMark/>
          </w:tcPr>
          <w:p w14:paraId="7055E330"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2021-22</w:t>
            </w:r>
          </w:p>
        </w:tc>
      </w:tr>
      <w:tr w:rsidR="009832FC" w:rsidRPr="009832FC" w14:paraId="4AD11433" w14:textId="77777777" w:rsidTr="00EB585F">
        <w:trPr>
          <w:gridAfter w:val="1"/>
          <w:wAfter w:w="15" w:type="dxa"/>
        </w:trPr>
        <w:tc>
          <w:tcPr>
            <w:tcW w:w="4837" w:type="dxa"/>
            <w:gridSpan w:val="2"/>
            <w:tcBorders>
              <w:top w:val="nil"/>
              <w:left w:val="nil"/>
              <w:bottom w:val="single" w:sz="4" w:space="0" w:color="auto"/>
              <w:right w:val="nil"/>
            </w:tcBorders>
            <w:hideMark/>
          </w:tcPr>
          <w:p w14:paraId="6629D6F7"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rPr>
                <w:b/>
                <w:bCs/>
                <w:sz w:val="20"/>
                <w:bdr w:val="nil"/>
              </w:rPr>
            </w:pPr>
          </w:p>
        </w:tc>
        <w:tc>
          <w:tcPr>
            <w:tcW w:w="1426" w:type="dxa"/>
            <w:tcBorders>
              <w:top w:val="nil"/>
              <w:left w:val="nil"/>
              <w:bottom w:val="single" w:sz="4" w:space="0" w:color="auto"/>
              <w:right w:val="nil"/>
            </w:tcBorders>
            <w:hideMark/>
          </w:tcPr>
          <w:p w14:paraId="6E28B8B7"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c>
          <w:tcPr>
            <w:tcW w:w="1421" w:type="dxa"/>
            <w:gridSpan w:val="2"/>
            <w:tcBorders>
              <w:top w:val="nil"/>
              <w:left w:val="nil"/>
              <w:bottom w:val="single" w:sz="4" w:space="0" w:color="auto"/>
              <w:right w:val="nil"/>
            </w:tcBorders>
            <w:hideMark/>
          </w:tcPr>
          <w:p w14:paraId="2B432F68"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Interim Outcome</w:t>
            </w:r>
          </w:p>
        </w:tc>
        <w:tc>
          <w:tcPr>
            <w:tcW w:w="1421" w:type="dxa"/>
            <w:gridSpan w:val="2"/>
            <w:tcBorders>
              <w:top w:val="nil"/>
              <w:left w:val="nil"/>
              <w:bottom w:val="single" w:sz="4" w:space="0" w:color="auto"/>
              <w:right w:val="nil"/>
            </w:tcBorders>
            <w:hideMark/>
          </w:tcPr>
          <w:p w14:paraId="4B7E640D"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b/>
                <w:sz w:val="20"/>
                <w:bdr w:val="nil"/>
                <w:vertAlign w:val="superscript"/>
              </w:rPr>
            </w:pPr>
            <w:r w:rsidRPr="009832FC">
              <w:rPr>
                <w:b/>
                <w:sz w:val="20"/>
                <w:bdr w:val="nil"/>
              </w:rPr>
              <w:t>Target</w:t>
            </w:r>
          </w:p>
        </w:tc>
      </w:tr>
      <w:tr w:rsidR="009832FC" w:rsidRPr="009832FC" w14:paraId="3CDD9916" w14:textId="77777777" w:rsidTr="00EB585F">
        <w:trPr>
          <w:trHeight w:val="328"/>
        </w:trPr>
        <w:tc>
          <w:tcPr>
            <w:tcW w:w="4003" w:type="dxa"/>
            <w:tcBorders>
              <w:top w:val="single" w:sz="4" w:space="0" w:color="auto"/>
              <w:left w:val="nil"/>
              <w:bottom w:val="single" w:sz="4" w:space="0" w:color="auto"/>
              <w:right w:val="nil"/>
            </w:tcBorders>
            <w:hideMark/>
          </w:tcPr>
          <w:p w14:paraId="5200BB53" w14:textId="77777777" w:rsidR="009832FC" w:rsidRPr="009832FC" w:rsidRDefault="009832FC" w:rsidP="009832FC">
            <w:pPr>
              <w:keepNext/>
              <w:keepLines/>
              <w:pBdr>
                <w:top w:val="nil"/>
                <w:left w:val="nil"/>
                <w:bottom w:val="nil"/>
                <w:right w:val="nil"/>
                <w:between w:val="nil"/>
                <w:bar w:val="nil"/>
              </w:pBdr>
              <w:spacing w:before="0" w:after="0" w:line="254" w:lineRule="auto"/>
              <w:ind w:left="178" w:hanging="178"/>
              <w:rPr>
                <w:bCs/>
                <w:sz w:val="20"/>
                <w:bdr w:val="nil"/>
                <w:vertAlign w:val="superscript"/>
              </w:rPr>
            </w:pPr>
            <w:r w:rsidRPr="009832FC">
              <w:rPr>
                <w:bCs/>
                <w:sz w:val="20"/>
                <w:bdr w:val="nil"/>
              </w:rPr>
              <w:t>Estimated hand hygiene</w:t>
            </w:r>
            <w:r w:rsidRPr="009832FC">
              <w:rPr>
                <w:bCs/>
                <w:sz w:val="20"/>
                <w:bdr w:val="nil"/>
                <w:vertAlign w:val="superscript"/>
              </w:rPr>
              <w:t>1</w:t>
            </w:r>
          </w:p>
          <w:p w14:paraId="011F2DFB"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rPr>
                <w:bCs/>
                <w:sz w:val="20"/>
                <w:bdr w:val="nil"/>
                <w:shd w:val="clear" w:color="auto" w:fill="FFFF00"/>
              </w:rPr>
            </w:pPr>
          </w:p>
        </w:tc>
        <w:tc>
          <w:tcPr>
            <w:tcW w:w="2268" w:type="dxa"/>
            <w:gridSpan w:val="3"/>
            <w:tcBorders>
              <w:top w:val="single" w:sz="4" w:space="0" w:color="auto"/>
              <w:left w:val="nil"/>
              <w:bottom w:val="single" w:sz="4" w:space="0" w:color="auto"/>
              <w:right w:val="nil"/>
            </w:tcBorders>
            <w:hideMark/>
          </w:tcPr>
          <w:p w14:paraId="2433ACF5"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80%</w:t>
            </w:r>
          </w:p>
        </w:tc>
        <w:tc>
          <w:tcPr>
            <w:tcW w:w="1425" w:type="dxa"/>
            <w:gridSpan w:val="2"/>
            <w:tcBorders>
              <w:top w:val="single" w:sz="4" w:space="0" w:color="auto"/>
              <w:left w:val="nil"/>
              <w:bottom w:val="single" w:sz="4" w:space="0" w:color="auto"/>
              <w:right w:val="nil"/>
            </w:tcBorders>
            <w:hideMark/>
          </w:tcPr>
          <w:p w14:paraId="6D7F0460"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83%</w:t>
            </w:r>
          </w:p>
        </w:tc>
        <w:tc>
          <w:tcPr>
            <w:tcW w:w="1424" w:type="dxa"/>
            <w:gridSpan w:val="2"/>
            <w:tcBorders>
              <w:top w:val="single" w:sz="4" w:space="0" w:color="auto"/>
              <w:left w:val="nil"/>
              <w:bottom w:val="single" w:sz="4" w:space="0" w:color="auto"/>
              <w:right w:val="nil"/>
            </w:tcBorders>
            <w:hideMark/>
          </w:tcPr>
          <w:p w14:paraId="3CD7C642" w14:textId="77777777" w:rsidR="009832FC" w:rsidRPr="009832FC" w:rsidRDefault="009832FC" w:rsidP="009832FC">
            <w:pPr>
              <w:keepNext/>
              <w:keepLines/>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80%</w:t>
            </w:r>
          </w:p>
        </w:tc>
      </w:tr>
    </w:tbl>
    <w:p w14:paraId="1C46A2EE" w14:textId="77777777" w:rsidR="009832FC" w:rsidRPr="009832FC" w:rsidRDefault="009832FC" w:rsidP="009832FC">
      <w:pPr>
        <w:keepNext/>
        <w:keepLines/>
        <w:pBdr>
          <w:top w:val="nil"/>
          <w:left w:val="nil"/>
          <w:bottom w:val="nil"/>
          <w:right w:val="nil"/>
          <w:between w:val="nil"/>
          <w:bar w:val="nil"/>
        </w:pBdr>
        <w:spacing w:before="120" w:after="0"/>
        <w:rPr>
          <w:b/>
          <w:sz w:val="18"/>
          <w:szCs w:val="18"/>
          <w:bdr w:val="nil"/>
        </w:rPr>
      </w:pPr>
      <w:r w:rsidRPr="009832FC">
        <w:rPr>
          <w:b/>
          <w:sz w:val="18"/>
          <w:szCs w:val="18"/>
          <w:bdr w:val="nil"/>
          <w:lang w:eastAsia="en-AU"/>
        </w:rPr>
        <w:t>Note:</w:t>
      </w:r>
    </w:p>
    <w:p w14:paraId="5CE5584E" w14:textId="77777777" w:rsidR="009832FC" w:rsidRPr="009832FC" w:rsidRDefault="009832FC" w:rsidP="00D62507">
      <w:pPr>
        <w:keepNext/>
        <w:keepLines/>
        <w:numPr>
          <w:ilvl w:val="0"/>
          <w:numId w:val="36"/>
        </w:numPr>
        <w:pBdr>
          <w:top w:val="nil"/>
          <w:left w:val="nil"/>
          <w:bottom w:val="nil"/>
          <w:right w:val="nil"/>
          <w:between w:val="nil"/>
          <w:bar w:val="nil"/>
        </w:pBdr>
        <w:spacing w:before="0" w:after="0"/>
        <w:jc w:val="both"/>
        <w:rPr>
          <w:sz w:val="18"/>
          <w:szCs w:val="18"/>
          <w:bdr w:val="nil"/>
          <w:lang w:eastAsia="en-AU"/>
        </w:rPr>
      </w:pPr>
      <w:r w:rsidRPr="009832FC">
        <w:rPr>
          <w:sz w:val="18"/>
          <w:szCs w:val="18"/>
          <w:bdr w:val="nil"/>
          <w:lang w:eastAsia="en-AU"/>
        </w:rPr>
        <w:t>Hospital targets are based on the national target as per the National Hand Hygiene Initiative of the Australian Commission on Safety and Quality in Health Care.</w:t>
      </w:r>
      <w:bookmarkStart w:id="62" w:name="_Toc514832546"/>
      <w:bookmarkStart w:id="63" w:name="_Toc514832363"/>
      <w:bookmarkStart w:id="64" w:name="_Toc514765739"/>
      <w:bookmarkStart w:id="65" w:name="_Toc514764111"/>
      <w:bookmarkStart w:id="66" w:name="_Toc483492145"/>
      <w:bookmarkStart w:id="67" w:name="_Toc483560927"/>
      <w:bookmarkStart w:id="68" w:name="_Toc483919421"/>
      <w:bookmarkStart w:id="69" w:name="_Toc484069668"/>
    </w:p>
    <w:p w14:paraId="65798BFD" w14:textId="60D0F50B" w:rsidR="009832FC" w:rsidRPr="003905AE" w:rsidRDefault="009832FC" w:rsidP="008E3537">
      <w:pPr>
        <w:pStyle w:val="Heading3"/>
        <w:rPr>
          <w:bdr w:val="nil"/>
        </w:rPr>
      </w:pPr>
      <w:r w:rsidRPr="009832FC">
        <w:rPr>
          <w:bdr w:val="nil"/>
        </w:rPr>
        <w:t xml:space="preserve">Strategic Objective </w:t>
      </w:r>
      <w:bookmarkEnd w:id="62"/>
      <w:bookmarkEnd w:id="63"/>
      <w:bookmarkEnd w:id="64"/>
      <w:bookmarkEnd w:id="65"/>
      <w:bookmarkEnd w:id="66"/>
      <w:bookmarkEnd w:id="67"/>
      <w:bookmarkEnd w:id="68"/>
      <w:bookmarkEnd w:id="69"/>
      <w:r w:rsidRPr="009832FC">
        <w:rPr>
          <w:bdr w:val="nil"/>
        </w:rPr>
        <w:t>4 - Reaching the Optimum Occupancy Rate for all Overnight Hospital Beds</w:t>
      </w:r>
    </w:p>
    <w:p w14:paraId="02FC5915" w14:textId="77777777" w:rsidR="009832FC" w:rsidRPr="009832FC" w:rsidRDefault="009832FC" w:rsidP="00D62507">
      <w:pPr>
        <w:keepNext/>
        <w:keepLines/>
        <w:spacing w:before="240" w:after="120"/>
        <w:jc w:val="both"/>
        <w:outlineLvl w:val="3"/>
        <w:rPr>
          <w:b/>
          <w:i/>
        </w:rPr>
      </w:pPr>
      <w:r w:rsidRPr="009832FC">
        <w:rPr>
          <w:b/>
          <w:i/>
        </w:rPr>
        <w:t>Strategic Indicator 4.1 – The percentage of overnight hospital beds in use</w:t>
      </w:r>
    </w:p>
    <w:p w14:paraId="25F22AE2" w14:textId="77777777" w:rsidR="009832FC" w:rsidRPr="009832FC" w:rsidRDefault="009832FC" w:rsidP="009832FC">
      <w:pPr>
        <w:keepNext/>
        <w:spacing w:before="240"/>
        <w:rPr>
          <w:b/>
          <w:bCs/>
          <w:color w:val="000000"/>
          <w:sz w:val="22"/>
          <w:szCs w:val="18"/>
          <w:bdr w:val="nil"/>
        </w:rPr>
      </w:pPr>
      <w:r w:rsidRPr="009832FC">
        <w:rPr>
          <w:b/>
          <w:bCs/>
          <w:color w:val="000000"/>
          <w:sz w:val="22"/>
          <w:szCs w:val="18"/>
          <w:bdr w:val="nil"/>
        </w:rPr>
        <w:t>Table 7: The mean percentage of overnight hospital beds in use</w:t>
      </w:r>
    </w:p>
    <w:tbl>
      <w:tblPr>
        <w:tblW w:w="9120" w:type="dxa"/>
        <w:tblInd w:w="108" w:type="dxa"/>
        <w:tblLayout w:type="fixed"/>
        <w:tblLook w:val="04A0" w:firstRow="1" w:lastRow="0" w:firstColumn="1" w:lastColumn="0" w:noHBand="0" w:noVBand="1"/>
      </w:tblPr>
      <w:tblGrid>
        <w:gridCol w:w="4678"/>
        <w:gridCol w:w="159"/>
        <w:gridCol w:w="1426"/>
        <w:gridCol w:w="9"/>
        <w:gridCol w:w="1412"/>
        <w:gridCol w:w="12"/>
        <w:gridCol w:w="1409"/>
        <w:gridCol w:w="15"/>
      </w:tblGrid>
      <w:tr w:rsidR="009832FC" w:rsidRPr="009832FC" w14:paraId="551D6946" w14:textId="77777777" w:rsidTr="00EB585F">
        <w:trPr>
          <w:gridAfter w:val="1"/>
          <w:wAfter w:w="15" w:type="dxa"/>
          <w:trHeight w:val="134"/>
        </w:trPr>
        <w:tc>
          <w:tcPr>
            <w:tcW w:w="4837" w:type="dxa"/>
            <w:gridSpan w:val="2"/>
            <w:tcBorders>
              <w:top w:val="single" w:sz="4" w:space="0" w:color="auto"/>
              <w:left w:val="nil"/>
              <w:bottom w:val="nil"/>
              <w:right w:val="nil"/>
            </w:tcBorders>
            <w:hideMark/>
          </w:tcPr>
          <w:p w14:paraId="5663F90B" w14:textId="77777777" w:rsidR="009832FC" w:rsidRPr="009832FC" w:rsidRDefault="009832FC" w:rsidP="009832FC">
            <w:pPr>
              <w:pBdr>
                <w:top w:val="nil"/>
                <w:left w:val="nil"/>
                <w:bottom w:val="nil"/>
                <w:right w:val="nil"/>
                <w:between w:val="nil"/>
                <w:bar w:val="nil"/>
              </w:pBdr>
              <w:spacing w:before="0" w:after="0"/>
              <w:rPr>
                <w:sz w:val="22"/>
                <w:szCs w:val="18"/>
                <w:bdr w:val="nil"/>
              </w:rPr>
            </w:pPr>
            <w:r w:rsidRPr="009832FC">
              <w:rPr>
                <w:b/>
                <w:bCs/>
                <w:sz w:val="20"/>
                <w:bdr w:val="nil"/>
              </w:rPr>
              <w:t>Strategic Indicator</w:t>
            </w:r>
          </w:p>
        </w:tc>
        <w:tc>
          <w:tcPr>
            <w:tcW w:w="1426" w:type="dxa"/>
            <w:tcBorders>
              <w:top w:val="single" w:sz="4" w:space="0" w:color="auto"/>
              <w:left w:val="nil"/>
              <w:bottom w:val="nil"/>
              <w:right w:val="nil"/>
            </w:tcBorders>
            <w:hideMark/>
          </w:tcPr>
          <w:p w14:paraId="5455FCC7"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01CF39B6"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05E59F50"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tc>
      </w:tr>
      <w:tr w:rsidR="009832FC" w:rsidRPr="009832FC" w14:paraId="1143BEB7" w14:textId="77777777" w:rsidTr="00EB585F">
        <w:trPr>
          <w:gridAfter w:val="1"/>
          <w:wAfter w:w="15" w:type="dxa"/>
        </w:trPr>
        <w:tc>
          <w:tcPr>
            <w:tcW w:w="4837" w:type="dxa"/>
            <w:gridSpan w:val="2"/>
            <w:tcBorders>
              <w:top w:val="nil"/>
              <w:left w:val="nil"/>
              <w:bottom w:val="single" w:sz="4" w:space="0" w:color="auto"/>
              <w:right w:val="nil"/>
            </w:tcBorders>
            <w:hideMark/>
          </w:tcPr>
          <w:p w14:paraId="645C8F84" w14:textId="77777777" w:rsidR="009832FC" w:rsidRPr="009832FC" w:rsidRDefault="009832FC" w:rsidP="009832FC">
            <w:pPr>
              <w:pBdr>
                <w:top w:val="nil"/>
                <w:left w:val="nil"/>
                <w:bottom w:val="nil"/>
                <w:right w:val="nil"/>
                <w:between w:val="nil"/>
                <w:bar w:val="nil"/>
              </w:pBdr>
              <w:spacing w:before="0" w:after="0" w:line="254" w:lineRule="auto"/>
              <w:ind w:left="227" w:hanging="227"/>
              <w:rPr>
                <w:b/>
                <w:bCs/>
                <w:sz w:val="20"/>
                <w:bdr w:val="nil"/>
              </w:rPr>
            </w:pPr>
          </w:p>
        </w:tc>
        <w:tc>
          <w:tcPr>
            <w:tcW w:w="1426" w:type="dxa"/>
            <w:tcBorders>
              <w:top w:val="nil"/>
              <w:left w:val="nil"/>
              <w:bottom w:val="single" w:sz="4" w:space="0" w:color="auto"/>
              <w:right w:val="nil"/>
            </w:tcBorders>
            <w:hideMark/>
          </w:tcPr>
          <w:p w14:paraId="4DFA977D"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c>
          <w:tcPr>
            <w:tcW w:w="1421" w:type="dxa"/>
            <w:gridSpan w:val="2"/>
            <w:tcBorders>
              <w:top w:val="nil"/>
              <w:left w:val="nil"/>
              <w:bottom w:val="single" w:sz="4" w:space="0" w:color="auto"/>
              <w:right w:val="nil"/>
            </w:tcBorders>
            <w:hideMark/>
          </w:tcPr>
          <w:p w14:paraId="21927CC4"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Interim</w:t>
            </w:r>
          </w:p>
          <w:p w14:paraId="0BC92354"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Outcome</w:t>
            </w:r>
          </w:p>
        </w:tc>
        <w:tc>
          <w:tcPr>
            <w:tcW w:w="1421" w:type="dxa"/>
            <w:gridSpan w:val="2"/>
            <w:tcBorders>
              <w:top w:val="nil"/>
              <w:left w:val="nil"/>
              <w:bottom w:val="single" w:sz="4" w:space="0" w:color="auto"/>
              <w:right w:val="nil"/>
            </w:tcBorders>
            <w:hideMark/>
          </w:tcPr>
          <w:p w14:paraId="3E5D02DD"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vertAlign w:val="superscript"/>
              </w:rPr>
            </w:pPr>
            <w:r w:rsidRPr="009832FC">
              <w:rPr>
                <w:b/>
                <w:sz w:val="20"/>
                <w:bdr w:val="nil"/>
              </w:rPr>
              <w:t>Target</w:t>
            </w:r>
            <w:r w:rsidRPr="009832FC">
              <w:rPr>
                <w:b/>
                <w:sz w:val="20"/>
                <w:bdr w:val="nil"/>
                <w:vertAlign w:val="superscript"/>
              </w:rPr>
              <w:t>1</w:t>
            </w:r>
          </w:p>
        </w:tc>
      </w:tr>
      <w:tr w:rsidR="009832FC" w:rsidRPr="009832FC" w14:paraId="2FB3D786" w14:textId="77777777" w:rsidTr="00EB585F">
        <w:trPr>
          <w:trHeight w:val="342"/>
        </w:trPr>
        <w:tc>
          <w:tcPr>
            <w:tcW w:w="4678" w:type="dxa"/>
            <w:tcBorders>
              <w:top w:val="single" w:sz="4" w:space="0" w:color="auto"/>
              <w:left w:val="nil"/>
              <w:bottom w:val="single" w:sz="4" w:space="0" w:color="auto"/>
              <w:right w:val="nil"/>
            </w:tcBorders>
            <w:hideMark/>
          </w:tcPr>
          <w:p w14:paraId="6EF83191" w14:textId="77777777" w:rsidR="009832FC" w:rsidRPr="009832FC" w:rsidRDefault="009832FC" w:rsidP="009832FC">
            <w:pPr>
              <w:pBdr>
                <w:top w:val="nil"/>
                <w:left w:val="nil"/>
                <w:bottom w:val="nil"/>
                <w:right w:val="nil"/>
                <w:between w:val="nil"/>
                <w:bar w:val="nil"/>
              </w:pBdr>
              <w:spacing w:before="0" w:after="0" w:line="254" w:lineRule="auto"/>
              <w:ind w:left="178" w:hanging="178"/>
              <w:rPr>
                <w:bCs/>
                <w:sz w:val="20"/>
                <w:bdr w:val="nil"/>
              </w:rPr>
            </w:pPr>
            <w:r w:rsidRPr="009832FC">
              <w:rPr>
                <w:bCs/>
                <w:sz w:val="20"/>
                <w:bdr w:val="nil"/>
              </w:rPr>
              <w:t>Mean percentage of overnight hospital beds in use</w:t>
            </w:r>
          </w:p>
          <w:p w14:paraId="429285A1" w14:textId="77777777" w:rsidR="009832FC" w:rsidRPr="009832FC" w:rsidRDefault="009832FC" w:rsidP="009832FC">
            <w:pPr>
              <w:pBdr>
                <w:top w:val="nil"/>
                <w:left w:val="nil"/>
                <w:bottom w:val="nil"/>
                <w:right w:val="nil"/>
                <w:between w:val="nil"/>
                <w:bar w:val="nil"/>
              </w:pBdr>
              <w:spacing w:before="0" w:after="0" w:line="254" w:lineRule="auto"/>
              <w:rPr>
                <w:b/>
                <w:bCs/>
                <w:sz w:val="20"/>
                <w:bdr w:val="nil"/>
              </w:rPr>
            </w:pPr>
          </w:p>
        </w:tc>
        <w:tc>
          <w:tcPr>
            <w:tcW w:w="1594" w:type="dxa"/>
            <w:gridSpan w:val="3"/>
            <w:tcBorders>
              <w:top w:val="single" w:sz="4" w:space="0" w:color="auto"/>
              <w:left w:val="nil"/>
              <w:bottom w:val="single" w:sz="4" w:space="0" w:color="auto"/>
              <w:right w:val="nil"/>
            </w:tcBorders>
            <w:hideMark/>
          </w:tcPr>
          <w:p w14:paraId="0A1D585E" w14:textId="77777777" w:rsidR="009832FC" w:rsidRPr="009832FC" w:rsidRDefault="009832FC" w:rsidP="009832FC">
            <w:pPr>
              <w:pBdr>
                <w:top w:val="nil"/>
                <w:left w:val="nil"/>
                <w:bottom w:val="nil"/>
                <w:right w:val="nil"/>
                <w:between w:val="nil"/>
                <w:bar w:val="nil"/>
              </w:pBdr>
              <w:spacing w:before="0" w:after="0" w:line="254" w:lineRule="auto"/>
              <w:jc w:val="right"/>
              <w:rPr>
                <w:sz w:val="20"/>
                <w:bdr w:val="nil"/>
              </w:rPr>
            </w:pPr>
            <w:r w:rsidRPr="009832FC">
              <w:rPr>
                <w:sz w:val="20"/>
                <w:bdr w:val="nil"/>
              </w:rPr>
              <w:t>90%</w:t>
            </w:r>
          </w:p>
        </w:tc>
        <w:tc>
          <w:tcPr>
            <w:tcW w:w="1424" w:type="dxa"/>
            <w:gridSpan w:val="2"/>
            <w:tcBorders>
              <w:top w:val="single" w:sz="4" w:space="0" w:color="auto"/>
              <w:left w:val="nil"/>
              <w:bottom w:val="single" w:sz="4" w:space="0" w:color="auto"/>
              <w:right w:val="nil"/>
            </w:tcBorders>
            <w:hideMark/>
          </w:tcPr>
          <w:p w14:paraId="22D3D0B0" w14:textId="77777777" w:rsidR="009832FC" w:rsidRPr="009832FC" w:rsidRDefault="009832FC" w:rsidP="009832FC">
            <w:pPr>
              <w:pBdr>
                <w:top w:val="nil"/>
                <w:left w:val="nil"/>
                <w:bottom w:val="nil"/>
                <w:right w:val="nil"/>
                <w:between w:val="nil"/>
                <w:bar w:val="nil"/>
              </w:pBdr>
              <w:spacing w:before="0" w:after="0" w:line="254" w:lineRule="auto"/>
              <w:jc w:val="right"/>
              <w:rPr>
                <w:sz w:val="20"/>
                <w:bdr w:val="nil"/>
              </w:rPr>
            </w:pPr>
            <w:r w:rsidRPr="009832FC">
              <w:rPr>
                <w:sz w:val="20"/>
                <w:bdr w:val="nil"/>
              </w:rPr>
              <w:t>88%</w:t>
            </w:r>
          </w:p>
        </w:tc>
        <w:tc>
          <w:tcPr>
            <w:tcW w:w="1424" w:type="dxa"/>
            <w:gridSpan w:val="2"/>
            <w:tcBorders>
              <w:top w:val="single" w:sz="4" w:space="0" w:color="auto"/>
              <w:left w:val="nil"/>
              <w:bottom w:val="single" w:sz="4" w:space="0" w:color="auto"/>
              <w:right w:val="nil"/>
            </w:tcBorders>
            <w:hideMark/>
          </w:tcPr>
          <w:p w14:paraId="32F9AECE" w14:textId="77777777" w:rsidR="009832FC" w:rsidRPr="009832FC" w:rsidRDefault="009832FC" w:rsidP="009832FC">
            <w:pPr>
              <w:pBdr>
                <w:top w:val="nil"/>
                <w:left w:val="nil"/>
                <w:bottom w:val="nil"/>
                <w:right w:val="nil"/>
                <w:between w:val="nil"/>
                <w:bar w:val="nil"/>
              </w:pBdr>
              <w:spacing w:before="0" w:after="0" w:line="254" w:lineRule="auto"/>
              <w:jc w:val="right"/>
              <w:rPr>
                <w:sz w:val="20"/>
                <w:bdr w:val="nil"/>
              </w:rPr>
            </w:pPr>
            <w:r w:rsidRPr="009832FC">
              <w:rPr>
                <w:sz w:val="20"/>
                <w:bdr w:val="nil"/>
              </w:rPr>
              <w:t>N/A</w:t>
            </w:r>
          </w:p>
        </w:tc>
      </w:tr>
    </w:tbl>
    <w:p w14:paraId="215FFC7C" w14:textId="77777777" w:rsidR="009832FC" w:rsidRPr="009832FC" w:rsidRDefault="009832FC" w:rsidP="00D12F0F">
      <w:pPr>
        <w:keepNext/>
        <w:pBdr>
          <w:top w:val="nil"/>
          <w:left w:val="nil"/>
          <w:bottom w:val="nil"/>
          <w:right w:val="nil"/>
          <w:between w:val="nil"/>
          <w:bar w:val="nil"/>
        </w:pBdr>
        <w:spacing w:before="120" w:after="0"/>
        <w:rPr>
          <w:b/>
          <w:sz w:val="18"/>
          <w:szCs w:val="18"/>
          <w:bdr w:val="nil"/>
        </w:rPr>
      </w:pPr>
      <w:r w:rsidRPr="009832FC">
        <w:rPr>
          <w:b/>
          <w:sz w:val="18"/>
          <w:szCs w:val="18"/>
          <w:bdr w:val="nil"/>
          <w:lang w:eastAsia="en-AU"/>
        </w:rPr>
        <w:t>Note:</w:t>
      </w:r>
    </w:p>
    <w:p w14:paraId="7A65DB7D" w14:textId="77777777" w:rsidR="009832FC" w:rsidRPr="00D12F0F" w:rsidRDefault="009832FC" w:rsidP="00812F22">
      <w:pPr>
        <w:keepNext/>
        <w:keepLines/>
        <w:numPr>
          <w:ilvl w:val="0"/>
          <w:numId w:val="53"/>
        </w:numPr>
        <w:pBdr>
          <w:top w:val="nil"/>
          <w:left w:val="nil"/>
          <w:bottom w:val="nil"/>
          <w:right w:val="nil"/>
          <w:between w:val="nil"/>
          <w:bar w:val="nil"/>
        </w:pBdr>
        <w:spacing w:before="0" w:after="0"/>
        <w:jc w:val="both"/>
        <w:rPr>
          <w:sz w:val="18"/>
          <w:szCs w:val="18"/>
          <w:bdr w:val="nil"/>
          <w:lang w:eastAsia="en-AU"/>
        </w:rPr>
      </w:pPr>
      <w:r w:rsidRPr="00D12F0F">
        <w:rPr>
          <w:sz w:val="18"/>
          <w:szCs w:val="18"/>
          <w:bdr w:val="nil"/>
          <w:lang w:eastAsia="en-AU"/>
        </w:rPr>
        <w:t>As a result of a review of all performance indicators against the ACT Government’s Performance and Accountability Framework, the Strategic Indicator has been removed from 2021-22.</w:t>
      </w:r>
    </w:p>
    <w:p w14:paraId="7B14923A" w14:textId="77777777" w:rsidR="00781CFC" w:rsidRDefault="00781CFC">
      <w:pPr>
        <w:spacing w:before="0" w:after="0"/>
        <w:rPr>
          <w:b/>
          <w:bCs/>
          <w:sz w:val="28"/>
          <w:szCs w:val="26"/>
          <w:bdr w:val="nil"/>
        </w:rPr>
      </w:pPr>
      <w:r>
        <w:rPr>
          <w:bdr w:val="nil"/>
        </w:rPr>
        <w:br w:type="page"/>
      </w:r>
    </w:p>
    <w:p w14:paraId="30A23E53" w14:textId="053C7301" w:rsidR="009832FC" w:rsidRPr="003905AE" w:rsidRDefault="009832FC" w:rsidP="008E3537">
      <w:pPr>
        <w:pStyle w:val="Heading3"/>
        <w:rPr>
          <w:bdr w:val="nil"/>
        </w:rPr>
      </w:pPr>
      <w:r w:rsidRPr="009832FC">
        <w:rPr>
          <w:bdr w:val="nil"/>
        </w:rPr>
        <w:lastRenderedPageBreak/>
        <w:t xml:space="preserve">Strategic Objective 5 - </w:t>
      </w:r>
      <w:r w:rsidRPr="003905AE">
        <w:rPr>
          <w:bdr w:val="nil"/>
        </w:rPr>
        <w:t>Percentage of women in the target age group (50-74 years) screened through BreastScreen Australia in a 24-month period</w:t>
      </w:r>
    </w:p>
    <w:p w14:paraId="5B3DCFFD" w14:textId="77777777" w:rsidR="009832FC" w:rsidRPr="009832FC" w:rsidRDefault="009832FC" w:rsidP="00D62507">
      <w:pPr>
        <w:keepNext/>
        <w:keepLines/>
        <w:spacing w:before="240" w:after="120"/>
        <w:jc w:val="both"/>
        <w:outlineLvl w:val="3"/>
        <w:rPr>
          <w:b/>
          <w:i/>
        </w:rPr>
      </w:pPr>
      <w:r w:rsidRPr="009832FC">
        <w:rPr>
          <w:b/>
          <w:i/>
        </w:rPr>
        <w:t>Strategic Indicator 5.1 – Participation rate – proportion of women aged 50-74 who had a breast screen</w:t>
      </w:r>
    </w:p>
    <w:p w14:paraId="6D6114F1" w14:textId="77777777" w:rsidR="009832FC" w:rsidRPr="009832FC" w:rsidRDefault="009832FC" w:rsidP="009832FC">
      <w:pPr>
        <w:keepNext/>
        <w:spacing w:before="240"/>
        <w:rPr>
          <w:b/>
          <w:bCs/>
          <w:color w:val="000000"/>
          <w:sz w:val="22"/>
          <w:szCs w:val="18"/>
          <w:bdr w:val="nil"/>
        </w:rPr>
      </w:pPr>
      <w:r w:rsidRPr="009832FC">
        <w:rPr>
          <w:b/>
          <w:bCs/>
          <w:color w:val="000000"/>
          <w:sz w:val="22"/>
          <w:szCs w:val="18"/>
          <w:bdr w:val="nil"/>
        </w:rPr>
        <w:t>Table 8: Participation rate – proportion of women aged 50 to 74 who had a breast screen</w:t>
      </w:r>
    </w:p>
    <w:tbl>
      <w:tblPr>
        <w:tblW w:w="9120" w:type="dxa"/>
        <w:tblInd w:w="108" w:type="dxa"/>
        <w:tblLayout w:type="fixed"/>
        <w:tblLook w:val="04A0" w:firstRow="1" w:lastRow="0" w:firstColumn="1" w:lastColumn="0" w:noHBand="0" w:noVBand="1"/>
      </w:tblPr>
      <w:tblGrid>
        <w:gridCol w:w="3861"/>
        <w:gridCol w:w="976"/>
        <w:gridCol w:w="1426"/>
        <w:gridCol w:w="8"/>
        <w:gridCol w:w="1413"/>
        <w:gridCol w:w="12"/>
        <w:gridCol w:w="1409"/>
        <w:gridCol w:w="15"/>
      </w:tblGrid>
      <w:tr w:rsidR="009832FC" w:rsidRPr="009832FC" w14:paraId="481D0841" w14:textId="77777777" w:rsidTr="00EB585F">
        <w:trPr>
          <w:gridAfter w:val="1"/>
          <w:wAfter w:w="15" w:type="dxa"/>
          <w:trHeight w:val="134"/>
        </w:trPr>
        <w:tc>
          <w:tcPr>
            <w:tcW w:w="4837" w:type="dxa"/>
            <w:gridSpan w:val="2"/>
            <w:tcBorders>
              <w:top w:val="single" w:sz="4" w:space="0" w:color="auto"/>
              <w:left w:val="nil"/>
              <w:bottom w:val="nil"/>
              <w:right w:val="nil"/>
            </w:tcBorders>
            <w:hideMark/>
          </w:tcPr>
          <w:p w14:paraId="406D614E" w14:textId="77777777" w:rsidR="009832FC" w:rsidRPr="009832FC" w:rsidRDefault="009832FC" w:rsidP="009832FC">
            <w:pPr>
              <w:pBdr>
                <w:top w:val="nil"/>
                <w:left w:val="nil"/>
                <w:bottom w:val="nil"/>
                <w:right w:val="nil"/>
                <w:between w:val="nil"/>
                <w:bar w:val="nil"/>
              </w:pBdr>
              <w:spacing w:before="0" w:after="0"/>
              <w:rPr>
                <w:i/>
                <w:sz w:val="20"/>
                <w:szCs w:val="24"/>
                <w:bdr w:val="nil"/>
              </w:rPr>
            </w:pPr>
            <w:r w:rsidRPr="009832FC">
              <w:rPr>
                <w:b/>
                <w:bCs/>
                <w:sz w:val="20"/>
                <w:bdr w:val="nil"/>
              </w:rPr>
              <w:t>Strategic Indicator</w:t>
            </w:r>
          </w:p>
        </w:tc>
        <w:tc>
          <w:tcPr>
            <w:tcW w:w="1426" w:type="dxa"/>
            <w:tcBorders>
              <w:top w:val="single" w:sz="4" w:space="0" w:color="auto"/>
              <w:left w:val="nil"/>
              <w:bottom w:val="nil"/>
              <w:right w:val="nil"/>
            </w:tcBorders>
            <w:hideMark/>
          </w:tcPr>
          <w:p w14:paraId="3F3ABBA3"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4B3D2EEF"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053E750C"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tc>
      </w:tr>
      <w:tr w:rsidR="009832FC" w:rsidRPr="009832FC" w14:paraId="578A4C6F" w14:textId="77777777" w:rsidTr="00EB585F">
        <w:trPr>
          <w:gridAfter w:val="1"/>
          <w:wAfter w:w="15" w:type="dxa"/>
        </w:trPr>
        <w:tc>
          <w:tcPr>
            <w:tcW w:w="4837" w:type="dxa"/>
            <w:gridSpan w:val="2"/>
            <w:tcBorders>
              <w:top w:val="nil"/>
              <w:left w:val="nil"/>
              <w:bottom w:val="single" w:sz="4" w:space="0" w:color="auto"/>
              <w:right w:val="nil"/>
            </w:tcBorders>
            <w:hideMark/>
          </w:tcPr>
          <w:p w14:paraId="1CD2769D" w14:textId="77777777" w:rsidR="009832FC" w:rsidRPr="009832FC" w:rsidRDefault="009832FC" w:rsidP="009832FC">
            <w:pPr>
              <w:pBdr>
                <w:top w:val="nil"/>
                <w:left w:val="nil"/>
                <w:bottom w:val="nil"/>
                <w:right w:val="nil"/>
                <w:between w:val="nil"/>
                <w:bar w:val="nil"/>
              </w:pBdr>
              <w:spacing w:before="0" w:after="0" w:line="254" w:lineRule="auto"/>
              <w:ind w:left="227" w:hanging="227"/>
              <w:rPr>
                <w:b/>
                <w:bCs/>
                <w:sz w:val="20"/>
                <w:bdr w:val="nil"/>
              </w:rPr>
            </w:pPr>
          </w:p>
        </w:tc>
        <w:tc>
          <w:tcPr>
            <w:tcW w:w="1426" w:type="dxa"/>
            <w:tcBorders>
              <w:top w:val="nil"/>
              <w:left w:val="nil"/>
              <w:bottom w:val="single" w:sz="4" w:space="0" w:color="auto"/>
              <w:right w:val="nil"/>
            </w:tcBorders>
            <w:hideMark/>
          </w:tcPr>
          <w:p w14:paraId="511D2612"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c>
          <w:tcPr>
            <w:tcW w:w="1421" w:type="dxa"/>
            <w:gridSpan w:val="2"/>
            <w:tcBorders>
              <w:top w:val="nil"/>
              <w:left w:val="nil"/>
              <w:bottom w:val="single" w:sz="4" w:space="0" w:color="auto"/>
              <w:right w:val="nil"/>
            </w:tcBorders>
            <w:hideMark/>
          </w:tcPr>
          <w:p w14:paraId="664A73DA"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Interim</w:t>
            </w:r>
          </w:p>
          <w:p w14:paraId="514B60F0"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Outcome</w:t>
            </w:r>
          </w:p>
        </w:tc>
        <w:tc>
          <w:tcPr>
            <w:tcW w:w="1421" w:type="dxa"/>
            <w:gridSpan w:val="2"/>
            <w:tcBorders>
              <w:top w:val="nil"/>
              <w:left w:val="nil"/>
              <w:bottom w:val="single" w:sz="4" w:space="0" w:color="auto"/>
              <w:right w:val="nil"/>
            </w:tcBorders>
            <w:hideMark/>
          </w:tcPr>
          <w:p w14:paraId="53D2C2DC"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vertAlign w:val="superscript"/>
              </w:rPr>
            </w:pPr>
            <w:r w:rsidRPr="009832FC">
              <w:rPr>
                <w:b/>
                <w:sz w:val="20"/>
                <w:bdr w:val="nil"/>
              </w:rPr>
              <w:t>Target</w:t>
            </w:r>
            <w:r w:rsidRPr="009832FC">
              <w:rPr>
                <w:b/>
                <w:sz w:val="20"/>
                <w:bdr w:val="nil"/>
                <w:vertAlign w:val="superscript"/>
              </w:rPr>
              <w:t>1</w:t>
            </w:r>
          </w:p>
        </w:tc>
      </w:tr>
      <w:tr w:rsidR="009832FC" w:rsidRPr="009832FC" w14:paraId="61B67A78" w14:textId="77777777" w:rsidTr="00EB585F">
        <w:trPr>
          <w:trHeight w:val="604"/>
        </w:trPr>
        <w:tc>
          <w:tcPr>
            <w:tcW w:w="3861" w:type="dxa"/>
            <w:tcBorders>
              <w:top w:val="single" w:sz="4" w:space="0" w:color="auto"/>
              <w:left w:val="nil"/>
              <w:bottom w:val="single" w:sz="4" w:space="0" w:color="auto"/>
              <w:right w:val="nil"/>
            </w:tcBorders>
            <w:hideMark/>
          </w:tcPr>
          <w:p w14:paraId="6FA32858" w14:textId="77777777" w:rsidR="009832FC" w:rsidRPr="009832FC" w:rsidRDefault="009832FC" w:rsidP="009832FC">
            <w:pPr>
              <w:pBdr>
                <w:top w:val="nil"/>
                <w:left w:val="nil"/>
                <w:bottom w:val="nil"/>
                <w:right w:val="nil"/>
                <w:between w:val="nil"/>
                <w:bar w:val="nil"/>
              </w:pBdr>
              <w:spacing w:before="0" w:after="0" w:line="254" w:lineRule="auto"/>
              <w:ind w:left="178" w:hanging="178"/>
              <w:rPr>
                <w:b/>
                <w:bCs/>
                <w:sz w:val="20"/>
                <w:bdr w:val="nil"/>
                <w:shd w:val="clear" w:color="auto" w:fill="FFFF00"/>
                <w:vertAlign w:val="superscript"/>
              </w:rPr>
            </w:pPr>
            <w:r w:rsidRPr="009832FC">
              <w:rPr>
                <w:bCs/>
                <w:sz w:val="20"/>
                <w:bdr w:val="nil"/>
              </w:rPr>
              <w:t>Participation rate, proportion of women aged 50 to 74 who had a breast screen</w:t>
            </w:r>
            <w:r w:rsidRPr="009832FC">
              <w:rPr>
                <w:bCs/>
                <w:sz w:val="20"/>
                <w:bdr w:val="nil"/>
                <w:vertAlign w:val="superscript"/>
              </w:rPr>
              <w:t>2</w:t>
            </w:r>
          </w:p>
        </w:tc>
        <w:tc>
          <w:tcPr>
            <w:tcW w:w="2410" w:type="dxa"/>
            <w:gridSpan w:val="3"/>
            <w:tcBorders>
              <w:top w:val="single" w:sz="4" w:space="0" w:color="auto"/>
              <w:left w:val="nil"/>
              <w:bottom w:val="single" w:sz="4" w:space="0" w:color="auto"/>
              <w:right w:val="nil"/>
            </w:tcBorders>
            <w:hideMark/>
          </w:tcPr>
          <w:p w14:paraId="614FB8FE"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5" w:type="dxa"/>
            <w:gridSpan w:val="2"/>
            <w:tcBorders>
              <w:top w:val="single" w:sz="4" w:space="0" w:color="auto"/>
              <w:left w:val="nil"/>
              <w:bottom w:val="single" w:sz="4" w:space="0" w:color="auto"/>
              <w:right w:val="nil"/>
            </w:tcBorders>
            <w:hideMark/>
          </w:tcPr>
          <w:p w14:paraId="4A78E062"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4" w:type="dxa"/>
            <w:gridSpan w:val="2"/>
            <w:tcBorders>
              <w:top w:val="single" w:sz="4" w:space="0" w:color="auto"/>
              <w:left w:val="nil"/>
              <w:bottom w:val="single" w:sz="4" w:space="0" w:color="auto"/>
              <w:right w:val="nil"/>
            </w:tcBorders>
            <w:hideMark/>
          </w:tcPr>
          <w:p w14:paraId="1A44EFF6"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60%</w:t>
            </w:r>
          </w:p>
        </w:tc>
      </w:tr>
    </w:tbl>
    <w:p w14:paraId="30854016" w14:textId="77777777" w:rsidR="009832FC" w:rsidRPr="009832FC" w:rsidRDefault="009832FC" w:rsidP="00D12F0F">
      <w:pPr>
        <w:keepNext/>
        <w:pBdr>
          <w:top w:val="nil"/>
          <w:left w:val="nil"/>
          <w:bottom w:val="nil"/>
          <w:right w:val="nil"/>
          <w:between w:val="nil"/>
          <w:bar w:val="nil"/>
        </w:pBdr>
        <w:spacing w:before="120" w:after="0"/>
        <w:rPr>
          <w:b/>
          <w:sz w:val="18"/>
          <w:szCs w:val="18"/>
          <w:bdr w:val="nil"/>
        </w:rPr>
      </w:pPr>
      <w:r w:rsidRPr="009832FC">
        <w:rPr>
          <w:b/>
          <w:sz w:val="18"/>
          <w:szCs w:val="18"/>
          <w:bdr w:val="nil"/>
          <w:lang w:eastAsia="en-AU"/>
        </w:rPr>
        <w:t>Notes:</w:t>
      </w:r>
    </w:p>
    <w:p w14:paraId="02F85474" w14:textId="77777777" w:rsidR="009832FC" w:rsidRPr="009832FC" w:rsidRDefault="009832FC" w:rsidP="00812F22">
      <w:pPr>
        <w:keepNext/>
        <w:keepLines/>
        <w:numPr>
          <w:ilvl w:val="0"/>
          <w:numId w:val="54"/>
        </w:numPr>
        <w:pBdr>
          <w:top w:val="nil"/>
          <w:left w:val="nil"/>
          <w:bottom w:val="nil"/>
          <w:right w:val="nil"/>
          <w:between w:val="nil"/>
          <w:bar w:val="nil"/>
        </w:pBdr>
        <w:spacing w:before="0" w:after="0"/>
        <w:jc w:val="both"/>
        <w:rPr>
          <w:sz w:val="18"/>
          <w:szCs w:val="18"/>
          <w:bdr w:val="nil"/>
          <w:lang w:eastAsia="en-AU"/>
        </w:rPr>
      </w:pPr>
      <w:r w:rsidRPr="009832FC">
        <w:rPr>
          <w:sz w:val="18"/>
          <w:szCs w:val="18"/>
          <w:bdr w:val="nil"/>
          <w:lang w:eastAsia="en-AU"/>
        </w:rPr>
        <w:t>This is a National indicator reported on by BreastScreen Australia. The percentage of all women in the target age group who have received a breast screen within the last 24 months as per national counting and reporting period schedule. This indicator differs with other breast screen reporting periods which report within a single financial year.</w:t>
      </w:r>
    </w:p>
    <w:p w14:paraId="0BCC8C0F" w14:textId="77777777" w:rsidR="009832FC" w:rsidRPr="009832FC" w:rsidRDefault="009832FC" w:rsidP="00812F22">
      <w:pPr>
        <w:keepNext/>
        <w:keepLines/>
        <w:numPr>
          <w:ilvl w:val="0"/>
          <w:numId w:val="54"/>
        </w:numPr>
        <w:pBdr>
          <w:top w:val="nil"/>
          <w:left w:val="nil"/>
          <w:bottom w:val="nil"/>
          <w:right w:val="nil"/>
          <w:between w:val="nil"/>
          <w:bar w:val="nil"/>
        </w:pBdr>
        <w:spacing w:before="0" w:after="0"/>
        <w:jc w:val="both"/>
        <w:rPr>
          <w:sz w:val="18"/>
          <w:szCs w:val="18"/>
          <w:bdr w:val="nil"/>
          <w:lang w:eastAsia="en-AU"/>
        </w:rPr>
      </w:pPr>
      <w:r w:rsidRPr="009832FC">
        <w:rPr>
          <w:sz w:val="18"/>
          <w:szCs w:val="18"/>
          <w:bdr w:val="nil"/>
          <w:lang w:eastAsia="en-AU"/>
        </w:rPr>
        <w:t>As a result of a review of all performance indicators against the ACT Government’s Performance and Accountability Framework, this indicator has been transferred from an Accountability Indicator to a Strategic Indicator from</w:t>
      </w:r>
      <w:r w:rsidRPr="009832FC">
        <w:rPr>
          <w:sz w:val="18"/>
          <w:szCs w:val="18"/>
          <w:bdr w:val="nil"/>
          <w:lang w:eastAsia="en-AU"/>
        </w:rPr>
        <w:br/>
        <w:t>2021-22.</w:t>
      </w:r>
    </w:p>
    <w:p w14:paraId="61FC08B6" w14:textId="08EF5FB1" w:rsidR="009832FC" w:rsidRPr="003905AE" w:rsidRDefault="009832FC" w:rsidP="008E3537">
      <w:pPr>
        <w:pStyle w:val="Heading3"/>
        <w:rPr>
          <w:bdr w:val="nil"/>
        </w:rPr>
      </w:pPr>
      <w:r w:rsidRPr="009832FC">
        <w:rPr>
          <w:bdr w:val="nil"/>
        </w:rPr>
        <w:t>Strategic Objective 6 – Timely access to inpatient beds for mental health</w:t>
      </w:r>
      <w:r w:rsidR="003905AE">
        <w:rPr>
          <w:bdr w:val="nil"/>
        </w:rPr>
        <w:t xml:space="preserve"> </w:t>
      </w:r>
      <w:r w:rsidRPr="009832FC">
        <w:rPr>
          <w:bdr w:val="nil"/>
        </w:rPr>
        <w:t>consumers</w:t>
      </w:r>
    </w:p>
    <w:p w14:paraId="1CE71346" w14:textId="77777777" w:rsidR="009832FC" w:rsidRPr="009832FC" w:rsidRDefault="009832FC" w:rsidP="008E3537">
      <w:pPr>
        <w:keepNext/>
        <w:keepLines/>
        <w:spacing w:before="240" w:after="120"/>
        <w:jc w:val="both"/>
        <w:outlineLvl w:val="3"/>
        <w:rPr>
          <w:b/>
          <w:i/>
        </w:rPr>
      </w:pPr>
      <w:r w:rsidRPr="009832FC">
        <w:rPr>
          <w:b/>
          <w:i/>
        </w:rPr>
        <w:t>Strategic Indicator 6.1 – Proportion of mental health patients whose emergency department length of stay is greater than 24 hours</w:t>
      </w:r>
    </w:p>
    <w:p w14:paraId="67DB2025" w14:textId="77777777" w:rsidR="009832FC" w:rsidRPr="009832FC" w:rsidRDefault="009832FC" w:rsidP="009832FC">
      <w:pPr>
        <w:keepNext/>
        <w:pBdr>
          <w:top w:val="nil"/>
          <w:left w:val="nil"/>
          <w:bottom w:val="nil"/>
          <w:right w:val="nil"/>
          <w:between w:val="nil"/>
          <w:bar w:val="nil"/>
        </w:pBdr>
        <w:spacing w:before="240"/>
        <w:rPr>
          <w:rFonts w:cs="Arial"/>
          <w:bCs/>
          <w:kern w:val="28"/>
          <w:szCs w:val="24"/>
          <w:bdr w:val="nil"/>
          <w:lang w:eastAsia="en-AU"/>
        </w:rPr>
      </w:pPr>
      <w:r w:rsidRPr="009832FC">
        <w:rPr>
          <w:rFonts w:cs="Arial"/>
          <w:bCs/>
          <w:kern w:val="28"/>
          <w:szCs w:val="24"/>
          <w:bdr w:val="nil"/>
          <w:lang w:eastAsia="en-AU"/>
        </w:rPr>
        <w:t>This indicator measures timely access to inpatient beds for mental health consumers.</w:t>
      </w:r>
    </w:p>
    <w:p w14:paraId="5C6D22BA" w14:textId="77777777" w:rsidR="009832FC" w:rsidRPr="009832FC" w:rsidRDefault="009832FC" w:rsidP="008E3537">
      <w:pPr>
        <w:keepNext/>
        <w:spacing w:before="240"/>
        <w:jc w:val="both"/>
        <w:rPr>
          <w:b/>
          <w:bCs/>
          <w:color w:val="000000"/>
          <w:sz w:val="22"/>
          <w:szCs w:val="18"/>
          <w:bdr w:val="nil"/>
        </w:rPr>
      </w:pPr>
      <w:r w:rsidRPr="009832FC">
        <w:rPr>
          <w:b/>
          <w:bCs/>
          <w:color w:val="000000"/>
          <w:sz w:val="22"/>
          <w:szCs w:val="18"/>
          <w:bdr w:val="nil"/>
        </w:rPr>
        <w:t>Table 9: Proportion of Mental Health Patients whose Emergency Department length of stay is greater than 24 hours</w:t>
      </w:r>
    </w:p>
    <w:tbl>
      <w:tblPr>
        <w:tblW w:w="9120" w:type="dxa"/>
        <w:tblInd w:w="108" w:type="dxa"/>
        <w:tblLayout w:type="fixed"/>
        <w:tblLook w:val="04A0" w:firstRow="1" w:lastRow="0" w:firstColumn="1" w:lastColumn="0" w:noHBand="0" w:noVBand="1"/>
      </w:tblPr>
      <w:tblGrid>
        <w:gridCol w:w="3861"/>
        <w:gridCol w:w="976"/>
        <w:gridCol w:w="1426"/>
        <w:gridCol w:w="8"/>
        <w:gridCol w:w="1413"/>
        <w:gridCol w:w="12"/>
        <w:gridCol w:w="1409"/>
        <w:gridCol w:w="15"/>
      </w:tblGrid>
      <w:tr w:rsidR="009832FC" w:rsidRPr="009832FC" w14:paraId="02176EE5" w14:textId="77777777" w:rsidTr="00EB585F">
        <w:trPr>
          <w:gridAfter w:val="1"/>
          <w:wAfter w:w="15" w:type="dxa"/>
          <w:trHeight w:val="134"/>
        </w:trPr>
        <w:tc>
          <w:tcPr>
            <w:tcW w:w="4837" w:type="dxa"/>
            <w:gridSpan w:val="2"/>
            <w:tcBorders>
              <w:top w:val="single" w:sz="4" w:space="0" w:color="auto"/>
              <w:left w:val="nil"/>
              <w:bottom w:val="nil"/>
              <w:right w:val="nil"/>
            </w:tcBorders>
            <w:hideMark/>
          </w:tcPr>
          <w:p w14:paraId="61DA1A00" w14:textId="77777777" w:rsidR="009832FC" w:rsidRPr="009832FC" w:rsidRDefault="009832FC" w:rsidP="009832FC">
            <w:pPr>
              <w:pBdr>
                <w:top w:val="nil"/>
                <w:left w:val="nil"/>
                <w:bottom w:val="nil"/>
                <w:right w:val="nil"/>
                <w:between w:val="nil"/>
                <w:bar w:val="nil"/>
              </w:pBdr>
              <w:spacing w:before="0" w:after="0"/>
              <w:rPr>
                <w:i/>
                <w:sz w:val="20"/>
                <w:szCs w:val="24"/>
                <w:bdr w:val="nil"/>
              </w:rPr>
            </w:pPr>
            <w:r w:rsidRPr="009832FC">
              <w:rPr>
                <w:b/>
                <w:bCs/>
                <w:sz w:val="20"/>
                <w:bdr w:val="nil"/>
              </w:rPr>
              <w:t>Strategic Indicator</w:t>
            </w:r>
          </w:p>
        </w:tc>
        <w:tc>
          <w:tcPr>
            <w:tcW w:w="1426" w:type="dxa"/>
            <w:tcBorders>
              <w:top w:val="single" w:sz="4" w:space="0" w:color="auto"/>
              <w:left w:val="nil"/>
              <w:bottom w:val="nil"/>
              <w:right w:val="nil"/>
            </w:tcBorders>
            <w:hideMark/>
          </w:tcPr>
          <w:p w14:paraId="07246971"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1AEDB5B2"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2C60367F"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tc>
      </w:tr>
      <w:tr w:rsidR="009832FC" w:rsidRPr="009832FC" w14:paraId="714DFC74" w14:textId="77777777" w:rsidTr="00EB585F">
        <w:trPr>
          <w:gridAfter w:val="1"/>
          <w:wAfter w:w="15" w:type="dxa"/>
        </w:trPr>
        <w:tc>
          <w:tcPr>
            <w:tcW w:w="4837" w:type="dxa"/>
            <w:gridSpan w:val="2"/>
            <w:tcBorders>
              <w:top w:val="nil"/>
              <w:left w:val="nil"/>
              <w:bottom w:val="single" w:sz="4" w:space="0" w:color="auto"/>
              <w:right w:val="nil"/>
            </w:tcBorders>
            <w:hideMark/>
          </w:tcPr>
          <w:p w14:paraId="580608FA" w14:textId="77777777" w:rsidR="009832FC" w:rsidRPr="009832FC" w:rsidRDefault="009832FC" w:rsidP="009832FC">
            <w:pPr>
              <w:pBdr>
                <w:top w:val="nil"/>
                <w:left w:val="nil"/>
                <w:bottom w:val="nil"/>
                <w:right w:val="nil"/>
                <w:between w:val="nil"/>
                <w:bar w:val="nil"/>
              </w:pBdr>
              <w:spacing w:before="0" w:after="0" w:line="254" w:lineRule="auto"/>
              <w:ind w:left="227" w:hanging="227"/>
              <w:rPr>
                <w:b/>
                <w:bCs/>
                <w:sz w:val="20"/>
                <w:bdr w:val="nil"/>
              </w:rPr>
            </w:pPr>
          </w:p>
        </w:tc>
        <w:tc>
          <w:tcPr>
            <w:tcW w:w="1426" w:type="dxa"/>
            <w:tcBorders>
              <w:top w:val="nil"/>
              <w:left w:val="nil"/>
              <w:bottom w:val="single" w:sz="4" w:space="0" w:color="auto"/>
              <w:right w:val="nil"/>
            </w:tcBorders>
            <w:hideMark/>
          </w:tcPr>
          <w:p w14:paraId="7A934B17"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c>
          <w:tcPr>
            <w:tcW w:w="1421" w:type="dxa"/>
            <w:gridSpan w:val="2"/>
            <w:tcBorders>
              <w:top w:val="nil"/>
              <w:left w:val="nil"/>
              <w:bottom w:val="single" w:sz="4" w:space="0" w:color="auto"/>
              <w:right w:val="nil"/>
            </w:tcBorders>
            <w:hideMark/>
          </w:tcPr>
          <w:p w14:paraId="7FB4B440"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Interim</w:t>
            </w:r>
          </w:p>
          <w:p w14:paraId="5274080A"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Outcome</w:t>
            </w:r>
          </w:p>
        </w:tc>
        <w:tc>
          <w:tcPr>
            <w:tcW w:w="1421" w:type="dxa"/>
            <w:gridSpan w:val="2"/>
            <w:tcBorders>
              <w:top w:val="nil"/>
              <w:left w:val="nil"/>
              <w:bottom w:val="single" w:sz="4" w:space="0" w:color="auto"/>
              <w:right w:val="nil"/>
            </w:tcBorders>
            <w:hideMark/>
          </w:tcPr>
          <w:p w14:paraId="48654D29"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r>
      <w:tr w:rsidR="009832FC" w:rsidRPr="009832FC" w14:paraId="76B730D2" w14:textId="77777777" w:rsidTr="00EB585F">
        <w:trPr>
          <w:trHeight w:val="953"/>
        </w:trPr>
        <w:tc>
          <w:tcPr>
            <w:tcW w:w="3861" w:type="dxa"/>
            <w:tcBorders>
              <w:top w:val="single" w:sz="4" w:space="0" w:color="auto"/>
              <w:left w:val="nil"/>
              <w:bottom w:val="single" w:sz="4" w:space="0" w:color="auto"/>
              <w:right w:val="nil"/>
            </w:tcBorders>
            <w:hideMark/>
          </w:tcPr>
          <w:p w14:paraId="57DAD0D2" w14:textId="77777777" w:rsidR="009832FC" w:rsidRPr="009832FC" w:rsidRDefault="009832FC" w:rsidP="009832FC">
            <w:pPr>
              <w:pBdr>
                <w:top w:val="nil"/>
                <w:left w:val="nil"/>
                <w:bottom w:val="nil"/>
                <w:right w:val="nil"/>
                <w:between w:val="nil"/>
                <w:bar w:val="nil"/>
              </w:pBdr>
              <w:spacing w:before="0" w:after="0" w:line="254" w:lineRule="auto"/>
              <w:ind w:left="178" w:hanging="178"/>
              <w:rPr>
                <w:b/>
                <w:bCs/>
                <w:sz w:val="20"/>
                <w:bdr w:val="nil"/>
                <w:shd w:val="clear" w:color="auto" w:fill="FFFF00"/>
                <w:vertAlign w:val="superscript"/>
              </w:rPr>
            </w:pPr>
            <w:r w:rsidRPr="009832FC">
              <w:rPr>
                <w:bCs/>
                <w:sz w:val="20"/>
                <w:bdr w:val="nil"/>
              </w:rPr>
              <w:t>Proportion of mental health patients whose emergency department length of stay is greater than 24 hours</w:t>
            </w:r>
            <w:r w:rsidRPr="009832FC">
              <w:rPr>
                <w:bCs/>
                <w:sz w:val="20"/>
                <w:bdr w:val="nil"/>
                <w:vertAlign w:val="superscript"/>
              </w:rPr>
              <w:t>1</w:t>
            </w:r>
          </w:p>
        </w:tc>
        <w:tc>
          <w:tcPr>
            <w:tcW w:w="2410" w:type="dxa"/>
            <w:gridSpan w:val="3"/>
            <w:tcBorders>
              <w:top w:val="single" w:sz="4" w:space="0" w:color="auto"/>
              <w:left w:val="nil"/>
              <w:bottom w:val="single" w:sz="4" w:space="0" w:color="auto"/>
              <w:right w:val="nil"/>
            </w:tcBorders>
            <w:hideMark/>
          </w:tcPr>
          <w:p w14:paraId="0089EAAD"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5" w:type="dxa"/>
            <w:gridSpan w:val="2"/>
            <w:tcBorders>
              <w:top w:val="single" w:sz="4" w:space="0" w:color="auto"/>
              <w:left w:val="nil"/>
              <w:bottom w:val="single" w:sz="4" w:space="0" w:color="auto"/>
              <w:right w:val="nil"/>
            </w:tcBorders>
            <w:hideMark/>
          </w:tcPr>
          <w:p w14:paraId="45FC8EEB"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4" w:type="dxa"/>
            <w:gridSpan w:val="2"/>
            <w:tcBorders>
              <w:top w:val="single" w:sz="4" w:space="0" w:color="auto"/>
              <w:left w:val="nil"/>
              <w:bottom w:val="single" w:sz="4" w:space="0" w:color="auto"/>
              <w:right w:val="nil"/>
            </w:tcBorders>
            <w:hideMark/>
          </w:tcPr>
          <w:p w14:paraId="05039D53"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0%</w:t>
            </w:r>
          </w:p>
        </w:tc>
      </w:tr>
    </w:tbl>
    <w:p w14:paraId="6CD8E6EA" w14:textId="77777777" w:rsidR="009832FC" w:rsidRPr="009832FC" w:rsidRDefault="009832FC" w:rsidP="00D12F0F">
      <w:pPr>
        <w:keepNext/>
        <w:pBdr>
          <w:top w:val="nil"/>
          <w:left w:val="nil"/>
          <w:bottom w:val="nil"/>
          <w:right w:val="nil"/>
          <w:between w:val="nil"/>
          <w:bar w:val="nil"/>
        </w:pBdr>
        <w:spacing w:before="120" w:after="0"/>
        <w:rPr>
          <w:b/>
          <w:sz w:val="18"/>
          <w:szCs w:val="18"/>
          <w:bdr w:val="nil"/>
        </w:rPr>
      </w:pPr>
      <w:r w:rsidRPr="009832FC">
        <w:rPr>
          <w:b/>
          <w:sz w:val="18"/>
          <w:szCs w:val="18"/>
          <w:bdr w:val="nil"/>
          <w:lang w:eastAsia="en-AU"/>
        </w:rPr>
        <w:t>Note:</w:t>
      </w:r>
    </w:p>
    <w:p w14:paraId="581F9E4F" w14:textId="77777777" w:rsidR="009832FC" w:rsidRPr="009832FC" w:rsidRDefault="009832FC" w:rsidP="00812F22">
      <w:pPr>
        <w:keepNext/>
        <w:keepLines/>
        <w:numPr>
          <w:ilvl w:val="0"/>
          <w:numId w:val="55"/>
        </w:numPr>
        <w:pBdr>
          <w:top w:val="nil"/>
          <w:left w:val="nil"/>
          <w:bottom w:val="nil"/>
          <w:right w:val="nil"/>
          <w:between w:val="nil"/>
          <w:bar w:val="nil"/>
        </w:pBdr>
        <w:spacing w:before="0" w:after="0"/>
        <w:jc w:val="both"/>
        <w:rPr>
          <w:sz w:val="18"/>
          <w:szCs w:val="18"/>
          <w:bdr w:val="nil"/>
          <w:lang w:eastAsia="en-AU"/>
        </w:rPr>
      </w:pPr>
      <w:r w:rsidRPr="009832FC">
        <w:rPr>
          <w:sz w:val="18"/>
          <w:szCs w:val="18"/>
          <w:bdr w:val="nil"/>
          <w:lang w:eastAsia="en-AU"/>
        </w:rPr>
        <w:t>As a result of a review of all performance indicators against the ACT Government’s Performance and Accountability Framework, this is a new measure in 2021-22.</w:t>
      </w:r>
    </w:p>
    <w:p w14:paraId="50092DEA" w14:textId="77777777" w:rsidR="009832FC" w:rsidRPr="009832FC" w:rsidRDefault="009832FC" w:rsidP="009832FC">
      <w:pPr>
        <w:pBdr>
          <w:top w:val="nil"/>
          <w:left w:val="nil"/>
          <w:bottom w:val="nil"/>
          <w:right w:val="nil"/>
          <w:between w:val="nil"/>
          <w:bar w:val="nil"/>
        </w:pBdr>
        <w:spacing w:before="0" w:after="0"/>
        <w:ind w:left="360"/>
        <w:rPr>
          <w:sz w:val="16"/>
          <w:szCs w:val="16"/>
          <w:bdr w:val="nil"/>
          <w:lang w:eastAsia="en-AU"/>
        </w:rPr>
      </w:pPr>
    </w:p>
    <w:p w14:paraId="0B335575" w14:textId="77777777" w:rsidR="009832FC" w:rsidRPr="009832FC" w:rsidRDefault="009832FC" w:rsidP="008E3537">
      <w:pPr>
        <w:keepNext/>
        <w:keepLines/>
        <w:pBdr>
          <w:top w:val="nil"/>
          <w:left w:val="nil"/>
          <w:bottom w:val="nil"/>
          <w:right w:val="nil"/>
          <w:between w:val="nil"/>
          <w:bar w:val="nil"/>
        </w:pBdr>
        <w:spacing w:before="0" w:after="0"/>
        <w:contextualSpacing/>
        <w:jc w:val="both"/>
        <w:outlineLvl w:val="2"/>
        <w:rPr>
          <w:b/>
          <w:bCs/>
          <w:sz w:val="28"/>
          <w:szCs w:val="26"/>
          <w:bdr w:val="nil"/>
        </w:rPr>
      </w:pPr>
      <w:r w:rsidRPr="009832FC">
        <w:rPr>
          <w:b/>
          <w:bCs/>
          <w:sz w:val="28"/>
          <w:szCs w:val="26"/>
          <w:bdr w:val="nil"/>
        </w:rPr>
        <w:lastRenderedPageBreak/>
        <w:t>Strategic Objective 7 – Reducing the impacts of occupational violence on our staff</w:t>
      </w:r>
    </w:p>
    <w:p w14:paraId="4B622F1D" w14:textId="77777777" w:rsidR="009832FC" w:rsidRPr="009832FC" w:rsidRDefault="009832FC" w:rsidP="008E3537">
      <w:pPr>
        <w:keepNext/>
        <w:keepLines/>
        <w:spacing w:before="240" w:after="120"/>
        <w:jc w:val="both"/>
        <w:outlineLvl w:val="3"/>
        <w:rPr>
          <w:b/>
          <w:i/>
        </w:rPr>
      </w:pPr>
      <w:r w:rsidRPr="009832FC">
        <w:rPr>
          <w:b/>
          <w:i/>
        </w:rPr>
        <w:t>Strategic Indicator 7.1 – The reduction in occasions of staff absence cause by occupational violence</w:t>
      </w:r>
    </w:p>
    <w:p w14:paraId="10B63B90" w14:textId="5854A126" w:rsidR="009832FC" w:rsidRPr="009832FC" w:rsidRDefault="009832FC" w:rsidP="008E3537">
      <w:pPr>
        <w:keepNext/>
        <w:pBdr>
          <w:top w:val="nil"/>
          <w:left w:val="nil"/>
          <w:bottom w:val="nil"/>
          <w:right w:val="nil"/>
          <w:between w:val="nil"/>
          <w:bar w:val="nil"/>
        </w:pBdr>
        <w:spacing w:before="240"/>
        <w:jc w:val="both"/>
        <w:rPr>
          <w:rFonts w:cs="Arial"/>
          <w:bCs/>
          <w:kern w:val="28"/>
          <w:szCs w:val="24"/>
          <w:bdr w:val="nil"/>
          <w:lang w:eastAsia="en-AU"/>
        </w:rPr>
      </w:pPr>
      <w:r w:rsidRPr="009832FC">
        <w:rPr>
          <w:rFonts w:cs="Arial"/>
          <w:bCs/>
          <w:kern w:val="28"/>
          <w:szCs w:val="24"/>
          <w:bdr w:val="nil"/>
          <w:lang w:eastAsia="en-AU"/>
        </w:rPr>
        <w:t>This indicator details the rate of staff absence due to reported occupational violence incidents (</w:t>
      </w:r>
      <w:proofErr w:type="gramStart"/>
      <w:r w:rsidRPr="009832FC">
        <w:rPr>
          <w:rFonts w:cs="Arial"/>
          <w:bCs/>
          <w:kern w:val="28"/>
          <w:szCs w:val="24"/>
          <w:bdr w:val="nil"/>
          <w:lang w:eastAsia="en-AU"/>
        </w:rPr>
        <w:t>i.e.</w:t>
      </w:r>
      <w:proofErr w:type="gramEnd"/>
      <w:r w:rsidRPr="009832FC">
        <w:rPr>
          <w:rFonts w:cs="Arial"/>
          <w:bCs/>
          <w:kern w:val="28"/>
          <w:szCs w:val="24"/>
          <w:bdr w:val="nil"/>
          <w:lang w:eastAsia="en-AU"/>
        </w:rPr>
        <w:t xml:space="preserve"> staff time lost from the workplace).</w:t>
      </w:r>
    </w:p>
    <w:p w14:paraId="3A17B67D" w14:textId="77777777" w:rsidR="009832FC" w:rsidRPr="009832FC" w:rsidRDefault="009832FC" w:rsidP="009832FC">
      <w:pPr>
        <w:keepNext/>
        <w:spacing w:before="240"/>
        <w:rPr>
          <w:b/>
          <w:bCs/>
          <w:color w:val="000000"/>
          <w:sz w:val="22"/>
          <w:szCs w:val="18"/>
          <w:bdr w:val="nil"/>
        </w:rPr>
      </w:pPr>
      <w:r w:rsidRPr="009832FC">
        <w:rPr>
          <w:b/>
          <w:bCs/>
          <w:color w:val="000000"/>
          <w:sz w:val="22"/>
          <w:szCs w:val="18"/>
          <w:bdr w:val="nil"/>
        </w:rPr>
        <w:t>Table 10: Reduction in occasions of staff absence caused by an occupational violence incident (lost time incident frequency rate due to occupational violence)</w:t>
      </w:r>
    </w:p>
    <w:tbl>
      <w:tblPr>
        <w:tblW w:w="9120" w:type="dxa"/>
        <w:tblInd w:w="108" w:type="dxa"/>
        <w:tblLayout w:type="fixed"/>
        <w:tblLook w:val="04A0" w:firstRow="1" w:lastRow="0" w:firstColumn="1" w:lastColumn="0" w:noHBand="0" w:noVBand="1"/>
      </w:tblPr>
      <w:tblGrid>
        <w:gridCol w:w="3861"/>
        <w:gridCol w:w="976"/>
        <w:gridCol w:w="1426"/>
        <w:gridCol w:w="8"/>
        <w:gridCol w:w="1413"/>
        <w:gridCol w:w="12"/>
        <w:gridCol w:w="1409"/>
        <w:gridCol w:w="15"/>
      </w:tblGrid>
      <w:tr w:rsidR="009832FC" w:rsidRPr="009832FC" w14:paraId="753F7A62" w14:textId="77777777" w:rsidTr="00EB585F">
        <w:trPr>
          <w:gridAfter w:val="1"/>
          <w:wAfter w:w="15" w:type="dxa"/>
          <w:trHeight w:val="134"/>
        </w:trPr>
        <w:tc>
          <w:tcPr>
            <w:tcW w:w="4837" w:type="dxa"/>
            <w:gridSpan w:val="2"/>
            <w:tcBorders>
              <w:top w:val="single" w:sz="4" w:space="0" w:color="auto"/>
              <w:left w:val="nil"/>
              <w:bottom w:val="nil"/>
              <w:right w:val="nil"/>
            </w:tcBorders>
            <w:hideMark/>
          </w:tcPr>
          <w:p w14:paraId="3AC0B593" w14:textId="77777777" w:rsidR="009832FC" w:rsidRPr="009832FC" w:rsidRDefault="009832FC" w:rsidP="009832FC">
            <w:pPr>
              <w:pBdr>
                <w:top w:val="nil"/>
                <w:left w:val="nil"/>
                <w:bottom w:val="nil"/>
                <w:right w:val="nil"/>
                <w:between w:val="nil"/>
                <w:bar w:val="nil"/>
              </w:pBdr>
              <w:spacing w:before="0" w:after="0"/>
              <w:rPr>
                <w:i/>
                <w:sz w:val="20"/>
                <w:szCs w:val="24"/>
                <w:bdr w:val="nil"/>
              </w:rPr>
            </w:pPr>
            <w:r w:rsidRPr="009832FC">
              <w:rPr>
                <w:b/>
                <w:bCs/>
                <w:sz w:val="20"/>
                <w:bdr w:val="nil"/>
              </w:rPr>
              <w:t>Strategic Indicator</w:t>
            </w:r>
          </w:p>
        </w:tc>
        <w:tc>
          <w:tcPr>
            <w:tcW w:w="1426" w:type="dxa"/>
            <w:tcBorders>
              <w:top w:val="single" w:sz="4" w:space="0" w:color="auto"/>
              <w:left w:val="nil"/>
              <w:bottom w:val="nil"/>
              <w:right w:val="nil"/>
            </w:tcBorders>
            <w:hideMark/>
          </w:tcPr>
          <w:p w14:paraId="0E028BEB"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12BE5CBD"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2BF87223"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tc>
      </w:tr>
      <w:tr w:rsidR="009832FC" w:rsidRPr="009832FC" w14:paraId="571DA704" w14:textId="77777777" w:rsidTr="00EB585F">
        <w:trPr>
          <w:gridAfter w:val="1"/>
          <w:wAfter w:w="15" w:type="dxa"/>
        </w:trPr>
        <w:tc>
          <w:tcPr>
            <w:tcW w:w="4837" w:type="dxa"/>
            <w:gridSpan w:val="2"/>
            <w:tcBorders>
              <w:top w:val="nil"/>
              <w:left w:val="nil"/>
              <w:bottom w:val="single" w:sz="4" w:space="0" w:color="auto"/>
              <w:right w:val="nil"/>
            </w:tcBorders>
            <w:hideMark/>
          </w:tcPr>
          <w:p w14:paraId="1F47015B" w14:textId="77777777" w:rsidR="009832FC" w:rsidRPr="009832FC" w:rsidRDefault="009832FC" w:rsidP="009832FC">
            <w:pPr>
              <w:pBdr>
                <w:top w:val="nil"/>
                <w:left w:val="nil"/>
                <w:bottom w:val="nil"/>
                <w:right w:val="nil"/>
                <w:between w:val="nil"/>
                <w:bar w:val="nil"/>
              </w:pBdr>
              <w:spacing w:before="0" w:after="0" w:line="254" w:lineRule="auto"/>
              <w:ind w:left="227" w:hanging="227"/>
              <w:rPr>
                <w:b/>
                <w:bCs/>
                <w:sz w:val="20"/>
                <w:bdr w:val="nil"/>
              </w:rPr>
            </w:pPr>
          </w:p>
        </w:tc>
        <w:tc>
          <w:tcPr>
            <w:tcW w:w="1426" w:type="dxa"/>
            <w:tcBorders>
              <w:top w:val="nil"/>
              <w:left w:val="nil"/>
              <w:bottom w:val="single" w:sz="4" w:space="0" w:color="auto"/>
              <w:right w:val="nil"/>
            </w:tcBorders>
            <w:hideMark/>
          </w:tcPr>
          <w:p w14:paraId="020BCE5D"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c>
          <w:tcPr>
            <w:tcW w:w="1421" w:type="dxa"/>
            <w:gridSpan w:val="2"/>
            <w:tcBorders>
              <w:top w:val="nil"/>
              <w:left w:val="nil"/>
              <w:bottom w:val="single" w:sz="4" w:space="0" w:color="auto"/>
              <w:right w:val="nil"/>
            </w:tcBorders>
            <w:hideMark/>
          </w:tcPr>
          <w:p w14:paraId="19F87225"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Interim</w:t>
            </w:r>
          </w:p>
          <w:p w14:paraId="6B3FBD4C"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Outcome</w:t>
            </w:r>
          </w:p>
        </w:tc>
        <w:tc>
          <w:tcPr>
            <w:tcW w:w="1421" w:type="dxa"/>
            <w:gridSpan w:val="2"/>
            <w:tcBorders>
              <w:top w:val="nil"/>
              <w:left w:val="nil"/>
              <w:bottom w:val="single" w:sz="4" w:space="0" w:color="auto"/>
              <w:right w:val="nil"/>
            </w:tcBorders>
            <w:hideMark/>
          </w:tcPr>
          <w:p w14:paraId="074E04E0"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r>
      <w:tr w:rsidR="009832FC" w:rsidRPr="009832FC" w14:paraId="06B9FB19" w14:textId="77777777" w:rsidTr="00EB585F">
        <w:trPr>
          <w:trHeight w:val="1109"/>
        </w:trPr>
        <w:tc>
          <w:tcPr>
            <w:tcW w:w="3861" w:type="dxa"/>
            <w:tcBorders>
              <w:top w:val="single" w:sz="4" w:space="0" w:color="auto"/>
              <w:left w:val="nil"/>
              <w:bottom w:val="single" w:sz="4" w:space="0" w:color="auto"/>
              <w:right w:val="nil"/>
            </w:tcBorders>
            <w:hideMark/>
          </w:tcPr>
          <w:p w14:paraId="279D33A6" w14:textId="77777777" w:rsidR="009832FC" w:rsidRPr="009832FC" w:rsidRDefault="009832FC" w:rsidP="009832FC">
            <w:pPr>
              <w:pBdr>
                <w:top w:val="nil"/>
                <w:left w:val="nil"/>
                <w:bottom w:val="nil"/>
                <w:right w:val="nil"/>
                <w:between w:val="nil"/>
                <w:bar w:val="nil"/>
              </w:pBdr>
              <w:spacing w:before="0" w:after="0" w:line="254" w:lineRule="auto"/>
              <w:ind w:left="178" w:hanging="178"/>
              <w:rPr>
                <w:b/>
                <w:bCs/>
                <w:sz w:val="20"/>
                <w:bdr w:val="nil"/>
                <w:shd w:val="clear" w:color="auto" w:fill="FFFF00"/>
                <w:vertAlign w:val="superscript"/>
              </w:rPr>
            </w:pPr>
            <w:r w:rsidRPr="009832FC">
              <w:rPr>
                <w:bCs/>
                <w:sz w:val="20"/>
                <w:bdr w:val="nil"/>
              </w:rPr>
              <w:t>Occasions of staff absence caused by an occupational violence incident (lost time incident frequency rate due to occupational violence)</w:t>
            </w:r>
            <w:r w:rsidRPr="009832FC">
              <w:rPr>
                <w:bCs/>
                <w:sz w:val="20"/>
                <w:bdr w:val="nil"/>
                <w:vertAlign w:val="superscript"/>
              </w:rPr>
              <w:t>1</w:t>
            </w:r>
          </w:p>
        </w:tc>
        <w:tc>
          <w:tcPr>
            <w:tcW w:w="2410" w:type="dxa"/>
            <w:gridSpan w:val="3"/>
            <w:tcBorders>
              <w:top w:val="single" w:sz="4" w:space="0" w:color="auto"/>
              <w:left w:val="nil"/>
              <w:bottom w:val="single" w:sz="4" w:space="0" w:color="auto"/>
              <w:right w:val="nil"/>
            </w:tcBorders>
            <w:hideMark/>
          </w:tcPr>
          <w:p w14:paraId="54D3300F"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5" w:type="dxa"/>
            <w:gridSpan w:val="2"/>
            <w:tcBorders>
              <w:top w:val="single" w:sz="4" w:space="0" w:color="auto"/>
              <w:left w:val="nil"/>
              <w:bottom w:val="single" w:sz="4" w:space="0" w:color="auto"/>
              <w:right w:val="nil"/>
            </w:tcBorders>
            <w:hideMark/>
          </w:tcPr>
          <w:p w14:paraId="44E79799"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4" w:type="dxa"/>
            <w:gridSpan w:val="2"/>
            <w:tcBorders>
              <w:top w:val="single" w:sz="4" w:space="0" w:color="auto"/>
              <w:left w:val="nil"/>
              <w:bottom w:val="single" w:sz="4" w:space="0" w:color="auto"/>
              <w:right w:val="nil"/>
            </w:tcBorders>
            <w:hideMark/>
          </w:tcPr>
          <w:p w14:paraId="03AFB4DB"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5.8 per million hours worked</w:t>
            </w:r>
          </w:p>
        </w:tc>
      </w:tr>
    </w:tbl>
    <w:p w14:paraId="27E290C7" w14:textId="77777777" w:rsidR="009832FC" w:rsidRPr="009832FC" w:rsidRDefault="009832FC" w:rsidP="00D12F0F">
      <w:pPr>
        <w:keepNext/>
        <w:pBdr>
          <w:top w:val="nil"/>
          <w:left w:val="nil"/>
          <w:bottom w:val="nil"/>
          <w:right w:val="nil"/>
          <w:between w:val="nil"/>
          <w:bar w:val="nil"/>
        </w:pBdr>
        <w:spacing w:before="120" w:after="0"/>
        <w:rPr>
          <w:b/>
          <w:sz w:val="18"/>
          <w:szCs w:val="18"/>
          <w:bdr w:val="nil"/>
        </w:rPr>
      </w:pPr>
      <w:r w:rsidRPr="009832FC">
        <w:rPr>
          <w:b/>
          <w:sz w:val="18"/>
          <w:szCs w:val="18"/>
          <w:bdr w:val="nil"/>
          <w:lang w:eastAsia="en-AU"/>
        </w:rPr>
        <w:t>Note:</w:t>
      </w:r>
    </w:p>
    <w:p w14:paraId="39D8D997" w14:textId="77777777" w:rsidR="009832FC" w:rsidRPr="009832FC" w:rsidRDefault="009832FC" w:rsidP="00812F22">
      <w:pPr>
        <w:keepNext/>
        <w:keepLines/>
        <w:numPr>
          <w:ilvl w:val="0"/>
          <w:numId w:val="56"/>
        </w:numPr>
        <w:pBdr>
          <w:top w:val="nil"/>
          <w:left w:val="nil"/>
          <w:bottom w:val="nil"/>
          <w:right w:val="nil"/>
          <w:between w:val="nil"/>
          <w:bar w:val="nil"/>
        </w:pBdr>
        <w:spacing w:before="0" w:after="0"/>
        <w:jc w:val="both"/>
        <w:rPr>
          <w:sz w:val="18"/>
          <w:szCs w:val="18"/>
          <w:bdr w:val="nil"/>
          <w:lang w:eastAsia="en-AU"/>
        </w:rPr>
      </w:pPr>
      <w:r w:rsidRPr="009832FC">
        <w:rPr>
          <w:sz w:val="18"/>
          <w:szCs w:val="18"/>
          <w:bdr w:val="nil"/>
          <w:lang w:eastAsia="en-AU"/>
        </w:rPr>
        <w:t>As a result of a review of all performance indicators against the ACT Government’s Performance and Accountability Framework, this is a new measure in 2021-22.</w:t>
      </w:r>
    </w:p>
    <w:p w14:paraId="655BDCC3" w14:textId="77777777" w:rsidR="009832FC" w:rsidRPr="003905AE" w:rsidRDefault="009832FC" w:rsidP="008E3537">
      <w:pPr>
        <w:pStyle w:val="Heading3"/>
        <w:rPr>
          <w:bdr w:val="nil"/>
        </w:rPr>
      </w:pPr>
      <w:r w:rsidRPr="009832FC">
        <w:rPr>
          <w:bdr w:val="nil"/>
        </w:rPr>
        <w:t xml:space="preserve">Strategic Objective 8 - </w:t>
      </w:r>
      <w:r w:rsidRPr="003905AE">
        <w:rPr>
          <w:bdr w:val="nil"/>
        </w:rPr>
        <w:t>Improving quality of care for inpatients at Canberra Health Services for patients 80 years or older</w:t>
      </w:r>
    </w:p>
    <w:p w14:paraId="1031002E" w14:textId="77777777" w:rsidR="009832FC" w:rsidRPr="009832FC" w:rsidRDefault="009832FC" w:rsidP="008E3537">
      <w:pPr>
        <w:keepNext/>
        <w:keepLines/>
        <w:spacing w:before="240" w:after="120"/>
        <w:jc w:val="both"/>
        <w:outlineLvl w:val="3"/>
        <w:rPr>
          <w:b/>
          <w:i/>
          <w:lang w:eastAsia="en-AU"/>
        </w:rPr>
      </w:pPr>
      <w:r w:rsidRPr="009832FC">
        <w:rPr>
          <w:b/>
          <w:i/>
          <w:lang w:eastAsia="en-AU"/>
        </w:rPr>
        <w:t xml:space="preserve">Strategic Indicator 8.1 - </w:t>
      </w:r>
      <w:r w:rsidRPr="009832FC">
        <w:rPr>
          <w:b/>
          <w:i/>
          <w:bdr w:val="nil"/>
        </w:rPr>
        <w:t>Proportion of patients 80 years or older at admission for an inpatient episode of care at Canberra Health Services with “Goals of Care” registered during admission</w:t>
      </w:r>
    </w:p>
    <w:p w14:paraId="42E0A84C" w14:textId="77777777" w:rsidR="009832FC" w:rsidRPr="009832FC" w:rsidRDefault="009832FC" w:rsidP="008E3537">
      <w:pPr>
        <w:keepNext/>
        <w:spacing w:before="240"/>
        <w:jc w:val="both"/>
        <w:rPr>
          <w:b/>
          <w:bCs/>
          <w:color w:val="000000"/>
          <w:sz w:val="22"/>
          <w:szCs w:val="18"/>
          <w:bdr w:val="nil"/>
        </w:rPr>
      </w:pPr>
      <w:r w:rsidRPr="009832FC">
        <w:rPr>
          <w:b/>
          <w:bCs/>
          <w:color w:val="000000"/>
          <w:sz w:val="22"/>
          <w:szCs w:val="18"/>
          <w:bdr w:val="nil"/>
        </w:rPr>
        <w:t>Table 11: Proportion of patients 80 years or older at admission for an inpatient episode of care at Canberra Health Services with “Goals of Care” registered during admission</w:t>
      </w:r>
    </w:p>
    <w:tbl>
      <w:tblPr>
        <w:tblW w:w="9120" w:type="dxa"/>
        <w:tblInd w:w="108" w:type="dxa"/>
        <w:tblLayout w:type="fixed"/>
        <w:tblLook w:val="04A0" w:firstRow="1" w:lastRow="0" w:firstColumn="1" w:lastColumn="0" w:noHBand="0" w:noVBand="1"/>
      </w:tblPr>
      <w:tblGrid>
        <w:gridCol w:w="3861"/>
        <w:gridCol w:w="976"/>
        <w:gridCol w:w="1426"/>
        <w:gridCol w:w="8"/>
        <w:gridCol w:w="1413"/>
        <w:gridCol w:w="12"/>
        <w:gridCol w:w="1409"/>
        <w:gridCol w:w="15"/>
      </w:tblGrid>
      <w:tr w:rsidR="009832FC" w:rsidRPr="009832FC" w14:paraId="258E4A54" w14:textId="77777777" w:rsidTr="00EB585F">
        <w:trPr>
          <w:gridAfter w:val="1"/>
          <w:wAfter w:w="15" w:type="dxa"/>
          <w:trHeight w:val="134"/>
        </w:trPr>
        <w:tc>
          <w:tcPr>
            <w:tcW w:w="4837" w:type="dxa"/>
            <w:gridSpan w:val="2"/>
            <w:tcBorders>
              <w:top w:val="single" w:sz="4" w:space="0" w:color="auto"/>
              <w:left w:val="nil"/>
              <w:bottom w:val="nil"/>
              <w:right w:val="nil"/>
            </w:tcBorders>
            <w:hideMark/>
          </w:tcPr>
          <w:p w14:paraId="3FA53F4E" w14:textId="77777777" w:rsidR="009832FC" w:rsidRPr="009832FC" w:rsidRDefault="009832FC" w:rsidP="009832FC">
            <w:pPr>
              <w:pBdr>
                <w:top w:val="nil"/>
                <w:left w:val="nil"/>
                <w:bottom w:val="nil"/>
                <w:right w:val="nil"/>
                <w:between w:val="nil"/>
                <w:bar w:val="nil"/>
              </w:pBdr>
              <w:spacing w:before="0" w:after="0"/>
              <w:rPr>
                <w:b/>
                <w:bCs/>
                <w:i/>
                <w:sz w:val="20"/>
                <w:szCs w:val="24"/>
                <w:bdr w:val="nil"/>
              </w:rPr>
            </w:pPr>
            <w:r w:rsidRPr="009832FC">
              <w:rPr>
                <w:b/>
                <w:bCs/>
                <w:sz w:val="20"/>
                <w:bdr w:val="nil"/>
              </w:rPr>
              <w:t>Strategic Indicator</w:t>
            </w:r>
          </w:p>
        </w:tc>
        <w:tc>
          <w:tcPr>
            <w:tcW w:w="1426" w:type="dxa"/>
            <w:tcBorders>
              <w:top w:val="single" w:sz="4" w:space="0" w:color="auto"/>
              <w:left w:val="nil"/>
              <w:bottom w:val="nil"/>
              <w:right w:val="nil"/>
            </w:tcBorders>
            <w:hideMark/>
          </w:tcPr>
          <w:p w14:paraId="417A690E"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101D1023"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4600BE38"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tc>
      </w:tr>
      <w:tr w:rsidR="009832FC" w:rsidRPr="009832FC" w14:paraId="17BB4149" w14:textId="77777777" w:rsidTr="00EB585F">
        <w:trPr>
          <w:gridAfter w:val="1"/>
          <w:wAfter w:w="15" w:type="dxa"/>
        </w:trPr>
        <w:tc>
          <w:tcPr>
            <w:tcW w:w="4837" w:type="dxa"/>
            <w:gridSpan w:val="2"/>
            <w:tcBorders>
              <w:top w:val="nil"/>
              <w:left w:val="nil"/>
              <w:bottom w:val="single" w:sz="4" w:space="0" w:color="auto"/>
              <w:right w:val="nil"/>
            </w:tcBorders>
          </w:tcPr>
          <w:p w14:paraId="5EC64624" w14:textId="77777777" w:rsidR="009832FC" w:rsidRPr="009832FC" w:rsidRDefault="009832FC" w:rsidP="009832FC">
            <w:pPr>
              <w:pBdr>
                <w:top w:val="nil"/>
                <w:left w:val="nil"/>
                <w:bottom w:val="nil"/>
                <w:right w:val="nil"/>
                <w:between w:val="nil"/>
                <w:bar w:val="nil"/>
              </w:pBdr>
              <w:spacing w:before="0" w:after="0" w:line="254" w:lineRule="auto"/>
              <w:ind w:left="227" w:hanging="227"/>
              <w:rPr>
                <w:b/>
                <w:bCs/>
                <w:sz w:val="20"/>
                <w:bdr w:val="nil"/>
              </w:rPr>
            </w:pPr>
          </w:p>
        </w:tc>
        <w:tc>
          <w:tcPr>
            <w:tcW w:w="1426" w:type="dxa"/>
            <w:tcBorders>
              <w:top w:val="nil"/>
              <w:left w:val="nil"/>
              <w:bottom w:val="single" w:sz="4" w:space="0" w:color="auto"/>
              <w:right w:val="nil"/>
            </w:tcBorders>
            <w:hideMark/>
          </w:tcPr>
          <w:p w14:paraId="777DB3CF"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c>
          <w:tcPr>
            <w:tcW w:w="1421" w:type="dxa"/>
            <w:gridSpan w:val="2"/>
            <w:tcBorders>
              <w:top w:val="nil"/>
              <w:left w:val="nil"/>
              <w:bottom w:val="single" w:sz="4" w:space="0" w:color="auto"/>
              <w:right w:val="nil"/>
            </w:tcBorders>
            <w:hideMark/>
          </w:tcPr>
          <w:p w14:paraId="2C67F926"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Interim</w:t>
            </w:r>
          </w:p>
          <w:p w14:paraId="2BCDDE7A"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Outcome</w:t>
            </w:r>
          </w:p>
        </w:tc>
        <w:tc>
          <w:tcPr>
            <w:tcW w:w="1421" w:type="dxa"/>
            <w:gridSpan w:val="2"/>
            <w:tcBorders>
              <w:top w:val="nil"/>
              <w:left w:val="nil"/>
              <w:bottom w:val="single" w:sz="4" w:space="0" w:color="auto"/>
              <w:right w:val="nil"/>
            </w:tcBorders>
            <w:hideMark/>
          </w:tcPr>
          <w:p w14:paraId="13DCC697"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r>
      <w:tr w:rsidR="009832FC" w:rsidRPr="009832FC" w14:paraId="0F9D2102" w14:textId="77777777" w:rsidTr="00EB585F">
        <w:trPr>
          <w:trHeight w:val="233"/>
        </w:trPr>
        <w:tc>
          <w:tcPr>
            <w:tcW w:w="3861" w:type="dxa"/>
            <w:tcBorders>
              <w:top w:val="single" w:sz="4" w:space="0" w:color="auto"/>
              <w:left w:val="nil"/>
              <w:bottom w:val="single" w:sz="4" w:space="0" w:color="auto"/>
              <w:right w:val="nil"/>
            </w:tcBorders>
            <w:hideMark/>
          </w:tcPr>
          <w:p w14:paraId="05C44A5D" w14:textId="77777777" w:rsidR="009832FC" w:rsidRPr="009832FC" w:rsidRDefault="009832FC" w:rsidP="009832FC">
            <w:pPr>
              <w:pBdr>
                <w:top w:val="nil"/>
                <w:left w:val="nil"/>
                <w:bottom w:val="nil"/>
                <w:right w:val="nil"/>
                <w:between w:val="nil"/>
                <w:bar w:val="nil"/>
              </w:pBdr>
              <w:spacing w:before="0" w:after="0" w:line="254" w:lineRule="auto"/>
              <w:ind w:left="178" w:hanging="178"/>
              <w:rPr>
                <w:b/>
                <w:bCs/>
                <w:sz w:val="20"/>
                <w:bdr w:val="nil"/>
                <w:shd w:val="clear" w:color="auto" w:fill="FFFF00"/>
                <w:vertAlign w:val="superscript"/>
              </w:rPr>
            </w:pPr>
            <w:r w:rsidRPr="009832FC">
              <w:rPr>
                <w:bCs/>
                <w:sz w:val="20"/>
                <w:bdr w:val="nil"/>
              </w:rPr>
              <w:t>Proportion of patients 80 years or older at admission for an inpatient episode of care at Canberra Health Services with “Goals of Care” registered during admission</w:t>
            </w:r>
            <w:r w:rsidRPr="009832FC">
              <w:rPr>
                <w:bCs/>
                <w:sz w:val="20"/>
                <w:bdr w:val="nil"/>
                <w:vertAlign w:val="superscript"/>
              </w:rPr>
              <w:t>1</w:t>
            </w:r>
          </w:p>
        </w:tc>
        <w:tc>
          <w:tcPr>
            <w:tcW w:w="2410" w:type="dxa"/>
            <w:gridSpan w:val="3"/>
            <w:tcBorders>
              <w:top w:val="single" w:sz="4" w:space="0" w:color="auto"/>
              <w:left w:val="nil"/>
              <w:bottom w:val="single" w:sz="4" w:space="0" w:color="auto"/>
              <w:right w:val="nil"/>
            </w:tcBorders>
            <w:hideMark/>
          </w:tcPr>
          <w:p w14:paraId="56659824"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5" w:type="dxa"/>
            <w:gridSpan w:val="2"/>
            <w:tcBorders>
              <w:top w:val="single" w:sz="4" w:space="0" w:color="auto"/>
              <w:left w:val="nil"/>
              <w:bottom w:val="single" w:sz="4" w:space="0" w:color="auto"/>
              <w:right w:val="nil"/>
            </w:tcBorders>
            <w:hideMark/>
          </w:tcPr>
          <w:p w14:paraId="128A8C6D"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4" w:type="dxa"/>
            <w:gridSpan w:val="2"/>
            <w:tcBorders>
              <w:top w:val="single" w:sz="4" w:space="0" w:color="auto"/>
              <w:left w:val="nil"/>
              <w:bottom w:val="single" w:sz="4" w:space="0" w:color="auto"/>
              <w:right w:val="nil"/>
            </w:tcBorders>
            <w:hideMark/>
          </w:tcPr>
          <w:p w14:paraId="6839E1ED"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100%</w:t>
            </w:r>
          </w:p>
        </w:tc>
      </w:tr>
    </w:tbl>
    <w:p w14:paraId="1A081063" w14:textId="77777777" w:rsidR="009832FC" w:rsidRPr="009832FC" w:rsidRDefault="009832FC" w:rsidP="009832FC">
      <w:pPr>
        <w:keepNext/>
        <w:pBdr>
          <w:top w:val="nil"/>
          <w:left w:val="nil"/>
          <w:bottom w:val="nil"/>
          <w:right w:val="nil"/>
          <w:between w:val="nil"/>
          <w:bar w:val="nil"/>
        </w:pBdr>
        <w:spacing w:before="120" w:after="0"/>
        <w:ind w:firstLine="142"/>
        <w:rPr>
          <w:b/>
          <w:sz w:val="18"/>
          <w:szCs w:val="18"/>
          <w:bdr w:val="nil"/>
        </w:rPr>
      </w:pPr>
      <w:r w:rsidRPr="009832FC">
        <w:rPr>
          <w:b/>
          <w:sz w:val="18"/>
          <w:szCs w:val="18"/>
          <w:bdr w:val="nil"/>
          <w:lang w:eastAsia="en-AU"/>
        </w:rPr>
        <w:t>Note:</w:t>
      </w:r>
    </w:p>
    <w:p w14:paraId="42696475" w14:textId="77777777" w:rsidR="009832FC" w:rsidRPr="009832FC" w:rsidRDefault="009832FC" w:rsidP="00812F22">
      <w:pPr>
        <w:numPr>
          <w:ilvl w:val="0"/>
          <w:numId w:val="37"/>
        </w:numPr>
        <w:pBdr>
          <w:top w:val="nil"/>
          <w:left w:val="nil"/>
          <w:bottom w:val="nil"/>
          <w:right w:val="nil"/>
          <w:between w:val="nil"/>
          <w:bar w:val="nil"/>
        </w:pBdr>
        <w:spacing w:before="0" w:after="0"/>
        <w:ind w:left="502"/>
        <w:jc w:val="both"/>
        <w:rPr>
          <w:sz w:val="18"/>
          <w:szCs w:val="18"/>
          <w:bdr w:val="nil"/>
          <w:lang w:eastAsia="en-AU"/>
        </w:rPr>
      </w:pPr>
      <w:r w:rsidRPr="009832FC">
        <w:rPr>
          <w:sz w:val="18"/>
          <w:szCs w:val="18"/>
          <w:bdr w:val="nil"/>
        </w:rPr>
        <w:t>As a result of a review of all performance indicators against the ACT Government’s Performance and Accountability Framework, t</w:t>
      </w:r>
      <w:r w:rsidRPr="009832FC">
        <w:rPr>
          <w:sz w:val="18"/>
          <w:szCs w:val="18"/>
          <w:bdr w:val="nil"/>
          <w:lang w:eastAsia="en-AU"/>
        </w:rPr>
        <w:t>his is a new measure in 2021-22.</w:t>
      </w:r>
    </w:p>
    <w:p w14:paraId="603FA2B6" w14:textId="441B13AC" w:rsidR="009832FC" w:rsidRPr="003905AE" w:rsidRDefault="009832FC" w:rsidP="008E3537">
      <w:pPr>
        <w:pStyle w:val="Heading3"/>
        <w:rPr>
          <w:bdr w:val="nil"/>
        </w:rPr>
      </w:pPr>
      <w:r w:rsidRPr="009832FC">
        <w:rPr>
          <w:bdr w:val="nil"/>
        </w:rPr>
        <w:lastRenderedPageBreak/>
        <w:t xml:space="preserve">Strategic Objective 9 - </w:t>
      </w:r>
      <w:r w:rsidRPr="003905AE">
        <w:rPr>
          <w:bdr w:val="nil"/>
        </w:rPr>
        <w:t xml:space="preserve">Improving partnerships with </w:t>
      </w:r>
      <w:r w:rsidR="0024569E">
        <w:rPr>
          <w:bdr w:val="nil"/>
        </w:rPr>
        <w:t>p</w:t>
      </w:r>
      <w:r w:rsidRPr="003905AE">
        <w:rPr>
          <w:bdr w:val="nil"/>
        </w:rPr>
        <w:t xml:space="preserve">rimary </w:t>
      </w:r>
      <w:r w:rsidR="0024569E">
        <w:rPr>
          <w:bdr w:val="nil"/>
        </w:rPr>
        <w:t>h</w:t>
      </w:r>
      <w:r w:rsidRPr="003905AE">
        <w:rPr>
          <w:bdr w:val="nil"/>
        </w:rPr>
        <w:t>ealth care providers</w:t>
      </w:r>
    </w:p>
    <w:p w14:paraId="04520187" w14:textId="58C0A72B" w:rsidR="009832FC" w:rsidRPr="009832FC" w:rsidRDefault="00F54F3E" w:rsidP="008E3537">
      <w:pPr>
        <w:keepNext/>
        <w:keepLines/>
        <w:spacing w:before="240" w:after="120"/>
        <w:jc w:val="both"/>
        <w:outlineLvl w:val="3"/>
        <w:rPr>
          <w:b/>
          <w:i/>
          <w:lang w:eastAsia="en-AU"/>
        </w:rPr>
      </w:pPr>
      <w:r w:rsidRPr="009832FC">
        <w:rPr>
          <w:b/>
          <w:i/>
          <w:lang w:eastAsia="en-AU"/>
        </w:rPr>
        <w:t>Strategic</w:t>
      </w:r>
      <w:r w:rsidR="009832FC" w:rsidRPr="009832FC">
        <w:rPr>
          <w:b/>
          <w:i/>
          <w:lang w:eastAsia="en-AU"/>
        </w:rPr>
        <w:t xml:space="preserve"> Indicator 9.1 - </w:t>
      </w:r>
      <w:r w:rsidR="009832FC" w:rsidRPr="009832FC">
        <w:rPr>
          <w:b/>
          <w:i/>
          <w:bdr w:val="nil"/>
        </w:rPr>
        <w:t>Proportion of patients who present to Canberra Health Services</w:t>
      </w:r>
      <w:r w:rsidR="0024569E">
        <w:rPr>
          <w:b/>
          <w:i/>
          <w:bdr w:val="nil"/>
        </w:rPr>
        <w:t>’</w:t>
      </w:r>
      <w:r w:rsidR="009832FC" w:rsidRPr="009832FC">
        <w:rPr>
          <w:b/>
          <w:i/>
          <w:bdr w:val="nil"/>
        </w:rPr>
        <w:t xml:space="preserve"> Emergency Department or a Walk in Centre who have a recorded registered </w:t>
      </w:r>
      <w:r w:rsidR="00D75E0E">
        <w:rPr>
          <w:b/>
          <w:i/>
          <w:bdr w:val="nil"/>
        </w:rPr>
        <w:t>primary health care provider</w:t>
      </w:r>
    </w:p>
    <w:p w14:paraId="5911509D" w14:textId="3BB59430" w:rsidR="009832FC" w:rsidRPr="009832FC" w:rsidRDefault="009832FC" w:rsidP="008E3537">
      <w:pPr>
        <w:keepNext/>
        <w:spacing w:before="240"/>
        <w:jc w:val="both"/>
        <w:rPr>
          <w:b/>
          <w:bCs/>
          <w:color w:val="000000"/>
          <w:sz w:val="22"/>
          <w:szCs w:val="18"/>
          <w:bdr w:val="nil"/>
        </w:rPr>
      </w:pPr>
      <w:r w:rsidRPr="009832FC">
        <w:rPr>
          <w:b/>
          <w:bCs/>
          <w:color w:val="000000"/>
          <w:sz w:val="22"/>
          <w:szCs w:val="18"/>
          <w:bdr w:val="nil"/>
        </w:rPr>
        <w:t>Table 12: Proportion of patients who present to Canberra Health Services</w:t>
      </w:r>
      <w:r w:rsidR="00044120">
        <w:rPr>
          <w:b/>
          <w:bCs/>
          <w:color w:val="000000"/>
          <w:sz w:val="22"/>
          <w:szCs w:val="18"/>
          <w:bdr w:val="nil"/>
        </w:rPr>
        <w:t>’</w:t>
      </w:r>
      <w:r w:rsidRPr="009832FC">
        <w:rPr>
          <w:b/>
          <w:bCs/>
          <w:color w:val="000000"/>
          <w:sz w:val="22"/>
          <w:szCs w:val="18"/>
          <w:bdr w:val="nil"/>
        </w:rPr>
        <w:t xml:space="preserve"> Emergency Department or a Walk in Centre who have a recorded registered </w:t>
      </w:r>
      <w:r w:rsidR="00D75E0E">
        <w:rPr>
          <w:b/>
          <w:bCs/>
          <w:color w:val="000000"/>
          <w:sz w:val="22"/>
          <w:szCs w:val="18"/>
          <w:bdr w:val="nil"/>
        </w:rPr>
        <w:t>primary health care provider</w:t>
      </w:r>
    </w:p>
    <w:tbl>
      <w:tblPr>
        <w:tblW w:w="9120" w:type="dxa"/>
        <w:tblInd w:w="108" w:type="dxa"/>
        <w:tblLayout w:type="fixed"/>
        <w:tblLook w:val="04A0" w:firstRow="1" w:lastRow="0" w:firstColumn="1" w:lastColumn="0" w:noHBand="0" w:noVBand="1"/>
      </w:tblPr>
      <w:tblGrid>
        <w:gridCol w:w="3861"/>
        <w:gridCol w:w="976"/>
        <w:gridCol w:w="1426"/>
        <w:gridCol w:w="8"/>
        <w:gridCol w:w="1413"/>
        <w:gridCol w:w="12"/>
        <w:gridCol w:w="1409"/>
        <w:gridCol w:w="15"/>
      </w:tblGrid>
      <w:tr w:rsidR="009832FC" w:rsidRPr="009832FC" w14:paraId="5A6450D8" w14:textId="77777777" w:rsidTr="00EB585F">
        <w:trPr>
          <w:gridAfter w:val="1"/>
          <w:wAfter w:w="15" w:type="dxa"/>
          <w:trHeight w:val="134"/>
        </w:trPr>
        <w:tc>
          <w:tcPr>
            <w:tcW w:w="4837" w:type="dxa"/>
            <w:gridSpan w:val="2"/>
            <w:tcBorders>
              <w:top w:val="single" w:sz="4" w:space="0" w:color="auto"/>
              <w:left w:val="nil"/>
              <w:bottom w:val="nil"/>
              <w:right w:val="nil"/>
            </w:tcBorders>
            <w:hideMark/>
          </w:tcPr>
          <w:p w14:paraId="084E7633" w14:textId="77777777" w:rsidR="009832FC" w:rsidRPr="009832FC" w:rsidRDefault="009832FC" w:rsidP="009832FC">
            <w:pPr>
              <w:pBdr>
                <w:top w:val="nil"/>
                <w:left w:val="nil"/>
                <w:bottom w:val="nil"/>
                <w:right w:val="nil"/>
                <w:between w:val="nil"/>
                <w:bar w:val="nil"/>
              </w:pBdr>
              <w:spacing w:before="0" w:after="0"/>
              <w:rPr>
                <w:b/>
                <w:bCs/>
                <w:i/>
                <w:sz w:val="20"/>
                <w:szCs w:val="24"/>
                <w:bdr w:val="nil"/>
              </w:rPr>
            </w:pPr>
            <w:r w:rsidRPr="009832FC">
              <w:rPr>
                <w:b/>
                <w:bCs/>
                <w:sz w:val="20"/>
                <w:bdr w:val="nil"/>
              </w:rPr>
              <w:t>Strategic Indicator</w:t>
            </w:r>
          </w:p>
        </w:tc>
        <w:tc>
          <w:tcPr>
            <w:tcW w:w="1426" w:type="dxa"/>
            <w:tcBorders>
              <w:top w:val="single" w:sz="4" w:space="0" w:color="auto"/>
              <w:left w:val="nil"/>
              <w:bottom w:val="nil"/>
              <w:right w:val="nil"/>
            </w:tcBorders>
            <w:hideMark/>
          </w:tcPr>
          <w:p w14:paraId="451929DD"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7167EAFC"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tc>
        <w:tc>
          <w:tcPr>
            <w:tcW w:w="1421" w:type="dxa"/>
            <w:gridSpan w:val="2"/>
            <w:tcBorders>
              <w:top w:val="single" w:sz="4" w:space="0" w:color="auto"/>
              <w:left w:val="nil"/>
              <w:bottom w:val="nil"/>
              <w:right w:val="nil"/>
            </w:tcBorders>
            <w:hideMark/>
          </w:tcPr>
          <w:p w14:paraId="3AAEAE5F"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tc>
      </w:tr>
      <w:tr w:rsidR="009832FC" w:rsidRPr="009832FC" w14:paraId="3946A674" w14:textId="77777777" w:rsidTr="00EB585F">
        <w:trPr>
          <w:gridAfter w:val="1"/>
          <w:wAfter w:w="15" w:type="dxa"/>
        </w:trPr>
        <w:tc>
          <w:tcPr>
            <w:tcW w:w="4837" w:type="dxa"/>
            <w:gridSpan w:val="2"/>
            <w:tcBorders>
              <w:top w:val="nil"/>
              <w:left w:val="nil"/>
              <w:bottom w:val="single" w:sz="4" w:space="0" w:color="auto"/>
              <w:right w:val="nil"/>
            </w:tcBorders>
          </w:tcPr>
          <w:p w14:paraId="557E629B" w14:textId="77777777" w:rsidR="009832FC" w:rsidRPr="009832FC" w:rsidRDefault="009832FC" w:rsidP="009832FC">
            <w:pPr>
              <w:pBdr>
                <w:top w:val="nil"/>
                <w:left w:val="nil"/>
                <w:bottom w:val="nil"/>
                <w:right w:val="nil"/>
                <w:between w:val="nil"/>
                <w:bar w:val="nil"/>
              </w:pBdr>
              <w:spacing w:before="0" w:after="0" w:line="254" w:lineRule="auto"/>
              <w:ind w:left="227" w:hanging="227"/>
              <w:rPr>
                <w:b/>
                <w:bCs/>
                <w:sz w:val="20"/>
                <w:bdr w:val="nil"/>
              </w:rPr>
            </w:pPr>
          </w:p>
        </w:tc>
        <w:tc>
          <w:tcPr>
            <w:tcW w:w="1426" w:type="dxa"/>
            <w:tcBorders>
              <w:top w:val="nil"/>
              <w:left w:val="nil"/>
              <w:bottom w:val="single" w:sz="4" w:space="0" w:color="auto"/>
              <w:right w:val="nil"/>
            </w:tcBorders>
            <w:hideMark/>
          </w:tcPr>
          <w:p w14:paraId="6C99C2FA"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c>
          <w:tcPr>
            <w:tcW w:w="1421" w:type="dxa"/>
            <w:gridSpan w:val="2"/>
            <w:tcBorders>
              <w:top w:val="nil"/>
              <w:left w:val="nil"/>
              <w:bottom w:val="single" w:sz="4" w:space="0" w:color="auto"/>
              <w:right w:val="nil"/>
            </w:tcBorders>
            <w:hideMark/>
          </w:tcPr>
          <w:p w14:paraId="61D9D586"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Interim</w:t>
            </w:r>
          </w:p>
          <w:p w14:paraId="7CE15450"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Outcome</w:t>
            </w:r>
          </w:p>
        </w:tc>
        <w:tc>
          <w:tcPr>
            <w:tcW w:w="1421" w:type="dxa"/>
            <w:gridSpan w:val="2"/>
            <w:tcBorders>
              <w:top w:val="nil"/>
              <w:left w:val="nil"/>
              <w:bottom w:val="single" w:sz="4" w:space="0" w:color="auto"/>
              <w:right w:val="nil"/>
            </w:tcBorders>
            <w:hideMark/>
          </w:tcPr>
          <w:p w14:paraId="6B6C6AB6"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b/>
                <w:sz w:val="20"/>
                <w:bdr w:val="nil"/>
              </w:rPr>
            </w:pPr>
            <w:r w:rsidRPr="009832FC">
              <w:rPr>
                <w:b/>
                <w:sz w:val="20"/>
                <w:bdr w:val="nil"/>
              </w:rPr>
              <w:t>Target</w:t>
            </w:r>
          </w:p>
        </w:tc>
      </w:tr>
      <w:tr w:rsidR="009832FC" w:rsidRPr="009832FC" w14:paraId="0AD13673" w14:textId="77777777" w:rsidTr="00EB585F">
        <w:trPr>
          <w:trHeight w:val="233"/>
        </w:trPr>
        <w:tc>
          <w:tcPr>
            <w:tcW w:w="3861" w:type="dxa"/>
            <w:tcBorders>
              <w:top w:val="single" w:sz="4" w:space="0" w:color="auto"/>
              <w:left w:val="nil"/>
              <w:bottom w:val="single" w:sz="4" w:space="0" w:color="auto"/>
              <w:right w:val="nil"/>
            </w:tcBorders>
            <w:hideMark/>
          </w:tcPr>
          <w:p w14:paraId="666C7DFD" w14:textId="64C24367" w:rsidR="009832FC" w:rsidRPr="009832FC" w:rsidRDefault="009832FC" w:rsidP="009832FC">
            <w:pPr>
              <w:pBdr>
                <w:top w:val="nil"/>
                <w:left w:val="nil"/>
                <w:bottom w:val="nil"/>
                <w:right w:val="nil"/>
                <w:between w:val="nil"/>
                <w:bar w:val="nil"/>
              </w:pBdr>
              <w:spacing w:before="0" w:after="0" w:line="254" w:lineRule="auto"/>
              <w:ind w:left="178" w:hanging="178"/>
              <w:rPr>
                <w:b/>
                <w:bCs/>
                <w:sz w:val="20"/>
                <w:bdr w:val="nil"/>
                <w:shd w:val="clear" w:color="auto" w:fill="FFFF00"/>
                <w:vertAlign w:val="superscript"/>
              </w:rPr>
            </w:pPr>
            <w:r w:rsidRPr="009832FC">
              <w:rPr>
                <w:bCs/>
                <w:sz w:val="20"/>
                <w:bdr w:val="nil"/>
              </w:rPr>
              <w:t xml:space="preserve">Proportion of patients who present to CHS Emergency Department or a Walk in Centre who have a recorded registered </w:t>
            </w:r>
            <w:r w:rsidR="00D75E0E">
              <w:rPr>
                <w:bCs/>
                <w:sz w:val="20"/>
                <w:bdr w:val="nil"/>
              </w:rPr>
              <w:t>primary health care provider</w:t>
            </w:r>
            <w:r w:rsidRPr="009832FC">
              <w:rPr>
                <w:bCs/>
                <w:sz w:val="20"/>
                <w:bdr w:val="nil"/>
                <w:vertAlign w:val="superscript"/>
              </w:rPr>
              <w:t>1</w:t>
            </w:r>
          </w:p>
        </w:tc>
        <w:tc>
          <w:tcPr>
            <w:tcW w:w="2410" w:type="dxa"/>
            <w:gridSpan w:val="3"/>
            <w:tcBorders>
              <w:top w:val="single" w:sz="4" w:space="0" w:color="auto"/>
              <w:left w:val="nil"/>
              <w:bottom w:val="single" w:sz="4" w:space="0" w:color="auto"/>
              <w:right w:val="nil"/>
            </w:tcBorders>
            <w:hideMark/>
          </w:tcPr>
          <w:p w14:paraId="6B2A488C"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5" w:type="dxa"/>
            <w:gridSpan w:val="2"/>
            <w:tcBorders>
              <w:top w:val="single" w:sz="4" w:space="0" w:color="auto"/>
              <w:left w:val="nil"/>
              <w:bottom w:val="single" w:sz="4" w:space="0" w:color="auto"/>
              <w:right w:val="nil"/>
            </w:tcBorders>
            <w:hideMark/>
          </w:tcPr>
          <w:p w14:paraId="502E0371"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c>
          <w:tcPr>
            <w:tcW w:w="1424" w:type="dxa"/>
            <w:gridSpan w:val="2"/>
            <w:tcBorders>
              <w:top w:val="single" w:sz="4" w:space="0" w:color="auto"/>
              <w:left w:val="nil"/>
              <w:bottom w:val="single" w:sz="4" w:space="0" w:color="auto"/>
              <w:right w:val="nil"/>
            </w:tcBorders>
            <w:hideMark/>
          </w:tcPr>
          <w:p w14:paraId="1046E523"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100%</w:t>
            </w:r>
          </w:p>
        </w:tc>
      </w:tr>
    </w:tbl>
    <w:p w14:paraId="17229F3D" w14:textId="77777777" w:rsidR="009832FC" w:rsidRPr="009832FC" w:rsidRDefault="009832FC" w:rsidP="00D12F0F">
      <w:pPr>
        <w:keepNext/>
        <w:pBdr>
          <w:top w:val="nil"/>
          <w:left w:val="nil"/>
          <w:bottom w:val="nil"/>
          <w:right w:val="nil"/>
          <w:between w:val="nil"/>
          <w:bar w:val="nil"/>
        </w:pBdr>
        <w:spacing w:before="120" w:after="0"/>
        <w:rPr>
          <w:b/>
          <w:sz w:val="18"/>
          <w:szCs w:val="18"/>
          <w:bdr w:val="nil"/>
        </w:rPr>
      </w:pPr>
      <w:r w:rsidRPr="009832FC">
        <w:rPr>
          <w:b/>
          <w:sz w:val="18"/>
          <w:szCs w:val="18"/>
          <w:bdr w:val="nil"/>
          <w:lang w:eastAsia="en-AU"/>
        </w:rPr>
        <w:t>Note:</w:t>
      </w:r>
    </w:p>
    <w:p w14:paraId="2643A940" w14:textId="77777777" w:rsidR="009832FC" w:rsidRPr="00D12F0F" w:rsidRDefault="009832FC" w:rsidP="00812F22">
      <w:pPr>
        <w:pStyle w:val="BSnoteslist2"/>
        <w:numPr>
          <w:ilvl w:val="0"/>
          <w:numId w:val="57"/>
        </w:numPr>
        <w:pBdr>
          <w:top w:val="nil"/>
          <w:left w:val="nil"/>
          <w:bottom w:val="nil"/>
          <w:right w:val="nil"/>
          <w:between w:val="nil"/>
          <w:bar w:val="nil"/>
        </w:pBdr>
        <w:jc w:val="both"/>
        <w:rPr>
          <w:szCs w:val="18"/>
          <w:bdr w:val="nil"/>
        </w:rPr>
      </w:pPr>
      <w:r w:rsidRPr="00D12F0F">
        <w:rPr>
          <w:szCs w:val="18"/>
          <w:bdr w:val="nil"/>
        </w:rPr>
        <w:t>As a result of a review of all performance indicators against the ACT Government’s Performance and Accountability Framework, this is a new measure in 2021-22.</w:t>
      </w:r>
    </w:p>
    <w:p w14:paraId="0CC0B7AC" w14:textId="77777777" w:rsidR="009832FC" w:rsidRPr="009832FC" w:rsidRDefault="009832FC" w:rsidP="009832FC">
      <w:pPr>
        <w:keepNext/>
        <w:pageBreakBefore/>
        <w:pBdr>
          <w:top w:val="nil"/>
          <w:left w:val="nil"/>
          <w:bottom w:val="nil"/>
          <w:right w:val="nil"/>
          <w:between w:val="nil"/>
          <w:bar w:val="nil"/>
        </w:pBdr>
        <w:spacing w:before="360"/>
        <w:outlineLvl w:val="1"/>
        <w:rPr>
          <w:b/>
          <w:snapToGrid w:val="0"/>
          <w:sz w:val="32"/>
          <w:bdr w:val="nil"/>
        </w:rPr>
      </w:pPr>
      <w:bookmarkStart w:id="70" w:name="_Toc83910751"/>
      <w:r w:rsidRPr="009832FC">
        <w:rPr>
          <w:b/>
          <w:snapToGrid w:val="0"/>
          <w:sz w:val="32"/>
          <w:bdr w:val="nil"/>
        </w:rPr>
        <w:lastRenderedPageBreak/>
        <w:t>Output Classes</w:t>
      </w:r>
      <w:bookmarkEnd w:id="70"/>
    </w:p>
    <w:p w14:paraId="5852F688" w14:textId="71DA0D4F" w:rsidR="009832FC" w:rsidRPr="009832FC" w:rsidRDefault="009832FC" w:rsidP="00527903">
      <w:pPr>
        <w:jc w:val="both"/>
        <w:rPr>
          <w:bdr w:val="nil"/>
        </w:rPr>
      </w:pPr>
      <w:r w:rsidRPr="009832FC">
        <w:rPr>
          <w:bdr w:val="nil"/>
        </w:rPr>
        <w:t>Canberra Health Services aims to deliver the best possible health</w:t>
      </w:r>
      <w:r w:rsidR="0024569E">
        <w:rPr>
          <w:bdr w:val="nil"/>
        </w:rPr>
        <w:t xml:space="preserve"> </w:t>
      </w:r>
      <w:r w:rsidRPr="009832FC">
        <w:rPr>
          <w:bdr w:val="nil"/>
        </w:rPr>
        <w:t>care and health related services in Australia.  It will do this through its public hospitals and related health services through: Acute Services; Mental Health, Justice Health and Alcohol and Drug Services; Women, Youth and Children; Cancer Services; and Rehabilitation, Aged and Community Care.</w:t>
      </w:r>
    </w:p>
    <w:p w14:paraId="01C8B054" w14:textId="77777777" w:rsidR="009832FC" w:rsidRPr="00527903" w:rsidRDefault="009832FC" w:rsidP="00527903">
      <w:pPr>
        <w:pStyle w:val="Heading3"/>
        <w:rPr>
          <w:bdr w:val="nil"/>
        </w:rPr>
      </w:pPr>
      <w:r w:rsidRPr="009832FC">
        <w:rPr>
          <w:bdr w:val="nil"/>
        </w:rPr>
        <w:t>Output Class 1: Health and Community Care</w:t>
      </w:r>
    </w:p>
    <w:p w14:paraId="0B212FBB" w14:textId="77777777" w:rsidR="009832FC" w:rsidRPr="009832FC" w:rsidRDefault="009832FC" w:rsidP="009832FC">
      <w:pPr>
        <w:keepNext/>
        <w:spacing w:before="240"/>
        <w:rPr>
          <w:b/>
          <w:bCs/>
          <w:color w:val="000000"/>
          <w:sz w:val="22"/>
          <w:szCs w:val="18"/>
          <w:bdr w:val="nil"/>
        </w:rPr>
      </w:pPr>
      <w:r w:rsidRPr="009832FC">
        <w:rPr>
          <w:b/>
          <w:bCs/>
          <w:color w:val="000000"/>
          <w:sz w:val="22"/>
          <w:szCs w:val="18"/>
          <w:bdr w:val="nil"/>
        </w:rPr>
        <w:t>Table 13: Output Class 1: Health and Community Care</w:t>
      </w:r>
    </w:p>
    <w:tbl>
      <w:tblPr>
        <w:tblW w:w="9060" w:type="dxa"/>
        <w:tblLayout w:type="fixed"/>
        <w:tblLook w:val="0600" w:firstRow="0" w:lastRow="0" w:firstColumn="0" w:lastColumn="0" w:noHBand="1" w:noVBand="1"/>
      </w:tblPr>
      <w:tblGrid>
        <w:gridCol w:w="4695"/>
        <w:gridCol w:w="540"/>
        <w:gridCol w:w="2175"/>
        <w:gridCol w:w="1650"/>
      </w:tblGrid>
      <w:tr w:rsidR="009832FC" w:rsidRPr="009832FC" w14:paraId="523B7DDD" w14:textId="77777777" w:rsidTr="00EB585F">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tcPr>
          <w:p w14:paraId="1330C8AB"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tcBorders>
              <w:top w:val="single" w:sz="4" w:space="0" w:color="000000"/>
              <w:left w:val="nil"/>
              <w:bottom w:val="nil"/>
              <w:right w:val="nil"/>
            </w:tcBorders>
            <w:noWrap/>
            <w:tcMar>
              <w:top w:w="0" w:type="dxa"/>
              <w:left w:w="40" w:type="dxa"/>
              <w:bottom w:w="0" w:type="dxa"/>
              <w:right w:w="40" w:type="dxa"/>
            </w:tcMar>
          </w:tcPr>
          <w:p w14:paraId="518F0747"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7716FE1A"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p w14:paraId="481F22BB"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p>
        </w:tc>
        <w:tc>
          <w:tcPr>
            <w:tcW w:w="1650" w:type="dxa"/>
            <w:tcBorders>
              <w:top w:val="single" w:sz="4" w:space="0" w:color="000000"/>
              <w:left w:val="nil"/>
              <w:bottom w:val="nil"/>
              <w:right w:val="nil"/>
            </w:tcBorders>
            <w:noWrap/>
            <w:tcMar>
              <w:top w:w="0" w:type="dxa"/>
              <w:left w:w="40" w:type="dxa"/>
              <w:bottom w:w="0" w:type="dxa"/>
              <w:right w:w="40" w:type="dxa"/>
            </w:tcMar>
            <w:hideMark/>
          </w:tcPr>
          <w:p w14:paraId="6D84405D"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p w14:paraId="05A6273A"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p>
        </w:tc>
      </w:tr>
      <w:tr w:rsidR="009832FC" w:rsidRPr="009832FC" w14:paraId="1ACCFBB2" w14:textId="77777777" w:rsidTr="00EB585F">
        <w:trPr>
          <w:trHeight w:hRule="exact" w:val="240"/>
        </w:trPr>
        <w:tc>
          <w:tcPr>
            <w:tcW w:w="4695" w:type="dxa"/>
            <w:noWrap/>
            <w:tcMar>
              <w:top w:w="0" w:type="dxa"/>
              <w:left w:w="40" w:type="dxa"/>
              <w:bottom w:w="0" w:type="dxa"/>
              <w:right w:w="40" w:type="dxa"/>
            </w:tcMar>
          </w:tcPr>
          <w:p w14:paraId="4F585E0D"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noWrap/>
            <w:tcMar>
              <w:top w:w="0" w:type="dxa"/>
              <w:left w:w="40" w:type="dxa"/>
              <w:bottom w:w="0" w:type="dxa"/>
              <w:right w:w="40" w:type="dxa"/>
            </w:tcMar>
          </w:tcPr>
          <w:p w14:paraId="0C1CFF9A"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5" w:type="dxa"/>
            <w:noWrap/>
            <w:tcMar>
              <w:top w:w="0" w:type="dxa"/>
              <w:left w:w="40" w:type="dxa"/>
              <w:bottom w:w="0" w:type="dxa"/>
              <w:right w:w="40" w:type="dxa"/>
            </w:tcMar>
            <w:hideMark/>
          </w:tcPr>
          <w:p w14:paraId="4F86797B"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Interim Outcome</w:t>
            </w:r>
          </w:p>
        </w:tc>
        <w:tc>
          <w:tcPr>
            <w:tcW w:w="1650" w:type="dxa"/>
            <w:noWrap/>
            <w:tcMar>
              <w:top w:w="0" w:type="dxa"/>
              <w:left w:w="40" w:type="dxa"/>
              <w:bottom w:w="0" w:type="dxa"/>
              <w:right w:w="40" w:type="dxa"/>
            </w:tcMar>
            <w:hideMark/>
          </w:tcPr>
          <w:p w14:paraId="74EF48E9"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Budget</w:t>
            </w:r>
          </w:p>
        </w:tc>
      </w:tr>
      <w:tr w:rsidR="009832FC" w:rsidRPr="009832FC" w14:paraId="5961906B" w14:textId="77777777" w:rsidTr="00EB585F">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44E0A89E"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79B17DC7"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293326F7"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2A6AAC52"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$'000</w:t>
            </w:r>
          </w:p>
        </w:tc>
      </w:tr>
      <w:tr w:rsidR="009832FC" w:rsidRPr="009832FC" w14:paraId="454DEB0C" w14:textId="77777777" w:rsidTr="00EB585F">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0EEE2F6B"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r w:rsidRPr="009832FC">
              <w:rPr>
                <w:rFonts w:eastAsia="Calibri" w:cs="Calibri"/>
                <w:color w:val="000000"/>
                <w:sz w:val="20"/>
                <w:bdr w:val="nil"/>
              </w:rPr>
              <w:t>Total Cost</w:t>
            </w:r>
            <w:r w:rsidRPr="009832FC">
              <w:rPr>
                <w:rFonts w:eastAsia="Calibri" w:cs="Calibri"/>
                <w:color w:val="000000"/>
                <w:sz w:val="20"/>
                <w:bdr w:val="nil"/>
                <w:vertAlign w:val="superscript"/>
              </w:rPr>
              <w:t>1</w:t>
            </w:r>
          </w:p>
        </w:tc>
        <w:tc>
          <w:tcPr>
            <w:tcW w:w="540" w:type="dxa"/>
            <w:tcBorders>
              <w:top w:val="single" w:sz="4" w:space="0" w:color="000000"/>
              <w:left w:val="nil"/>
              <w:bottom w:val="nil"/>
              <w:right w:val="nil"/>
            </w:tcBorders>
            <w:noWrap/>
            <w:tcMar>
              <w:top w:w="0" w:type="dxa"/>
              <w:left w:w="40" w:type="dxa"/>
              <w:bottom w:w="0" w:type="dxa"/>
              <w:right w:w="40" w:type="dxa"/>
            </w:tcMar>
          </w:tcPr>
          <w:p w14:paraId="629DC77A" w14:textId="77777777" w:rsidR="009832FC" w:rsidRPr="009832FC" w:rsidRDefault="009832FC" w:rsidP="009832FC">
            <w:pPr>
              <w:pBdr>
                <w:top w:val="nil"/>
                <w:left w:val="nil"/>
                <w:bottom w:val="nil"/>
                <w:right w:val="nil"/>
                <w:between w:val="nil"/>
                <w:bar w:val="nil"/>
              </w:pBdr>
              <w:spacing w:before="0" w:after="0"/>
              <w:rPr>
                <w:rFonts w:eastAsia="Calibri" w:cs="Calibri"/>
                <w:b/>
                <w:color w:val="000000"/>
                <w:sz w:val="20"/>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59FA8895"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cs="Calibri"/>
                <w:color w:val="000000"/>
                <w:sz w:val="20"/>
                <w:bdr w:val="nil"/>
              </w:rPr>
              <w:t>1,472,715</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7B56A03B"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cs="Calibri"/>
                <w:color w:val="000000"/>
                <w:sz w:val="20"/>
                <w:bdr w:val="nil"/>
              </w:rPr>
              <w:t>1,550,618</w:t>
            </w:r>
          </w:p>
        </w:tc>
      </w:tr>
      <w:tr w:rsidR="009832FC" w:rsidRPr="009832FC" w14:paraId="7FB4D9FE" w14:textId="77777777" w:rsidTr="00EB585F">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hideMark/>
          </w:tcPr>
          <w:p w14:paraId="593F0FB0"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r w:rsidRPr="009832FC">
              <w:rPr>
                <w:rFonts w:eastAsia="Calibri" w:cs="Calibri"/>
                <w:color w:val="000000"/>
                <w:sz w:val="20"/>
                <w:bdr w:val="nil"/>
              </w:rPr>
              <w:t>Controlled Recurrent Payments</w:t>
            </w:r>
            <w:r w:rsidRPr="009832FC">
              <w:rPr>
                <w:rFonts w:eastAsia="Calibri" w:cs="Calibri"/>
                <w:color w:val="000000"/>
                <w:sz w:val="20"/>
                <w:bdr w:val="nil"/>
                <w:vertAlign w:val="superscript"/>
              </w:rPr>
              <w:t>2</w:t>
            </w:r>
          </w:p>
        </w:tc>
        <w:tc>
          <w:tcPr>
            <w:tcW w:w="540" w:type="dxa"/>
            <w:tcBorders>
              <w:top w:val="nil"/>
              <w:left w:val="nil"/>
              <w:bottom w:val="single" w:sz="4" w:space="0" w:color="000000"/>
              <w:right w:val="nil"/>
            </w:tcBorders>
            <w:noWrap/>
            <w:tcMar>
              <w:top w:w="0" w:type="dxa"/>
              <w:left w:w="40" w:type="dxa"/>
              <w:bottom w:w="0" w:type="dxa"/>
              <w:right w:w="40" w:type="dxa"/>
            </w:tcMar>
          </w:tcPr>
          <w:p w14:paraId="6349B517" w14:textId="77777777" w:rsidR="009832FC" w:rsidRPr="009832FC" w:rsidRDefault="009832FC" w:rsidP="009832FC">
            <w:pPr>
              <w:pBdr>
                <w:top w:val="nil"/>
                <w:left w:val="nil"/>
                <w:bottom w:val="nil"/>
                <w:right w:val="nil"/>
                <w:between w:val="nil"/>
                <w:bar w:val="nil"/>
              </w:pBdr>
              <w:spacing w:before="0" w:after="0"/>
              <w:rPr>
                <w:rFonts w:eastAsia="Calibri" w:cs="Calibri"/>
                <w:b/>
                <w:color w:val="000000"/>
                <w:sz w:val="20"/>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1DB5319D"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4B3D09FC"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w:t>
            </w:r>
          </w:p>
        </w:tc>
      </w:tr>
    </w:tbl>
    <w:p w14:paraId="581BD01F" w14:textId="76EE444A" w:rsidR="009832FC" w:rsidRPr="009832FC" w:rsidRDefault="009832FC" w:rsidP="009832FC">
      <w:pPr>
        <w:keepNext/>
        <w:pBdr>
          <w:top w:val="nil"/>
          <w:left w:val="nil"/>
          <w:bottom w:val="nil"/>
          <w:right w:val="nil"/>
          <w:between w:val="nil"/>
          <w:bar w:val="nil"/>
        </w:pBdr>
        <w:spacing w:before="120" w:after="0"/>
        <w:rPr>
          <w:b/>
          <w:sz w:val="18"/>
          <w:szCs w:val="16"/>
          <w:bdr w:val="nil"/>
        </w:rPr>
      </w:pPr>
      <w:r w:rsidRPr="009832FC">
        <w:rPr>
          <w:b/>
          <w:sz w:val="18"/>
          <w:szCs w:val="16"/>
          <w:bdr w:val="nil"/>
        </w:rPr>
        <w:t>Note</w:t>
      </w:r>
      <w:r w:rsidR="00D12F0F">
        <w:rPr>
          <w:b/>
          <w:sz w:val="18"/>
          <w:szCs w:val="16"/>
          <w:bdr w:val="nil"/>
        </w:rPr>
        <w:t>s</w:t>
      </w:r>
      <w:r w:rsidRPr="009832FC">
        <w:rPr>
          <w:b/>
          <w:sz w:val="18"/>
          <w:szCs w:val="16"/>
          <w:bdr w:val="nil"/>
        </w:rPr>
        <w:t>:</w:t>
      </w:r>
    </w:p>
    <w:p w14:paraId="3E0C1000" w14:textId="77777777" w:rsidR="009832FC" w:rsidRPr="009832FC" w:rsidRDefault="009832FC" w:rsidP="00812F22">
      <w:pPr>
        <w:numPr>
          <w:ilvl w:val="0"/>
          <w:numId w:val="38"/>
        </w:numPr>
        <w:pBdr>
          <w:top w:val="nil"/>
          <w:left w:val="nil"/>
          <w:bottom w:val="nil"/>
          <w:right w:val="nil"/>
          <w:between w:val="nil"/>
          <w:bar w:val="nil"/>
        </w:pBdr>
        <w:spacing w:before="0" w:after="0"/>
        <w:ind w:left="360"/>
        <w:jc w:val="both"/>
        <w:rPr>
          <w:sz w:val="18"/>
          <w:szCs w:val="24"/>
          <w:bdr w:val="nil"/>
        </w:rPr>
      </w:pPr>
      <w:r w:rsidRPr="009832FC">
        <w:rPr>
          <w:sz w:val="18"/>
          <w:szCs w:val="24"/>
          <w:bdr w:val="nil"/>
        </w:rPr>
        <w:t xml:space="preserve">Total cost </w:t>
      </w:r>
      <w:r w:rsidRPr="009832FC">
        <w:rPr>
          <w:sz w:val="18"/>
          <w:szCs w:val="16"/>
          <w:bdr w:val="nil"/>
        </w:rPr>
        <w:t>includes</w:t>
      </w:r>
      <w:r w:rsidRPr="009832FC">
        <w:rPr>
          <w:sz w:val="18"/>
          <w:szCs w:val="24"/>
          <w:bdr w:val="nil"/>
        </w:rPr>
        <w:t xml:space="preserve"> depreciation and amortisation of $42.262 million in 2020-21 and $38.220 million in 2021-22.</w:t>
      </w:r>
    </w:p>
    <w:p w14:paraId="6FCEA890" w14:textId="77777777" w:rsidR="009832FC" w:rsidRPr="009832FC" w:rsidRDefault="009832FC" w:rsidP="00812F22">
      <w:pPr>
        <w:numPr>
          <w:ilvl w:val="0"/>
          <w:numId w:val="38"/>
        </w:numPr>
        <w:pBdr>
          <w:top w:val="nil"/>
          <w:left w:val="nil"/>
          <w:bottom w:val="nil"/>
          <w:right w:val="nil"/>
          <w:between w:val="nil"/>
          <w:bar w:val="nil"/>
        </w:pBdr>
        <w:spacing w:before="0" w:after="0"/>
        <w:ind w:left="360"/>
        <w:jc w:val="both"/>
        <w:rPr>
          <w:sz w:val="18"/>
          <w:szCs w:val="24"/>
          <w:bdr w:val="nil"/>
        </w:rPr>
      </w:pPr>
      <w:r w:rsidRPr="009832FC">
        <w:rPr>
          <w:sz w:val="18"/>
          <w:szCs w:val="24"/>
          <w:bdr w:val="nil"/>
        </w:rPr>
        <w:t>Canberra Health Services receives funding through the Local Hospital Network as Grants and Contributions and not from Controlled Recurrent Payments.</w:t>
      </w:r>
    </w:p>
    <w:p w14:paraId="662590F9" w14:textId="77777777" w:rsidR="009832FC" w:rsidRPr="009832FC" w:rsidRDefault="009832FC" w:rsidP="00527903">
      <w:pPr>
        <w:keepNext/>
        <w:keepLines/>
        <w:pBdr>
          <w:top w:val="nil"/>
          <w:left w:val="nil"/>
          <w:bottom w:val="nil"/>
          <w:right w:val="nil"/>
          <w:between w:val="nil"/>
          <w:bar w:val="nil"/>
        </w:pBdr>
        <w:spacing w:before="240" w:after="120"/>
        <w:jc w:val="both"/>
        <w:outlineLvl w:val="3"/>
        <w:rPr>
          <w:b/>
          <w:i/>
          <w:bdr w:val="nil"/>
        </w:rPr>
      </w:pPr>
      <w:r w:rsidRPr="009832FC">
        <w:rPr>
          <w:b/>
          <w:i/>
          <w:bdr w:val="nil"/>
        </w:rPr>
        <w:t>Output 1.1: Acute Services</w:t>
      </w:r>
    </w:p>
    <w:p w14:paraId="4A37999E" w14:textId="77777777" w:rsidR="009832FC" w:rsidRPr="009832FC" w:rsidRDefault="009832FC" w:rsidP="00527903">
      <w:pPr>
        <w:pBdr>
          <w:top w:val="nil"/>
          <w:left w:val="nil"/>
          <w:bottom w:val="nil"/>
          <w:right w:val="nil"/>
          <w:between w:val="nil"/>
          <w:bar w:val="nil"/>
        </w:pBdr>
        <w:jc w:val="both"/>
        <w:rPr>
          <w:bdr w:val="nil"/>
        </w:rPr>
      </w:pPr>
      <w:r w:rsidRPr="009832FC">
        <w:rPr>
          <w:bdr w:val="nil"/>
        </w:rPr>
        <w:t>Canberra Health Services provides a comprehensive range of acute care, including:</w:t>
      </w:r>
    </w:p>
    <w:p w14:paraId="520D1139" w14:textId="77777777" w:rsidR="009832FC" w:rsidRPr="009832FC" w:rsidRDefault="009832FC" w:rsidP="00812F22">
      <w:pPr>
        <w:numPr>
          <w:ilvl w:val="0"/>
          <w:numId w:val="59"/>
        </w:numPr>
        <w:pBdr>
          <w:top w:val="nil"/>
          <w:left w:val="nil"/>
          <w:bottom w:val="nil"/>
          <w:right w:val="nil"/>
          <w:between w:val="nil"/>
          <w:bar w:val="nil"/>
        </w:pBdr>
        <w:jc w:val="both"/>
        <w:rPr>
          <w:bdr w:val="nil"/>
        </w:rPr>
      </w:pPr>
      <w:r w:rsidRPr="009832FC">
        <w:rPr>
          <w:bdr w:val="nil"/>
        </w:rPr>
        <w:t>tertiary inpatient, outpatient and ambulatory services to the ACT and surrounding NSW;</w:t>
      </w:r>
    </w:p>
    <w:p w14:paraId="5A5A94D7" w14:textId="77777777" w:rsidR="009832FC" w:rsidRPr="009832FC" w:rsidRDefault="009832FC" w:rsidP="00812F22">
      <w:pPr>
        <w:numPr>
          <w:ilvl w:val="0"/>
          <w:numId w:val="59"/>
        </w:numPr>
        <w:pBdr>
          <w:top w:val="nil"/>
          <w:left w:val="nil"/>
          <w:bottom w:val="nil"/>
          <w:right w:val="nil"/>
          <w:between w:val="nil"/>
          <w:bar w:val="nil"/>
        </w:pBdr>
        <w:jc w:val="both"/>
        <w:rPr>
          <w:bdr w:val="nil"/>
        </w:rPr>
      </w:pPr>
      <w:r w:rsidRPr="009832FC">
        <w:rPr>
          <w:bdr w:val="nil"/>
        </w:rPr>
        <w:t>emergency department, intensive care unit and retrieval services;</w:t>
      </w:r>
    </w:p>
    <w:p w14:paraId="600CF3D7" w14:textId="77777777" w:rsidR="009832FC" w:rsidRPr="009832FC" w:rsidRDefault="009832FC" w:rsidP="00812F22">
      <w:pPr>
        <w:numPr>
          <w:ilvl w:val="0"/>
          <w:numId w:val="59"/>
        </w:numPr>
        <w:pBdr>
          <w:top w:val="nil"/>
          <w:left w:val="nil"/>
          <w:bottom w:val="nil"/>
          <w:right w:val="nil"/>
          <w:between w:val="nil"/>
          <w:bar w:val="nil"/>
        </w:pBdr>
        <w:jc w:val="both"/>
        <w:rPr>
          <w:bdr w:val="nil"/>
        </w:rPr>
      </w:pPr>
      <w:r w:rsidRPr="009832FC">
        <w:rPr>
          <w:bdr w:val="nil"/>
        </w:rPr>
        <w:t>a range of medical speciality services including cardiology, respiratory, gastroenterology, neurology, endocrinology, rheumatology and renal services;</w:t>
      </w:r>
    </w:p>
    <w:p w14:paraId="6BF362FC" w14:textId="77777777" w:rsidR="009832FC" w:rsidRPr="009832FC" w:rsidRDefault="009832FC" w:rsidP="00812F22">
      <w:pPr>
        <w:numPr>
          <w:ilvl w:val="0"/>
          <w:numId w:val="59"/>
        </w:numPr>
        <w:pBdr>
          <w:top w:val="nil"/>
          <w:left w:val="nil"/>
          <w:bottom w:val="nil"/>
          <w:right w:val="nil"/>
          <w:between w:val="nil"/>
          <w:bar w:val="nil"/>
        </w:pBdr>
        <w:jc w:val="both"/>
        <w:rPr>
          <w:bdr w:val="nil"/>
        </w:rPr>
      </w:pPr>
      <w:r w:rsidRPr="009832FC">
        <w:rPr>
          <w:bdr w:val="nil"/>
        </w:rPr>
        <w:t>elective and emergency surgery services; and</w:t>
      </w:r>
    </w:p>
    <w:p w14:paraId="73293C41" w14:textId="77777777" w:rsidR="009832FC" w:rsidRPr="009832FC" w:rsidRDefault="009832FC" w:rsidP="00812F22">
      <w:pPr>
        <w:numPr>
          <w:ilvl w:val="0"/>
          <w:numId w:val="59"/>
        </w:numPr>
        <w:pBdr>
          <w:top w:val="nil"/>
          <w:left w:val="nil"/>
          <w:bottom w:val="nil"/>
          <w:right w:val="nil"/>
          <w:between w:val="nil"/>
          <w:bar w:val="nil"/>
        </w:pBdr>
        <w:jc w:val="both"/>
        <w:rPr>
          <w:bdr w:val="nil"/>
        </w:rPr>
      </w:pPr>
      <w:r w:rsidRPr="009832FC">
        <w:rPr>
          <w:bdr w:val="nil"/>
        </w:rPr>
        <w:t>services for women, youth and children in obstetrics, gynaecology, gynaecology surgery, paediatrics and paediatric surgery.</w:t>
      </w:r>
    </w:p>
    <w:p w14:paraId="0FF97A3C" w14:textId="77777777" w:rsidR="009832FC" w:rsidRPr="009832FC" w:rsidRDefault="009832FC" w:rsidP="00527903">
      <w:pPr>
        <w:pBdr>
          <w:top w:val="nil"/>
          <w:left w:val="nil"/>
          <w:bottom w:val="nil"/>
          <w:right w:val="nil"/>
          <w:between w:val="nil"/>
          <w:bar w:val="nil"/>
        </w:pBdr>
        <w:jc w:val="both"/>
        <w:rPr>
          <w:bdr w:val="nil"/>
        </w:rPr>
      </w:pPr>
      <w:r w:rsidRPr="009832FC">
        <w:rPr>
          <w:bdr w:val="nil"/>
        </w:rPr>
        <w:t>The key strategic priority for acute services is to deliver timely access to effective and safe hospital care services while responding to the growing demand of services.</w:t>
      </w:r>
    </w:p>
    <w:p w14:paraId="70D30392" w14:textId="77777777" w:rsidR="009832FC" w:rsidRPr="009832FC" w:rsidRDefault="009832FC" w:rsidP="00527903">
      <w:pPr>
        <w:pBdr>
          <w:top w:val="nil"/>
          <w:left w:val="nil"/>
          <w:bottom w:val="nil"/>
          <w:right w:val="nil"/>
          <w:between w:val="nil"/>
          <w:bar w:val="nil"/>
        </w:pBdr>
        <w:jc w:val="both"/>
        <w:rPr>
          <w:bdr w:val="nil"/>
        </w:rPr>
      </w:pPr>
      <w:r w:rsidRPr="009832FC">
        <w:rPr>
          <w:bdr w:val="nil"/>
        </w:rPr>
        <w:t>This means focusing on:</w:t>
      </w:r>
    </w:p>
    <w:p w14:paraId="6A3CE595" w14:textId="77777777" w:rsidR="009832FC" w:rsidRPr="009832FC" w:rsidRDefault="009832FC" w:rsidP="00812F22">
      <w:pPr>
        <w:numPr>
          <w:ilvl w:val="0"/>
          <w:numId w:val="60"/>
        </w:numPr>
        <w:pBdr>
          <w:top w:val="nil"/>
          <w:left w:val="nil"/>
          <w:bottom w:val="nil"/>
          <w:right w:val="nil"/>
          <w:between w:val="nil"/>
          <w:bar w:val="nil"/>
        </w:pBdr>
        <w:jc w:val="both"/>
        <w:rPr>
          <w:bdr w:val="nil"/>
        </w:rPr>
      </w:pPr>
      <w:r w:rsidRPr="009832FC">
        <w:rPr>
          <w:bdr w:val="nil"/>
        </w:rPr>
        <w:t xml:space="preserve">strategies to improve access to services, including for the emergency department and elective surgery; and </w:t>
      </w:r>
    </w:p>
    <w:p w14:paraId="3D40748C" w14:textId="77777777" w:rsidR="009832FC" w:rsidRPr="009832FC" w:rsidRDefault="009832FC" w:rsidP="00812F22">
      <w:pPr>
        <w:numPr>
          <w:ilvl w:val="0"/>
          <w:numId w:val="60"/>
        </w:numPr>
        <w:pBdr>
          <w:top w:val="nil"/>
          <w:left w:val="nil"/>
          <w:bottom w:val="nil"/>
          <w:right w:val="nil"/>
          <w:between w:val="nil"/>
          <w:bar w:val="nil"/>
        </w:pBdr>
        <w:jc w:val="both"/>
        <w:rPr>
          <w:bdr w:val="nil"/>
        </w:rPr>
      </w:pPr>
      <w:r w:rsidRPr="009832FC">
        <w:rPr>
          <w:bdr w:val="nil"/>
        </w:rPr>
        <w:t>continuing to increase the efficiency of acute care services.</w:t>
      </w:r>
    </w:p>
    <w:p w14:paraId="6CC3FC84" w14:textId="77777777" w:rsidR="009832FC" w:rsidRPr="009832FC" w:rsidRDefault="009832FC" w:rsidP="009832FC">
      <w:pPr>
        <w:keepNext/>
        <w:keepLines/>
        <w:spacing w:before="240"/>
        <w:rPr>
          <w:b/>
          <w:bCs/>
          <w:color w:val="000000"/>
          <w:sz w:val="22"/>
          <w:szCs w:val="18"/>
          <w:bdr w:val="nil"/>
        </w:rPr>
      </w:pPr>
      <w:r w:rsidRPr="009832FC">
        <w:rPr>
          <w:b/>
          <w:bCs/>
          <w:color w:val="000000"/>
          <w:sz w:val="22"/>
          <w:szCs w:val="18"/>
          <w:bdr w:val="nil"/>
        </w:rPr>
        <w:lastRenderedPageBreak/>
        <w:t>Table 14: Output 1.1:  Acute Services</w:t>
      </w:r>
    </w:p>
    <w:tbl>
      <w:tblPr>
        <w:tblW w:w="9060" w:type="dxa"/>
        <w:tblLayout w:type="fixed"/>
        <w:tblLook w:val="0600" w:firstRow="0" w:lastRow="0" w:firstColumn="0" w:lastColumn="0" w:noHBand="1" w:noVBand="1"/>
      </w:tblPr>
      <w:tblGrid>
        <w:gridCol w:w="4695"/>
        <w:gridCol w:w="540"/>
        <w:gridCol w:w="2175"/>
        <w:gridCol w:w="1650"/>
      </w:tblGrid>
      <w:tr w:rsidR="009832FC" w:rsidRPr="009832FC" w14:paraId="00C88714" w14:textId="77777777" w:rsidTr="00EB585F">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tcPr>
          <w:p w14:paraId="35BB561B" w14:textId="77777777" w:rsidR="009832FC" w:rsidRPr="009832FC" w:rsidRDefault="009832FC" w:rsidP="009832FC">
            <w:pPr>
              <w:keepNext/>
              <w:keepLines/>
              <w:pBdr>
                <w:top w:val="nil"/>
                <w:left w:val="nil"/>
                <w:bottom w:val="nil"/>
                <w:right w:val="nil"/>
                <w:between w:val="nil"/>
                <w:bar w:val="nil"/>
              </w:pBdr>
              <w:spacing w:before="0" w:after="0"/>
              <w:rPr>
                <w:rFonts w:eastAsia="Calibri" w:cs="Calibri"/>
                <w:color w:val="000000"/>
                <w:sz w:val="20"/>
                <w:bdr w:val="nil"/>
              </w:rPr>
            </w:pPr>
          </w:p>
        </w:tc>
        <w:tc>
          <w:tcPr>
            <w:tcW w:w="540" w:type="dxa"/>
            <w:tcBorders>
              <w:top w:val="single" w:sz="4" w:space="0" w:color="000000"/>
              <w:left w:val="nil"/>
              <w:bottom w:val="nil"/>
              <w:right w:val="nil"/>
            </w:tcBorders>
            <w:noWrap/>
            <w:tcMar>
              <w:top w:w="0" w:type="dxa"/>
              <w:left w:w="40" w:type="dxa"/>
              <w:bottom w:w="0" w:type="dxa"/>
              <w:right w:w="40" w:type="dxa"/>
            </w:tcMar>
          </w:tcPr>
          <w:p w14:paraId="6EE310EA" w14:textId="77777777" w:rsidR="009832FC" w:rsidRPr="009832FC" w:rsidRDefault="009832FC" w:rsidP="009832FC">
            <w:pPr>
              <w:keepNext/>
              <w:keepLines/>
              <w:pBdr>
                <w:top w:val="nil"/>
                <w:left w:val="nil"/>
                <w:bottom w:val="nil"/>
                <w:right w:val="nil"/>
                <w:between w:val="nil"/>
                <w:bar w:val="nil"/>
              </w:pBdr>
              <w:spacing w:before="0" w:after="0"/>
              <w:rPr>
                <w:rFonts w:eastAsia="Calibri" w:cs="Calibri"/>
                <w:color w:val="000000"/>
                <w:sz w:val="20"/>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180CC950"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2020-21</w:t>
            </w:r>
          </w:p>
          <w:p w14:paraId="3D93AF8B" w14:textId="77777777" w:rsidR="009832FC" w:rsidRPr="009832FC" w:rsidRDefault="009832FC" w:rsidP="009832FC">
            <w:pPr>
              <w:keepNext/>
              <w:keepLines/>
              <w:pBdr>
                <w:top w:val="nil"/>
                <w:left w:val="nil"/>
                <w:bottom w:val="nil"/>
                <w:right w:val="nil"/>
                <w:between w:val="nil"/>
                <w:bar w:val="nil"/>
              </w:pBdr>
              <w:spacing w:before="0" w:after="0"/>
              <w:jc w:val="right"/>
              <w:rPr>
                <w:rFonts w:eastAsia="Calibri" w:cs="Calibri"/>
                <w:b/>
                <w:color w:val="000000"/>
                <w:sz w:val="20"/>
                <w:bdr w:val="nil"/>
              </w:rPr>
            </w:pPr>
          </w:p>
        </w:tc>
        <w:tc>
          <w:tcPr>
            <w:tcW w:w="1650" w:type="dxa"/>
            <w:tcBorders>
              <w:top w:val="single" w:sz="4" w:space="0" w:color="000000"/>
              <w:left w:val="nil"/>
              <w:bottom w:val="nil"/>
              <w:right w:val="nil"/>
            </w:tcBorders>
            <w:noWrap/>
            <w:tcMar>
              <w:top w:w="0" w:type="dxa"/>
              <w:left w:w="40" w:type="dxa"/>
              <w:bottom w:w="0" w:type="dxa"/>
              <w:right w:w="40" w:type="dxa"/>
            </w:tcMar>
            <w:hideMark/>
          </w:tcPr>
          <w:p w14:paraId="65C24B26"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2021-22</w:t>
            </w:r>
          </w:p>
          <w:p w14:paraId="69C9E0F8" w14:textId="77777777" w:rsidR="009832FC" w:rsidRPr="009832FC" w:rsidRDefault="009832FC" w:rsidP="009832FC">
            <w:pPr>
              <w:keepNext/>
              <w:keepLines/>
              <w:pBdr>
                <w:top w:val="nil"/>
                <w:left w:val="nil"/>
                <w:bottom w:val="nil"/>
                <w:right w:val="nil"/>
                <w:between w:val="nil"/>
                <w:bar w:val="nil"/>
              </w:pBdr>
              <w:spacing w:before="0" w:after="0"/>
              <w:jc w:val="right"/>
              <w:rPr>
                <w:rFonts w:eastAsia="Calibri" w:cs="Calibri"/>
                <w:b/>
                <w:color w:val="000000"/>
                <w:sz w:val="20"/>
                <w:bdr w:val="nil"/>
              </w:rPr>
            </w:pPr>
          </w:p>
        </w:tc>
      </w:tr>
      <w:tr w:rsidR="009832FC" w:rsidRPr="009832FC" w14:paraId="1E470E9B" w14:textId="77777777" w:rsidTr="00EB585F">
        <w:trPr>
          <w:trHeight w:val="240"/>
        </w:trPr>
        <w:tc>
          <w:tcPr>
            <w:tcW w:w="4695" w:type="dxa"/>
            <w:noWrap/>
            <w:tcMar>
              <w:top w:w="0" w:type="dxa"/>
              <w:left w:w="40" w:type="dxa"/>
              <w:bottom w:w="0" w:type="dxa"/>
              <w:right w:w="40" w:type="dxa"/>
            </w:tcMar>
          </w:tcPr>
          <w:p w14:paraId="27F2BCD8" w14:textId="77777777" w:rsidR="009832FC" w:rsidRPr="009832FC" w:rsidRDefault="009832FC" w:rsidP="009832FC">
            <w:pPr>
              <w:keepNext/>
              <w:keepLines/>
              <w:pBdr>
                <w:top w:val="nil"/>
                <w:left w:val="nil"/>
                <w:bottom w:val="nil"/>
                <w:right w:val="nil"/>
                <w:between w:val="nil"/>
                <w:bar w:val="nil"/>
              </w:pBdr>
              <w:spacing w:before="0" w:after="0"/>
              <w:rPr>
                <w:rFonts w:eastAsia="Calibri" w:cs="Calibri"/>
                <w:color w:val="000000"/>
                <w:sz w:val="20"/>
                <w:bdr w:val="nil"/>
              </w:rPr>
            </w:pPr>
          </w:p>
        </w:tc>
        <w:tc>
          <w:tcPr>
            <w:tcW w:w="540" w:type="dxa"/>
            <w:noWrap/>
            <w:tcMar>
              <w:top w:w="0" w:type="dxa"/>
              <w:left w:w="40" w:type="dxa"/>
              <w:bottom w:w="0" w:type="dxa"/>
              <w:right w:w="40" w:type="dxa"/>
            </w:tcMar>
          </w:tcPr>
          <w:p w14:paraId="26437540" w14:textId="77777777" w:rsidR="009832FC" w:rsidRPr="009832FC" w:rsidRDefault="009832FC" w:rsidP="009832FC">
            <w:pPr>
              <w:keepNext/>
              <w:keepLines/>
              <w:pBdr>
                <w:top w:val="nil"/>
                <w:left w:val="nil"/>
                <w:bottom w:val="nil"/>
                <w:right w:val="nil"/>
                <w:between w:val="nil"/>
                <w:bar w:val="nil"/>
              </w:pBdr>
              <w:spacing w:before="0" w:after="0"/>
              <w:rPr>
                <w:rFonts w:eastAsia="Calibri" w:cs="Calibri"/>
                <w:color w:val="000000"/>
                <w:sz w:val="20"/>
                <w:bdr w:val="nil"/>
              </w:rPr>
            </w:pPr>
          </w:p>
        </w:tc>
        <w:tc>
          <w:tcPr>
            <w:tcW w:w="2175" w:type="dxa"/>
            <w:tcMar>
              <w:top w:w="0" w:type="dxa"/>
              <w:left w:w="40" w:type="dxa"/>
              <w:bottom w:w="0" w:type="dxa"/>
              <w:right w:w="40" w:type="dxa"/>
            </w:tcMar>
            <w:hideMark/>
          </w:tcPr>
          <w:p w14:paraId="04F5E1DF" w14:textId="77777777" w:rsidR="009832FC" w:rsidRPr="009832FC" w:rsidRDefault="009832FC" w:rsidP="009832FC">
            <w:pPr>
              <w:keepNext/>
              <w:keepLines/>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Interim Outcome</w:t>
            </w:r>
          </w:p>
        </w:tc>
        <w:tc>
          <w:tcPr>
            <w:tcW w:w="1650" w:type="dxa"/>
            <w:noWrap/>
            <w:tcMar>
              <w:top w:w="0" w:type="dxa"/>
              <w:left w:w="40" w:type="dxa"/>
              <w:bottom w:w="0" w:type="dxa"/>
              <w:right w:w="40" w:type="dxa"/>
            </w:tcMar>
            <w:hideMark/>
          </w:tcPr>
          <w:p w14:paraId="67E6DA06" w14:textId="77777777" w:rsidR="009832FC" w:rsidRPr="009832FC" w:rsidRDefault="009832FC" w:rsidP="009832FC">
            <w:pPr>
              <w:keepNext/>
              <w:keepLines/>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Budget</w:t>
            </w:r>
          </w:p>
        </w:tc>
      </w:tr>
      <w:tr w:rsidR="009832FC" w:rsidRPr="009832FC" w14:paraId="2AE0D034" w14:textId="77777777" w:rsidTr="00EB585F">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27081A31" w14:textId="77777777" w:rsidR="009832FC" w:rsidRPr="009832FC" w:rsidRDefault="009832FC" w:rsidP="009832FC">
            <w:pPr>
              <w:keepNext/>
              <w:keepLines/>
              <w:pBdr>
                <w:top w:val="nil"/>
                <w:left w:val="nil"/>
                <w:bottom w:val="nil"/>
                <w:right w:val="nil"/>
                <w:between w:val="nil"/>
                <w:bar w:val="nil"/>
              </w:pBdr>
              <w:spacing w:before="0" w:after="0"/>
              <w:rPr>
                <w:rFonts w:eastAsia="Calibri" w:cs="Calibri"/>
                <w:color w:val="000000"/>
                <w:sz w:val="20"/>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7CE18105" w14:textId="77777777" w:rsidR="009832FC" w:rsidRPr="009832FC" w:rsidRDefault="009832FC" w:rsidP="009832FC">
            <w:pPr>
              <w:keepNext/>
              <w:keepLines/>
              <w:pBdr>
                <w:top w:val="nil"/>
                <w:left w:val="nil"/>
                <w:bottom w:val="nil"/>
                <w:right w:val="nil"/>
                <w:between w:val="nil"/>
                <w:bar w:val="nil"/>
              </w:pBdr>
              <w:spacing w:before="0" w:after="0"/>
              <w:rPr>
                <w:rFonts w:eastAsia="Calibri" w:cs="Calibri"/>
                <w:color w:val="000000"/>
                <w:sz w:val="20"/>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721F97FF" w14:textId="77777777" w:rsidR="009832FC" w:rsidRPr="009832FC" w:rsidRDefault="009832FC" w:rsidP="009832FC">
            <w:pPr>
              <w:keepNext/>
              <w:keepLines/>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41170327" w14:textId="77777777" w:rsidR="009832FC" w:rsidRPr="009832FC" w:rsidRDefault="009832FC" w:rsidP="009832FC">
            <w:pPr>
              <w:keepNext/>
              <w:keepLines/>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$'000</w:t>
            </w:r>
          </w:p>
        </w:tc>
      </w:tr>
      <w:tr w:rsidR="009832FC" w:rsidRPr="009832FC" w14:paraId="6AC89ADF" w14:textId="77777777" w:rsidTr="00EB585F">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0DA016FD" w14:textId="77777777" w:rsidR="009832FC" w:rsidRPr="009832FC" w:rsidRDefault="009832FC" w:rsidP="009832FC">
            <w:pPr>
              <w:keepNext/>
              <w:keepLines/>
              <w:pBdr>
                <w:top w:val="nil"/>
                <w:left w:val="nil"/>
                <w:bottom w:val="nil"/>
                <w:right w:val="nil"/>
                <w:between w:val="nil"/>
                <w:bar w:val="nil"/>
              </w:pBdr>
              <w:spacing w:before="0" w:after="0"/>
              <w:rPr>
                <w:rFonts w:eastAsia="Calibri" w:cs="Calibri"/>
                <w:color w:val="000000"/>
                <w:sz w:val="20"/>
                <w:bdr w:val="nil"/>
              </w:rPr>
            </w:pPr>
            <w:r w:rsidRPr="009832FC">
              <w:rPr>
                <w:rFonts w:eastAsia="Calibri" w:cs="Calibri"/>
                <w:color w:val="000000"/>
                <w:sz w:val="20"/>
                <w:bdr w:val="nil"/>
              </w:rPr>
              <w:t>Total Cost</w:t>
            </w:r>
          </w:p>
        </w:tc>
        <w:tc>
          <w:tcPr>
            <w:tcW w:w="540" w:type="dxa"/>
            <w:tcBorders>
              <w:top w:val="single" w:sz="4" w:space="0" w:color="000000"/>
              <w:left w:val="nil"/>
              <w:bottom w:val="nil"/>
              <w:right w:val="nil"/>
            </w:tcBorders>
            <w:noWrap/>
            <w:tcMar>
              <w:top w:w="0" w:type="dxa"/>
              <w:left w:w="40" w:type="dxa"/>
              <w:bottom w:w="0" w:type="dxa"/>
              <w:right w:w="40" w:type="dxa"/>
            </w:tcMar>
          </w:tcPr>
          <w:p w14:paraId="519E8EF2" w14:textId="77777777" w:rsidR="009832FC" w:rsidRPr="009832FC" w:rsidRDefault="009832FC" w:rsidP="009832FC">
            <w:pPr>
              <w:keepNext/>
              <w:keepLines/>
              <w:pBdr>
                <w:top w:val="nil"/>
                <w:left w:val="nil"/>
                <w:bottom w:val="nil"/>
                <w:right w:val="nil"/>
                <w:between w:val="nil"/>
                <w:bar w:val="nil"/>
              </w:pBdr>
              <w:spacing w:before="0" w:after="0"/>
              <w:rPr>
                <w:rFonts w:eastAsia="Calibri" w:cs="Calibri"/>
                <w:b/>
                <w:color w:val="000000"/>
                <w:sz w:val="20"/>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4ADECC1B" w14:textId="77777777" w:rsidR="009832FC" w:rsidRPr="009832FC" w:rsidRDefault="009832FC" w:rsidP="009832FC">
            <w:pPr>
              <w:keepNext/>
              <w:keepLines/>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985,100</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6048FAC1" w14:textId="77777777" w:rsidR="009832FC" w:rsidRPr="009832FC" w:rsidRDefault="009832FC" w:rsidP="009832FC">
            <w:pPr>
              <w:keepNext/>
              <w:keepLines/>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1,038,152</w:t>
            </w:r>
          </w:p>
        </w:tc>
      </w:tr>
      <w:tr w:rsidR="009832FC" w:rsidRPr="009832FC" w14:paraId="4F605373" w14:textId="77777777" w:rsidTr="00EB585F">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hideMark/>
          </w:tcPr>
          <w:p w14:paraId="2CEA5845" w14:textId="77777777" w:rsidR="009832FC" w:rsidRPr="009832FC" w:rsidRDefault="009832FC" w:rsidP="009832FC">
            <w:pPr>
              <w:keepNext/>
              <w:keepLines/>
              <w:pBdr>
                <w:top w:val="nil"/>
                <w:left w:val="nil"/>
                <w:bottom w:val="nil"/>
                <w:right w:val="nil"/>
                <w:between w:val="nil"/>
                <w:bar w:val="nil"/>
              </w:pBdr>
              <w:spacing w:before="0" w:after="0"/>
              <w:rPr>
                <w:rFonts w:eastAsia="Calibri" w:cs="Calibri"/>
                <w:color w:val="000000"/>
                <w:sz w:val="20"/>
                <w:bdr w:val="nil"/>
              </w:rPr>
            </w:pPr>
            <w:r w:rsidRPr="009832FC">
              <w:rPr>
                <w:rFonts w:eastAsia="Calibri" w:cs="Calibri"/>
                <w:color w:val="000000"/>
                <w:sz w:val="20"/>
                <w:bdr w:val="nil"/>
              </w:rPr>
              <w:t>Controlled Recurrent Payments</w:t>
            </w:r>
            <w:r w:rsidRPr="009832FC">
              <w:rPr>
                <w:rFonts w:eastAsia="Calibri" w:cs="Calibri"/>
                <w:color w:val="000000"/>
                <w:sz w:val="20"/>
                <w:bdr w:val="nil"/>
                <w:vertAlign w:val="superscript"/>
              </w:rPr>
              <w:t>1</w:t>
            </w:r>
          </w:p>
        </w:tc>
        <w:tc>
          <w:tcPr>
            <w:tcW w:w="540" w:type="dxa"/>
            <w:tcBorders>
              <w:top w:val="nil"/>
              <w:left w:val="nil"/>
              <w:bottom w:val="single" w:sz="4" w:space="0" w:color="000000"/>
              <w:right w:val="nil"/>
            </w:tcBorders>
            <w:noWrap/>
            <w:tcMar>
              <w:top w:w="0" w:type="dxa"/>
              <w:left w:w="40" w:type="dxa"/>
              <w:bottom w:w="0" w:type="dxa"/>
              <w:right w:w="40" w:type="dxa"/>
            </w:tcMar>
          </w:tcPr>
          <w:p w14:paraId="35492144" w14:textId="77777777" w:rsidR="009832FC" w:rsidRPr="009832FC" w:rsidRDefault="009832FC" w:rsidP="009832FC">
            <w:pPr>
              <w:keepNext/>
              <w:keepLines/>
              <w:pBdr>
                <w:top w:val="nil"/>
                <w:left w:val="nil"/>
                <w:bottom w:val="nil"/>
                <w:right w:val="nil"/>
                <w:between w:val="nil"/>
                <w:bar w:val="nil"/>
              </w:pBdr>
              <w:spacing w:before="0" w:after="0"/>
              <w:rPr>
                <w:rFonts w:eastAsia="Calibri" w:cs="Calibri"/>
                <w:b/>
                <w:color w:val="000000"/>
                <w:sz w:val="20"/>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518DEB25" w14:textId="77777777" w:rsidR="009832FC" w:rsidRPr="009832FC" w:rsidRDefault="009832FC" w:rsidP="009832FC">
            <w:pPr>
              <w:keepNext/>
              <w:keepLines/>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4C82C22F" w14:textId="77777777" w:rsidR="009832FC" w:rsidRPr="009832FC" w:rsidRDefault="009832FC" w:rsidP="009832FC">
            <w:pPr>
              <w:keepNext/>
              <w:keepLines/>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w:t>
            </w:r>
          </w:p>
        </w:tc>
      </w:tr>
    </w:tbl>
    <w:p w14:paraId="3D6E3C78" w14:textId="77777777" w:rsidR="009832FC" w:rsidRPr="009832FC" w:rsidRDefault="009832FC" w:rsidP="009832FC">
      <w:pPr>
        <w:keepNext/>
        <w:keepLines/>
        <w:pBdr>
          <w:top w:val="nil"/>
          <w:left w:val="nil"/>
          <w:bottom w:val="nil"/>
          <w:right w:val="nil"/>
          <w:between w:val="nil"/>
          <w:bar w:val="nil"/>
        </w:pBdr>
        <w:spacing w:before="120" w:after="0"/>
        <w:rPr>
          <w:b/>
          <w:sz w:val="18"/>
          <w:szCs w:val="16"/>
          <w:bdr w:val="nil"/>
        </w:rPr>
      </w:pPr>
      <w:r w:rsidRPr="009832FC">
        <w:rPr>
          <w:b/>
          <w:sz w:val="18"/>
          <w:szCs w:val="16"/>
          <w:bdr w:val="nil"/>
        </w:rPr>
        <w:t>Note:</w:t>
      </w:r>
    </w:p>
    <w:p w14:paraId="49128B54" w14:textId="77777777" w:rsidR="009832FC" w:rsidRPr="009832FC" w:rsidRDefault="009832FC" w:rsidP="00812F22">
      <w:pPr>
        <w:keepNext/>
        <w:keepLines/>
        <w:numPr>
          <w:ilvl w:val="0"/>
          <w:numId w:val="39"/>
        </w:numPr>
        <w:pBdr>
          <w:top w:val="nil"/>
          <w:left w:val="nil"/>
          <w:bottom w:val="nil"/>
          <w:right w:val="nil"/>
          <w:between w:val="nil"/>
          <w:bar w:val="nil"/>
        </w:pBdr>
        <w:spacing w:before="0" w:after="0"/>
        <w:ind w:left="360"/>
        <w:jc w:val="both"/>
        <w:rPr>
          <w:sz w:val="18"/>
          <w:szCs w:val="24"/>
          <w:bdr w:val="nil"/>
        </w:rPr>
      </w:pPr>
      <w:r w:rsidRPr="009832FC">
        <w:rPr>
          <w:sz w:val="18"/>
          <w:szCs w:val="24"/>
          <w:bdr w:val="nil"/>
        </w:rPr>
        <w:t>Canberra Health Services receives funding through the Local Hospital Network as Grants and Contributions and not from Controlled Recurrent Payments.</w:t>
      </w:r>
    </w:p>
    <w:p w14:paraId="6777F725" w14:textId="77777777" w:rsidR="009832FC" w:rsidRPr="009832FC" w:rsidRDefault="009832FC" w:rsidP="00527903">
      <w:pPr>
        <w:keepNext/>
        <w:keepLines/>
        <w:pBdr>
          <w:top w:val="nil"/>
          <w:left w:val="nil"/>
          <w:bottom w:val="nil"/>
          <w:right w:val="nil"/>
          <w:between w:val="nil"/>
          <w:bar w:val="nil"/>
        </w:pBdr>
        <w:spacing w:before="240" w:after="120"/>
        <w:jc w:val="both"/>
        <w:outlineLvl w:val="3"/>
        <w:rPr>
          <w:b/>
          <w:i/>
          <w:bdr w:val="nil"/>
        </w:rPr>
      </w:pPr>
      <w:r w:rsidRPr="009832FC">
        <w:rPr>
          <w:b/>
          <w:i/>
          <w:bdr w:val="nil"/>
        </w:rPr>
        <w:t>Output 1.2: Mental Health, Justice Health and Alcohol and Drug Services</w:t>
      </w:r>
    </w:p>
    <w:p w14:paraId="00513A49" w14:textId="12108177" w:rsidR="009832FC" w:rsidRPr="009832FC" w:rsidRDefault="009832FC" w:rsidP="00527903">
      <w:pPr>
        <w:pBdr>
          <w:top w:val="nil"/>
          <w:left w:val="nil"/>
          <w:bottom w:val="nil"/>
          <w:right w:val="nil"/>
          <w:between w:val="nil"/>
          <w:bar w:val="nil"/>
        </w:pBdr>
        <w:jc w:val="both"/>
        <w:rPr>
          <w:bdr w:val="nil"/>
        </w:rPr>
      </w:pPr>
      <w:r w:rsidRPr="009832FC">
        <w:rPr>
          <w:bdr w:val="nil"/>
        </w:rPr>
        <w:t xml:space="preserve">Canberra Health Services provides a range of Mental Health, Justice Health and Alcohol and Drug Services through the public and community sectors in hospitals, community health centres and other community settings, adult and youth </w:t>
      </w:r>
      <w:r w:rsidR="00F54F3E" w:rsidRPr="009832FC">
        <w:rPr>
          <w:bdr w:val="nil"/>
        </w:rPr>
        <w:t>prisons</w:t>
      </w:r>
      <w:r w:rsidRPr="009832FC">
        <w:rPr>
          <w:bdr w:val="nil"/>
        </w:rPr>
        <w:t xml:space="preserve"> and people’s homes across the Territory.  These services work to provide integrated and responsive care to a range of services including hospital-based specialist services, therapeutic rehabilitation, counselling, supported accommodation services and other community-based services.</w:t>
      </w:r>
    </w:p>
    <w:p w14:paraId="4735AEF4" w14:textId="77777777" w:rsidR="009832FC" w:rsidRPr="009832FC" w:rsidRDefault="009832FC" w:rsidP="00527903">
      <w:pPr>
        <w:pBdr>
          <w:top w:val="nil"/>
          <w:left w:val="nil"/>
          <w:bottom w:val="nil"/>
          <w:right w:val="nil"/>
          <w:between w:val="nil"/>
          <w:bar w:val="nil"/>
        </w:pBdr>
        <w:jc w:val="both"/>
        <w:rPr>
          <w:bdr w:val="nil"/>
        </w:rPr>
      </w:pPr>
      <w:r w:rsidRPr="009832FC">
        <w:rPr>
          <w:bdr w:val="nil"/>
        </w:rPr>
        <w:t>The key priorities for Mental Health, Justice Health and Alcohol and Drug Services are ensuring that people’s health needs are met in a timely fashion and that care is integrated across hospital, community, and residential support services.</w:t>
      </w:r>
    </w:p>
    <w:p w14:paraId="71859577" w14:textId="77777777" w:rsidR="009832FC" w:rsidRPr="009832FC" w:rsidRDefault="009832FC" w:rsidP="00527903">
      <w:pPr>
        <w:pBdr>
          <w:top w:val="nil"/>
          <w:left w:val="nil"/>
          <w:bottom w:val="nil"/>
          <w:right w:val="nil"/>
          <w:between w:val="nil"/>
          <w:bar w:val="nil"/>
        </w:pBdr>
        <w:jc w:val="both"/>
        <w:rPr>
          <w:bdr w:val="nil"/>
        </w:rPr>
      </w:pPr>
      <w:r w:rsidRPr="009832FC">
        <w:rPr>
          <w:bdr w:val="nil"/>
        </w:rPr>
        <w:t>This means focusing on:</w:t>
      </w:r>
    </w:p>
    <w:p w14:paraId="2CC3E1C1" w14:textId="77777777" w:rsidR="009832FC" w:rsidRPr="009832FC" w:rsidRDefault="009832FC" w:rsidP="00310E3B">
      <w:pPr>
        <w:numPr>
          <w:ilvl w:val="0"/>
          <w:numId w:val="59"/>
        </w:numPr>
        <w:pBdr>
          <w:top w:val="nil"/>
          <w:left w:val="nil"/>
          <w:bottom w:val="nil"/>
          <w:right w:val="nil"/>
          <w:between w:val="nil"/>
          <w:bar w:val="nil"/>
        </w:pBdr>
        <w:jc w:val="both"/>
        <w:rPr>
          <w:bdr w:val="nil"/>
        </w:rPr>
      </w:pPr>
      <w:r w:rsidRPr="009832FC">
        <w:rPr>
          <w:bdr w:val="nil"/>
        </w:rPr>
        <w:t>ensuring timely access to emergency mental health care;</w:t>
      </w:r>
    </w:p>
    <w:p w14:paraId="71B875C3" w14:textId="77777777" w:rsidR="009832FC" w:rsidRPr="009832FC" w:rsidRDefault="009832FC" w:rsidP="00310E3B">
      <w:pPr>
        <w:numPr>
          <w:ilvl w:val="0"/>
          <w:numId w:val="59"/>
        </w:numPr>
        <w:pBdr>
          <w:top w:val="nil"/>
          <w:left w:val="nil"/>
          <w:bottom w:val="nil"/>
          <w:right w:val="nil"/>
          <w:between w:val="nil"/>
          <w:bar w:val="nil"/>
        </w:pBdr>
        <w:jc w:val="both"/>
        <w:rPr>
          <w:bdr w:val="nil"/>
        </w:rPr>
      </w:pPr>
      <w:r w:rsidRPr="009832FC">
        <w:rPr>
          <w:bdr w:val="nil"/>
        </w:rPr>
        <w:t>ensuring that public and community mental health services in the ACT provide people with appropriate assessment, treatment and care that result in improved mental health outcomes;</w:t>
      </w:r>
    </w:p>
    <w:p w14:paraId="4C8AB313" w14:textId="77777777" w:rsidR="009832FC" w:rsidRPr="009832FC" w:rsidRDefault="009832FC" w:rsidP="00310E3B">
      <w:pPr>
        <w:numPr>
          <w:ilvl w:val="0"/>
          <w:numId w:val="59"/>
        </w:numPr>
        <w:pBdr>
          <w:top w:val="nil"/>
          <w:left w:val="nil"/>
          <w:bottom w:val="nil"/>
          <w:right w:val="nil"/>
          <w:between w:val="nil"/>
          <w:bar w:val="nil"/>
        </w:pBdr>
        <w:jc w:val="both"/>
        <w:rPr>
          <w:bdr w:val="nil"/>
        </w:rPr>
      </w:pPr>
      <w:r w:rsidRPr="009832FC">
        <w:rPr>
          <w:bdr w:val="nil"/>
        </w:rPr>
        <w:t>providing community and hospital-based alcohol and drug services;</w:t>
      </w:r>
    </w:p>
    <w:p w14:paraId="0004B5D9" w14:textId="77777777" w:rsidR="009832FC" w:rsidRPr="009832FC" w:rsidRDefault="009832FC" w:rsidP="00310E3B">
      <w:pPr>
        <w:numPr>
          <w:ilvl w:val="0"/>
          <w:numId w:val="59"/>
        </w:numPr>
        <w:pBdr>
          <w:top w:val="nil"/>
          <w:left w:val="nil"/>
          <w:bottom w:val="nil"/>
          <w:right w:val="nil"/>
          <w:between w:val="nil"/>
          <w:bar w:val="nil"/>
        </w:pBdr>
        <w:jc w:val="both"/>
        <w:rPr>
          <w:bdr w:val="nil"/>
        </w:rPr>
      </w:pPr>
      <w:r w:rsidRPr="009832FC">
        <w:rPr>
          <w:bdr w:val="nil"/>
        </w:rPr>
        <w:t>providing health assessments and care for people detained in corrective facilities; and</w:t>
      </w:r>
    </w:p>
    <w:p w14:paraId="4FC1066B" w14:textId="77777777" w:rsidR="009832FC" w:rsidRPr="009832FC" w:rsidRDefault="009832FC" w:rsidP="00310E3B">
      <w:pPr>
        <w:numPr>
          <w:ilvl w:val="0"/>
          <w:numId w:val="59"/>
        </w:numPr>
        <w:pBdr>
          <w:top w:val="nil"/>
          <w:left w:val="nil"/>
          <w:bottom w:val="nil"/>
          <w:right w:val="nil"/>
          <w:between w:val="nil"/>
          <w:bar w:val="nil"/>
        </w:pBdr>
        <w:jc w:val="both"/>
        <w:rPr>
          <w:bdr w:val="nil"/>
        </w:rPr>
      </w:pPr>
      <w:r w:rsidRPr="009832FC">
        <w:rPr>
          <w:bdr w:val="nil"/>
        </w:rPr>
        <w:t>engagement and liaison with community sector services, primary care and other government agencies providing support and shared care arrangements.</w:t>
      </w:r>
    </w:p>
    <w:p w14:paraId="3B2026BE" w14:textId="77777777" w:rsidR="009832FC" w:rsidRPr="009832FC" w:rsidRDefault="009832FC" w:rsidP="009832FC">
      <w:pPr>
        <w:keepNext/>
        <w:spacing w:before="240"/>
        <w:rPr>
          <w:b/>
          <w:bCs/>
          <w:color w:val="000000"/>
          <w:sz w:val="22"/>
          <w:szCs w:val="18"/>
          <w:bdr w:val="nil"/>
        </w:rPr>
      </w:pPr>
      <w:r w:rsidRPr="009832FC">
        <w:rPr>
          <w:b/>
          <w:bCs/>
          <w:color w:val="000000"/>
          <w:sz w:val="22"/>
          <w:szCs w:val="18"/>
          <w:bdr w:val="nil"/>
        </w:rPr>
        <w:t>Table 15: Output 1.2:  Mental Health, Justice Health and Alcohol and Drug Services</w:t>
      </w:r>
    </w:p>
    <w:tbl>
      <w:tblPr>
        <w:tblW w:w="9060" w:type="dxa"/>
        <w:tblLayout w:type="fixed"/>
        <w:tblLook w:val="0600" w:firstRow="0" w:lastRow="0" w:firstColumn="0" w:lastColumn="0" w:noHBand="1" w:noVBand="1"/>
      </w:tblPr>
      <w:tblGrid>
        <w:gridCol w:w="4695"/>
        <w:gridCol w:w="540"/>
        <w:gridCol w:w="2175"/>
        <w:gridCol w:w="1650"/>
      </w:tblGrid>
      <w:tr w:rsidR="009832FC" w:rsidRPr="009832FC" w14:paraId="3FB92A4E" w14:textId="77777777" w:rsidTr="00EB585F">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tcPr>
          <w:p w14:paraId="5B7B0FA1"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tcBorders>
              <w:top w:val="single" w:sz="4" w:space="0" w:color="000000"/>
              <w:left w:val="nil"/>
              <w:bottom w:val="nil"/>
              <w:right w:val="nil"/>
            </w:tcBorders>
            <w:noWrap/>
            <w:tcMar>
              <w:top w:w="0" w:type="dxa"/>
              <w:left w:w="40" w:type="dxa"/>
              <w:bottom w:w="0" w:type="dxa"/>
              <w:right w:w="40" w:type="dxa"/>
            </w:tcMar>
          </w:tcPr>
          <w:p w14:paraId="1B136DB4"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5364608A"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p w14:paraId="4CD87948"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p>
        </w:tc>
        <w:tc>
          <w:tcPr>
            <w:tcW w:w="1650" w:type="dxa"/>
            <w:tcBorders>
              <w:top w:val="single" w:sz="4" w:space="0" w:color="000000"/>
              <w:left w:val="nil"/>
              <w:bottom w:val="nil"/>
              <w:right w:val="nil"/>
            </w:tcBorders>
            <w:noWrap/>
            <w:tcMar>
              <w:top w:w="0" w:type="dxa"/>
              <w:left w:w="40" w:type="dxa"/>
              <w:bottom w:w="0" w:type="dxa"/>
              <w:right w:w="40" w:type="dxa"/>
            </w:tcMar>
            <w:hideMark/>
          </w:tcPr>
          <w:p w14:paraId="27B18F42"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p w14:paraId="61D1911F"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p>
        </w:tc>
      </w:tr>
      <w:tr w:rsidR="009832FC" w:rsidRPr="009832FC" w14:paraId="22429B53" w14:textId="77777777" w:rsidTr="00EB585F">
        <w:trPr>
          <w:trHeight w:val="240"/>
        </w:trPr>
        <w:tc>
          <w:tcPr>
            <w:tcW w:w="4695" w:type="dxa"/>
            <w:noWrap/>
            <w:tcMar>
              <w:top w:w="0" w:type="dxa"/>
              <w:left w:w="40" w:type="dxa"/>
              <w:bottom w:w="0" w:type="dxa"/>
              <w:right w:w="40" w:type="dxa"/>
            </w:tcMar>
          </w:tcPr>
          <w:p w14:paraId="3D98B639"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noWrap/>
            <w:tcMar>
              <w:top w:w="0" w:type="dxa"/>
              <w:left w:w="40" w:type="dxa"/>
              <w:bottom w:w="0" w:type="dxa"/>
              <w:right w:w="40" w:type="dxa"/>
            </w:tcMar>
          </w:tcPr>
          <w:p w14:paraId="269371EA"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5" w:type="dxa"/>
            <w:tcMar>
              <w:top w:w="0" w:type="dxa"/>
              <w:left w:w="40" w:type="dxa"/>
              <w:bottom w:w="0" w:type="dxa"/>
              <w:right w:w="40" w:type="dxa"/>
            </w:tcMar>
            <w:hideMark/>
          </w:tcPr>
          <w:p w14:paraId="0185E33F"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Interim Outcome</w:t>
            </w:r>
          </w:p>
        </w:tc>
        <w:tc>
          <w:tcPr>
            <w:tcW w:w="1650" w:type="dxa"/>
            <w:noWrap/>
            <w:tcMar>
              <w:top w:w="0" w:type="dxa"/>
              <w:left w:w="40" w:type="dxa"/>
              <w:bottom w:w="0" w:type="dxa"/>
              <w:right w:w="40" w:type="dxa"/>
            </w:tcMar>
            <w:hideMark/>
          </w:tcPr>
          <w:p w14:paraId="086B9512"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Budget</w:t>
            </w:r>
          </w:p>
        </w:tc>
      </w:tr>
      <w:tr w:rsidR="009832FC" w:rsidRPr="009832FC" w14:paraId="0DA70F71" w14:textId="77777777" w:rsidTr="00EB585F">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704D7E94"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67FDD788"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104263E3"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5DFEA905"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$'000</w:t>
            </w:r>
          </w:p>
        </w:tc>
      </w:tr>
      <w:tr w:rsidR="009832FC" w:rsidRPr="009832FC" w14:paraId="3BA3A194" w14:textId="77777777" w:rsidTr="00EB585F">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5D0827BC"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r w:rsidRPr="009832FC">
              <w:rPr>
                <w:rFonts w:eastAsia="Calibri" w:cs="Calibri"/>
                <w:color w:val="000000"/>
                <w:sz w:val="20"/>
                <w:bdr w:val="nil"/>
              </w:rPr>
              <w:t>Total Cost</w:t>
            </w:r>
          </w:p>
        </w:tc>
        <w:tc>
          <w:tcPr>
            <w:tcW w:w="540" w:type="dxa"/>
            <w:tcBorders>
              <w:top w:val="single" w:sz="4" w:space="0" w:color="000000"/>
              <w:left w:val="nil"/>
              <w:bottom w:val="nil"/>
              <w:right w:val="nil"/>
            </w:tcBorders>
            <w:noWrap/>
            <w:tcMar>
              <w:top w:w="0" w:type="dxa"/>
              <w:left w:w="40" w:type="dxa"/>
              <w:bottom w:w="0" w:type="dxa"/>
              <w:right w:w="40" w:type="dxa"/>
            </w:tcMar>
          </w:tcPr>
          <w:p w14:paraId="1CE92E4B" w14:textId="77777777" w:rsidR="009832FC" w:rsidRPr="009832FC" w:rsidRDefault="009832FC" w:rsidP="009832FC">
            <w:pPr>
              <w:pBdr>
                <w:top w:val="nil"/>
                <w:left w:val="nil"/>
                <w:bottom w:val="nil"/>
                <w:right w:val="nil"/>
                <w:between w:val="nil"/>
                <w:bar w:val="nil"/>
              </w:pBdr>
              <w:spacing w:before="0" w:after="0"/>
              <w:rPr>
                <w:rFonts w:eastAsia="Calibri" w:cs="Calibri"/>
                <w:b/>
                <w:color w:val="000000"/>
                <w:sz w:val="20"/>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38A1A24D"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192,900</w:t>
            </w:r>
          </w:p>
        </w:tc>
        <w:tc>
          <w:tcPr>
            <w:tcW w:w="1650" w:type="dxa"/>
            <w:tcBorders>
              <w:top w:val="single" w:sz="4" w:space="0" w:color="000000"/>
              <w:left w:val="nil"/>
              <w:bottom w:val="nil"/>
              <w:right w:val="nil"/>
            </w:tcBorders>
            <w:shd w:val="clear" w:color="auto" w:fill="auto"/>
            <w:noWrap/>
            <w:tcMar>
              <w:top w:w="0" w:type="dxa"/>
              <w:left w:w="40" w:type="dxa"/>
              <w:bottom w:w="0" w:type="dxa"/>
              <w:right w:w="40" w:type="dxa"/>
            </w:tcMar>
            <w:hideMark/>
          </w:tcPr>
          <w:p w14:paraId="2BDC4083"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209,179</w:t>
            </w:r>
          </w:p>
        </w:tc>
      </w:tr>
      <w:tr w:rsidR="009832FC" w:rsidRPr="009832FC" w14:paraId="128BF6FE" w14:textId="77777777" w:rsidTr="00EB585F">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hideMark/>
          </w:tcPr>
          <w:p w14:paraId="0F7A8941"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r w:rsidRPr="009832FC">
              <w:rPr>
                <w:rFonts w:eastAsia="Calibri" w:cs="Calibri"/>
                <w:color w:val="000000"/>
                <w:sz w:val="20"/>
                <w:bdr w:val="nil"/>
              </w:rPr>
              <w:t>Controlled Recurrent Payments</w:t>
            </w:r>
            <w:r w:rsidRPr="009832FC">
              <w:rPr>
                <w:rFonts w:eastAsia="Calibri" w:cs="Calibri"/>
                <w:color w:val="000000"/>
                <w:sz w:val="20"/>
                <w:bdr w:val="nil"/>
                <w:vertAlign w:val="superscript"/>
              </w:rPr>
              <w:t>1</w:t>
            </w:r>
          </w:p>
        </w:tc>
        <w:tc>
          <w:tcPr>
            <w:tcW w:w="540" w:type="dxa"/>
            <w:tcBorders>
              <w:top w:val="nil"/>
              <w:left w:val="nil"/>
              <w:bottom w:val="single" w:sz="4" w:space="0" w:color="000000"/>
              <w:right w:val="nil"/>
            </w:tcBorders>
            <w:noWrap/>
            <w:tcMar>
              <w:top w:w="0" w:type="dxa"/>
              <w:left w:w="40" w:type="dxa"/>
              <w:bottom w:w="0" w:type="dxa"/>
              <w:right w:w="40" w:type="dxa"/>
            </w:tcMar>
          </w:tcPr>
          <w:p w14:paraId="6AF037F6" w14:textId="77777777" w:rsidR="009832FC" w:rsidRPr="009832FC" w:rsidRDefault="009832FC" w:rsidP="009832FC">
            <w:pPr>
              <w:pBdr>
                <w:top w:val="nil"/>
                <w:left w:val="nil"/>
                <w:bottom w:val="nil"/>
                <w:right w:val="nil"/>
                <w:between w:val="nil"/>
                <w:bar w:val="nil"/>
              </w:pBdr>
              <w:spacing w:before="0" w:after="0"/>
              <w:rPr>
                <w:rFonts w:eastAsia="Calibri" w:cs="Calibri"/>
                <w:b/>
                <w:color w:val="000000"/>
                <w:sz w:val="20"/>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1C9FBECC"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37675746"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w:t>
            </w:r>
          </w:p>
        </w:tc>
      </w:tr>
    </w:tbl>
    <w:p w14:paraId="1E8F2A98" w14:textId="77777777" w:rsidR="009832FC" w:rsidRPr="009832FC" w:rsidRDefault="009832FC" w:rsidP="009832FC">
      <w:pPr>
        <w:keepNext/>
        <w:pBdr>
          <w:top w:val="nil"/>
          <w:left w:val="nil"/>
          <w:bottom w:val="nil"/>
          <w:right w:val="nil"/>
          <w:between w:val="nil"/>
          <w:bar w:val="nil"/>
        </w:pBdr>
        <w:spacing w:before="120" w:after="0"/>
        <w:rPr>
          <w:b/>
          <w:sz w:val="18"/>
          <w:szCs w:val="16"/>
          <w:bdr w:val="nil"/>
        </w:rPr>
      </w:pPr>
      <w:r w:rsidRPr="009832FC">
        <w:rPr>
          <w:b/>
          <w:sz w:val="18"/>
          <w:szCs w:val="16"/>
          <w:bdr w:val="nil"/>
        </w:rPr>
        <w:t>Note:</w:t>
      </w:r>
    </w:p>
    <w:p w14:paraId="7561C529" w14:textId="77777777" w:rsidR="009832FC" w:rsidRPr="009832FC" w:rsidRDefault="009832FC" w:rsidP="00812F22">
      <w:pPr>
        <w:numPr>
          <w:ilvl w:val="0"/>
          <w:numId w:val="40"/>
        </w:numPr>
        <w:pBdr>
          <w:top w:val="nil"/>
          <w:left w:val="nil"/>
          <w:bottom w:val="nil"/>
          <w:right w:val="nil"/>
          <w:between w:val="nil"/>
          <w:bar w:val="nil"/>
        </w:pBdr>
        <w:spacing w:before="0" w:after="0"/>
        <w:ind w:left="360"/>
        <w:jc w:val="both"/>
        <w:rPr>
          <w:sz w:val="18"/>
          <w:szCs w:val="24"/>
          <w:bdr w:val="nil"/>
        </w:rPr>
      </w:pPr>
      <w:r w:rsidRPr="009832FC">
        <w:rPr>
          <w:sz w:val="18"/>
          <w:szCs w:val="24"/>
          <w:bdr w:val="nil"/>
        </w:rPr>
        <w:t>Canberra Health Services receives funding through the Local Hospital Network as Grants and Contributions and not from Controlled Recurrent Payments.</w:t>
      </w:r>
    </w:p>
    <w:p w14:paraId="42D59BB9" w14:textId="77777777" w:rsidR="009832FC" w:rsidRPr="009832FC" w:rsidRDefault="009832FC" w:rsidP="009832FC">
      <w:pPr>
        <w:pBdr>
          <w:top w:val="nil"/>
          <w:left w:val="nil"/>
          <w:bottom w:val="nil"/>
          <w:right w:val="nil"/>
          <w:between w:val="nil"/>
          <w:bar w:val="nil"/>
        </w:pBdr>
        <w:spacing w:before="0" w:after="0"/>
        <w:rPr>
          <w:b/>
          <w:i/>
          <w:bdr w:val="nil"/>
        </w:rPr>
      </w:pPr>
      <w:r w:rsidRPr="009832FC">
        <w:rPr>
          <w:bdr w:val="nil"/>
        </w:rPr>
        <w:br w:type="page"/>
      </w:r>
    </w:p>
    <w:p w14:paraId="17C3DC5B" w14:textId="77777777" w:rsidR="009832FC" w:rsidRPr="009832FC" w:rsidRDefault="009832FC" w:rsidP="009832FC">
      <w:pPr>
        <w:keepLines/>
        <w:pBdr>
          <w:top w:val="nil"/>
          <w:left w:val="nil"/>
          <w:bottom w:val="nil"/>
          <w:right w:val="nil"/>
          <w:between w:val="nil"/>
          <w:bar w:val="nil"/>
        </w:pBdr>
        <w:spacing w:before="240" w:after="120"/>
        <w:outlineLvl w:val="3"/>
        <w:rPr>
          <w:b/>
          <w:i/>
          <w:color w:val="000000"/>
          <w:szCs w:val="24"/>
          <w:bdr w:val="nil"/>
          <w:lang w:eastAsia="en-AU"/>
        </w:rPr>
      </w:pPr>
      <w:r w:rsidRPr="009832FC">
        <w:rPr>
          <w:b/>
          <w:i/>
          <w:bdr w:val="nil"/>
        </w:rPr>
        <w:lastRenderedPageBreak/>
        <w:t>Output 1.3: Cancer Services</w:t>
      </w:r>
    </w:p>
    <w:p w14:paraId="4FE941DC" w14:textId="77777777" w:rsidR="009832FC" w:rsidRPr="009832FC" w:rsidRDefault="009832FC" w:rsidP="00527903">
      <w:pPr>
        <w:pBdr>
          <w:top w:val="nil"/>
          <w:left w:val="nil"/>
          <w:bottom w:val="nil"/>
          <w:right w:val="nil"/>
          <w:between w:val="nil"/>
          <w:bar w:val="nil"/>
        </w:pBdr>
        <w:jc w:val="both"/>
        <w:rPr>
          <w:bdr w:val="nil"/>
        </w:rPr>
      </w:pPr>
      <w:r w:rsidRPr="009832FC">
        <w:rPr>
          <w:bdr w:val="nil"/>
        </w:rPr>
        <w:t>Canberra Health Services provides a comprehensive range of screening, assessment, diagnostic, treatment and palliative care services.  Services are provided in inpatient, outpatient and community settings.</w:t>
      </w:r>
    </w:p>
    <w:p w14:paraId="4290749B" w14:textId="77777777" w:rsidR="009832FC" w:rsidRPr="009832FC" w:rsidRDefault="009832FC" w:rsidP="00527903">
      <w:pPr>
        <w:pBdr>
          <w:top w:val="nil"/>
          <w:left w:val="nil"/>
          <w:bottom w:val="nil"/>
          <w:right w:val="nil"/>
          <w:between w:val="nil"/>
          <w:bar w:val="nil"/>
        </w:pBdr>
        <w:jc w:val="both"/>
        <w:rPr>
          <w:bdr w:val="nil"/>
        </w:rPr>
      </w:pPr>
      <w:r w:rsidRPr="009832FC">
        <w:rPr>
          <w:bdr w:val="nil"/>
        </w:rPr>
        <w:t>The key priorities for cancer care services are early detection and timely access to diagnostic and treatment services.  These include ensuring that population screening rates for breast cancer meet targets, waiting time for access to essential services such as radiotherapy are consistent with agreed benchmarks and there is timely access to chemotherapy and haematological treatments.</w:t>
      </w:r>
    </w:p>
    <w:p w14:paraId="3AD6366D" w14:textId="77777777" w:rsidR="009832FC" w:rsidRPr="009832FC" w:rsidRDefault="009832FC" w:rsidP="009832FC">
      <w:pPr>
        <w:keepNext/>
        <w:spacing w:before="240"/>
        <w:rPr>
          <w:b/>
          <w:bCs/>
          <w:color w:val="000000"/>
          <w:sz w:val="22"/>
          <w:szCs w:val="18"/>
          <w:bdr w:val="nil"/>
        </w:rPr>
      </w:pPr>
      <w:r w:rsidRPr="009832FC">
        <w:rPr>
          <w:b/>
          <w:bCs/>
          <w:color w:val="000000"/>
          <w:sz w:val="22"/>
          <w:szCs w:val="18"/>
          <w:bdr w:val="nil"/>
        </w:rPr>
        <w:t>Table 16: Output 1.3: Cancer Services</w:t>
      </w:r>
    </w:p>
    <w:tbl>
      <w:tblPr>
        <w:tblW w:w="9060" w:type="dxa"/>
        <w:tblLayout w:type="fixed"/>
        <w:tblLook w:val="0600" w:firstRow="0" w:lastRow="0" w:firstColumn="0" w:lastColumn="0" w:noHBand="1" w:noVBand="1"/>
      </w:tblPr>
      <w:tblGrid>
        <w:gridCol w:w="4695"/>
        <w:gridCol w:w="540"/>
        <w:gridCol w:w="2175"/>
        <w:gridCol w:w="1650"/>
      </w:tblGrid>
      <w:tr w:rsidR="009832FC" w:rsidRPr="009832FC" w14:paraId="336DF971" w14:textId="77777777" w:rsidTr="00EB585F">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tcPr>
          <w:p w14:paraId="46F2BE73"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tcBorders>
              <w:top w:val="single" w:sz="4" w:space="0" w:color="000000"/>
              <w:left w:val="nil"/>
              <w:bottom w:val="nil"/>
              <w:right w:val="nil"/>
            </w:tcBorders>
            <w:noWrap/>
            <w:tcMar>
              <w:top w:w="0" w:type="dxa"/>
              <w:left w:w="40" w:type="dxa"/>
              <w:bottom w:w="0" w:type="dxa"/>
              <w:right w:w="40" w:type="dxa"/>
            </w:tcMar>
          </w:tcPr>
          <w:p w14:paraId="69812D39"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1BB0CFAE"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p w14:paraId="691C163B"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p>
        </w:tc>
        <w:tc>
          <w:tcPr>
            <w:tcW w:w="1650" w:type="dxa"/>
            <w:tcBorders>
              <w:top w:val="single" w:sz="4" w:space="0" w:color="000000"/>
              <w:left w:val="nil"/>
              <w:bottom w:val="nil"/>
              <w:right w:val="nil"/>
            </w:tcBorders>
            <w:noWrap/>
            <w:tcMar>
              <w:top w:w="0" w:type="dxa"/>
              <w:left w:w="40" w:type="dxa"/>
              <w:bottom w:w="0" w:type="dxa"/>
              <w:right w:w="40" w:type="dxa"/>
            </w:tcMar>
            <w:hideMark/>
          </w:tcPr>
          <w:p w14:paraId="758DD555"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p w14:paraId="5D3E2067"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p>
        </w:tc>
      </w:tr>
      <w:tr w:rsidR="009832FC" w:rsidRPr="009832FC" w14:paraId="148DD2E6" w14:textId="77777777" w:rsidTr="00EB585F">
        <w:trPr>
          <w:trHeight w:val="240"/>
        </w:trPr>
        <w:tc>
          <w:tcPr>
            <w:tcW w:w="4695" w:type="dxa"/>
            <w:noWrap/>
            <w:tcMar>
              <w:top w:w="0" w:type="dxa"/>
              <w:left w:w="40" w:type="dxa"/>
              <w:bottom w:w="0" w:type="dxa"/>
              <w:right w:w="40" w:type="dxa"/>
            </w:tcMar>
          </w:tcPr>
          <w:p w14:paraId="1D073EB7"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noWrap/>
            <w:tcMar>
              <w:top w:w="0" w:type="dxa"/>
              <w:left w:w="40" w:type="dxa"/>
              <w:bottom w:w="0" w:type="dxa"/>
              <w:right w:w="40" w:type="dxa"/>
            </w:tcMar>
          </w:tcPr>
          <w:p w14:paraId="39FDC414"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5" w:type="dxa"/>
            <w:tcMar>
              <w:top w:w="0" w:type="dxa"/>
              <w:left w:w="40" w:type="dxa"/>
              <w:bottom w:w="0" w:type="dxa"/>
              <w:right w:w="40" w:type="dxa"/>
            </w:tcMar>
            <w:hideMark/>
          </w:tcPr>
          <w:p w14:paraId="575805B0"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Interim Outcome</w:t>
            </w:r>
          </w:p>
        </w:tc>
        <w:tc>
          <w:tcPr>
            <w:tcW w:w="1650" w:type="dxa"/>
            <w:noWrap/>
            <w:tcMar>
              <w:top w:w="0" w:type="dxa"/>
              <w:left w:w="40" w:type="dxa"/>
              <w:bottom w:w="0" w:type="dxa"/>
              <w:right w:w="40" w:type="dxa"/>
            </w:tcMar>
            <w:hideMark/>
          </w:tcPr>
          <w:p w14:paraId="66DF0348"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Budget</w:t>
            </w:r>
          </w:p>
        </w:tc>
      </w:tr>
      <w:tr w:rsidR="009832FC" w:rsidRPr="009832FC" w14:paraId="09A4B63D" w14:textId="77777777" w:rsidTr="00EB585F">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1FE0910E"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05299537"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274E0B44"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7812F097"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$'000</w:t>
            </w:r>
          </w:p>
        </w:tc>
      </w:tr>
      <w:tr w:rsidR="009832FC" w:rsidRPr="009832FC" w14:paraId="0349CAC2" w14:textId="77777777" w:rsidTr="00EB585F">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0EEFEC7F"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r w:rsidRPr="009832FC">
              <w:rPr>
                <w:rFonts w:eastAsia="Calibri" w:cs="Calibri"/>
                <w:color w:val="000000"/>
                <w:sz w:val="20"/>
                <w:bdr w:val="nil"/>
              </w:rPr>
              <w:t>Total Cost</w:t>
            </w:r>
          </w:p>
        </w:tc>
        <w:tc>
          <w:tcPr>
            <w:tcW w:w="540" w:type="dxa"/>
            <w:tcBorders>
              <w:top w:val="single" w:sz="4" w:space="0" w:color="000000"/>
              <w:left w:val="nil"/>
              <w:bottom w:val="nil"/>
              <w:right w:val="nil"/>
            </w:tcBorders>
            <w:noWrap/>
            <w:tcMar>
              <w:top w:w="0" w:type="dxa"/>
              <w:left w:w="40" w:type="dxa"/>
              <w:bottom w:w="0" w:type="dxa"/>
              <w:right w:w="40" w:type="dxa"/>
            </w:tcMar>
          </w:tcPr>
          <w:p w14:paraId="25508FAB" w14:textId="77777777" w:rsidR="009832FC" w:rsidRPr="009832FC" w:rsidRDefault="009832FC" w:rsidP="009832FC">
            <w:pPr>
              <w:pBdr>
                <w:top w:val="nil"/>
                <w:left w:val="nil"/>
                <w:bottom w:val="nil"/>
                <w:right w:val="nil"/>
                <w:between w:val="nil"/>
                <w:bar w:val="nil"/>
              </w:pBdr>
              <w:spacing w:before="0" w:after="0"/>
              <w:rPr>
                <w:rFonts w:eastAsia="Calibri" w:cs="Calibri"/>
                <w:b/>
                <w:color w:val="000000"/>
                <w:sz w:val="20"/>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1EA44A32"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85,986</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1FBF270C"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88,497</w:t>
            </w:r>
          </w:p>
        </w:tc>
      </w:tr>
      <w:tr w:rsidR="009832FC" w:rsidRPr="009832FC" w14:paraId="2E177792" w14:textId="77777777" w:rsidTr="00EB585F">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hideMark/>
          </w:tcPr>
          <w:p w14:paraId="40F42E52"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r w:rsidRPr="009832FC">
              <w:rPr>
                <w:rFonts w:eastAsia="Calibri" w:cs="Calibri"/>
                <w:color w:val="000000"/>
                <w:sz w:val="20"/>
                <w:bdr w:val="nil"/>
              </w:rPr>
              <w:t>Controlled Recurrent Payments</w:t>
            </w:r>
            <w:r w:rsidRPr="009832FC">
              <w:rPr>
                <w:rFonts w:eastAsia="Calibri" w:cs="Calibri"/>
                <w:color w:val="000000"/>
                <w:sz w:val="20"/>
                <w:bdr w:val="nil"/>
                <w:vertAlign w:val="superscript"/>
              </w:rPr>
              <w:t>1</w:t>
            </w:r>
          </w:p>
        </w:tc>
        <w:tc>
          <w:tcPr>
            <w:tcW w:w="540" w:type="dxa"/>
            <w:tcBorders>
              <w:top w:val="nil"/>
              <w:left w:val="nil"/>
              <w:bottom w:val="single" w:sz="4" w:space="0" w:color="000000"/>
              <w:right w:val="nil"/>
            </w:tcBorders>
            <w:noWrap/>
            <w:tcMar>
              <w:top w:w="0" w:type="dxa"/>
              <w:left w:w="40" w:type="dxa"/>
              <w:bottom w:w="0" w:type="dxa"/>
              <w:right w:w="40" w:type="dxa"/>
            </w:tcMar>
          </w:tcPr>
          <w:p w14:paraId="72A1E252" w14:textId="77777777" w:rsidR="009832FC" w:rsidRPr="009832FC" w:rsidRDefault="009832FC" w:rsidP="009832FC">
            <w:pPr>
              <w:pBdr>
                <w:top w:val="nil"/>
                <w:left w:val="nil"/>
                <w:bottom w:val="nil"/>
                <w:right w:val="nil"/>
                <w:between w:val="nil"/>
                <w:bar w:val="nil"/>
              </w:pBdr>
              <w:spacing w:before="0" w:after="0"/>
              <w:rPr>
                <w:rFonts w:eastAsia="Calibri" w:cs="Calibri"/>
                <w:b/>
                <w:color w:val="000000"/>
                <w:sz w:val="20"/>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47744F29"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540DBCF9"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w:t>
            </w:r>
          </w:p>
        </w:tc>
      </w:tr>
    </w:tbl>
    <w:p w14:paraId="5552F115" w14:textId="77777777" w:rsidR="009832FC" w:rsidRPr="009832FC" w:rsidRDefault="009832FC" w:rsidP="009832FC">
      <w:pPr>
        <w:keepNext/>
        <w:pBdr>
          <w:top w:val="nil"/>
          <w:left w:val="nil"/>
          <w:bottom w:val="nil"/>
          <w:right w:val="nil"/>
          <w:between w:val="nil"/>
          <w:bar w:val="nil"/>
        </w:pBdr>
        <w:spacing w:before="120" w:after="0"/>
        <w:rPr>
          <w:b/>
          <w:sz w:val="18"/>
          <w:szCs w:val="16"/>
          <w:bdr w:val="nil"/>
        </w:rPr>
      </w:pPr>
      <w:r w:rsidRPr="009832FC">
        <w:rPr>
          <w:b/>
          <w:sz w:val="18"/>
          <w:szCs w:val="16"/>
          <w:bdr w:val="nil"/>
        </w:rPr>
        <w:t>Note:</w:t>
      </w:r>
    </w:p>
    <w:p w14:paraId="69F792AF" w14:textId="77777777" w:rsidR="009832FC" w:rsidRPr="009832FC" w:rsidRDefault="009832FC" w:rsidP="00812F22">
      <w:pPr>
        <w:numPr>
          <w:ilvl w:val="0"/>
          <w:numId w:val="41"/>
        </w:numPr>
        <w:pBdr>
          <w:top w:val="nil"/>
          <w:left w:val="nil"/>
          <w:bottom w:val="nil"/>
          <w:right w:val="nil"/>
          <w:between w:val="nil"/>
          <w:bar w:val="nil"/>
        </w:pBdr>
        <w:spacing w:before="0" w:after="0"/>
        <w:ind w:left="360"/>
        <w:jc w:val="both"/>
        <w:rPr>
          <w:sz w:val="18"/>
          <w:szCs w:val="24"/>
          <w:bdr w:val="nil"/>
        </w:rPr>
      </w:pPr>
      <w:r w:rsidRPr="009832FC">
        <w:rPr>
          <w:sz w:val="18"/>
          <w:szCs w:val="24"/>
          <w:bdr w:val="nil"/>
        </w:rPr>
        <w:t>Canberra Health Services receives funding through the Local Hospital Network as Grants and Contributions and not from Controlled Recurrent Payments.</w:t>
      </w:r>
    </w:p>
    <w:p w14:paraId="59C33E88" w14:textId="77777777" w:rsidR="009832FC" w:rsidRPr="009832FC" w:rsidRDefault="009832FC" w:rsidP="009832FC">
      <w:pPr>
        <w:keepNext/>
        <w:keepLines/>
        <w:pBdr>
          <w:top w:val="nil"/>
          <w:left w:val="nil"/>
          <w:bottom w:val="nil"/>
          <w:right w:val="nil"/>
          <w:between w:val="nil"/>
          <w:bar w:val="nil"/>
        </w:pBdr>
        <w:spacing w:before="240" w:after="120"/>
        <w:outlineLvl w:val="3"/>
        <w:rPr>
          <w:b/>
          <w:i/>
          <w:bdr w:val="nil"/>
        </w:rPr>
      </w:pPr>
      <w:r w:rsidRPr="009832FC">
        <w:rPr>
          <w:b/>
          <w:i/>
          <w:bdr w:val="nil"/>
        </w:rPr>
        <w:t xml:space="preserve">Output 1.4: </w:t>
      </w:r>
      <w:bookmarkStart w:id="71" w:name="_Hlk9428751"/>
      <w:r w:rsidRPr="009832FC">
        <w:rPr>
          <w:b/>
          <w:i/>
          <w:bdr w:val="nil"/>
        </w:rPr>
        <w:t>Subacute and Community Services</w:t>
      </w:r>
      <w:bookmarkEnd w:id="71"/>
    </w:p>
    <w:p w14:paraId="3242C405" w14:textId="3E2A0601" w:rsidR="009832FC" w:rsidRPr="009832FC" w:rsidRDefault="009832FC" w:rsidP="00527903">
      <w:pPr>
        <w:pBdr>
          <w:top w:val="nil"/>
          <w:left w:val="nil"/>
          <w:bottom w:val="nil"/>
          <w:right w:val="nil"/>
          <w:between w:val="nil"/>
          <w:bar w:val="nil"/>
        </w:pBdr>
        <w:jc w:val="both"/>
        <w:rPr>
          <w:bdr w:val="nil"/>
        </w:rPr>
      </w:pPr>
      <w:r w:rsidRPr="009832FC">
        <w:rPr>
          <w:bdr w:val="nil"/>
        </w:rPr>
        <w:t xml:space="preserve">The provision </w:t>
      </w:r>
      <w:r w:rsidRPr="009832FC">
        <w:rPr>
          <w:color w:val="000000"/>
          <w:bdr w:val="nil"/>
        </w:rPr>
        <w:t>of timely and effective, coordinated and comprehensive services which optimise the functionality and quality of life of patients. Following illness, injury or surgery, subacute services enable individuals to safely transition to community living. Community based services sees care delivered safely and closely to where people live</w:t>
      </w:r>
      <w:r w:rsidRPr="009832FC">
        <w:rPr>
          <w:bdr w:val="nil"/>
        </w:rPr>
        <w:t>.</w:t>
      </w:r>
    </w:p>
    <w:p w14:paraId="4666BAC6" w14:textId="77777777" w:rsidR="009832FC" w:rsidRPr="009832FC" w:rsidRDefault="009832FC" w:rsidP="00527903">
      <w:pPr>
        <w:pBdr>
          <w:top w:val="nil"/>
          <w:left w:val="nil"/>
          <w:bottom w:val="nil"/>
          <w:right w:val="nil"/>
          <w:between w:val="nil"/>
          <w:bar w:val="nil"/>
        </w:pBdr>
        <w:jc w:val="both"/>
        <w:rPr>
          <w:bdr w:val="nil"/>
        </w:rPr>
      </w:pPr>
      <w:r w:rsidRPr="009832FC">
        <w:rPr>
          <w:bdr w:val="nil"/>
        </w:rPr>
        <w:t>The key priorities for Subacute and Community Services are:</w:t>
      </w:r>
    </w:p>
    <w:p w14:paraId="6E18184A" w14:textId="553D9718" w:rsidR="009832FC" w:rsidRPr="009832FC" w:rsidRDefault="009832FC" w:rsidP="00310E3B">
      <w:pPr>
        <w:numPr>
          <w:ilvl w:val="0"/>
          <w:numId w:val="60"/>
        </w:numPr>
        <w:pBdr>
          <w:top w:val="nil"/>
          <w:left w:val="nil"/>
          <w:bottom w:val="nil"/>
          <w:right w:val="nil"/>
          <w:between w:val="nil"/>
          <w:bar w:val="nil"/>
        </w:pBdr>
        <w:jc w:val="both"/>
        <w:rPr>
          <w:bdr w:val="nil"/>
        </w:rPr>
      </w:pPr>
      <w:r w:rsidRPr="009832FC">
        <w:rPr>
          <w:bdr w:val="nil"/>
        </w:rPr>
        <w:t>ensuring consistent and timely access to appropriate care and services, based on clinical need. This includes the efficient and appropriate transfer of people from acute to subacute settings, rehabilitation and ensuring community-based services are in place to support health</w:t>
      </w:r>
      <w:r w:rsidR="0024569E">
        <w:rPr>
          <w:bdr w:val="nil"/>
        </w:rPr>
        <w:t xml:space="preserve"> </w:t>
      </w:r>
      <w:r w:rsidRPr="009832FC">
        <w:rPr>
          <w:bdr w:val="nil"/>
        </w:rPr>
        <w:t>care needs;</w:t>
      </w:r>
    </w:p>
    <w:p w14:paraId="2D68D156" w14:textId="77777777" w:rsidR="009832FC" w:rsidRPr="009832FC" w:rsidRDefault="009832FC" w:rsidP="00310E3B">
      <w:pPr>
        <w:numPr>
          <w:ilvl w:val="0"/>
          <w:numId w:val="60"/>
        </w:numPr>
        <w:pBdr>
          <w:top w:val="nil"/>
          <w:left w:val="nil"/>
          <w:bottom w:val="nil"/>
          <w:right w:val="nil"/>
          <w:between w:val="nil"/>
          <w:bar w:val="nil"/>
        </w:pBdr>
        <w:jc w:val="both"/>
        <w:rPr>
          <w:bdr w:val="nil"/>
        </w:rPr>
      </w:pPr>
      <w:r w:rsidRPr="009832FC">
        <w:rPr>
          <w:bdr w:val="nil"/>
        </w:rPr>
        <w:t>ensuring effective planning for discharge and care planning occurs, including comprehensive aged care assessment where necessary, in order to provide appropriate support for independent living and minimise unplanned readmissions to hospital;</w:t>
      </w:r>
    </w:p>
    <w:p w14:paraId="29338CDC" w14:textId="77777777" w:rsidR="009832FC" w:rsidRPr="009832FC" w:rsidRDefault="009832FC" w:rsidP="00310E3B">
      <w:pPr>
        <w:numPr>
          <w:ilvl w:val="0"/>
          <w:numId w:val="60"/>
        </w:numPr>
        <w:pBdr>
          <w:top w:val="nil"/>
          <w:left w:val="nil"/>
          <w:bottom w:val="nil"/>
          <w:right w:val="nil"/>
          <w:between w:val="nil"/>
          <w:bar w:val="nil"/>
        </w:pBdr>
        <w:jc w:val="both"/>
        <w:rPr>
          <w:bdr w:val="nil"/>
        </w:rPr>
      </w:pPr>
      <w:r w:rsidRPr="009832FC">
        <w:rPr>
          <w:bdr w:val="nil"/>
        </w:rPr>
        <w:t>for services that receive Commonwealth Aged Care funding, complying with the Commonwealth’s Quality and Safety requirements;</w:t>
      </w:r>
    </w:p>
    <w:p w14:paraId="39AFABBD" w14:textId="77777777" w:rsidR="009832FC" w:rsidRPr="009832FC" w:rsidRDefault="009832FC" w:rsidP="00310E3B">
      <w:pPr>
        <w:numPr>
          <w:ilvl w:val="0"/>
          <w:numId w:val="60"/>
        </w:numPr>
        <w:pBdr>
          <w:top w:val="nil"/>
          <w:left w:val="nil"/>
          <w:bottom w:val="nil"/>
          <w:right w:val="nil"/>
          <w:between w:val="nil"/>
          <w:bar w:val="nil"/>
        </w:pBdr>
        <w:jc w:val="both"/>
        <w:rPr>
          <w:bdr w:val="nil"/>
        </w:rPr>
      </w:pPr>
      <w:r w:rsidRPr="009832FC">
        <w:rPr>
          <w:bdr w:val="nil"/>
        </w:rPr>
        <w:t>reduced waiting times for access to emergency Dental Health Services; and</w:t>
      </w:r>
    </w:p>
    <w:p w14:paraId="235C4701" w14:textId="77777777" w:rsidR="009832FC" w:rsidRPr="009832FC" w:rsidRDefault="009832FC" w:rsidP="00310E3B">
      <w:pPr>
        <w:numPr>
          <w:ilvl w:val="0"/>
          <w:numId w:val="60"/>
        </w:numPr>
        <w:pBdr>
          <w:top w:val="nil"/>
          <w:left w:val="nil"/>
          <w:bottom w:val="nil"/>
          <w:right w:val="nil"/>
          <w:between w:val="nil"/>
          <w:bar w:val="nil"/>
        </w:pBdr>
        <w:jc w:val="both"/>
        <w:rPr>
          <w:bdr w:val="nil"/>
        </w:rPr>
      </w:pPr>
      <w:r w:rsidRPr="009832FC">
        <w:rPr>
          <w:bdr w:val="nil"/>
        </w:rPr>
        <w:t>achieving lower than the Australian Average in the Decayed, Missing, or Filled Teeth (DMFT) Index.</w:t>
      </w:r>
    </w:p>
    <w:p w14:paraId="261CC6EF" w14:textId="77777777" w:rsidR="009832FC" w:rsidRPr="009832FC" w:rsidRDefault="009832FC" w:rsidP="009832FC">
      <w:pPr>
        <w:pBdr>
          <w:top w:val="nil"/>
          <w:left w:val="nil"/>
          <w:bottom w:val="nil"/>
          <w:right w:val="nil"/>
          <w:between w:val="nil"/>
          <w:bar w:val="nil"/>
        </w:pBdr>
        <w:spacing w:before="0" w:after="0"/>
        <w:rPr>
          <w:b/>
          <w:bdr w:val="nil"/>
        </w:rPr>
      </w:pPr>
      <w:r w:rsidRPr="009832FC">
        <w:rPr>
          <w:b/>
          <w:bdr w:val="nil"/>
        </w:rPr>
        <w:br w:type="page"/>
      </w:r>
    </w:p>
    <w:p w14:paraId="390882EF" w14:textId="77777777" w:rsidR="009832FC" w:rsidRPr="009832FC" w:rsidRDefault="009832FC" w:rsidP="009832FC">
      <w:pPr>
        <w:keepNext/>
        <w:spacing w:before="240"/>
        <w:rPr>
          <w:b/>
          <w:bCs/>
          <w:color w:val="000000"/>
          <w:sz w:val="22"/>
          <w:szCs w:val="18"/>
          <w:bdr w:val="nil"/>
        </w:rPr>
      </w:pPr>
      <w:r w:rsidRPr="009832FC">
        <w:rPr>
          <w:b/>
          <w:bCs/>
          <w:color w:val="000000"/>
          <w:sz w:val="22"/>
          <w:szCs w:val="18"/>
          <w:bdr w:val="nil"/>
        </w:rPr>
        <w:lastRenderedPageBreak/>
        <w:t>Table 17: Output 1.4: Subacute and Community Services</w:t>
      </w:r>
    </w:p>
    <w:tbl>
      <w:tblPr>
        <w:tblW w:w="9060" w:type="dxa"/>
        <w:tblLayout w:type="fixed"/>
        <w:tblLook w:val="0600" w:firstRow="0" w:lastRow="0" w:firstColumn="0" w:lastColumn="0" w:noHBand="1" w:noVBand="1"/>
      </w:tblPr>
      <w:tblGrid>
        <w:gridCol w:w="4694"/>
        <w:gridCol w:w="540"/>
        <w:gridCol w:w="2176"/>
        <w:gridCol w:w="1650"/>
      </w:tblGrid>
      <w:tr w:rsidR="009832FC" w:rsidRPr="009832FC" w14:paraId="35FF45A7" w14:textId="77777777" w:rsidTr="00EB585F">
        <w:trPr>
          <w:trHeight w:hRule="exact" w:val="240"/>
        </w:trPr>
        <w:tc>
          <w:tcPr>
            <w:tcW w:w="4694" w:type="dxa"/>
            <w:tcBorders>
              <w:top w:val="single" w:sz="4" w:space="0" w:color="000000"/>
              <w:left w:val="nil"/>
              <w:bottom w:val="nil"/>
              <w:right w:val="nil"/>
            </w:tcBorders>
            <w:noWrap/>
            <w:tcMar>
              <w:top w:w="0" w:type="dxa"/>
              <w:left w:w="40" w:type="dxa"/>
              <w:bottom w:w="0" w:type="dxa"/>
              <w:right w:w="40" w:type="dxa"/>
            </w:tcMar>
          </w:tcPr>
          <w:p w14:paraId="1693E8F0"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tcBorders>
              <w:top w:val="single" w:sz="4" w:space="0" w:color="000000"/>
              <w:left w:val="nil"/>
              <w:bottom w:val="nil"/>
              <w:right w:val="nil"/>
            </w:tcBorders>
            <w:noWrap/>
            <w:tcMar>
              <w:top w:w="0" w:type="dxa"/>
              <w:left w:w="40" w:type="dxa"/>
              <w:bottom w:w="0" w:type="dxa"/>
              <w:right w:w="40" w:type="dxa"/>
            </w:tcMar>
          </w:tcPr>
          <w:p w14:paraId="435BF80F"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6" w:type="dxa"/>
            <w:tcBorders>
              <w:top w:val="single" w:sz="4" w:space="0" w:color="000000"/>
              <w:left w:val="nil"/>
              <w:bottom w:val="nil"/>
              <w:right w:val="nil"/>
            </w:tcBorders>
            <w:noWrap/>
            <w:tcMar>
              <w:top w:w="0" w:type="dxa"/>
              <w:left w:w="40" w:type="dxa"/>
              <w:bottom w:w="0" w:type="dxa"/>
              <w:right w:w="40" w:type="dxa"/>
            </w:tcMar>
            <w:hideMark/>
          </w:tcPr>
          <w:p w14:paraId="3A482C1E"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2020-21</w:t>
            </w:r>
          </w:p>
          <w:p w14:paraId="7DD15E7A"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p>
        </w:tc>
        <w:tc>
          <w:tcPr>
            <w:tcW w:w="1650" w:type="dxa"/>
            <w:tcBorders>
              <w:top w:val="single" w:sz="4" w:space="0" w:color="000000"/>
              <w:left w:val="nil"/>
              <w:bottom w:val="nil"/>
              <w:right w:val="nil"/>
            </w:tcBorders>
            <w:noWrap/>
            <w:tcMar>
              <w:top w:w="0" w:type="dxa"/>
              <w:left w:w="40" w:type="dxa"/>
              <w:bottom w:w="0" w:type="dxa"/>
              <w:right w:w="40" w:type="dxa"/>
            </w:tcMar>
            <w:hideMark/>
          </w:tcPr>
          <w:p w14:paraId="64225785" w14:textId="77777777" w:rsidR="009832FC" w:rsidRPr="009832FC" w:rsidRDefault="009832FC" w:rsidP="009832FC">
            <w:pPr>
              <w:pBdr>
                <w:top w:val="nil"/>
                <w:left w:val="nil"/>
                <w:bottom w:val="nil"/>
                <w:right w:val="nil"/>
                <w:between w:val="nil"/>
                <w:bar w:val="nil"/>
              </w:pBdr>
              <w:spacing w:before="0" w:after="0"/>
              <w:jc w:val="right"/>
              <w:rPr>
                <w:b/>
                <w:bCs/>
                <w:sz w:val="20"/>
                <w:bdr w:val="nil"/>
              </w:rPr>
            </w:pPr>
            <w:r w:rsidRPr="009832FC">
              <w:rPr>
                <w:b/>
                <w:bCs/>
                <w:sz w:val="20"/>
                <w:bdr w:val="nil"/>
              </w:rPr>
              <w:t>2021-22</w:t>
            </w:r>
          </w:p>
          <w:p w14:paraId="1484640F"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p>
        </w:tc>
      </w:tr>
      <w:tr w:rsidR="009832FC" w:rsidRPr="009832FC" w14:paraId="661518E0" w14:textId="77777777" w:rsidTr="00EB585F">
        <w:trPr>
          <w:trHeight w:val="240"/>
        </w:trPr>
        <w:tc>
          <w:tcPr>
            <w:tcW w:w="4694" w:type="dxa"/>
            <w:noWrap/>
            <w:tcMar>
              <w:top w:w="0" w:type="dxa"/>
              <w:left w:w="40" w:type="dxa"/>
              <w:bottom w:w="0" w:type="dxa"/>
              <w:right w:w="40" w:type="dxa"/>
            </w:tcMar>
          </w:tcPr>
          <w:p w14:paraId="1D1FE5F8"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noWrap/>
            <w:tcMar>
              <w:top w:w="0" w:type="dxa"/>
              <w:left w:w="40" w:type="dxa"/>
              <w:bottom w:w="0" w:type="dxa"/>
              <w:right w:w="40" w:type="dxa"/>
            </w:tcMar>
          </w:tcPr>
          <w:p w14:paraId="6BC62DD0"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6" w:type="dxa"/>
            <w:tcMar>
              <w:top w:w="0" w:type="dxa"/>
              <w:left w:w="40" w:type="dxa"/>
              <w:bottom w:w="0" w:type="dxa"/>
              <w:right w:w="40" w:type="dxa"/>
            </w:tcMar>
            <w:hideMark/>
          </w:tcPr>
          <w:p w14:paraId="2CD872C9"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Interim Outcome</w:t>
            </w:r>
          </w:p>
        </w:tc>
        <w:tc>
          <w:tcPr>
            <w:tcW w:w="1650" w:type="dxa"/>
            <w:noWrap/>
            <w:tcMar>
              <w:top w:w="0" w:type="dxa"/>
              <w:left w:w="40" w:type="dxa"/>
              <w:bottom w:w="0" w:type="dxa"/>
              <w:right w:w="40" w:type="dxa"/>
            </w:tcMar>
            <w:hideMark/>
          </w:tcPr>
          <w:p w14:paraId="06B843FE"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Budget</w:t>
            </w:r>
          </w:p>
        </w:tc>
      </w:tr>
      <w:tr w:rsidR="009832FC" w:rsidRPr="009832FC" w14:paraId="3B0E3B99" w14:textId="77777777" w:rsidTr="00EB585F">
        <w:trPr>
          <w:trHeight w:hRule="exact" w:val="300"/>
        </w:trPr>
        <w:tc>
          <w:tcPr>
            <w:tcW w:w="4694" w:type="dxa"/>
            <w:tcBorders>
              <w:top w:val="nil"/>
              <w:left w:val="nil"/>
              <w:bottom w:val="single" w:sz="4" w:space="0" w:color="000000"/>
              <w:right w:val="nil"/>
            </w:tcBorders>
            <w:noWrap/>
            <w:tcMar>
              <w:top w:w="0" w:type="dxa"/>
              <w:left w:w="40" w:type="dxa"/>
              <w:bottom w:w="0" w:type="dxa"/>
              <w:right w:w="40" w:type="dxa"/>
            </w:tcMar>
          </w:tcPr>
          <w:p w14:paraId="52682CA7"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0185F65D"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p>
        </w:tc>
        <w:tc>
          <w:tcPr>
            <w:tcW w:w="2176" w:type="dxa"/>
            <w:tcBorders>
              <w:top w:val="nil"/>
              <w:left w:val="nil"/>
              <w:bottom w:val="single" w:sz="4" w:space="0" w:color="000000"/>
              <w:right w:val="nil"/>
            </w:tcBorders>
            <w:noWrap/>
            <w:tcMar>
              <w:top w:w="0" w:type="dxa"/>
              <w:left w:w="40" w:type="dxa"/>
              <w:bottom w:w="0" w:type="dxa"/>
              <w:right w:w="40" w:type="dxa"/>
            </w:tcMar>
            <w:hideMark/>
          </w:tcPr>
          <w:p w14:paraId="0B48EC49"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079D5D3A"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20"/>
                <w:bdr w:val="nil"/>
              </w:rPr>
            </w:pPr>
            <w:r w:rsidRPr="009832FC">
              <w:rPr>
                <w:rFonts w:eastAsia="Calibri" w:cs="Calibri"/>
                <w:b/>
                <w:color w:val="000000"/>
                <w:sz w:val="20"/>
                <w:bdr w:val="nil"/>
              </w:rPr>
              <w:t>$'000</w:t>
            </w:r>
          </w:p>
        </w:tc>
      </w:tr>
      <w:tr w:rsidR="009832FC" w:rsidRPr="009832FC" w14:paraId="3956C879" w14:textId="77777777" w:rsidTr="00EB585F">
        <w:trPr>
          <w:trHeight w:hRule="exact" w:val="240"/>
        </w:trPr>
        <w:tc>
          <w:tcPr>
            <w:tcW w:w="4694" w:type="dxa"/>
            <w:tcBorders>
              <w:top w:val="single" w:sz="4" w:space="0" w:color="000000"/>
              <w:left w:val="nil"/>
              <w:bottom w:val="nil"/>
              <w:right w:val="nil"/>
            </w:tcBorders>
            <w:noWrap/>
            <w:tcMar>
              <w:top w:w="0" w:type="dxa"/>
              <w:left w:w="40" w:type="dxa"/>
              <w:bottom w:w="0" w:type="dxa"/>
              <w:right w:w="40" w:type="dxa"/>
            </w:tcMar>
            <w:hideMark/>
          </w:tcPr>
          <w:p w14:paraId="2C111D49"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r w:rsidRPr="009832FC">
              <w:rPr>
                <w:rFonts w:eastAsia="Calibri" w:cs="Calibri"/>
                <w:color w:val="000000"/>
                <w:sz w:val="20"/>
                <w:bdr w:val="nil"/>
              </w:rPr>
              <w:t>Total Cost</w:t>
            </w:r>
          </w:p>
        </w:tc>
        <w:tc>
          <w:tcPr>
            <w:tcW w:w="540" w:type="dxa"/>
            <w:tcBorders>
              <w:top w:val="single" w:sz="4" w:space="0" w:color="000000"/>
              <w:left w:val="nil"/>
              <w:bottom w:val="nil"/>
              <w:right w:val="nil"/>
            </w:tcBorders>
            <w:noWrap/>
            <w:tcMar>
              <w:top w:w="0" w:type="dxa"/>
              <w:left w:w="40" w:type="dxa"/>
              <w:bottom w:w="0" w:type="dxa"/>
              <w:right w:w="40" w:type="dxa"/>
            </w:tcMar>
          </w:tcPr>
          <w:p w14:paraId="279D3A42" w14:textId="77777777" w:rsidR="009832FC" w:rsidRPr="009832FC" w:rsidRDefault="009832FC" w:rsidP="009832FC">
            <w:pPr>
              <w:pBdr>
                <w:top w:val="nil"/>
                <w:left w:val="nil"/>
                <w:bottom w:val="nil"/>
                <w:right w:val="nil"/>
                <w:between w:val="nil"/>
                <w:bar w:val="nil"/>
              </w:pBdr>
              <w:spacing w:before="0" w:after="0"/>
              <w:rPr>
                <w:rFonts w:eastAsia="Calibri" w:cs="Calibri"/>
                <w:b/>
                <w:color w:val="000000"/>
                <w:sz w:val="20"/>
                <w:bdr w:val="nil"/>
              </w:rPr>
            </w:pPr>
          </w:p>
        </w:tc>
        <w:tc>
          <w:tcPr>
            <w:tcW w:w="2176" w:type="dxa"/>
            <w:tcBorders>
              <w:top w:val="single" w:sz="4" w:space="0" w:color="000000"/>
              <w:left w:val="nil"/>
              <w:bottom w:val="nil"/>
              <w:right w:val="nil"/>
            </w:tcBorders>
            <w:noWrap/>
            <w:tcMar>
              <w:top w:w="0" w:type="dxa"/>
              <w:left w:w="40" w:type="dxa"/>
              <w:bottom w:w="0" w:type="dxa"/>
              <w:right w:w="40" w:type="dxa"/>
            </w:tcMar>
            <w:hideMark/>
          </w:tcPr>
          <w:p w14:paraId="55D0CD6B"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208,729</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46655ABC"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214,790</w:t>
            </w:r>
          </w:p>
        </w:tc>
      </w:tr>
      <w:tr w:rsidR="009832FC" w:rsidRPr="009832FC" w14:paraId="53BD1B16" w14:textId="77777777" w:rsidTr="00EB585F">
        <w:trPr>
          <w:trHeight w:hRule="exact" w:val="300"/>
        </w:trPr>
        <w:tc>
          <w:tcPr>
            <w:tcW w:w="4694" w:type="dxa"/>
            <w:tcBorders>
              <w:top w:val="nil"/>
              <w:left w:val="nil"/>
              <w:bottom w:val="single" w:sz="4" w:space="0" w:color="000000"/>
              <w:right w:val="nil"/>
            </w:tcBorders>
            <w:noWrap/>
            <w:tcMar>
              <w:top w:w="0" w:type="dxa"/>
              <w:left w:w="40" w:type="dxa"/>
              <w:bottom w:w="0" w:type="dxa"/>
              <w:right w:w="40" w:type="dxa"/>
            </w:tcMar>
            <w:hideMark/>
          </w:tcPr>
          <w:p w14:paraId="51558C31"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20"/>
                <w:bdr w:val="nil"/>
              </w:rPr>
            </w:pPr>
            <w:r w:rsidRPr="009832FC">
              <w:rPr>
                <w:rFonts w:eastAsia="Calibri" w:cs="Calibri"/>
                <w:color w:val="000000"/>
                <w:sz w:val="20"/>
                <w:bdr w:val="nil"/>
              </w:rPr>
              <w:t>Controlled Recurrent Payments</w:t>
            </w:r>
            <w:r w:rsidRPr="009832FC">
              <w:rPr>
                <w:rFonts w:eastAsia="Calibri" w:cs="Calibri"/>
                <w:color w:val="000000"/>
                <w:sz w:val="20"/>
                <w:bdr w:val="nil"/>
                <w:vertAlign w:val="superscript"/>
              </w:rPr>
              <w:t>1</w:t>
            </w:r>
          </w:p>
        </w:tc>
        <w:tc>
          <w:tcPr>
            <w:tcW w:w="540" w:type="dxa"/>
            <w:tcBorders>
              <w:top w:val="nil"/>
              <w:left w:val="nil"/>
              <w:bottom w:val="single" w:sz="4" w:space="0" w:color="000000"/>
              <w:right w:val="nil"/>
            </w:tcBorders>
            <w:noWrap/>
            <w:tcMar>
              <w:top w:w="0" w:type="dxa"/>
              <w:left w:w="40" w:type="dxa"/>
              <w:bottom w:w="0" w:type="dxa"/>
              <w:right w:w="40" w:type="dxa"/>
            </w:tcMar>
          </w:tcPr>
          <w:p w14:paraId="59F02385" w14:textId="77777777" w:rsidR="009832FC" w:rsidRPr="009832FC" w:rsidRDefault="009832FC" w:rsidP="009832FC">
            <w:pPr>
              <w:pBdr>
                <w:top w:val="nil"/>
                <w:left w:val="nil"/>
                <w:bottom w:val="nil"/>
                <w:right w:val="nil"/>
                <w:between w:val="nil"/>
                <w:bar w:val="nil"/>
              </w:pBdr>
              <w:spacing w:before="0" w:after="0"/>
              <w:rPr>
                <w:rFonts w:eastAsia="Calibri" w:cs="Calibri"/>
                <w:b/>
                <w:color w:val="000000"/>
                <w:sz w:val="20"/>
                <w:bdr w:val="nil"/>
              </w:rPr>
            </w:pPr>
          </w:p>
        </w:tc>
        <w:tc>
          <w:tcPr>
            <w:tcW w:w="2176" w:type="dxa"/>
            <w:tcBorders>
              <w:top w:val="nil"/>
              <w:left w:val="nil"/>
              <w:bottom w:val="single" w:sz="4" w:space="0" w:color="000000"/>
              <w:right w:val="nil"/>
            </w:tcBorders>
            <w:noWrap/>
            <w:tcMar>
              <w:top w:w="0" w:type="dxa"/>
              <w:left w:w="40" w:type="dxa"/>
              <w:bottom w:w="0" w:type="dxa"/>
              <w:right w:w="40" w:type="dxa"/>
            </w:tcMar>
            <w:hideMark/>
          </w:tcPr>
          <w:p w14:paraId="6C8F787C"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570E1EB6"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20"/>
                <w:bdr w:val="nil"/>
              </w:rPr>
            </w:pPr>
            <w:r w:rsidRPr="009832FC">
              <w:rPr>
                <w:rFonts w:eastAsia="Calibri" w:cs="Calibri"/>
                <w:color w:val="000000"/>
                <w:sz w:val="20"/>
                <w:bdr w:val="nil"/>
              </w:rPr>
              <w:t>-</w:t>
            </w:r>
          </w:p>
        </w:tc>
      </w:tr>
    </w:tbl>
    <w:p w14:paraId="18C4F535" w14:textId="77777777" w:rsidR="009832FC" w:rsidRPr="009832FC" w:rsidRDefault="009832FC" w:rsidP="009832FC">
      <w:pPr>
        <w:keepNext/>
        <w:pBdr>
          <w:top w:val="nil"/>
          <w:left w:val="nil"/>
          <w:bottom w:val="nil"/>
          <w:right w:val="nil"/>
          <w:between w:val="nil"/>
          <w:bar w:val="nil"/>
        </w:pBdr>
        <w:spacing w:before="120" w:after="0"/>
        <w:rPr>
          <w:b/>
          <w:sz w:val="18"/>
          <w:szCs w:val="16"/>
          <w:bdr w:val="nil"/>
        </w:rPr>
      </w:pPr>
      <w:r w:rsidRPr="009832FC">
        <w:rPr>
          <w:b/>
          <w:sz w:val="18"/>
          <w:szCs w:val="16"/>
          <w:bdr w:val="nil"/>
        </w:rPr>
        <w:t>Note:</w:t>
      </w:r>
    </w:p>
    <w:p w14:paraId="56FFC067" w14:textId="77777777" w:rsidR="009832FC" w:rsidRPr="009832FC" w:rsidRDefault="009832FC" w:rsidP="00812F22">
      <w:pPr>
        <w:numPr>
          <w:ilvl w:val="0"/>
          <w:numId w:val="42"/>
        </w:numPr>
        <w:pBdr>
          <w:top w:val="nil"/>
          <w:left w:val="nil"/>
          <w:bottom w:val="nil"/>
          <w:right w:val="nil"/>
          <w:between w:val="nil"/>
          <w:bar w:val="nil"/>
        </w:pBdr>
        <w:spacing w:before="0" w:after="0"/>
        <w:ind w:left="360"/>
        <w:jc w:val="both"/>
        <w:rPr>
          <w:sz w:val="18"/>
          <w:szCs w:val="24"/>
          <w:bdr w:val="nil"/>
        </w:rPr>
      </w:pPr>
      <w:r w:rsidRPr="009832FC">
        <w:rPr>
          <w:sz w:val="18"/>
          <w:szCs w:val="24"/>
          <w:bdr w:val="nil"/>
        </w:rPr>
        <w:t>Canberra Health Services receives funding through the Local Hospital Network as Grants and Contributions and not from Controlled Recurrent Payments.</w:t>
      </w:r>
    </w:p>
    <w:p w14:paraId="2C851A91" w14:textId="77777777" w:rsidR="009832FC" w:rsidRPr="009832FC" w:rsidRDefault="009832FC" w:rsidP="009832FC">
      <w:pPr>
        <w:pBdr>
          <w:top w:val="nil"/>
          <w:left w:val="nil"/>
          <w:bottom w:val="nil"/>
          <w:right w:val="nil"/>
          <w:between w:val="nil"/>
          <w:bar w:val="nil"/>
        </w:pBdr>
        <w:spacing w:before="0" w:after="0"/>
        <w:ind w:left="360"/>
        <w:rPr>
          <w:sz w:val="18"/>
          <w:szCs w:val="24"/>
          <w:bdr w:val="nil"/>
        </w:rPr>
      </w:pPr>
      <w:r w:rsidRPr="009832FC">
        <w:rPr>
          <w:sz w:val="18"/>
          <w:szCs w:val="24"/>
        </w:rPr>
        <w:t xml:space="preserve"> </w:t>
      </w:r>
    </w:p>
    <w:p w14:paraId="0958FCC7" w14:textId="77777777" w:rsidR="009832FC" w:rsidRPr="009832FC" w:rsidRDefault="009832FC" w:rsidP="009832FC">
      <w:pPr>
        <w:keepNext/>
        <w:pageBreakBefore/>
        <w:pBdr>
          <w:top w:val="nil"/>
          <w:left w:val="nil"/>
          <w:bottom w:val="nil"/>
          <w:right w:val="nil"/>
          <w:between w:val="nil"/>
          <w:bar w:val="nil"/>
        </w:pBdr>
        <w:spacing w:before="360"/>
        <w:outlineLvl w:val="1"/>
        <w:rPr>
          <w:b/>
          <w:snapToGrid w:val="0"/>
          <w:sz w:val="32"/>
          <w:bdr w:val="nil"/>
        </w:rPr>
      </w:pPr>
      <w:bookmarkStart w:id="72" w:name="_Toc83910752"/>
      <w:r w:rsidRPr="009832FC">
        <w:rPr>
          <w:b/>
          <w:snapToGrid w:val="0"/>
          <w:sz w:val="32"/>
          <w:bdr w:val="nil"/>
        </w:rPr>
        <w:lastRenderedPageBreak/>
        <w:t>Accountability Indicators</w:t>
      </w:r>
      <w:bookmarkEnd w:id="72"/>
    </w:p>
    <w:p w14:paraId="35E61870" w14:textId="77777777" w:rsidR="009832FC" w:rsidRPr="009832FC" w:rsidRDefault="009832FC" w:rsidP="00527903">
      <w:pPr>
        <w:jc w:val="both"/>
        <w:rPr>
          <w:i/>
          <w:iCs/>
          <w:bdr w:val="nil"/>
        </w:rPr>
      </w:pPr>
      <w:r w:rsidRPr="009832FC">
        <w:rPr>
          <w:bdr w:val="nil"/>
        </w:rPr>
        <w:t xml:space="preserve">Due to the release of the 2021-22 Budget on 6 October 2021, the 2020-21 Interim Outcome column reflects the interim outcome included in the draft 2020-21 Statement of Performance, which were unaudited at the time of preparing these budget statements. </w:t>
      </w:r>
    </w:p>
    <w:p w14:paraId="574458BA" w14:textId="77777777" w:rsidR="009832FC" w:rsidRPr="00527903" w:rsidRDefault="009832FC" w:rsidP="00527903">
      <w:pPr>
        <w:pStyle w:val="Heading3"/>
        <w:rPr>
          <w:bdr w:val="nil"/>
        </w:rPr>
      </w:pPr>
      <w:r w:rsidRPr="009832FC">
        <w:rPr>
          <w:bdr w:val="nil"/>
        </w:rPr>
        <w:t>Output Class 1: Health and Community Care</w:t>
      </w:r>
    </w:p>
    <w:p w14:paraId="740CC1D1" w14:textId="77777777" w:rsidR="009832FC" w:rsidRPr="009832FC" w:rsidRDefault="009832FC" w:rsidP="009832FC">
      <w:pPr>
        <w:keepNext/>
        <w:keepLines/>
        <w:pBdr>
          <w:top w:val="nil"/>
          <w:left w:val="nil"/>
          <w:bottom w:val="nil"/>
          <w:right w:val="nil"/>
          <w:between w:val="nil"/>
          <w:bar w:val="nil"/>
        </w:pBdr>
        <w:spacing w:before="240" w:after="120"/>
        <w:outlineLvl w:val="3"/>
        <w:rPr>
          <w:b/>
          <w:i/>
          <w:bdr w:val="nil"/>
        </w:rPr>
      </w:pPr>
      <w:r w:rsidRPr="009832FC">
        <w:rPr>
          <w:b/>
          <w:i/>
          <w:bdr w:val="nil"/>
        </w:rPr>
        <w:t>Output 1.1: Acute Services</w:t>
      </w:r>
    </w:p>
    <w:p w14:paraId="28745E7F" w14:textId="77777777" w:rsidR="009832FC" w:rsidRPr="009832FC" w:rsidRDefault="009832FC" w:rsidP="009832FC">
      <w:pPr>
        <w:keepNext/>
        <w:pBdr>
          <w:top w:val="nil"/>
          <w:left w:val="nil"/>
          <w:bottom w:val="nil"/>
          <w:right w:val="nil"/>
          <w:between w:val="nil"/>
          <w:bar w:val="nil"/>
        </w:pBdr>
        <w:spacing w:before="240"/>
        <w:rPr>
          <w:b/>
          <w:bCs/>
          <w:noProof/>
          <w:sz w:val="22"/>
          <w:szCs w:val="18"/>
          <w:bdr w:val="nil"/>
        </w:rPr>
      </w:pPr>
      <w:r w:rsidRPr="009832FC">
        <w:rPr>
          <w:b/>
          <w:bCs/>
          <w:sz w:val="22"/>
          <w:szCs w:val="18"/>
          <w:bdr w:val="nil"/>
        </w:rPr>
        <w:t>Table 18</w:t>
      </w:r>
      <w:r w:rsidRPr="009832FC">
        <w:rPr>
          <w:b/>
          <w:bCs/>
          <w:noProof/>
          <w:sz w:val="22"/>
          <w:szCs w:val="18"/>
          <w:bdr w:val="nil"/>
        </w:rPr>
        <w:t>:</w:t>
      </w:r>
      <w:r w:rsidRPr="009832FC">
        <w:rPr>
          <w:b/>
          <w:bCs/>
          <w:sz w:val="22"/>
          <w:szCs w:val="18"/>
          <w:bdr w:val="nil"/>
        </w:rPr>
        <w:t xml:space="preserve"> Accountability Indicators</w:t>
      </w:r>
      <w:r w:rsidRPr="009832FC">
        <w:rPr>
          <w:b/>
          <w:bCs/>
          <w:noProof/>
          <w:sz w:val="22"/>
          <w:szCs w:val="18"/>
          <w:bdr w:val="nil"/>
        </w:rPr>
        <w:t xml:space="preserve"> Output 1.1</w:t>
      </w:r>
    </w:p>
    <w:tbl>
      <w:tblPr>
        <w:tblW w:w="9100" w:type="dxa"/>
        <w:tblBorders>
          <w:top w:val="single" w:sz="12" w:space="0" w:color="000000"/>
          <w:bottom w:val="single" w:sz="12" w:space="0" w:color="000000"/>
        </w:tblBorders>
        <w:tblLook w:val="0420" w:firstRow="1" w:lastRow="0" w:firstColumn="0" w:lastColumn="0" w:noHBand="0" w:noVBand="1"/>
      </w:tblPr>
      <w:tblGrid>
        <w:gridCol w:w="4845"/>
        <w:gridCol w:w="1443"/>
        <w:gridCol w:w="1429"/>
        <w:gridCol w:w="1383"/>
      </w:tblGrid>
      <w:tr w:rsidR="009832FC" w:rsidRPr="009832FC" w14:paraId="6FA59D38" w14:textId="77777777" w:rsidTr="00EB585F">
        <w:trPr>
          <w:cantSplit/>
          <w:tblHeader/>
        </w:trPr>
        <w:tc>
          <w:tcPr>
            <w:tcW w:w="2662" w:type="pct"/>
            <w:tcBorders>
              <w:top w:val="single" w:sz="12" w:space="0" w:color="000000"/>
              <w:left w:val="nil"/>
              <w:bottom w:val="single" w:sz="12" w:space="0" w:color="000000"/>
              <w:right w:val="nil"/>
            </w:tcBorders>
          </w:tcPr>
          <w:p w14:paraId="1359F373" w14:textId="77777777" w:rsidR="009832FC" w:rsidRPr="009832FC" w:rsidRDefault="009832FC" w:rsidP="009832FC">
            <w:pPr>
              <w:pBdr>
                <w:top w:val="nil"/>
                <w:left w:val="nil"/>
                <w:bottom w:val="nil"/>
                <w:right w:val="nil"/>
                <w:between w:val="nil"/>
                <w:bar w:val="nil"/>
              </w:pBdr>
              <w:spacing w:before="0" w:after="0" w:line="252" w:lineRule="auto"/>
              <w:ind w:left="227" w:hanging="227"/>
              <w:rPr>
                <w:bCs/>
                <w:sz w:val="20"/>
                <w:bdr w:val="nil"/>
                <w:lang w:eastAsia="en-AU"/>
              </w:rPr>
            </w:pPr>
          </w:p>
        </w:tc>
        <w:tc>
          <w:tcPr>
            <w:tcW w:w="793" w:type="pct"/>
            <w:tcBorders>
              <w:top w:val="single" w:sz="12" w:space="0" w:color="000000"/>
              <w:left w:val="nil"/>
              <w:bottom w:val="single" w:sz="12" w:space="0" w:color="000000"/>
              <w:right w:val="nil"/>
            </w:tcBorders>
            <w:hideMark/>
          </w:tcPr>
          <w:p w14:paraId="7CDD36ED"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2020-21 Targets</w:t>
            </w:r>
          </w:p>
        </w:tc>
        <w:tc>
          <w:tcPr>
            <w:tcW w:w="785" w:type="pct"/>
            <w:tcBorders>
              <w:top w:val="single" w:sz="12" w:space="0" w:color="000000"/>
              <w:left w:val="nil"/>
              <w:bottom w:val="single" w:sz="12" w:space="0" w:color="000000"/>
              <w:right w:val="nil"/>
            </w:tcBorders>
            <w:hideMark/>
          </w:tcPr>
          <w:p w14:paraId="4D910C1F"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 xml:space="preserve">2020-21 </w:t>
            </w:r>
          </w:p>
          <w:p w14:paraId="508ADC00"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Interim</w:t>
            </w:r>
          </w:p>
          <w:p w14:paraId="7A26C490"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Outcome</w:t>
            </w:r>
          </w:p>
        </w:tc>
        <w:tc>
          <w:tcPr>
            <w:tcW w:w="760" w:type="pct"/>
            <w:tcBorders>
              <w:top w:val="single" w:sz="12" w:space="0" w:color="000000"/>
              <w:left w:val="nil"/>
              <w:bottom w:val="single" w:sz="12" w:space="0" w:color="000000"/>
              <w:right w:val="nil"/>
            </w:tcBorders>
            <w:hideMark/>
          </w:tcPr>
          <w:p w14:paraId="3C4FBCFA"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 xml:space="preserve">2021-22 </w:t>
            </w:r>
          </w:p>
          <w:p w14:paraId="5A11959D"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 xml:space="preserve">Targets </w:t>
            </w:r>
          </w:p>
        </w:tc>
      </w:tr>
      <w:tr w:rsidR="009832FC" w:rsidRPr="009832FC" w14:paraId="284F666F" w14:textId="77777777" w:rsidTr="00EB585F">
        <w:trPr>
          <w:cantSplit/>
          <w:trHeight w:val="736"/>
        </w:trPr>
        <w:tc>
          <w:tcPr>
            <w:tcW w:w="2662" w:type="pct"/>
            <w:tcBorders>
              <w:top w:val="nil"/>
              <w:left w:val="nil"/>
              <w:bottom w:val="nil"/>
              <w:right w:val="nil"/>
            </w:tcBorders>
          </w:tcPr>
          <w:p w14:paraId="3F8D70D8"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Number of surgical complications requiring unplanned return to theatre per 10,000 hospital admissions</w:t>
            </w:r>
            <w:r w:rsidRPr="009832FC">
              <w:rPr>
                <w:sz w:val="20"/>
                <w:bdr w:val="nil"/>
                <w:vertAlign w:val="superscript"/>
                <w:lang w:eastAsia="en-AU"/>
              </w:rPr>
              <w:t>1</w:t>
            </w:r>
          </w:p>
        </w:tc>
        <w:tc>
          <w:tcPr>
            <w:tcW w:w="793" w:type="pct"/>
            <w:tcBorders>
              <w:top w:val="nil"/>
              <w:left w:val="nil"/>
              <w:bottom w:val="nil"/>
              <w:right w:val="nil"/>
            </w:tcBorders>
          </w:tcPr>
          <w:p w14:paraId="302EDFEB"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ind w:left="360"/>
              <w:jc w:val="right"/>
              <w:rPr>
                <w:sz w:val="20"/>
                <w:bdr w:val="nil"/>
                <w:lang w:eastAsia="en-AU"/>
              </w:rPr>
            </w:pPr>
            <w:r w:rsidRPr="009832FC">
              <w:rPr>
                <w:sz w:val="20"/>
                <w:bdr w:val="nil"/>
                <w:lang w:eastAsia="en-AU"/>
              </w:rPr>
              <w:t>N/A</w:t>
            </w:r>
          </w:p>
        </w:tc>
        <w:tc>
          <w:tcPr>
            <w:tcW w:w="785" w:type="pct"/>
            <w:tcBorders>
              <w:top w:val="nil"/>
              <w:left w:val="nil"/>
              <w:bottom w:val="nil"/>
              <w:right w:val="nil"/>
            </w:tcBorders>
          </w:tcPr>
          <w:p w14:paraId="1150FEDC"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ind w:left="360"/>
              <w:jc w:val="right"/>
              <w:rPr>
                <w:sz w:val="20"/>
                <w:bdr w:val="nil"/>
                <w:lang w:eastAsia="en-AU"/>
              </w:rPr>
            </w:pPr>
            <w:r w:rsidRPr="009832FC">
              <w:rPr>
                <w:sz w:val="20"/>
                <w:bdr w:val="nil"/>
                <w:lang w:eastAsia="en-AU"/>
              </w:rPr>
              <w:t>N/A</w:t>
            </w:r>
          </w:p>
        </w:tc>
        <w:tc>
          <w:tcPr>
            <w:tcW w:w="760" w:type="pct"/>
            <w:tcBorders>
              <w:top w:val="nil"/>
              <w:left w:val="nil"/>
              <w:bottom w:val="nil"/>
              <w:right w:val="nil"/>
            </w:tcBorders>
          </w:tcPr>
          <w:p w14:paraId="6B4DF225"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ind w:left="360"/>
              <w:jc w:val="right"/>
              <w:rPr>
                <w:sz w:val="20"/>
                <w:bdr w:val="nil"/>
                <w:lang w:eastAsia="en-AU"/>
              </w:rPr>
            </w:pPr>
            <w:r w:rsidRPr="009832FC">
              <w:rPr>
                <w:sz w:val="20"/>
                <w:bdr w:val="nil"/>
                <w:lang w:eastAsia="en-AU"/>
              </w:rPr>
              <w:t>&lt;=20</w:t>
            </w:r>
          </w:p>
        </w:tc>
      </w:tr>
      <w:tr w:rsidR="009832FC" w:rsidRPr="009832FC" w14:paraId="7B5FFCBF" w14:textId="77777777" w:rsidTr="00EB585F">
        <w:trPr>
          <w:cantSplit/>
          <w:trHeight w:val="394"/>
        </w:trPr>
        <w:tc>
          <w:tcPr>
            <w:tcW w:w="2662" w:type="pct"/>
            <w:tcBorders>
              <w:top w:val="nil"/>
              <w:left w:val="nil"/>
              <w:bottom w:val="nil"/>
              <w:right w:val="nil"/>
            </w:tcBorders>
          </w:tcPr>
          <w:p w14:paraId="091986DF"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Number of avoidable readmissions for selected conditions per 10,000 hospital admissions</w:t>
            </w:r>
            <w:r w:rsidRPr="009832FC">
              <w:rPr>
                <w:sz w:val="20"/>
                <w:bdr w:val="nil"/>
                <w:vertAlign w:val="superscript"/>
                <w:lang w:eastAsia="en-AU"/>
              </w:rPr>
              <w:t>2</w:t>
            </w:r>
          </w:p>
        </w:tc>
        <w:tc>
          <w:tcPr>
            <w:tcW w:w="793" w:type="pct"/>
            <w:tcBorders>
              <w:top w:val="nil"/>
              <w:left w:val="nil"/>
              <w:bottom w:val="nil"/>
              <w:right w:val="nil"/>
            </w:tcBorders>
          </w:tcPr>
          <w:p w14:paraId="3357C49F"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ind w:left="360"/>
              <w:jc w:val="right"/>
              <w:rPr>
                <w:sz w:val="20"/>
                <w:bdr w:val="nil"/>
                <w:lang w:eastAsia="en-AU"/>
              </w:rPr>
            </w:pPr>
            <w:r w:rsidRPr="009832FC">
              <w:rPr>
                <w:sz w:val="20"/>
                <w:bdr w:val="nil"/>
                <w:lang w:eastAsia="en-AU"/>
              </w:rPr>
              <w:t>N/A</w:t>
            </w:r>
          </w:p>
        </w:tc>
        <w:tc>
          <w:tcPr>
            <w:tcW w:w="785" w:type="pct"/>
            <w:tcBorders>
              <w:top w:val="nil"/>
              <w:left w:val="nil"/>
              <w:bottom w:val="nil"/>
              <w:right w:val="nil"/>
            </w:tcBorders>
          </w:tcPr>
          <w:p w14:paraId="491ED6A9"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ind w:left="360"/>
              <w:jc w:val="right"/>
              <w:rPr>
                <w:sz w:val="20"/>
                <w:bdr w:val="nil"/>
                <w:lang w:eastAsia="en-AU"/>
              </w:rPr>
            </w:pPr>
            <w:r w:rsidRPr="009832FC">
              <w:rPr>
                <w:sz w:val="20"/>
                <w:bdr w:val="nil"/>
                <w:lang w:eastAsia="en-AU"/>
              </w:rPr>
              <w:t>N/A</w:t>
            </w:r>
          </w:p>
        </w:tc>
        <w:tc>
          <w:tcPr>
            <w:tcW w:w="760" w:type="pct"/>
            <w:tcBorders>
              <w:top w:val="nil"/>
              <w:left w:val="nil"/>
              <w:bottom w:val="nil"/>
              <w:right w:val="nil"/>
            </w:tcBorders>
          </w:tcPr>
          <w:p w14:paraId="3F1DF580"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ind w:left="360"/>
              <w:jc w:val="right"/>
              <w:rPr>
                <w:sz w:val="20"/>
                <w:bdr w:val="nil"/>
                <w:lang w:eastAsia="en-AU"/>
              </w:rPr>
            </w:pPr>
            <w:r w:rsidRPr="009832FC">
              <w:rPr>
                <w:sz w:val="20"/>
                <w:bdr w:val="nil"/>
                <w:lang w:eastAsia="en-AU"/>
              </w:rPr>
              <w:t>&lt;123</w:t>
            </w:r>
          </w:p>
        </w:tc>
      </w:tr>
      <w:tr w:rsidR="009832FC" w:rsidRPr="009832FC" w14:paraId="67D49FB3" w14:textId="77777777" w:rsidTr="00EB585F">
        <w:trPr>
          <w:trHeight w:val="148"/>
        </w:trPr>
        <w:tc>
          <w:tcPr>
            <w:tcW w:w="5000" w:type="pct"/>
            <w:gridSpan w:val="4"/>
            <w:tcBorders>
              <w:top w:val="nil"/>
              <w:left w:val="nil"/>
              <w:bottom w:val="nil"/>
              <w:right w:val="nil"/>
            </w:tcBorders>
            <w:hideMark/>
          </w:tcPr>
          <w:p w14:paraId="2C703601" w14:textId="77777777" w:rsidR="009832FC" w:rsidRPr="009832FC" w:rsidRDefault="009832FC" w:rsidP="009832FC">
            <w:pPr>
              <w:pBdr>
                <w:top w:val="nil"/>
                <w:left w:val="nil"/>
                <w:bottom w:val="nil"/>
                <w:right w:val="nil"/>
                <w:between w:val="nil"/>
                <w:bar w:val="nil"/>
              </w:pBdr>
              <w:spacing w:before="0" w:after="0" w:line="252" w:lineRule="auto"/>
              <w:ind w:left="227" w:hanging="227"/>
              <w:rPr>
                <w:b/>
                <w:sz w:val="20"/>
                <w:bdr w:val="nil"/>
              </w:rPr>
            </w:pPr>
            <w:r w:rsidRPr="009832FC">
              <w:rPr>
                <w:b/>
                <w:sz w:val="20"/>
                <w:bdr w:val="nil"/>
              </w:rPr>
              <w:t>Percentage of Elective Surgery Cases Admitted on Time by Clinical Urgency</w:t>
            </w:r>
          </w:p>
        </w:tc>
      </w:tr>
      <w:tr w:rsidR="009832FC" w:rsidRPr="009832FC" w14:paraId="04B5D547" w14:textId="77777777" w:rsidTr="00EB585F">
        <w:trPr>
          <w:trHeight w:val="283"/>
        </w:trPr>
        <w:tc>
          <w:tcPr>
            <w:tcW w:w="2662" w:type="pct"/>
            <w:tcBorders>
              <w:top w:val="nil"/>
              <w:left w:val="nil"/>
              <w:bottom w:val="nil"/>
              <w:right w:val="nil"/>
            </w:tcBorders>
            <w:hideMark/>
          </w:tcPr>
          <w:p w14:paraId="62FF7FF9"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rPr>
            </w:pPr>
            <w:r w:rsidRPr="009832FC">
              <w:rPr>
                <w:sz w:val="20"/>
                <w:bdr w:val="nil"/>
                <w:lang w:eastAsia="en-AU"/>
              </w:rPr>
              <w:t>Urgent – admission within 30 days is desirable for a condition that has the potential to deteriorate quickly to the point that it may become an emergency</w:t>
            </w:r>
            <w:r w:rsidRPr="009832FC">
              <w:rPr>
                <w:sz w:val="20"/>
                <w:bdr w:val="nil"/>
                <w:vertAlign w:val="superscript"/>
                <w:lang w:eastAsia="en-AU"/>
              </w:rPr>
              <w:t>3</w:t>
            </w:r>
          </w:p>
        </w:tc>
        <w:tc>
          <w:tcPr>
            <w:tcW w:w="793" w:type="pct"/>
            <w:tcBorders>
              <w:top w:val="nil"/>
              <w:left w:val="nil"/>
              <w:bottom w:val="nil"/>
              <w:right w:val="nil"/>
            </w:tcBorders>
            <w:hideMark/>
          </w:tcPr>
          <w:p w14:paraId="7EDD6D83"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100%</w:t>
            </w:r>
          </w:p>
        </w:tc>
        <w:tc>
          <w:tcPr>
            <w:tcW w:w="785" w:type="pct"/>
            <w:tcBorders>
              <w:top w:val="nil"/>
              <w:left w:val="nil"/>
              <w:bottom w:val="nil"/>
              <w:right w:val="nil"/>
            </w:tcBorders>
            <w:hideMark/>
          </w:tcPr>
          <w:p w14:paraId="0FBF36AD"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98%</w:t>
            </w:r>
          </w:p>
        </w:tc>
        <w:tc>
          <w:tcPr>
            <w:tcW w:w="760" w:type="pct"/>
            <w:tcBorders>
              <w:top w:val="nil"/>
              <w:left w:val="nil"/>
              <w:bottom w:val="nil"/>
              <w:right w:val="nil"/>
            </w:tcBorders>
            <w:hideMark/>
          </w:tcPr>
          <w:p w14:paraId="35A13688"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100%</w:t>
            </w:r>
          </w:p>
        </w:tc>
      </w:tr>
      <w:tr w:rsidR="009832FC" w:rsidRPr="009832FC" w14:paraId="6FE67E49" w14:textId="77777777" w:rsidTr="00EB585F">
        <w:trPr>
          <w:trHeight w:val="283"/>
        </w:trPr>
        <w:tc>
          <w:tcPr>
            <w:tcW w:w="2662" w:type="pct"/>
            <w:tcBorders>
              <w:top w:val="nil"/>
              <w:left w:val="nil"/>
              <w:bottom w:val="nil"/>
              <w:right w:val="nil"/>
            </w:tcBorders>
            <w:hideMark/>
          </w:tcPr>
          <w:p w14:paraId="4EC3BE6A"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rPr>
            </w:pPr>
            <w:r w:rsidRPr="009832FC">
              <w:rPr>
                <w:sz w:val="20"/>
                <w:bdr w:val="nil"/>
                <w:lang w:eastAsia="en-AU"/>
              </w:rPr>
              <w:t>Semi-urgent – admission within 90 days is desirable for a condition causing some pain, dysfunction or disability which is not likely to deteriorate quickly or become an emergency</w:t>
            </w:r>
            <w:r w:rsidRPr="009832FC">
              <w:rPr>
                <w:sz w:val="20"/>
                <w:bdr w:val="nil"/>
                <w:vertAlign w:val="superscript"/>
                <w:lang w:eastAsia="en-AU"/>
              </w:rPr>
              <w:t>4</w:t>
            </w:r>
          </w:p>
        </w:tc>
        <w:tc>
          <w:tcPr>
            <w:tcW w:w="793" w:type="pct"/>
            <w:tcBorders>
              <w:top w:val="nil"/>
              <w:left w:val="nil"/>
              <w:bottom w:val="nil"/>
              <w:right w:val="nil"/>
            </w:tcBorders>
            <w:hideMark/>
          </w:tcPr>
          <w:p w14:paraId="466CB622"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80%</w:t>
            </w:r>
          </w:p>
        </w:tc>
        <w:tc>
          <w:tcPr>
            <w:tcW w:w="785" w:type="pct"/>
            <w:tcBorders>
              <w:top w:val="nil"/>
              <w:left w:val="nil"/>
              <w:bottom w:val="nil"/>
              <w:right w:val="nil"/>
            </w:tcBorders>
            <w:hideMark/>
          </w:tcPr>
          <w:p w14:paraId="53941715"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54%</w:t>
            </w:r>
          </w:p>
        </w:tc>
        <w:tc>
          <w:tcPr>
            <w:tcW w:w="760" w:type="pct"/>
            <w:tcBorders>
              <w:top w:val="nil"/>
              <w:left w:val="nil"/>
              <w:bottom w:val="nil"/>
              <w:right w:val="nil"/>
            </w:tcBorders>
            <w:hideMark/>
          </w:tcPr>
          <w:p w14:paraId="73466D92"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80%</w:t>
            </w:r>
          </w:p>
        </w:tc>
      </w:tr>
      <w:tr w:rsidR="009832FC" w:rsidRPr="009832FC" w14:paraId="496A56D0" w14:textId="77777777" w:rsidTr="00EB585F">
        <w:trPr>
          <w:trHeight w:val="1103"/>
        </w:trPr>
        <w:tc>
          <w:tcPr>
            <w:tcW w:w="2662" w:type="pct"/>
            <w:tcBorders>
              <w:top w:val="nil"/>
              <w:left w:val="nil"/>
              <w:bottom w:val="nil"/>
              <w:right w:val="nil"/>
            </w:tcBorders>
            <w:hideMark/>
          </w:tcPr>
          <w:p w14:paraId="7887A749"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rPr>
            </w:pPr>
            <w:r w:rsidRPr="009832FC">
              <w:rPr>
                <w:sz w:val="20"/>
                <w:bdr w:val="nil"/>
                <w:lang w:eastAsia="en-AU"/>
              </w:rPr>
              <w:t>Non-urgent – admission within 365 days is desirable for a condition causing minimal or no pain, dysfunction, or disability, which is not likely to deteriorate quickly, and which does not have the potential to become an emergency</w:t>
            </w:r>
            <w:r w:rsidRPr="009832FC">
              <w:rPr>
                <w:sz w:val="20"/>
                <w:bdr w:val="nil"/>
                <w:vertAlign w:val="superscript"/>
                <w:lang w:eastAsia="en-AU"/>
              </w:rPr>
              <w:t>5</w:t>
            </w:r>
          </w:p>
        </w:tc>
        <w:tc>
          <w:tcPr>
            <w:tcW w:w="793" w:type="pct"/>
            <w:tcBorders>
              <w:top w:val="nil"/>
              <w:left w:val="nil"/>
              <w:bottom w:val="nil"/>
              <w:right w:val="nil"/>
            </w:tcBorders>
            <w:hideMark/>
          </w:tcPr>
          <w:p w14:paraId="07298399"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93%</w:t>
            </w:r>
          </w:p>
        </w:tc>
        <w:tc>
          <w:tcPr>
            <w:tcW w:w="785" w:type="pct"/>
            <w:tcBorders>
              <w:top w:val="nil"/>
              <w:left w:val="nil"/>
              <w:bottom w:val="nil"/>
              <w:right w:val="nil"/>
            </w:tcBorders>
            <w:hideMark/>
          </w:tcPr>
          <w:p w14:paraId="5EAA4398"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49%</w:t>
            </w:r>
          </w:p>
        </w:tc>
        <w:tc>
          <w:tcPr>
            <w:tcW w:w="760" w:type="pct"/>
            <w:tcBorders>
              <w:top w:val="nil"/>
              <w:left w:val="nil"/>
              <w:bottom w:val="nil"/>
              <w:right w:val="nil"/>
            </w:tcBorders>
            <w:hideMark/>
          </w:tcPr>
          <w:p w14:paraId="44F01534"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93%</w:t>
            </w:r>
          </w:p>
        </w:tc>
      </w:tr>
      <w:tr w:rsidR="009832FC" w:rsidRPr="009832FC" w14:paraId="53FBAAC5" w14:textId="77777777" w:rsidTr="00EB585F">
        <w:trPr>
          <w:trHeight w:val="283"/>
        </w:trPr>
        <w:tc>
          <w:tcPr>
            <w:tcW w:w="5000" w:type="pct"/>
            <w:gridSpan w:val="4"/>
            <w:tcBorders>
              <w:top w:val="nil"/>
              <w:left w:val="nil"/>
              <w:bottom w:val="nil"/>
              <w:right w:val="nil"/>
            </w:tcBorders>
            <w:hideMark/>
          </w:tcPr>
          <w:p w14:paraId="0F914B1F" w14:textId="77777777" w:rsidR="009832FC" w:rsidRPr="009832FC" w:rsidRDefault="009832FC" w:rsidP="009832FC">
            <w:pPr>
              <w:pBdr>
                <w:top w:val="nil"/>
                <w:left w:val="nil"/>
                <w:bottom w:val="nil"/>
                <w:right w:val="nil"/>
                <w:between w:val="nil"/>
                <w:bar w:val="nil"/>
              </w:pBdr>
              <w:spacing w:before="0" w:after="0" w:line="252" w:lineRule="auto"/>
              <w:rPr>
                <w:b/>
                <w:sz w:val="20"/>
                <w:bdr w:val="nil"/>
              </w:rPr>
            </w:pPr>
            <w:r w:rsidRPr="009832FC">
              <w:rPr>
                <w:b/>
                <w:sz w:val="20"/>
                <w:bdr w:val="nil"/>
              </w:rPr>
              <w:t>The Proportion of Emergency Department Presentations that are Treated within Clinically Appropriate Timeframes</w:t>
            </w:r>
          </w:p>
        </w:tc>
      </w:tr>
      <w:tr w:rsidR="009832FC" w:rsidRPr="009832FC" w14:paraId="43E9071B" w14:textId="77777777" w:rsidTr="00EB585F">
        <w:trPr>
          <w:trHeight w:val="283"/>
        </w:trPr>
        <w:tc>
          <w:tcPr>
            <w:tcW w:w="2662" w:type="pct"/>
            <w:tcBorders>
              <w:top w:val="nil"/>
              <w:left w:val="nil"/>
              <w:bottom w:val="nil"/>
              <w:right w:val="nil"/>
            </w:tcBorders>
            <w:hideMark/>
          </w:tcPr>
          <w:p w14:paraId="78D31E7B"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One (resuscitation seen immediately)</w:t>
            </w:r>
            <w:r w:rsidRPr="009832FC">
              <w:rPr>
                <w:sz w:val="20"/>
                <w:bdr w:val="nil"/>
                <w:vertAlign w:val="superscript"/>
                <w:lang w:eastAsia="en-AU"/>
              </w:rPr>
              <w:t>6</w:t>
            </w:r>
          </w:p>
        </w:tc>
        <w:tc>
          <w:tcPr>
            <w:tcW w:w="793" w:type="pct"/>
            <w:tcBorders>
              <w:top w:val="nil"/>
              <w:left w:val="nil"/>
              <w:bottom w:val="nil"/>
              <w:right w:val="nil"/>
            </w:tcBorders>
            <w:vAlign w:val="bottom"/>
            <w:hideMark/>
          </w:tcPr>
          <w:p w14:paraId="5645497F"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100%</w:t>
            </w:r>
          </w:p>
        </w:tc>
        <w:tc>
          <w:tcPr>
            <w:tcW w:w="785" w:type="pct"/>
            <w:tcBorders>
              <w:top w:val="nil"/>
              <w:left w:val="nil"/>
              <w:bottom w:val="nil"/>
              <w:right w:val="nil"/>
            </w:tcBorders>
            <w:vAlign w:val="bottom"/>
            <w:hideMark/>
          </w:tcPr>
          <w:p w14:paraId="3B216DDF"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100%</w:t>
            </w:r>
          </w:p>
        </w:tc>
        <w:tc>
          <w:tcPr>
            <w:tcW w:w="760" w:type="pct"/>
            <w:tcBorders>
              <w:top w:val="nil"/>
              <w:left w:val="nil"/>
              <w:bottom w:val="nil"/>
              <w:right w:val="nil"/>
            </w:tcBorders>
            <w:vAlign w:val="bottom"/>
            <w:hideMark/>
          </w:tcPr>
          <w:p w14:paraId="0C80CA99"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100%</w:t>
            </w:r>
          </w:p>
        </w:tc>
      </w:tr>
      <w:tr w:rsidR="009832FC" w:rsidRPr="009832FC" w14:paraId="0316EAD8" w14:textId="77777777" w:rsidTr="00EB585F">
        <w:trPr>
          <w:trHeight w:val="283"/>
        </w:trPr>
        <w:tc>
          <w:tcPr>
            <w:tcW w:w="2662" w:type="pct"/>
            <w:tcBorders>
              <w:top w:val="nil"/>
              <w:left w:val="nil"/>
              <w:bottom w:val="nil"/>
              <w:right w:val="nil"/>
            </w:tcBorders>
            <w:hideMark/>
          </w:tcPr>
          <w:p w14:paraId="5DC26123"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Two (emergency seen within 10 mins)</w:t>
            </w:r>
            <w:r w:rsidRPr="009832FC">
              <w:rPr>
                <w:sz w:val="20"/>
                <w:bdr w:val="nil"/>
                <w:vertAlign w:val="superscript"/>
                <w:lang w:eastAsia="en-AU"/>
              </w:rPr>
              <w:t>7</w:t>
            </w:r>
          </w:p>
        </w:tc>
        <w:tc>
          <w:tcPr>
            <w:tcW w:w="793" w:type="pct"/>
            <w:tcBorders>
              <w:top w:val="nil"/>
              <w:left w:val="nil"/>
              <w:bottom w:val="nil"/>
              <w:right w:val="nil"/>
            </w:tcBorders>
            <w:vAlign w:val="bottom"/>
            <w:hideMark/>
          </w:tcPr>
          <w:p w14:paraId="05155CC0"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80%</w:t>
            </w:r>
          </w:p>
        </w:tc>
        <w:tc>
          <w:tcPr>
            <w:tcW w:w="785" w:type="pct"/>
            <w:tcBorders>
              <w:top w:val="nil"/>
              <w:left w:val="nil"/>
              <w:bottom w:val="nil"/>
              <w:right w:val="nil"/>
            </w:tcBorders>
            <w:vAlign w:val="bottom"/>
            <w:hideMark/>
          </w:tcPr>
          <w:p w14:paraId="1F93EDD8"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78%</w:t>
            </w:r>
          </w:p>
        </w:tc>
        <w:tc>
          <w:tcPr>
            <w:tcW w:w="760" w:type="pct"/>
            <w:tcBorders>
              <w:top w:val="nil"/>
              <w:left w:val="nil"/>
              <w:bottom w:val="nil"/>
              <w:right w:val="nil"/>
            </w:tcBorders>
            <w:vAlign w:val="bottom"/>
            <w:hideMark/>
          </w:tcPr>
          <w:p w14:paraId="091844E0"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80%</w:t>
            </w:r>
          </w:p>
        </w:tc>
      </w:tr>
      <w:tr w:rsidR="009832FC" w:rsidRPr="009832FC" w14:paraId="724A8BC0" w14:textId="77777777" w:rsidTr="00EB585F">
        <w:trPr>
          <w:trHeight w:val="283"/>
        </w:trPr>
        <w:tc>
          <w:tcPr>
            <w:tcW w:w="2662" w:type="pct"/>
            <w:tcBorders>
              <w:top w:val="nil"/>
              <w:left w:val="nil"/>
              <w:bottom w:val="nil"/>
              <w:right w:val="nil"/>
            </w:tcBorders>
            <w:hideMark/>
          </w:tcPr>
          <w:p w14:paraId="213C0D0E"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Three (urgent seen within 30 mins)</w:t>
            </w:r>
            <w:r w:rsidRPr="009832FC">
              <w:rPr>
                <w:sz w:val="20"/>
                <w:bdr w:val="nil"/>
                <w:vertAlign w:val="superscript"/>
                <w:lang w:eastAsia="en-AU"/>
              </w:rPr>
              <w:t>8</w:t>
            </w:r>
          </w:p>
        </w:tc>
        <w:tc>
          <w:tcPr>
            <w:tcW w:w="793" w:type="pct"/>
            <w:tcBorders>
              <w:top w:val="nil"/>
              <w:left w:val="nil"/>
              <w:bottom w:val="nil"/>
              <w:right w:val="nil"/>
            </w:tcBorders>
            <w:vAlign w:val="bottom"/>
            <w:hideMark/>
          </w:tcPr>
          <w:p w14:paraId="17CD887D"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75%</w:t>
            </w:r>
          </w:p>
        </w:tc>
        <w:tc>
          <w:tcPr>
            <w:tcW w:w="785" w:type="pct"/>
            <w:tcBorders>
              <w:top w:val="nil"/>
              <w:left w:val="nil"/>
              <w:bottom w:val="nil"/>
              <w:right w:val="nil"/>
            </w:tcBorders>
            <w:vAlign w:val="bottom"/>
            <w:hideMark/>
          </w:tcPr>
          <w:p w14:paraId="42F9E8F2"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29%</w:t>
            </w:r>
          </w:p>
        </w:tc>
        <w:tc>
          <w:tcPr>
            <w:tcW w:w="760" w:type="pct"/>
            <w:tcBorders>
              <w:top w:val="nil"/>
              <w:left w:val="nil"/>
              <w:bottom w:val="nil"/>
              <w:right w:val="nil"/>
            </w:tcBorders>
            <w:vAlign w:val="bottom"/>
            <w:hideMark/>
          </w:tcPr>
          <w:p w14:paraId="086A54F9"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75%</w:t>
            </w:r>
          </w:p>
        </w:tc>
      </w:tr>
      <w:tr w:rsidR="009832FC" w:rsidRPr="009832FC" w14:paraId="6B4CF5B2" w14:textId="77777777" w:rsidTr="00EB585F">
        <w:trPr>
          <w:trHeight w:val="283"/>
        </w:trPr>
        <w:tc>
          <w:tcPr>
            <w:tcW w:w="2662" w:type="pct"/>
            <w:tcBorders>
              <w:top w:val="nil"/>
              <w:left w:val="nil"/>
              <w:bottom w:val="nil"/>
              <w:right w:val="nil"/>
            </w:tcBorders>
            <w:hideMark/>
          </w:tcPr>
          <w:p w14:paraId="30E046E7"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Four (semi urgent seen within 60 mins)</w:t>
            </w:r>
            <w:r w:rsidRPr="009832FC">
              <w:rPr>
                <w:sz w:val="20"/>
                <w:bdr w:val="nil"/>
                <w:vertAlign w:val="superscript"/>
                <w:lang w:eastAsia="en-AU"/>
              </w:rPr>
              <w:t xml:space="preserve">9 </w:t>
            </w:r>
          </w:p>
        </w:tc>
        <w:tc>
          <w:tcPr>
            <w:tcW w:w="793" w:type="pct"/>
            <w:tcBorders>
              <w:top w:val="nil"/>
              <w:left w:val="nil"/>
              <w:bottom w:val="nil"/>
              <w:right w:val="nil"/>
            </w:tcBorders>
            <w:vAlign w:val="bottom"/>
            <w:hideMark/>
          </w:tcPr>
          <w:p w14:paraId="270CD307"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70%</w:t>
            </w:r>
          </w:p>
        </w:tc>
        <w:tc>
          <w:tcPr>
            <w:tcW w:w="785" w:type="pct"/>
            <w:tcBorders>
              <w:top w:val="nil"/>
              <w:left w:val="nil"/>
              <w:bottom w:val="nil"/>
              <w:right w:val="nil"/>
            </w:tcBorders>
            <w:vAlign w:val="bottom"/>
            <w:hideMark/>
          </w:tcPr>
          <w:p w14:paraId="3208757B"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43%</w:t>
            </w:r>
          </w:p>
        </w:tc>
        <w:tc>
          <w:tcPr>
            <w:tcW w:w="760" w:type="pct"/>
            <w:tcBorders>
              <w:top w:val="nil"/>
              <w:left w:val="nil"/>
              <w:bottom w:val="nil"/>
              <w:right w:val="nil"/>
            </w:tcBorders>
            <w:vAlign w:val="bottom"/>
            <w:hideMark/>
          </w:tcPr>
          <w:p w14:paraId="098FC388"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70%</w:t>
            </w:r>
          </w:p>
        </w:tc>
      </w:tr>
      <w:tr w:rsidR="009832FC" w:rsidRPr="009832FC" w14:paraId="797B5279" w14:textId="77777777" w:rsidTr="00EB585F">
        <w:trPr>
          <w:trHeight w:val="283"/>
        </w:trPr>
        <w:tc>
          <w:tcPr>
            <w:tcW w:w="2662" w:type="pct"/>
            <w:tcBorders>
              <w:top w:val="nil"/>
              <w:left w:val="nil"/>
              <w:bottom w:val="nil"/>
              <w:right w:val="nil"/>
            </w:tcBorders>
            <w:hideMark/>
          </w:tcPr>
          <w:p w14:paraId="027A9DD6"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Five (non-urgent seen within 120 mins)</w:t>
            </w:r>
            <w:r w:rsidRPr="009832FC">
              <w:rPr>
                <w:sz w:val="20"/>
                <w:bdr w:val="nil"/>
                <w:vertAlign w:val="superscript"/>
                <w:lang w:eastAsia="en-AU"/>
              </w:rPr>
              <w:t>10</w:t>
            </w:r>
          </w:p>
        </w:tc>
        <w:tc>
          <w:tcPr>
            <w:tcW w:w="793" w:type="pct"/>
            <w:tcBorders>
              <w:top w:val="nil"/>
              <w:left w:val="nil"/>
              <w:bottom w:val="nil"/>
              <w:right w:val="nil"/>
            </w:tcBorders>
            <w:vAlign w:val="bottom"/>
            <w:hideMark/>
          </w:tcPr>
          <w:p w14:paraId="3505CB12"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70%</w:t>
            </w:r>
          </w:p>
        </w:tc>
        <w:tc>
          <w:tcPr>
            <w:tcW w:w="785" w:type="pct"/>
            <w:tcBorders>
              <w:top w:val="nil"/>
              <w:left w:val="nil"/>
              <w:bottom w:val="nil"/>
              <w:right w:val="nil"/>
            </w:tcBorders>
            <w:vAlign w:val="bottom"/>
            <w:hideMark/>
          </w:tcPr>
          <w:p w14:paraId="3A4C5173"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77%</w:t>
            </w:r>
          </w:p>
        </w:tc>
        <w:tc>
          <w:tcPr>
            <w:tcW w:w="760" w:type="pct"/>
            <w:tcBorders>
              <w:top w:val="nil"/>
              <w:left w:val="nil"/>
              <w:bottom w:val="nil"/>
              <w:right w:val="nil"/>
            </w:tcBorders>
            <w:vAlign w:val="bottom"/>
            <w:hideMark/>
          </w:tcPr>
          <w:p w14:paraId="1CDD8671"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70%</w:t>
            </w:r>
          </w:p>
        </w:tc>
      </w:tr>
      <w:tr w:rsidR="009832FC" w:rsidRPr="009832FC" w14:paraId="40CD718E" w14:textId="77777777" w:rsidTr="00EB585F">
        <w:trPr>
          <w:trHeight w:val="283"/>
        </w:trPr>
        <w:tc>
          <w:tcPr>
            <w:tcW w:w="2662" w:type="pct"/>
            <w:tcBorders>
              <w:top w:val="nil"/>
              <w:left w:val="nil"/>
              <w:bottom w:val="nil"/>
              <w:right w:val="nil"/>
            </w:tcBorders>
            <w:hideMark/>
          </w:tcPr>
          <w:p w14:paraId="0B17D95B"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 xml:space="preserve">All presentations </w:t>
            </w:r>
            <w:r w:rsidRPr="009832FC">
              <w:rPr>
                <w:sz w:val="20"/>
                <w:bdr w:val="nil"/>
                <w:vertAlign w:val="superscript"/>
                <w:lang w:eastAsia="en-AU"/>
              </w:rPr>
              <w:t>11</w:t>
            </w:r>
          </w:p>
        </w:tc>
        <w:tc>
          <w:tcPr>
            <w:tcW w:w="793" w:type="pct"/>
            <w:tcBorders>
              <w:top w:val="nil"/>
              <w:left w:val="nil"/>
              <w:bottom w:val="nil"/>
              <w:right w:val="nil"/>
            </w:tcBorders>
            <w:vAlign w:val="bottom"/>
            <w:hideMark/>
          </w:tcPr>
          <w:p w14:paraId="2CFA3307"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70%</w:t>
            </w:r>
          </w:p>
        </w:tc>
        <w:tc>
          <w:tcPr>
            <w:tcW w:w="785" w:type="pct"/>
            <w:tcBorders>
              <w:top w:val="nil"/>
              <w:left w:val="nil"/>
              <w:bottom w:val="nil"/>
              <w:right w:val="nil"/>
            </w:tcBorders>
            <w:vAlign w:val="bottom"/>
            <w:hideMark/>
          </w:tcPr>
          <w:p w14:paraId="15846B83"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46%</w:t>
            </w:r>
          </w:p>
        </w:tc>
        <w:tc>
          <w:tcPr>
            <w:tcW w:w="760" w:type="pct"/>
            <w:tcBorders>
              <w:top w:val="nil"/>
              <w:left w:val="nil"/>
              <w:bottom w:val="nil"/>
              <w:right w:val="nil"/>
            </w:tcBorders>
            <w:vAlign w:val="bottom"/>
            <w:hideMark/>
          </w:tcPr>
          <w:p w14:paraId="141D3D82"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70%</w:t>
            </w:r>
          </w:p>
        </w:tc>
      </w:tr>
      <w:tr w:rsidR="009832FC" w:rsidRPr="009832FC" w14:paraId="0A06815F" w14:textId="77777777" w:rsidTr="00EB585F">
        <w:trPr>
          <w:trHeight w:val="283"/>
        </w:trPr>
        <w:tc>
          <w:tcPr>
            <w:tcW w:w="2662" w:type="pct"/>
            <w:tcBorders>
              <w:top w:val="nil"/>
              <w:left w:val="nil"/>
              <w:bottom w:val="nil"/>
              <w:right w:val="nil"/>
            </w:tcBorders>
            <w:hideMark/>
          </w:tcPr>
          <w:p w14:paraId="248A1972" w14:textId="77777777" w:rsidR="009832FC" w:rsidRPr="009832FC" w:rsidRDefault="009832FC" w:rsidP="009832FC">
            <w:pPr>
              <w:pBdr>
                <w:top w:val="nil"/>
                <w:left w:val="nil"/>
                <w:bottom w:val="nil"/>
                <w:right w:val="nil"/>
                <w:between w:val="nil"/>
                <w:bar w:val="nil"/>
              </w:pBdr>
              <w:spacing w:before="0" w:after="0" w:line="252" w:lineRule="auto"/>
              <w:rPr>
                <w:sz w:val="20"/>
                <w:bdr w:val="nil"/>
                <w:lang w:eastAsia="en-AU"/>
              </w:rPr>
            </w:pPr>
            <w:r w:rsidRPr="009832FC">
              <w:rPr>
                <w:b/>
                <w:sz w:val="20"/>
                <w:bdr w:val="nil"/>
              </w:rPr>
              <w:t>National Weighted Activity Units</w:t>
            </w:r>
          </w:p>
        </w:tc>
        <w:tc>
          <w:tcPr>
            <w:tcW w:w="793" w:type="pct"/>
            <w:tcBorders>
              <w:top w:val="nil"/>
              <w:left w:val="nil"/>
              <w:bottom w:val="nil"/>
              <w:right w:val="nil"/>
            </w:tcBorders>
            <w:vAlign w:val="bottom"/>
          </w:tcPr>
          <w:p w14:paraId="60FF017B"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p>
        </w:tc>
        <w:tc>
          <w:tcPr>
            <w:tcW w:w="785" w:type="pct"/>
            <w:tcBorders>
              <w:top w:val="nil"/>
              <w:left w:val="nil"/>
              <w:bottom w:val="nil"/>
              <w:right w:val="nil"/>
            </w:tcBorders>
            <w:vAlign w:val="bottom"/>
          </w:tcPr>
          <w:p w14:paraId="31E8A812"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p>
        </w:tc>
        <w:tc>
          <w:tcPr>
            <w:tcW w:w="760" w:type="pct"/>
            <w:tcBorders>
              <w:top w:val="nil"/>
              <w:left w:val="nil"/>
              <w:bottom w:val="nil"/>
              <w:right w:val="nil"/>
            </w:tcBorders>
            <w:vAlign w:val="bottom"/>
          </w:tcPr>
          <w:p w14:paraId="458492F4"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p>
        </w:tc>
      </w:tr>
      <w:tr w:rsidR="009832FC" w:rsidRPr="009832FC" w14:paraId="6E2F12C8" w14:textId="77777777" w:rsidTr="00EB585F">
        <w:trPr>
          <w:trHeight w:val="283"/>
        </w:trPr>
        <w:tc>
          <w:tcPr>
            <w:tcW w:w="2662" w:type="pct"/>
            <w:tcBorders>
              <w:top w:val="nil"/>
              <w:left w:val="nil"/>
              <w:bottom w:val="nil"/>
              <w:right w:val="nil"/>
            </w:tcBorders>
            <w:hideMark/>
          </w:tcPr>
          <w:p w14:paraId="369DCE1D"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Admitted Acute Care {NWAU 21}</w:t>
            </w:r>
            <w:r w:rsidRPr="009832FC">
              <w:rPr>
                <w:sz w:val="20"/>
                <w:bdr w:val="nil"/>
                <w:vertAlign w:val="superscript"/>
                <w:lang w:eastAsia="en-AU"/>
              </w:rPr>
              <w:t>12</w:t>
            </w:r>
          </w:p>
        </w:tc>
        <w:tc>
          <w:tcPr>
            <w:tcW w:w="793" w:type="pct"/>
            <w:tcBorders>
              <w:top w:val="nil"/>
              <w:left w:val="nil"/>
              <w:bottom w:val="nil"/>
              <w:right w:val="nil"/>
            </w:tcBorders>
            <w:vAlign w:val="bottom"/>
            <w:hideMark/>
          </w:tcPr>
          <w:p w14:paraId="5EF8F5A4"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85" w:type="pct"/>
            <w:tcBorders>
              <w:top w:val="nil"/>
              <w:left w:val="nil"/>
              <w:bottom w:val="nil"/>
              <w:right w:val="nil"/>
            </w:tcBorders>
            <w:vAlign w:val="bottom"/>
            <w:hideMark/>
          </w:tcPr>
          <w:p w14:paraId="0FF47CE2"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60" w:type="pct"/>
            <w:tcBorders>
              <w:top w:val="nil"/>
              <w:left w:val="nil"/>
              <w:bottom w:val="nil"/>
              <w:right w:val="nil"/>
            </w:tcBorders>
            <w:vAlign w:val="bottom"/>
            <w:hideMark/>
          </w:tcPr>
          <w:p w14:paraId="31679796"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82,000</w:t>
            </w:r>
          </w:p>
        </w:tc>
      </w:tr>
      <w:tr w:rsidR="009832FC" w:rsidRPr="009832FC" w14:paraId="09ADEFA0" w14:textId="77777777" w:rsidTr="00EB585F">
        <w:trPr>
          <w:trHeight w:val="283"/>
        </w:trPr>
        <w:tc>
          <w:tcPr>
            <w:tcW w:w="2662" w:type="pct"/>
            <w:tcBorders>
              <w:top w:val="nil"/>
              <w:left w:val="nil"/>
              <w:bottom w:val="nil"/>
              <w:right w:val="nil"/>
            </w:tcBorders>
            <w:hideMark/>
          </w:tcPr>
          <w:p w14:paraId="1EF072D4"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Non-admitted services {NWAU 21}</w:t>
            </w:r>
            <w:r w:rsidRPr="009832FC">
              <w:rPr>
                <w:sz w:val="20"/>
                <w:bdr w:val="nil"/>
                <w:vertAlign w:val="superscript"/>
                <w:lang w:eastAsia="en-AU"/>
              </w:rPr>
              <w:t>13</w:t>
            </w:r>
          </w:p>
        </w:tc>
        <w:tc>
          <w:tcPr>
            <w:tcW w:w="793" w:type="pct"/>
            <w:tcBorders>
              <w:top w:val="nil"/>
              <w:left w:val="nil"/>
              <w:bottom w:val="nil"/>
              <w:right w:val="nil"/>
            </w:tcBorders>
            <w:vAlign w:val="bottom"/>
            <w:hideMark/>
          </w:tcPr>
          <w:p w14:paraId="0971DF59"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85" w:type="pct"/>
            <w:tcBorders>
              <w:top w:val="nil"/>
              <w:left w:val="nil"/>
              <w:bottom w:val="nil"/>
              <w:right w:val="nil"/>
            </w:tcBorders>
            <w:vAlign w:val="bottom"/>
            <w:hideMark/>
          </w:tcPr>
          <w:p w14:paraId="709212E0"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60" w:type="pct"/>
            <w:tcBorders>
              <w:top w:val="nil"/>
              <w:left w:val="nil"/>
              <w:bottom w:val="nil"/>
              <w:right w:val="nil"/>
            </w:tcBorders>
            <w:vAlign w:val="bottom"/>
            <w:hideMark/>
          </w:tcPr>
          <w:p w14:paraId="2EEB0866"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25,500</w:t>
            </w:r>
          </w:p>
        </w:tc>
      </w:tr>
      <w:tr w:rsidR="009832FC" w:rsidRPr="009832FC" w14:paraId="2D017EF5" w14:textId="77777777" w:rsidTr="00EB585F">
        <w:trPr>
          <w:trHeight w:val="283"/>
        </w:trPr>
        <w:tc>
          <w:tcPr>
            <w:tcW w:w="2662" w:type="pct"/>
            <w:tcBorders>
              <w:top w:val="nil"/>
              <w:left w:val="nil"/>
              <w:bottom w:val="single" w:sz="4" w:space="0" w:color="auto"/>
              <w:right w:val="nil"/>
            </w:tcBorders>
            <w:hideMark/>
          </w:tcPr>
          <w:p w14:paraId="70CE73EF" w14:textId="77777777" w:rsidR="009832FC" w:rsidRPr="009832FC" w:rsidRDefault="009832FC" w:rsidP="00812F22">
            <w:pPr>
              <w:numPr>
                <w:ilvl w:val="0"/>
                <w:numId w:val="62"/>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Emergency services {NWAU 21}</w:t>
            </w:r>
            <w:r w:rsidRPr="009832FC">
              <w:rPr>
                <w:sz w:val="20"/>
                <w:bdr w:val="nil"/>
                <w:vertAlign w:val="superscript"/>
                <w:lang w:eastAsia="en-AU"/>
              </w:rPr>
              <w:t>14</w:t>
            </w:r>
          </w:p>
        </w:tc>
        <w:tc>
          <w:tcPr>
            <w:tcW w:w="793" w:type="pct"/>
            <w:tcBorders>
              <w:top w:val="nil"/>
              <w:left w:val="nil"/>
              <w:bottom w:val="single" w:sz="4" w:space="0" w:color="auto"/>
              <w:right w:val="nil"/>
            </w:tcBorders>
            <w:vAlign w:val="bottom"/>
            <w:hideMark/>
          </w:tcPr>
          <w:p w14:paraId="3B429B79"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85" w:type="pct"/>
            <w:tcBorders>
              <w:top w:val="nil"/>
              <w:left w:val="nil"/>
              <w:bottom w:val="single" w:sz="4" w:space="0" w:color="auto"/>
              <w:right w:val="nil"/>
            </w:tcBorders>
            <w:vAlign w:val="bottom"/>
            <w:hideMark/>
          </w:tcPr>
          <w:p w14:paraId="05535058"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60" w:type="pct"/>
            <w:tcBorders>
              <w:top w:val="nil"/>
              <w:left w:val="nil"/>
              <w:bottom w:val="single" w:sz="4" w:space="0" w:color="auto"/>
              <w:right w:val="nil"/>
            </w:tcBorders>
            <w:vAlign w:val="bottom"/>
            <w:hideMark/>
          </w:tcPr>
          <w:p w14:paraId="683DFC35"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12,500</w:t>
            </w:r>
          </w:p>
        </w:tc>
      </w:tr>
    </w:tbl>
    <w:p w14:paraId="2D704097" w14:textId="77777777" w:rsidR="009832FC" w:rsidRPr="009832FC" w:rsidRDefault="009832FC" w:rsidP="00D12F0F">
      <w:pPr>
        <w:keepNext/>
        <w:keepLines/>
        <w:pBdr>
          <w:top w:val="nil"/>
          <w:left w:val="nil"/>
          <w:bottom w:val="nil"/>
          <w:right w:val="nil"/>
          <w:between w:val="nil"/>
          <w:bar w:val="nil"/>
        </w:pBdr>
        <w:spacing w:before="120" w:after="0"/>
        <w:rPr>
          <w:rFonts w:cs="Calibri"/>
          <w:b/>
          <w:sz w:val="18"/>
          <w:szCs w:val="16"/>
          <w:bdr w:val="nil"/>
        </w:rPr>
      </w:pPr>
      <w:r w:rsidRPr="009832FC">
        <w:rPr>
          <w:rFonts w:cs="Calibri"/>
          <w:b/>
          <w:sz w:val="18"/>
          <w:szCs w:val="16"/>
          <w:bdr w:val="nil"/>
          <w:lang w:eastAsia="en-AU"/>
        </w:rPr>
        <w:t>Note(s):</w:t>
      </w:r>
    </w:p>
    <w:p w14:paraId="466AB48D"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As a result of a review of all performance indicators against the ACT Government’s Performance Accountability Framework, this is a new measure for 2021-22.</w:t>
      </w:r>
    </w:p>
    <w:p w14:paraId="069D5AF2"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As a result of a review of all performance indicators against the ACT Government’s Performance Accountability Framework, this is a new measure for 2021-22.</w:t>
      </w:r>
    </w:p>
    <w:p w14:paraId="5DB6A199"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Percentage of elective surgery cases admitted on time by clinical urgency—urgent (within 30 days of listing).</w:t>
      </w:r>
    </w:p>
    <w:p w14:paraId="42624073"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lastRenderedPageBreak/>
        <w:t>Percentage of elective surgery cases admitted on time by clinical urgency—semi-urgent (within 90 days of listing).</w:t>
      </w:r>
    </w:p>
    <w:p w14:paraId="4E4F5BC3"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Percentage of elective surgery cases admitted on time by clinical urgency—non-urgent (within 365 days of listing).</w:t>
      </w:r>
    </w:p>
    <w:p w14:paraId="55801577"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The proportion of Emergency Department Presentations that are treated within clinically appropriate timeframes—triage category one (Immediately).</w:t>
      </w:r>
    </w:p>
    <w:p w14:paraId="2DC456F7"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The proportion of triage category two Emergency Department presentations that are treated within clinically appropriate timeframes (10 minutes).</w:t>
      </w:r>
    </w:p>
    <w:p w14:paraId="60490850"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The proportion of triage category three Emergency Department presentations that are treated within clinically appropriate timeframes (30 minutes).</w:t>
      </w:r>
    </w:p>
    <w:p w14:paraId="6CD0C2F2"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The Proportion of Emergency Department Presentations that are treated within clinically appropriate timeframes—triage category four (60 minutes).</w:t>
      </w:r>
    </w:p>
    <w:p w14:paraId="1FD3AE9C"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The Proportion of Emergency Department Presentations that are treated within clinically appropriate timeframes—triage category five (120 minutes).</w:t>
      </w:r>
    </w:p>
    <w:p w14:paraId="16DE5158"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The proportion of all Emergency Department presentations that are treated within clinically appropriate timeframes.</w:t>
      </w:r>
    </w:p>
    <w:p w14:paraId="69E3590F"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Number of national weighted activity units for admitted services undertaken by Canberra Health Services. This indicator has not been previously reported at Canberra Health Services level. Please note Admitted Acute Care NWAU includes figures that relate to output 1.3 – Cancer Services.</w:t>
      </w:r>
    </w:p>
    <w:p w14:paraId="51DC8836"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Number of national weighted activity units for non-admitted services undertaken by Canberra Health Services.  This indicator has not been previously reported at Canberra Health Services level. Please note Non-admitted services NWAU includes figures that relate to output 1.3 – Cancer Services.</w:t>
      </w:r>
    </w:p>
    <w:p w14:paraId="146271D0" w14:textId="77777777" w:rsidR="009832FC" w:rsidRPr="009832FC" w:rsidRDefault="009832FC" w:rsidP="00812F22">
      <w:pPr>
        <w:keepLines/>
        <w:widowControl w:val="0"/>
        <w:numPr>
          <w:ilvl w:val="0"/>
          <w:numId w:val="43"/>
        </w:numPr>
        <w:pBdr>
          <w:top w:val="nil"/>
          <w:left w:val="nil"/>
          <w:bottom w:val="nil"/>
          <w:right w:val="nil"/>
          <w:between w:val="nil"/>
          <w:bar w:val="nil"/>
        </w:pBdr>
        <w:spacing w:before="0" w:after="0"/>
        <w:jc w:val="both"/>
        <w:rPr>
          <w:sz w:val="18"/>
          <w:szCs w:val="24"/>
          <w:bdr w:val="nil"/>
        </w:rPr>
      </w:pPr>
      <w:r w:rsidRPr="009832FC">
        <w:rPr>
          <w:sz w:val="18"/>
          <w:szCs w:val="24"/>
          <w:bdr w:val="nil"/>
        </w:rPr>
        <w:t>Number of national weighted activity units for emergency services undertaken by Canberra Health Services.  This indicator has not been previously reported at Canberra Health Services level.</w:t>
      </w:r>
    </w:p>
    <w:p w14:paraId="1FB4E526" w14:textId="77777777" w:rsidR="009832FC" w:rsidRPr="009832FC" w:rsidRDefault="009832FC" w:rsidP="009832FC">
      <w:pPr>
        <w:pBdr>
          <w:top w:val="nil"/>
          <w:left w:val="nil"/>
          <w:bottom w:val="nil"/>
          <w:right w:val="nil"/>
          <w:between w:val="nil"/>
          <w:bar w:val="nil"/>
        </w:pBdr>
        <w:spacing w:before="0" w:after="0"/>
        <w:rPr>
          <w:b/>
          <w:i/>
          <w:bdr w:val="nil"/>
        </w:rPr>
      </w:pPr>
      <w:r w:rsidRPr="009832FC">
        <w:rPr>
          <w:bdr w:val="nil"/>
        </w:rPr>
        <w:br w:type="page"/>
      </w:r>
    </w:p>
    <w:p w14:paraId="79C79933" w14:textId="77777777" w:rsidR="009832FC" w:rsidRPr="009832FC" w:rsidRDefault="009832FC" w:rsidP="009832FC">
      <w:pPr>
        <w:keepNext/>
        <w:keepLines/>
        <w:pBdr>
          <w:top w:val="nil"/>
          <w:left w:val="nil"/>
          <w:bottom w:val="nil"/>
          <w:right w:val="nil"/>
          <w:between w:val="nil"/>
          <w:bar w:val="nil"/>
        </w:pBdr>
        <w:spacing w:before="240" w:after="120"/>
        <w:outlineLvl w:val="3"/>
        <w:rPr>
          <w:b/>
          <w:i/>
          <w:bdr w:val="nil"/>
        </w:rPr>
      </w:pPr>
      <w:r w:rsidRPr="009832FC">
        <w:rPr>
          <w:b/>
          <w:i/>
          <w:bdr w:val="nil"/>
        </w:rPr>
        <w:lastRenderedPageBreak/>
        <w:t>Output 1.2: Mental Health, Justice Health and Alcohol and Drug Services</w:t>
      </w:r>
    </w:p>
    <w:p w14:paraId="794D34C8" w14:textId="77777777" w:rsidR="009832FC" w:rsidRPr="009832FC" w:rsidRDefault="009832FC" w:rsidP="009832FC">
      <w:pPr>
        <w:keepNext/>
        <w:pBdr>
          <w:top w:val="nil"/>
          <w:left w:val="nil"/>
          <w:bottom w:val="nil"/>
          <w:right w:val="nil"/>
          <w:between w:val="nil"/>
          <w:bar w:val="nil"/>
        </w:pBdr>
        <w:spacing w:before="240"/>
        <w:rPr>
          <w:b/>
          <w:bCs/>
          <w:noProof/>
          <w:sz w:val="22"/>
          <w:szCs w:val="18"/>
          <w:bdr w:val="nil"/>
        </w:rPr>
      </w:pPr>
      <w:bookmarkStart w:id="73" w:name="_Hlk9419326"/>
      <w:r w:rsidRPr="009832FC">
        <w:rPr>
          <w:b/>
          <w:bCs/>
          <w:sz w:val="22"/>
          <w:szCs w:val="18"/>
          <w:bdr w:val="nil"/>
        </w:rPr>
        <w:t>Table 19</w:t>
      </w:r>
      <w:r w:rsidRPr="009832FC">
        <w:rPr>
          <w:b/>
          <w:bCs/>
          <w:noProof/>
          <w:sz w:val="22"/>
          <w:szCs w:val="18"/>
          <w:bdr w:val="nil"/>
        </w:rPr>
        <w:t>:</w:t>
      </w:r>
      <w:r w:rsidRPr="009832FC">
        <w:rPr>
          <w:b/>
          <w:bCs/>
          <w:sz w:val="22"/>
          <w:szCs w:val="18"/>
          <w:bdr w:val="nil"/>
        </w:rPr>
        <w:t xml:space="preserve"> Accountability Indicators</w:t>
      </w:r>
      <w:r w:rsidRPr="009832FC">
        <w:rPr>
          <w:b/>
          <w:bCs/>
          <w:noProof/>
          <w:sz w:val="22"/>
          <w:szCs w:val="18"/>
          <w:bdr w:val="nil"/>
        </w:rPr>
        <w:t xml:space="preserve"> Output 1.2</w:t>
      </w:r>
      <w:bookmarkEnd w:id="73"/>
    </w:p>
    <w:tbl>
      <w:tblPr>
        <w:tblW w:w="9100" w:type="dxa"/>
        <w:tblBorders>
          <w:top w:val="single" w:sz="12" w:space="0" w:color="000000"/>
          <w:bottom w:val="single" w:sz="12" w:space="0" w:color="000000"/>
        </w:tblBorders>
        <w:tblLook w:val="04A0" w:firstRow="1" w:lastRow="0" w:firstColumn="1" w:lastColumn="0" w:noHBand="0" w:noVBand="1"/>
      </w:tblPr>
      <w:tblGrid>
        <w:gridCol w:w="4844"/>
        <w:gridCol w:w="86"/>
        <w:gridCol w:w="1358"/>
        <w:gridCol w:w="33"/>
        <w:gridCol w:w="1396"/>
        <w:gridCol w:w="1383"/>
      </w:tblGrid>
      <w:tr w:rsidR="009832FC" w:rsidRPr="009832FC" w14:paraId="18D81966" w14:textId="77777777" w:rsidTr="00EB585F">
        <w:trPr>
          <w:tblHeader/>
        </w:trPr>
        <w:tc>
          <w:tcPr>
            <w:tcW w:w="2709" w:type="pct"/>
            <w:gridSpan w:val="2"/>
            <w:tcBorders>
              <w:top w:val="single" w:sz="12" w:space="0" w:color="000000"/>
              <w:left w:val="nil"/>
              <w:bottom w:val="single" w:sz="12" w:space="0" w:color="000000"/>
              <w:right w:val="nil"/>
            </w:tcBorders>
          </w:tcPr>
          <w:p w14:paraId="21EED538"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p>
        </w:tc>
        <w:tc>
          <w:tcPr>
            <w:tcW w:w="764" w:type="pct"/>
            <w:gridSpan w:val="2"/>
            <w:tcBorders>
              <w:top w:val="single" w:sz="12" w:space="0" w:color="000000"/>
              <w:left w:val="nil"/>
              <w:bottom w:val="single" w:sz="12" w:space="0" w:color="000000"/>
              <w:right w:val="nil"/>
            </w:tcBorders>
            <w:hideMark/>
          </w:tcPr>
          <w:p w14:paraId="627682DC"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2020-21 Targets</w:t>
            </w:r>
          </w:p>
        </w:tc>
        <w:tc>
          <w:tcPr>
            <w:tcW w:w="767" w:type="pct"/>
            <w:tcBorders>
              <w:top w:val="single" w:sz="12" w:space="0" w:color="000000"/>
              <w:left w:val="nil"/>
              <w:bottom w:val="single" w:sz="12" w:space="0" w:color="000000"/>
              <w:right w:val="nil"/>
            </w:tcBorders>
            <w:hideMark/>
          </w:tcPr>
          <w:p w14:paraId="778710A1"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 xml:space="preserve">2020-21 </w:t>
            </w:r>
          </w:p>
          <w:p w14:paraId="1395E11C"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Interim</w:t>
            </w:r>
          </w:p>
          <w:p w14:paraId="77E9A2F2"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Outcome</w:t>
            </w:r>
          </w:p>
        </w:tc>
        <w:tc>
          <w:tcPr>
            <w:tcW w:w="760" w:type="pct"/>
            <w:tcBorders>
              <w:top w:val="single" w:sz="12" w:space="0" w:color="000000"/>
              <w:left w:val="nil"/>
              <w:bottom w:val="single" w:sz="12" w:space="0" w:color="000000"/>
              <w:right w:val="nil"/>
            </w:tcBorders>
            <w:hideMark/>
          </w:tcPr>
          <w:p w14:paraId="591D0B75"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 xml:space="preserve">2021-22 </w:t>
            </w:r>
          </w:p>
          <w:p w14:paraId="4A4D76EC"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Targets</w:t>
            </w:r>
          </w:p>
        </w:tc>
      </w:tr>
      <w:tr w:rsidR="009832FC" w:rsidRPr="009832FC" w14:paraId="76893678" w14:textId="77777777" w:rsidTr="00EB585F">
        <w:trPr>
          <w:trHeight w:val="283"/>
        </w:trPr>
        <w:tc>
          <w:tcPr>
            <w:tcW w:w="2709" w:type="pct"/>
            <w:gridSpan w:val="2"/>
            <w:tcBorders>
              <w:top w:val="nil"/>
              <w:left w:val="nil"/>
              <w:bottom w:val="nil"/>
              <w:right w:val="nil"/>
            </w:tcBorders>
            <w:hideMark/>
          </w:tcPr>
          <w:p w14:paraId="3553137B"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rPr>
            </w:pPr>
            <w:r w:rsidRPr="009832FC">
              <w:rPr>
                <w:sz w:val="20"/>
                <w:bdr w:val="nil"/>
                <w:lang w:eastAsia="en-AU"/>
              </w:rPr>
              <w:t>Adult mental health program community service contacts</w:t>
            </w:r>
            <w:r w:rsidRPr="009832FC">
              <w:rPr>
                <w:sz w:val="20"/>
                <w:bdr w:val="nil"/>
                <w:vertAlign w:val="superscript"/>
                <w:lang w:eastAsia="en-AU"/>
              </w:rPr>
              <w:t>1</w:t>
            </w:r>
          </w:p>
        </w:tc>
        <w:tc>
          <w:tcPr>
            <w:tcW w:w="764" w:type="pct"/>
            <w:gridSpan w:val="2"/>
            <w:tcBorders>
              <w:top w:val="nil"/>
              <w:left w:val="nil"/>
              <w:bottom w:val="nil"/>
              <w:right w:val="nil"/>
            </w:tcBorders>
            <w:hideMark/>
          </w:tcPr>
          <w:p w14:paraId="4F1F1CB7"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198,000</w:t>
            </w:r>
          </w:p>
        </w:tc>
        <w:tc>
          <w:tcPr>
            <w:tcW w:w="767" w:type="pct"/>
            <w:tcBorders>
              <w:top w:val="nil"/>
              <w:left w:val="nil"/>
              <w:bottom w:val="nil"/>
              <w:right w:val="nil"/>
            </w:tcBorders>
            <w:hideMark/>
          </w:tcPr>
          <w:p w14:paraId="779D79CF"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213,771</w:t>
            </w:r>
          </w:p>
        </w:tc>
        <w:tc>
          <w:tcPr>
            <w:tcW w:w="760" w:type="pct"/>
            <w:tcBorders>
              <w:top w:val="nil"/>
              <w:left w:val="nil"/>
              <w:bottom w:val="nil"/>
              <w:right w:val="nil"/>
            </w:tcBorders>
            <w:hideMark/>
          </w:tcPr>
          <w:p w14:paraId="6F56F887"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r>
      <w:tr w:rsidR="009832FC" w:rsidRPr="009832FC" w14:paraId="77FB15E6" w14:textId="77777777" w:rsidTr="00EB585F">
        <w:trPr>
          <w:trHeight w:val="283"/>
        </w:trPr>
        <w:tc>
          <w:tcPr>
            <w:tcW w:w="2709" w:type="pct"/>
            <w:gridSpan w:val="2"/>
            <w:tcBorders>
              <w:top w:val="nil"/>
              <w:left w:val="nil"/>
              <w:bottom w:val="nil"/>
              <w:right w:val="nil"/>
            </w:tcBorders>
            <w:hideMark/>
          </w:tcPr>
          <w:p w14:paraId="08FB9B4C"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rPr>
            </w:pPr>
            <w:r w:rsidRPr="009832FC">
              <w:rPr>
                <w:sz w:val="20"/>
                <w:bdr w:val="nil"/>
                <w:lang w:eastAsia="en-AU"/>
              </w:rPr>
              <w:t>Children and youth mental health program community service contacts</w:t>
            </w:r>
            <w:r w:rsidRPr="009832FC">
              <w:rPr>
                <w:sz w:val="20"/>
                <w:bdr w:val="nil"/>
                <w:vertAlign w:val="superscript"/>
                <w:lang w:eastAsia="en-AU"/>
              </w:rPr>
              <w:t>2</w:t>
            </w:r>
          </w:p>
        </w:tc>
        <w:tc>
          <w:tcPr>
            <w:tcW w:w="764" w:type="pct"/>
            <w:gridSpan w:val="2"/>
            <w:tcBorders>
              <w:top w:val="nil"/>
              <w:left w:val="nil"/>
              <w:bottom w:val="nil"/>
              <w:right w:val="nil"/>
            </w:tcBorders>
            <w:hideMark/>
          </w:tcPr>
          <w:p w14:paraId="37817645"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72,000</w:t>
            </w:r>
          </w:p>
        </w:tc>
        <w:tc>
          <w:tcPr>
            <w:tcW w:w="767" w:type="pct"/>
            <w:tcBorders>
              <w:top w:val="nil"/>
              <w:left w:val="nil"/>
              <w:bottom w:val="nil"/>
              <w:right w:val="nil"/>
            </w:tcBorders>
            <w:hideMark/>
          </w:tcPr>
          <w:p w14:paraId="7CA30FBA"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109,356</w:t>
            </w:r>
          </w:p>
        </w:tc>
        <w:tc>
          <w:tcPr>
            <w:tcW w:w="760" w:type="pct"/>
            <w:tcBorders>
              <w:top w:val="nil"/>
              <w:left w:val="nil"/>
              <w:bottom w:val="nil"/>
              <w:right w:val="nil"/>
            </w:tcBorders>
            <w:hideMark/>
          </w:tcPr>
          <w:p w14:paraId="169F4A89"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r>
      <w:tr w:rsidR="009832FC" w:rsidRPr="009832FC" w14:paraId="71431963" w14:textId="77777777" w:rsidTr="00EB585F">
        <w:trPr>
          <w:trHeight w:val="283"/>
        </w:trPr>
        <w:tc>
          <w:tcPr>
            <w:tcW w:w="2709" w:type="pct"/>
            <w:gridSpan w:val="2"/>
            <w:tcBorders>
              <w:top w:val="nil"/>
              <w:left w:val="nil"/>
              <w:bottom w:val="nil"/>
              <w:right w:val="nil"/>
            </w:tcBorders>
            <w:hideMark/>
          </w:tcPr>
          <w:p w14:paraId="7684183B"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rPr>
            </w:pPr>
            <w:r w:rsidRPr="009832FC">
              <w:rPr>
                <w:sz w:val="20"/>
                <w:bdr w:val="nil"/>
                <w:lang w:eastAsia="en-AU"/>
              </w:rPr>
              <w:t>Mental health rehabilitation and specialty services</w:t>
            </w:r>
            <w:r w:rsidRPr="009832FC">
              <w:rPr>
                <w:sz w:val="20"/>
                <w:bdr w:val="nil"/>
                <w:vertAlign w:val="superscript"/>
                <w:lang w:eastAsia="en-AU"/>
              </w:rPr>
              <w:t>3</w:t>
            </w:r>
          </w:p>
        </w:tc>
        <w:tc>
          <w:tcPr>
            <w:tcW w:w="764" w:type="pct"/>
            <w:gridSpan w:val="2"/>
            <w:tcBorders>
              <w:top w:val="nil"/>
              <w:left w:val="nil"/>
              <w:bottom w:val="nil"/>
              <w:right w:val="nil"/>
            </w:tcBorders>
            <w:hideMark/>
          </w:tcPr>
          <w:p w14:paraId="44A27D0E"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26,250</w:t>
            </w:r>
          </w:p>
        </w:tc>
        <w:tc>
          <w:tcPr>
            <w:tcW w:w="767" w:type="pct"/>
            <w:tcBorders>
              <w:top w:val="nil"/>
              <w:left w:val="nil"/>
              <w:bottom w:val="nil"/>
              <w:right w:val="nil"/>
            </w:tcBorders>
            <w:hideMark/>
          </w:tcPr>
          <w:p w14:paraId="28A45209"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35,496</w:t>
            </w:r>
          </w:p>
        </w:tc>
        <w:tc>
          <w:tcPr>
            <w:tcW w:w="760" w:type="pct"/>
            <w:tcBorders>
              <w:top w:val="nil"/>
              <w:left w:val="nil"/>
              <w:bottom w:val="nil"/>
              <w:right w:val="nil"/>
            </w:tcBorders>
            <w:hideMark/>
          </w:tcPr>
          <w:p w14:paraId="42EBF5D7"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r>
      <w:tr w:rsidR="009832FC" w:rsidRPr="009832FC" w14:paraId="1F34B100" w14:textId="77777777" w:rsidTr="00EB585F">
        <w:trPr>
          <w:trHeight w:val="283"/>
        </w:trPr>
        <w:tc>
          <w:tcPr>
            <w:tcW w:w="2709" w:type="pct"/>
            <w:gridSpan w:val="2"/>
            <w:tcBorders>
              <w:top w:val="nil"/>
              <w:left w:val="nil"/>
              <w:bottom w:val="nil"/>
              <w:right w:val="nil"/>
            </w:tcBorders>
            <w:hideMark/>
          </w:tcPr>
          <w:p w14:paraId="3631D477"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rPr>
            </w:pPr>
            <w:r w:rsidRPr="009832FC">
              <w:rPr>
                <w:sz w:val="20"/>
                <w:bdr w:val="nil"/>
                <w:lang w:eastAsia="en-AU"/>
              </w:rPr>
              <w:t>Alcohol and drug services community contacts</w:t>
            </w:r>
            <w:r w:rsidRPr="009832FC">
              <w:rPr>
                <w:sz w:val="20"/>
                <w:bdr w:val="nil"/>
                <w:vertAlign w:val="superscript"/>
                <w:lang w:eastAsia="en-AU"/>
              </w:rPr>
              <w:t>4</w:t>
            </w:r>
          </w:p>
        </w:tc>
        <w:tc>
          <w:tcPr>
            <w:tcW w:w="764" w:type="pct"/>
            <w:gridSpan w:val="2"/>
            <w:tcBorders>
              <w:top w:val="nil"/>
              <w:left w:val="nil"/>
              <w:bottom w:val="nil"/>
              <w:right w:val="nil"/>
            </w:tcBorders>
            <w:hideMark/>
          </w:tcPr>
          <w:p w14:paraId="30B0A97B"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70,000</w:t>
            </w:r>
          </w:p>
        </w:tc>
        <w:tc>
          <w:tcPr>
            <w:tcW w:w="767" w:type="pct"/>
            <w:tcBorders>
              <w:top w:val="nil"/>
              <w:left w:val="nil"/>
              <w:bottom w:val="nil"/>
              <w:right w:val="nil"/>
            </w:tcBorders>
            <w:hideMark/>
          </w:tcPr>
          <w:p w14:paraId="04629BC5"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53,048</w:t>
            </w:r>
          </w:p>
        </w:tc>
        <w:tc>
          <w:tcPr>
            <w:tcW w:w="760" w:type="pct"/>
            <w:tcBorders>
              <w:top w:val="nil"/>
              <w:left w:val="nil"/>
              <w:bottom w:val="nil"/>
              <w:right w:val="nil"/>
            </w:tcBorders>
            <w:hideMark/>
          </w:tcPr>
          <w:p w14:paraId="55FE7E00"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r>
      <w:tr w:rsidR="009832FC" w:rsidRPr="009832FC" w14:paraId="6511AC9F" w14:textId="77777777" w:rsidTr="00EB585F">
        <w:trPr>
          <w:trHeight w:val="283"/>
        </w:trPr>
        <w:tc>
          <w:tcPr>
            <w:tcW w:w="2709" w:type="pct"/>
            <w:gridSpan w:val="2"/>
            <w:tcBorders>
              <w:top w:val="nil"/>
              <w:left w:val="nil"/>
              <w:bottom w:val="nil"/>
              <w:right w:val="nil"/>
            </w:tcBorders>
            <w:hideMark/>
          </w:tcPr>
          <w:p w14:paraId="43770F29"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rPr>
            </w:pPr>
            <w:r w:rsidRPr="009832FC">
              <w:rPr>
                <w:sz w:val="20"/>
                <w:bdr w:val="nil"/>
                <w:lang w:eastAsia="en-AU"/>
              </w:rPr>
              <w:t>Proportion of detainees at the Alexander Maconochie Centre with a completed health assessment within 24 hours of detention</w:t>
            </w:r>
          </w:p>
        </w:tc>
        <w:tc>
          <w:tcPr>
            <w:tcW w:w="764" w:type="pct"/>
            <w:gridSpan w:val="2"/>
            <w:tcBorders>
              <w:top w:val="nil"/>
              <w:left w:val="nil"/>
              <w:bottom w:val="nil"/>
              <w:right w:val="nil"/>
            </w:tcBorders>
            <w:hideMark/>
          </w:tcPr>
          <w:p w14:paraId="498D80A5"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100%</w:t>
            </w:r>
          </w:p>
        </w:tc>
        <w:tc>
          <w:tcPr>
            <w:tcW w:w="767" w:type="pct"/>
            <w:tcBorders>
              <w:top w:val="nil"/>
              <w:left w:val="nil"/>
              <w:bottom w:val="nil"/>
              <w:right w:val="nil"/>
            </w:tcBorders>
            <w:hideMark/>
          </w:tcPr>
          <w:p w14:paraId="548D113B"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100%</w:t>
            </w:r>
          </w:p>
        </w:tc>
        <w:tc>
          <w:tcPr>
            <w:tcW w:w="760" w:type="pct"/>
            <w:tcBorders>
              <w:top w:val="nil"/>
              <w:left w:val="nil"/>
              <w:bottom w:val="nil"/>
              <w:right w:val="nil"/>
            </w:tcBorders>
            <w:hideMark/>
          </w:tcPr>
          <w:p w14:paraId="42DAF5BA"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100%</w:t>
            </w:r>
          </w:p>
        </w:tc>
      </w:tr>
      <w:tr w:rsidR="009832FC" w:rsidRPr="009832FC" w14:paraId="34CEF751" w14:textId="77777777" w:rsidTr="00EB585F">
        <w:trPr>
          <w:trHeight w:val="283"/>
        </w:trPr>
        <w:tc>
          <w:tcPr>
            <w:tcW w:w="2709" w:type="pct"/>
            <w:gridSpan w:val="2"/>
            <w:tcBorders>
              <w:top w:val="nil"/>
              <w:left w:val="nil"/>
              <w:bottom w:val="nil"/>
              <w:right w:val="nil"/>
            </w:tcBorders>
            <w:hideMark/>
          </w:tcPr>
          <w:p w14:paraId="7218379C"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rPr>
            </w:pPr>
            <w:r w:rsidRPr="009832FC">
              <w:rPr>
                <w:sz w:val="20"/>
                <w:bdr w:val="nil"/>
                <w:lang w:eastAsia="en-AU"/>
              </w:rPr>
              <w:t>Proportion of detainees in the Bimberi Youth Detention Centre with a completed health assessment within 24 hours of detention</w:t>
            </w:r>
          </w:p>
        </w:tc>
        <w:tc>
          <w:tcPr>
            <w:tcW w:w="764" w:type="pct"/>
            <w:gridSpan w:val="2"/>
            <w:tcBorders>
              <w:top w:val="nil"/>
              <w:left w:val="nil"/>
              <w:bottom w:val="nil"/>
              <w:right w:val="nil"/>
            </w:tcBorders>
            <w:hideMark/>
          </w:tcPr>
          <w:p w14:paraId="261A526F"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100%</w:t>
            </w:r>
          </w:p>
        </w:tc>
        <w:tc>
          <w:tcPr>
            <w:tcW w:w="767" w:type="pct"/>
            <w:tcBorders>
              <w:top w:val="nil"/>
              <w:left w:val="nil"/>
              <w:bottom w:val="nil"/>
              <w:right w:val="nil"/>
            </w:tcBorders>
            <w:hideMark/>
          </w:tcPr>
          <w:p w14:paraId="5AD9426A"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99%</w:t>
            </w:r>
          </w:p>
        </w:tc>
        <w:tc>
          <w:tcPr>
            <w:tcW w:w="760" w:type="pct"/>
            <w:tcBorders>
              <w:top w:val="nil"/>
              <w:left w:val="nil"/>
              <w:bottom w:val="nil"/>
              <w:right w:val="nil"/>
            </w:tcBorders>
            <w:hideMark/>
          </w:tcPr>
          <w:p w14:paraId="5BD5D165"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100%</w:t>
            </w:r>
          </w:p>
        </w:tc>
      </w:tr>
      <w:tr w:rsidR="009832FC" w:rsidRPr="009832FC" w14:paraId="03CC96FF" w14:textId="77777777" w:rsidTr="00EB585F">
        <w:trPr>
          <w:trHeight w:val="283"/>
        </w:trPr>
        <w:tc>
          <w:tcPr>
            <w:tcW w:w="2709" w:type="pct"/>
            <w:gridSpan w:val="2"/>
            <w:tcBorders>
              <w:top w:val="nil"/>
              <w:left w:val="nil"/>
              <w:bottom w:val="nil"/>
              <w:right w:val="nil"/>
            </w:tcBorders>
            <w:hideMark/>
          </w:tcPr>
          <w:p w14:paraId="02F2C049"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rPr>
            </w:pPr>
            <w:r w:rsidRPr="009832FC">
              <w:rPr>
                <w:sz w:val="20"/>
                <w:bdr w:val="nil"/>
                <w:lang w:eastAsia="en-AU"/>
              </w:rPr>
              <w:t>Justice health services community contacts</w:t>
            </w:r>
            <w:r w:rsidRPr="009832FC">
              <w:rPr>
                <w:sz w:val="20"/>
                <w:bdr w:val="nil"/>
                <w:vertAlign w:val="superscript"/>
                <w:lang w:eastAsia="en-AU"/>
              </w:rPr>
              <w:t>5</w:t>
            </w:r>
          </w:p>
        </w:tc>
        <w:tc>
          <w:tcPr>
            <w:tcW w:w="764" w:type="pct"/>
            <w:gridSpan w:val="2"/>
            <w:tcBorders>
              <w:top w:val="nil"/>
              <w:left w:val="nil"/>
              <w:bottom w:val="nil"/>
              <w:right w:val="nil"/>
            </w:tcBorders>
            <w:hideMark/>
          </w:tcPr>
          <w:p w14:paraId="35C76C8A"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150,000</w:t>
            </w:r>
          </w:p>
        </w:tc>
        <w:tc>
          <w:tcPr>
            <w:tcW w:w="767" w:type="pct"/>
            <w:tcBorders>
              <w:top w:val="nil"/>
              <w:left w:val="nil"/>
              <w:bottom w:val="nil"/>
              <w:right w:val="nil"/>
            </w:tcBorders>
            <w:hideMark/>
          </w:tcPr>
          <w:p w14:paraId="3E9BB091"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114,717</w:t>
            </w:r>
          </w:p>
        </w:tc>
        <w:tc>
          <w:tcPr>
            <w:tcW w:w="760" w:type="pct"/>
            <w:tcBorders>
              <w:top w:val="nil"/>
              <w:left w:val="nil"/>
              <w:bottom w:val="nil"/>
              <w:right w:val="nil"/>
            </w:tcBorders>
            <w:hideMark/>
          </w:tcPr>
          <w:p w14:paraId="75D191A0"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r>
      <w:tr w:rsidR="009832FC" w:rsidRPr="009832FC" w14:paraId="1B5B4B69" w14:textId="77777777" w:rsidTr="00EB585F">
        <w:trPr>
          <w:trHeight w:val="283"/>
        </w:trPr>
        <w:tc>
          <w:tcPr>
            <w:tcW w:w="2709" w:type="pct"/>
            <w:gridSpan w:val="2"/>
            <w:tcBorders>
              <w:top w:val="nil"/>
              <w:left w:val="nil"/>
              <w:bottom w:val="nil"/>
              <w:right w:val="nil"/>
            </w:tcBorders>
            <w:hideMark/>
          </w:tcPr>
          <w:p w14:paraId="5AC96F74"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rPr>
            </w:pPr>
            <w:r w:rsidRPr="009832FC">
              <w:rPr>
                <w:sz w:val="20"/>
                <w:bdr w:val="nil"/>
                <w:lang w:eastAsia="en-AU"/>
              </w:rPr>
              <w:t>Proportion of current clients on opioid treatment with management plans</w:t>
            </w:r>
          </w:p>
        </w:tc>
        <w:tc>
          <w:tcPr>
            <w:tcW w:w="764" w:type="pct"/>
            <w:gridSpan w:val="2"/>
            <w:tcBorders>
              <w:top w:val="nil"/>
              <w:left w:val="nil"/>
              <w:bottom w:val="nil"/>
              <w:right w:val="nil"/>
            </w:tcBorders>
            <w:hideMark/>
          </w:tcPr>
          <w:p w14:paraId="7CC5A588"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98%</w:t>
            </w:r>
          </w:p>
        </w:tc>
        <w:tc>
          <w:tcPr>
            <w:tcW w:w="767" w:type="pct"/>
            <w:tcBorders>
              <w:top w:val="nil"/>
              <w:left w:val="nil"/>
              <w:bottom w:val="nil"/>
              <w:right w:val="nil"/>
            </w:tcBorders>
            <w:hideMark/>
          </w:tcPr>
          <w:p w14:paraId="456C3DEE"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97%</w:t>
            </w:r>
          </w:p>
        </w:tc>
        <w:tc>
          <w:tcPr>
            <w:tcW w:w="760" w:type="pct"/>
            <w:tcBorders>
              <w:top w:val="nil"/>
              <w:left w:val="nil"/>
              <w:bottom w:val="nil"/>
              <w:right w:val="nil"/>
            </w:tcBorders>
            <w:hideMark/>
          </w:tcPr>
          <w:p w14:paraId="6490A01C"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98%</w:t>
            </w:r>
          </w:p>
        </w:tc>
      </w:tr>
      <w:tr w:rsidR="009832FC" w:rsidRPr="009832FC" w14:paraId="517F8095" w14:textId="77777777" w:rsidTr="00EB585F">
        <w:trPr>
          <w:trHeight w:val="283"/>
        </w:trPr>
        <w:tc>
          <w:tcPr>
            <w:tcW w:w="2709" w:type="pct"/>
            <w:gridSpan w:val="2"/>
            <w:tcBorders>
              <w:top w:val="nil"/>
              <w:left w:val="nil"/>
              <w:bottom w:val="nil"/>
              <w:right w:val="nil"/>
            </w:tcBorders>
            <w:hideMark/>
          </w:tcPr>
          <w:p w14:paraId="1868AA94"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rPr>
            </w:pPr>
            <w:r w:rsidRPr="009832FC">
              <w:rPr>
                <w:sz w:val="20"/>
                <w:bdr w:val="nil"/>
                <w:lang w:eastAsia="en-AU"/>
              </w:rPr>
              <w:t>Proportion of mental health clients contacted by a Canberra Health Services community facility within 7 days post discharge from inpatient services</w:t>
            </w:r>
            <w:r w:rsidRPr="009832FC">
              <w:rPr>
                <w:sz w:val="20"/>
                <w:bdr w:val="nil"/>
                <w:vertAlign w:val="superscript"/>
                <w:lang w:eastAsia="en-AU"/>
              </w:rPr>
              <w:t xml:space="preserve"> </w:t>
            </w:r>
          </w:p>
        </w:tc>
        <w:tc>
          <w:tcPr>
            <w:tcW w:w="764" w:type="pct"/>
            <w:gridSpan w:val="2"/>
            <w:tcBorders>
              <w:top w:val="nil"/>
              <w:left w:val="nil"/>
              <w:bottom w:val="nil"/>
              <w:right w:val="nil"/>
            </w:tcBorders>
            <w:hideMark/>
          </w:tcPr>
          <w:p w14:paraId="0264A26C"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75%</w:t>
            </w:r>
          </w:p>
        </w:tc>
        <w:tc>
          <w:tcPr>
            <w:tcW w:w="767" w:type="pct"/>
            <w:tcBorders>
              <w:top w:val="nil"/>
              <w:left w:val="nil"/>
              <w:bottom w:val="nil"/>
              <w:right w:val="nil"/>
            </w:tcBorders>
            <w:hideMark/>
          </w:tcPr>
          <w:p w14:paraId="69B7B49E"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70%</w:t>
            </w:r>
          </w:p>
        </w:tc>
        <w:tc>
          <w:tcPr>
            <w:tcW w:w="760" w:type="pct"/>
            <w:tcBorders>
              <w:top w:val="nil"/>
              <w:left w:val="nil"/>
              <w:bottom w:val="nil"/>
              <w:right w:val="nil"/>
            </w:tcBorders>
            <w:hideMark/>
          </w:tcPr>
          <w:p w14:paraId="4798F1C2"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75%</w:t>
            </w:r>
          </w:p>
        </w:tc>
      </w:tr>
      <w:tr w:rsidR="009832FC" w:rsidRPr="009832FC" w14:paraId="62441AEA" w14:textId="77777777" w:rsidTr="00EB585F">
        <w:trPr>
          <w:trHeight w:val="283"/>
        </w:trPr>
        <w:tc>
          <w:tcPr>
            <w:tcW w:w="2709" w:type="pct"/>
            <w:gridSpan w:val="2"/>
            <w:tcBorders>
              <w:top w:val="nil"/>
              <w:left w:val="nil"/>
              <w:bottom w:val="nil"/>
              <w:right w:val="nil"/>
            </w:tcBorders>
            <w:hideMark/>
          </w:tcPr>
          <w:p w14:paraId="2374BD8E"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The rate of mental health clients who are subjected to a seclusion event while being an admitted patient in an ACT public mental health inpatient unit per 1,000 bed days</w:t>
            </w:r>
            <w:r w:rsidRPr="009832FC">
              <w:rPr>
                <w:sz w:val="20"/>
                <w:bdr w:val="nil"/>
                <w:vertAlign w:val="superscript"/>
                <w:lang w:eastAsia="en-AU"/>
              </w:rPr>
              <w:t>6</w:t>
            </w:r>
          </w:p>
        </w:tc>
        <w:tc>
          <w:tcPr>
            <w:tcW w:w="764" w:type="pct"/>
            <w:gridSpan w:val="2"/>
            <w:tcBorders>
              <w:top w:val="nil"/>
              <w:left w:val="nil"/>
              <w:bottom w:val="nil"/>
              <w:right w:val="nil"/>
            </w:tcBorders>
            <w:hideMark/>
          </w:tcPr>
          <w:p w14:paraId="5098B9DD"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67" w:type="pct"/>
            <w:tcBorders>
              <w:top w:val="nil"/>
              <w:left w:val="nil"/>
              <w:bottom w:val="nil"/>
              <w:right w:val="nil"/>
            </w:tcBorders>
            <w:hideMark/>
          </w:tcPr>
          <w:p w14:paraId="0E1F45DB"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60" w:type="pct"/>
            <w:tcBorders>
              <w:top w:val="nil"/>
              <w:left w:val="nil"/>
              <w:bottom w:val="nil"/>
              <w:right w:val="nil"/>
            </w:tcBorders>
            <w:hideMark/>
          </w:tcPr>
          <w:p w14:paraId="60C78B9E"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&lt;7 per 1,000 bed days</w:t>
            </w:r>
          </w:p>
        </w:tc>
      </w:tr>
      <w:tr w:rsidR="009832FC" w:rsidRPr="009832FC" w14:paraId="13A0A9BC" w14:textId="77777777" w:rsidTr="00EB585F">
        <w:trPr>
          <w:trHeight w:val="588"/>
        </w:trPr>
        <w:tc>
          <w:tcPr>
            <w:tcW w:w="2709" w:type="pct"/>
            <w:gridSpan w:val="2"/>
            <w:tcBorders>
              <w:top w:val="nil"/>
              <w:left w:val="nil"/>
              <w:bottom w:val="nil"/>
              <w:right w:val="nil"/>
            </w:tcBorders>
            <w:hideMark/>
          </w:tcPr>
          <w:p w14:paraId="69C98023"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Proportion of clients who return to hospital within 28 days of discharge from an ACT acute psychiatric mental health inpatient unit</w:t>
            </w:r>
            <w:r w:rsidRPr="009832FC">
              <w:rPr>
                <w:sz w:val="20"/>
                <w:bdr w:val="nil"/>
                <w:vertAlign w:val="superscript"/>
                <w:lang w:eastAsia="en-AU"/>
              </w:rPr>
              <w:t>7</w:t>
            </w:r>
          </w:p>
        </w:tc>
        <w:tc>
          <w:tcPr>
            <w:tcW w:w="764" w:type="pct"/>
            <w:gridSpan w:val="2"/>
            <w:tcBorders>
              <w:top w:val="nil"/>
              <w:left w:val="nil"/>
              <w:bottom w:val="nil"/>
              <w:right w:val="nil"/>
            </w:tcBorders>
            <w:hideMark/>
          </w:tcPr>
          <w:p w14:paraId="7245A597"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67" w:type="pct"/>
            <w:tcBorders>
              <w:top w:val="nil"/>
              <w:left w:val="nil"/>
              <w:bottom w:val="nil"/>
              <w:right w:val="nil"/>
            </w:tcBorders>
            <w:hideMark/>
          </w:tcPr>
          <w:p w14:paraId="74EE7AC1"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60" w:type="pct"/>
            <w:tcBorders>
              <w:top w:val="nil"/>
              <w:left w:val="nil"/>
              <w:bottom w:val="nil"/>
              <w:right w:val="nil"/>
            </w:tcBorders>
            <w:hideMark/>
          </w:tcPr>
          <w:p w14:paraId="7BE82357"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&lt;17%</w:t>
            </w:r>
          </w:p>
        </w:tc>
      </w:tr>
      <w:tr w:rsidR="009832FC" w:rsidRPr="009832FC" w14:paraId="26213BF3" w14:textId="77777777" w:rsidTr="00EB585F">
        <w:trPr>
          <w:trHeight w:val="283"/>
        </w:trPr>
        <w:tc>
          <w:tcPr>
            <w:tcW w:w="5000" w:type="pct"/>
            <w:gridSpan w:val="6"/>
            <w:tcBorders>
              <w:top w:val="nil"/>
              <w:left w:val="nil"/>
              <w:bottom w:val="nil"/>
              <w:right w:val="nil"/>
            </w:tcBorders>
            <w:hideMark/>
          </w:tcPr>
          <w:p w14:paraId="159C3EC8" w14:textId="77777777" w:rsidR="009832FC" w:rsidRPr="009832FC" w:rsidRDefault="009832FC" w:rsidP="009832FC">
            <w:pPr>
              <w:pBdr>
                <w:top w:val="nil"/>
                <w:left w:val="nil"/>
                <w:bottom w:val="nil"/>
                <w:right w:val="nil"/>
                <w:between w:val="nil"/>
                <w:bar w:val="nil"/>
              </w:pBdr>
              <w:spacing w:before="0" w:after="0" w:line="252" w:lineRule="auto"/>
              <w:ind w:left="227" w:hanging="227"/>
              <w:rPr>
                <w:b/>
                <w:sz w:val="20"/>
                <w:bdr w:val="nil"/>
              </w:rPr>
            </w:pPr>
            <w:r w:rsidRPr="009832FC">
              <w:rPr>
                <w:b/>
                <w:sz w:val="20"/>
                <w:bdr w:val="nil"/>
              </w:rPr>
              <w:t>National Weighted Activity Units</w:t>
            </w:r>
          </w:p>
        </w:tc>
      </w:tr>
      <w:tr w:rsidR="009832FC" w:rsidRPr="009832FC" w14:paraId="4C589339" w14:textId="77777777" w:rsidTr="00EB585F">
        <w:trPr>
          <w:trHeight w:val="283"/>
        </w:trPr>
        <w:tc>
          <w:tcPr>
            <w:tcW w:w="2662" w:type="pct"/>
            <w:tcBorders>
              <w:top w:val="nil"/>
              <w:left w:val="nil"/>
              <w:bottom w:val="single" w:sz="4" w:space="0" w:color="auto"/>
              <w:right w:val="nil"/>
            </w:tcBorders>
            <w:hideMark/>
          </w:tcPr>
          <w:p w14:paraId="6405A314" w14:textId="77777777" w:rsidR="009832FC" w:rsidRPr="009832FC" w:rsidRDefault="009832FC" w:rsidP="00812F22">
            <w:pPr>
              <w:numPr>
                <w:ilvl w:val="0"/>
                <w:numId w:val="63"/>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Acute admitted mental health services {NWAU 21}</w:t>
            </w:r>
            <w:r w:rsidRPr="00044120">
              <w:rPr>
                <w:sz w:val="20"/>
                <w:bdr w:val="nil"/>
                <w:vertAlign w:val="superscript"/>
                <w:lang w:eastAsia="en-AU"/>
              </w:rPr>
              <w:t>8</w:t>
            </w:r>
          </w:p>
        </w:tc>
        <w:tc>
          <w:tcPr>
            <w:tcW w:w="793" w:type="pct"/>
            <w:gridSpan w:val="2"/>
            <w:tcBorders>
              <w:top w:val="nil"/>
              <w:left w:val="nil"/>
              <w:bottom w:val="single" w:sz="4" w:space="0" w:color="auto"/>
              <w:right w:val="nil"/>
            </w:tcBorders>
            <w:vAlign w:val="bottom"/>
            <w:hideMark/>
          </w:tcPr>
          <w:p w14:paraId="474E333F"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85" w:type="pct"/>
            <w:gridSpan w:val="2"/>
            <w:tcBorders>
              <w:top w:val="nil"/>
              <w:left w:val="nil"/>
              <w:bottom w:val="single" w:sz="4" w:space="0" w:color="auto"/>
              <w:right w:val="nil"/>
            </w:tcBorders>
            <w:vAlign w:val="bottom"/>
            <w:hideMark/>
          </w:tcPr>
          <w:p w14:paraId="1E10D0D4"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60" w:type="pct"/>
            <w:tcBorders>
              <w:top w:val="nil"/>
              <w:left w:val="nil"/>
              <w:bottom w:val="single" w:sz="4" w:space="0" w:color="auto"/>
              <w:right w:val="nil"/>
            </w:tcBorders>
            <w:vAlign w:val="bottom"/>
            <w:hideMark/>
          </w:tcPr>
          <w:p w14:paraId="06281FCC"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7,300</w:t>
            </w:r>
          </w:p>
        </w:tc>
      </w:tr>
    </w:tbl>
    <w:p w14:paraId="7D14E1CC" w14:textId="77777777" w:rsidR="009832FC" w:rsidRPr="009832FC" w:rsidRDefault="009832FC" w:rsidP="00D12F0F">
      <w:pPr>
        <w:keepNext/>
        <w:keepLines/>
        <w:pBdr>
          <w:top w:val="nil"/>
          <w:left w:val="nil"/>
          <w:bottom w:val="nil"/>
          <w:right w:val="nil"/>
          <w:between w:val="nil"/>
          <w:bar w:val="nil"/>
        </w:pBdr>
        <w:spacing w:before="120" w:after="0"/>
        <w:rPr>
          <w:rFonts w:cs="Calibri"/>
          <w:b/>
          <w:sz w:val="18"/>
          <w:szCs w:val="16"/>
          <w:bdr w:val="nil"/>
        </w:rPr>
      </w:pPr>
      <w:r w:rsidRPr="009832FC">
        <w:rPr>
          <w:rFonts w:cs="Calibri"/>
          <w:b/>
          <w:sz w:val="18"/>
          <w:szCs w:val="16"/>
          <w:bdr w:val="nil"/>
          <w:lang w:eastAsia="en-AU"/>
        </w:rPr>
        <w:t>Note(s):</w:t>
      </w:r>
    </w:p>
    <w:p w14:paraId="25274520" w14:textId="77777777" w:rsidR="009832FC" w:rsidRPr="009832FC" w:rsidRDefault="009832FC" w:rsidP="00812F22">
      <w:pPr>
        <w:keepLines/>
        <w:widowControl w:val="0"/>
        <w:numPr>
          <w:ilvl w:val="0"/>
          <w:numId w:val="64"/>
        </w:numPr>
        <w:pBdr>
          <w:top w:val="nil"/>
          <w:left w:val="nil"/>
          <w:bottom w:val="nil"/>
          <w:right w:val="nil"/>
          <w:between w:val="nil"/>
          <w:bar w:val="nil"/>
        </w:pBdr>
        <w:spacing w:before="0" w:after="0"/>
        <w:jc w:val="both"/>
        <w:rPr>
          <w:sz w:val="18"/>
          <w:szCs w:val="18"/>
          <w:bdr w:val="nil"/>
        </w:rPr>
      </w:pPr>
      <w:r w:rsidRPr="009832FC">
        <w:rPr>
          <w:sz w:val="18"/>
          <w:szCs w:val="24"/>
          <w:bdr w:val="nil"/>
        </w:rPr>
        <w:t>The number of adult mental health program community service contract completed in the period. As a result of a review of all performance indicators against the ACT Government’s Performance and Accountability Framework, this indicator has been discontinued for 2021-22</w:t>
      </w:r>
      <w:r w:rsidRPr="009832FC">
        <w:rPr>
          <w:color w:val="181818"/>
          <w:sz w:val="18"/>
          <w:szCs w:val="18"/>
          <w:bdr w:val="nil"/>
        </w:rPr>
        <w:t>.</w:t>
      </w:r>
    </w:p>
    <w:p w14:paraId="6E939365" w14:textId="77777777" w:rsidR="009832FC" w:rsidRPr="009832FC" w:rsidRDefault="009832FC" w:rsidP="00812F22">
      <w:pPr>
        <w:keepLines/>
        <w:widowControl w:val="0"/>
        <w:numPr>
          <w:ilvl w:val="0"/>
          <w:numId w:val="64"/>
        </w:numPr>
        <w:pBdr>
          <w:top w:val="nil"/>
          <w:left w:val="nil"/>
          <w:bottom w:val="nil"/>
          <w:right w:val="nil"/>
          <w:between w:val="nil"/>
          <w:bar w:val="nil"/>
        </w:pBdr>
        <w:spacing w:before="0" w:after="0"/>
        <w:jc w:val="both"/>
        <w:rPr>
          <w:sz w:val="18"/>
          <w:szCs w:val="18"/>
          <w:bdr w:val="nil"/>
        </w:rPr>
      </w:pPr>
      <w:r w:rsidRPr="009832FC">
        <w:rPr>
          <w:sz w:val="18"/>
          <w:szCs w:val="24"/>
          <w:bdr w:val="nil"/>
        </w:rPr>
        <w:t>The number of children and youth mental health program community service contacts completed in the period. As a result of a review of all performance indicators against the ACT Government’s Performance and Accountability Framework, this indicator has been discontinued for 2021-22.</w:t>
      </w:r>
    </w:p>
    <w:p w14:paraId="2E8A816E" w14:textId="77777777" w:rsidR="009832FC" w:rsidRPr="009832FC" w:rsidRDefault="009832FC" w:rsidP="00812F22">
      <w:pPr>
        <w:keepLines/>
        <w:widowControl w:val="0"/>
        <w:numPr>
          <w:ilvl w:val="0"/>
          <w:numId w:val="64"/>
        </w:numPr>
        <w:pBdr>
          <w:top w:val="nil"/>
          <w:left w:val="nil"/>
          <w:bottom w:val="nil"/>
          <w:right w:val="nil"/>
          <w:between w:val="nil"/>
          <w:bar w:val="nil"/>
        </w:pBdr>
        <w:spacing w:before="0" w:after="0"/>
        <w:jc w:val="both"/>
        <w:rPr>
          <w:sz w:val="18"/>
          <w:szCs w:val="18"/>
          <w:bdr w:val="nil"/>
        </w:rPr>
      </w:pPr>
      <w:r w:rsidRPr="009832FC">
        <w:rPr>
          <w:color w:val="181818"/>
          <w:sz w:val="18"/>
          <w:szCs w:val="18"/>
          <w:bdr w:val="nil"/>
        </w:rPr>
        <w:t>The number of community contacts for Mental Health Rehabilitation and Specialty Services completed in the</w:t>
      </w:r>
      <w:r w:rsidRPr="009832FC">
        <w:rPr>
          <w:color w:val="181818"/>
          <w:spacing w:val="-1"/>
          <w:sz w:val="18"/>
          <w:szCs w:val="18"/>
          <w:bdr w:val="nil"/>
        </w:rPr>
        <w:t xml:space="preserve"> </w:t>
      </w:r>
      <w:r w:rsidRPr="009832FC">
        <w:rPr>
          <w:color w:val="181818"/>
          <w:sz w:val="18"/>
          <w:szCs w:val="18"/>
          <w:bdr w:val="nil"/>
        </w:rPr>
        <w:t xml:space="preserve">period. </w:t>
      </w:r>
      <w:r w:rsidRPr="009832FC">
        <w:rPr>
          <w:sz w:val="18"/>
          <w:szCs w:val="24"/>
          <w:bdr w:val="nil"/>
        </w:rPr>
        <w:t>As a result of a review of all performance indicators against the ACT Government’s Performance and Accountability Framework, this indicator has been discontinued for 2021-22.</w:t>
      </w:r>
    </w:p>
    <w:p w14:paraId="129416A1" w14:textId="77777777" w:rsidR="009832FC" w:rsidRPr="009832FC" w:rsidRDefault="009832FC" w:rsidP="00812F22">
      <w:pPr>
        <w:keepLines/>
        <w:widowControl w:val="0"/>
        <w:numPr>
          <w:ilvl w:val="0"/>
          <w:numId w:val="64"/>
        </w:numPr>
        <w:pBdr>
          <w:top w:val="nil"/>
          <w:left w:val="nil"/>
          <w:bottom w:val="nil"/>
          <w:right w:val="nil"/>
          <w:between w:val="nil"/>
          <w:bar w:val="nil"/>
        </w:pBdr>
        <w:spacing w:before="0" w:after="0"/>
        <w:jc w:val="both"/>
        <w:rPr>
          <w:sz w:val="18"/>
          <w:szCs w:val="18"/>
          <w:bdr w:val="nil"/>
        </w:rPr>
      </w:pPr>
      <w:r w:rsidRPr="009832FC">
        <w:rPr>
          <w:color w:val="181818"/>
          <w:sz w:val="18"/>
          <w:szCs w:val="18"/>
          <w:bdr w:val="nil"/>
        </w:rPr>
        <w:t>The number of patient service events completed by Alcohol and Drug</w:t>
      </w:r>
      <w:r w:rsidRPr="009832FC">
        <w:rPr>
          <w:color w:val="181818"/>
          <w:spacing w:val="-13"/>
          <w:sz w:val="18"/>
          <w:szCs w:val="18"/>
          <w:bdr w:val="nil"/>
        </w:rPr>
        <w:t xml:space="preserve"> </w:t>
      </w:r>
      <w:r w:rsidRPr="009832FC">
        <w:rPr>
          <w:color w:val="181818"/>
          <w:sz w:val="18"/>
          <w:szCs w:val="18"/>
          <w:bdr w:val="nil"/>
        </w:rPr>
        <w:t xml:space="preserve">Services. </w:t>
      </w:r>
      <w:r w:rsidRPr="009832FC">
        <w:rPr>
          <w:sz w:val="18"/>
          <w:szCs w:val="24"/>
          <w:bdr w:val="nil"/>
        </w:rPr>
        <w:t>As a result of a review of all performance indicators against the ACT Government’s Performance and Accountability Framework, this indicator has been discontinued for 2021-22.</w:t>
      </w:r>
    </w:p>
    <w:p w14:paraId="5634E4C5" w14:textId="77777777" w:rsidR="009832FC" w:rsidRPr="009832FC" w:rsidRDefault="009832FC" w:rsidP="00812F22">
      <w:pPr>
        <w:keepLines/>
        <w:widowControl w:val="0"/>
        <w:numPr>
          <w:ilvl w:val="0"/>
          <w:numId w:val="64"/>
        </w:numPr>
        <w:pBdr>
          <w:top w:val="nil"/>
          <w:left w:val="nil"/>
          <w:bottom w:val="nil"/>
          <w:right w:val="nil"/>
          <w:between w:val="nil"/>
          <w:bar w:val="nil"/>
        </w:pBdr>
        <w:spacing w:before="0" w:after="0"/>
        <w:jc w:val="both"/>
        <w:rPr>
          <w:sz w:val="18"/>
          <w:szCs w:val="18"/>
          <w:bdr w:val="nil"/>
        </w:rPr>
      </w:pPr>
      <w:r w:rsidRPr="009832FC">
        <w:rPr>
          <w:color w:val="181818"/>
          <w:sz w:val="18"/>
          <w:szCs w:val="18"/>
          <w:bdr w:val="nil"/>
        </w:rPr>
        <w:t xml:space="preserve">The number of community contacts completed in the period by Justice Health Services. </w:t>
      </w:r>
      <w:r w:rsidRPr="009832FC">
        <w:rPr>
          <w:sz w:val="18"/>
          <w:szCs w:val="24"/>
          <w:bdr w:val="nil"/>
        </w:rPr>
        <w:t>As a result of review of all performance indicators against the ACT Government’s Performance and Accountability Framework, this indicator has been discontinued for 2021-22.</w:t>
      </w:r>
    </w:p>
    <w:p w14:paraId="463941F1" w14:textId="77777777" w:rsidR="009832FC" w:rsidRPr="009832FC" w:rsidRDefault="009832FC" w:rsidP="00812F22">
      <w:pPr>
        <w:keepLines/>
        <w:widowControl w:val="0"/>
        <w:numPr>
          <w:ilvl w:val="0"/>
          <w:numId w:val="64"/>
        </w:numPr>
        <w:pBdr>
          <w:top w:val="nil"/>
          <w:left w:val="nil"/>
          <w:bottom w:val="nil"/>
          <w:right w:val="nil"/>
          <w:between w:val="nil"/>
          <w:bar w:val="nil"/>
        </w:pBdr>
        <w:spacing w:before="0" w:after="0"/>
        <w:jc w:val="both"/>
        <w:rPr>
          <w:sz w:val="18"/>
          <w:szCs w:val="18"/>
          <w:bdr w:val="nil"/>
        </w:rPr>
      </w:pPr>
      <w:r w:rsidRPr="009832FC">
        <w:rPr>
          <w:color w:val="181818"/>
          <w:sz w:val="18"/>
          <w:szCs w:val="18"/>
          <w:bdr w:val="nil"/>
        </w:rPr>
        <w:t>The number of seclusion events of mental health patients whilst being an admitted patient in an ACT public mental health inpatient unit per 1,000 bed days. As a result of a review of all performance indicators against the ACT Government’s Performance and Accountability Framework, this indicator was previously reported as a Strategic indicator in 2019-20.</w:t>
      </w:r>
    </w:p>
    <w:p w14:paraId="1DA3955E" w14:textId="77777777" w:rsidR="009832FC" w:rsidRPr="009832FC" w:rsidRDefault="009832FC" w:rsidP="00812F22">
      <w:pPr>
        <w:keepLines/>
        <w:widowControl w:val="0"/>
        <w:numPr>
          <w:ilvl w:val="0"/>
          <w:numId w:val="64"/>
        </w:numPr>
        <w:pBdr>
          <w:top w:val="nil"/>
          <w:left w:val="nil"/>
          <w:bottom w:val="nil"/>
          <w:right w:val="nil"/>
          <w:between w:val="nil"/>
          <w:bar w:val="nil"/>
        </w:pBdr>
        <w:spacing w:before="0" w:after="0"/>
        <w:jc w:val="both"/>
        <w:rPr>
          <w:sz w:val="18"/>
          <w:szCs w:val="18"/>
          <w:bdr w:val="nil"/>
        </w:rPr>
      </w:pPr>
      <w:r w:rsidRPr="009832FC">
        <w:rPr>
          <w:color w:val="181818"/>
          <w:sz w:val="18"/>
          <w:szCs w:val="18"/>
          <w:bdr w:val="nil"/>
        </w:rPr>
        <w:lastRenderedPageBreak/>
        <w:t>The proportion of clients who return to hospital within 28 days of discharge from an ACT acute psychiatric mental health inpatient unit. As a result of a review of all performance indicators against the ACT Government’s Performance and Accountability Framework, this indicator was previously reported as a Strategic indicator in 2019-20.</w:t>
      </w:r>
    </w:p>
    <w:p w14:paraId="27A5F052" w14:textId="77777777" w:rsidR="009832FC" w:rsidRPr="009832FC" w:rsidRDefault="009832FC" w:rsidP="00812F22">
      <w:pPr>
        <w:keepLines/>
        <w:widowControl w:val="0"/>
        <w:numPr>
          <w:ilvl w:val="0"/>
          <w:numId w:val="64"/>
        </w:numPr>
        <w:pBdr>
          <w:top w:val="nil"/>
          <w:left w:val="nil"/>
          <w:bottom w:val="nil"/>
          <w:right w:val="nil"/>
          <w:between w:val="nil"/>
          <w:bar w:val="nil"/>
        </w:pBdr>
        <w:spacing w:before="0" w:after="0"/>
        <w:jc w:val="both"/>
        <w:rPr>
          <w:sz w:val="18"/>
          <w:szCs w:val="18"/>
          <w:bdr w:val="nil"/>
        </w:rPr>
      </w:pPr>
      <w:r w:rsidRPr="009832FC">
        <w:rPr>
          <w:color w:val="181818"/>
          <w:sz w:val="18"/>
          <w:szCs w:val="18"/>
          <w:bdr w:val="nil"/>
        </w:rPr>
        <w:t>Number of national weighted activity units for acute admitted mental health services undertaken by Canberra Health Services.  This indicator has not been previously reported at Canberra Health Service level.</w:t>
      </w:r>
    </w:p>
    <w:p w14:paraId="240143F8" w14:textId="77777777" w:rsidR="009832FC" w:rsidRPr="009832FC" w:rsidRDefault="009832FC" w:rsidP="009832FC">
      <w:pPr>
        <w:keepNext/>
        <w:keepLines/>
        <w:pBdr>
          <w:top w:val="nil"/>
          <w:left w:val="nil"/>
          <w:bottom w:val="nil"/>
          <w:right w:val="nil"/>
          <w:between w:val="nil"/>
          <w:bar w:val="nil"/>
        </w:pBdr>
        <w:spacing w:before="240" w:after="120"/>
        <w:outlineLvl w:val="3"/>
        <w:rPr>
          <w:b/>
          <w:i/>
          <w:bdr w:val="nil"/>
        </w:rPr>
      </w:pPr>
      <w:r w:rsidRPr="009832FC">
        <w:rPr>
          <w:b/>
          <w:i/>
          <w:bdr w:val="nil"/>
        </w:rPr>
        <w:t>Output 1.3: Cancer Services</w:t>
      </w:r>
    </w:p>
    <w:p w14:paraId="5F995430" w14:textId="77777777" w:rsidR="009832FC" w:rsidRPr="009832FC" w:rsidRDefault="009832FC" w:rsidP="009832FC">
      <w:pPr>
        <w:keepNext/>
        <w:pBdr>
          <w:top w:val="nil"/>
          <w:left w:val="nil"/>
          <w:bottom w:val="nil"/>
          <w:right w:val="nil"/>
          <w:between w:val="nil"/>
          <w:bar w:val="nil"/>
        </w:pBdr>
        <w:spacing w:before="240"/>
        <w:rPr>
          <w:b/>
          <w:bCs/>
          <w:noProof/>
          <w:sz w:val="22"/>
          <w:szCs w:val="18"/>
          <w:bdr w:val="nil"/>
        </w:rPr>
      </w:pPr>
      <w:r w:rsidRPr="009832FC">
        <w:rPr>
          <w:b/>
          <w:bCs/>
          <w:sz w:val="22"/>
          <w:szCs w:val="18"/>
          <w:bdr w:val="nil"/>
        </w:rPr>
        <w:t>Table 20</w:t>
      </w:r>
      <w:r w:rsidRPr="009832FC">
        <w:rPr>
          <w:b/>
          <w:bCs/>
          <w:noProof/>
          <w:sz w:val="22"/>
          <w:szCs w:val="18"/>
          <w:bdr w:val="nil"/>
        </w:rPr>
        <w:t>:</w:t>
      </w:r>
      <w:r w:rsidRPr="009832FC">
        <w:rPr>
          <w:b/>
          <w:bCs/>
          <w:sz w:val="22"/>
          <w:szCs w:val="18"/>
          <w:bdr w:val="nil"/>
        </w:rPr>
        <w:t xml:space="preserve"> Accountability Indicators</w:t>
      </w:r>
      <w:r w:rsidRPr="009832FC">
        <w:rPr>
          <w:b/>
          <w:bCs/>
          <w:noProof/>
          <w:sz w:val="22"/>
          <w:szCs w:val="18"/>
          <w:bdr w:val="nil"/>
        </w:rPr>
        <w:t xml:space="preserve"> Output 1.3</w:t>
      </w:r>
    </w:p>
    <w:tbl>
      <w:tblPr>
        <w:tblW w:w="9100" w:type="dxa"/>
        <w:tblBorders>
          <w:top w:val="single" w:sz="12" w:space="0" w:color="000000"/>
          <w:bottom w:val="single" w:sz="12" w:space="0" w:color="000000"/>
        </w:tblBorders>
        <w:tblLook w:val="04A0" w:firstRow="1" w:lastRow="0" w:firstColumn="1" w:lastColumn="0" w:noHBand="0" w:noVBand="1"/>
      </w:tblPr>
      <w:tblGrid>
        <w:gridCol w:w="5001"/>
        <w:gridCol w:w="570"/>
        <w:gridCol w:w="715"/>
        <w:gridCol w:w="1429"/>
        <w:gridCol w:w="1385"/>
      </w:tblGrid>
      <w:tr w:rsidR="009832FC" w:rsidRPr="009832FC" w14:paraId="57BA1C33" w14:textId="77777777" w:rsidTr="00EB585F">
        <w:trPr>
          <w:tblHeader/>
        </w:trPr>
        <w:tc>
          <w:tcPr>
            <w:tcW w:w="2748" w:type="pct"/>
            <w:tcBorders>
              <w:top w:val="single" w:sz="12" w:space="0" w:color="000000"/>
              <w:left w:val="nil"/>
              <w:bottom w:val="single" w:sz="12" w:space="0" w:color="000000"/>
              <w:right w:val="nil"/>
            </w:tcBorders>
          </w:tcPr>
          <w:p w14:paraId="183FA023"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p>
        </w:tc>
        <w:tc>
          <w:tcPr>
            <w:tcW w:w="706" w:type="pct"/>
            <w:gridSpan w:val="2"/>
            <w:tcBorders>
              <w:top w:val="single" w:sz="12" w:space="0" w:color="000000"/>
              <w:left w:val="nil"/>
              <w:bottom w:val="single" w:sz="12" w:space="0" w:color="000000"/>
              <w:right w:val="nil"/>
            </w:tcBorders>
            <w:hideMark/>
          </w:tcPr>
          <w:p w14:paraId="5BEF2B5D"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2020-21 Targets</w:t>
            </w:r>
          </w:p>
        </w:tc>
        <w:tc>
          <w:tcPr>
            <w:tcW w:w="785" w:type="pct"/>
            <w:tcBorders>
              <w:top w:val="single" w:sz="12" w:space="0" w:color="000000"/>
              <w:left w:val="nil"/>
              <w:bottom w:val="single" w:sz="12" w:space="0" w:color="000000"/>
              <w:right w:val="nil"/>
            </w:tcBorders>
            <w:hideMark/>
          </w:tcPr>
          <w:p w14:paraId="015F8806"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 xml:space="preserve">2020-21 </w:t>
            </w:r>
          </w:p>
          <w:p w14:paraId="48F1FD9C"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Interim</w:t>
            </w:r>
          </w:p>
          <w:p w14:paraId="069B22B1"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Outcome</w:t>
            </w:r>
          </w:p>
        </w:tc>
        <w:tc>
          <w:tcPr>
            <w:tcW w:w="761" w:type="pct"/>
            <w:tcBorders>
              <w:top w:val="single" w:sz="12" w:space="0" w:color="000000"/>
              <w:left w:val="nil"/>
              <w:bottom w:val="single" w:sz="12" w:space="0" w:color="000000"/>
              <w:right w:val="nil"/>
            </w:tcBorders>
            <w:hideMark/>
          </w:tcPr>
          <w:p w14:paraId="088E9727"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 xml:space="preserve">2021-22 </w:t>
            </w:r>
          </w:p>
          <w:p w14:paraId="61496525"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Targets</w:t>
            </w:r>
          </w:p>
        </w:tc>
      </w:tr>
      <w:tr w:rsidR="009832FC" w:rsidRPr="009832FC" w14:paraId="017E1B46" w14:textId="77777777" w:rsidTr="00EB585F">
        <w:trPr>
          <w:trHeight w:val="283"/>
        </w:trPr>
        <w:tc>
          <w:tcPr>
            <w:tcW w:w="2748" w:type="pct"/>
            <w:tcBorders>
              <w:top w:val="nil"/>
              <w:left w:val="nil"/>
              <w:bottom w:val="nil"/>
              <w:right w:val="nil"/>
            </w:tcBorders>
            <w:hideMark/>
          </w:tcPr>
          <w:p w14:paraId="19D8AF9D" w14:textId="61C2F5C9" w:rsidR="009832FC" w:rsidRPr="009832FC" w:rsidRDefault="009832FC" w:rsidP="00812F22">
            <w:pPr>
              <w:numPr>
                <w:ilvl w:val="0"/>
                <w:numId w:val="44"/>
              </w:numPr>
              <w:pBdr>
                <w:top w:val="nil"/>
                <w:left w:val="nil"/>
                <w:bottom w:val="nil"/>
                <w:right w:val="nil"/>
                <w:between w:val="nil"/>
                <w:bar w:val="nil"/>
              </w:pBdr>
              <w:spacing w:before="0" w:after="0" w:line="254" w:lineRule="auto"/>
              <w:rPr>
                <w:sz w:val="20"/>
                <w:bdr w:val="nil"/>
              </w:rPr>
            </w:pPr>
            <w:r w:rsidRPr="009832FC">
              <w:rPr>
                <w:sz w:val="20"/>
                <w:bdr w:val="nil"/>
                <w:lang w:eastAsia="en-AU"/>
              </w:rPr>
              <w:t>Participation rate, proportion of women aged 50 to 74 who had a breast screen</w:t>
            </w:r>
            <w:r w:rsidRPr="009832FC">
              <w:rPr>
                <w:sz w:val="20"/>
                <w:bdr w:val="nil"/>
                <w:vertAlign w:val="superscript"/>
                <w:lang w:eastAsia="en-AU"/>
              </w:rPr>
              <w:t>1</w:t>
            </w:r>
          </w:p>
        </w:tc>
        <w:tc>
          <w:tcPr>
            <w:tcW w:w="706" w:type="pct"/>
            <w:gridSpan w:val="2"/>
            <w:tcBorders>
              <w:top w:val="nil"/>
              <w:left w:val="nil"/>
              <w:bottom w:val="nil"/>
              <w:right w:val="nil"/>
            </w:tcBorders>
            <w:hideMark/>
          </w:tcPr>
          <w:p w14:paraId="28D5E0C5"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60%</w:t>
            </w:r>
          </w:p>
        </w:tc>
        <w:tc>
          <w:tcPr>
            <w:tcW w:w="785" w:type="pct"/>
            <w:tcBorders>
              <w:top w:val="nil"/>
              <w:left w:val="nil"/>
              <w:bottom w:val="nil"/>
              <w:right w:val="nil"/>
            </w:tcBorders>
            <w:hideMark/>
          </w:tcPr>
          <w:p w14:paraId="301CAB07"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56%</w:t>
            </w:r>
          </w:p>
        </w:tc>
        <w:tc>
          <w:tcPr>
            <w:tcW w:w="761" w:type="pct"/>
            <w:tcBorders>
              <w:top w:val="nil"/>
              <w:left w:val="nil"/>
              <w:bottom w:val="nil"/>
              <w:right w:val="nil"/>
            </w:tcBorders>
            <w:hideMark/>
          </w:tcPr>
          <w:p w14:paraId="56D9EDA1"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r>
      <w:tr w:rsidR="009832FC" w:rsidRPr="009832FC" w14:paraId="2ECA8720" w14:textId="77777777" w:rsidTr="00EB585F">
        <w:trPr>
          <w:trHeight w:val="283"/>
        </w:trPr>
        <w:tc>
          <w:tcPr>
            <w:tcW w:w="2748" w:type="pct"/>
            <w:tcBorders>
              <w:top w:val="nil"/>
              <w:left w:val="nil"/>
              <w:bottom w:val="nil"/>
              <w:right w:val="nil"/>
            </w:tcBorders>
            <w:hideMark/>
          </w:tcPr>
          <w:p w14:paraId="5DE9017A" w14:textId="0F5C0FAA" w:rsidR="009832FC" w:rsidRPr="009832FC" w:rsidRDefault="009832FC" w:rsidP="00812F22">
            <w:pPr>
              <w:numPr>
                <w:ilvl w:val="0"/>
                <w:numId w:val="44"/>
              </w:numPr>
              <w:pBdr>
                <w:top w:val="nil"/>
                <w:left w:val="nil"/>
                <w:bottom w:val="nil"/>
                <w:right w:val="nil"/>
                <w:between w:val="nil"/>
                <w:bar w:val="nil"/>
              </w:pBdr>
              <w:spacing w:before="0" w:after="0" w:line="254" w:lineRule="auto"/>
              <w:rPr>
                <w:sz w:val="20"/>
                <w:bdr w:val="nil"/>
              </w:rPr>
            </w:pPr>
            <w:r w:rsidRPr="009832FC">
              <w:rPr>
                <w:sz w:val="20"/>
                <w:bdr w:val="nil"/>
                <w:lang w:eastAsia="en-AU"/>
              </w:rPr>
              <w:t>Total breast screens</w:t>
            </w:r>
            <w:r w:rsidRPr="009832FC">
              <w:rPr>
                <w:sz w:val="20"/>
                <w:bdr w:val="nil"/>
                <w:vertAlign w:val="superscript"/>
                <w:lang w:eastAsia="en-AU"/>
              </w:rPr>
              <w:t>2</w:t>
            </w:r>
          </w:p>
        </w:tc>
        <w:tc>
          <w:tcPr>
            <w:tcW w:w="706" w:type="pct"/>
            <w:gridSpan w:val="2"/>
            <w:tcBorders>
              <w:top w:val="nil"/>
              <w:left w:val="nil"/>
              <w:bottom w:val="nil"/>
              <w:right w:val="nil"/>
            </w:tcBorders>
            <w:hideMark/>
          </w:tcPr>
          <w:p w14:paraId="4EEA963D"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19,500</w:t>
            </w:r>
          </w:p>
        </w:tc>
        <w:tc>
          <w:tcPr>
            <w:tcW w:w="785" w:type="pct"/>
            <w:tcBorders>
              <w:top w:val="nil"/>
              <w:left w:val="nil"/>
              <w:bottom w:val="nil"/>
              <w:right w:val="nil"/>
            </w:tcBorders>
            <w:hideMark/>
          </w:tcPr>
          <w:p w14:paraId="18927D33"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19,595</w:t>
            </w:r>
          </w:p>
        </w:tc>
        <w:tc>
          <w:tcPr>
            <w:tcW w:w="761" w:type="pct"/>
            <w:tcBorders>
              <w:top w:val="nil"/>
              <w:left w:val="nil"/>
              <w:bottom w:val="nil"/>
              <w:right w:val="nil"/>
            </w:tcBorders>
            <w:hideMark/>
          </w:tcPr>
          <w:p w14:paraId="46D9DB9A"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N/A</w:t>
            </w:r>
          </w:p>
        </w:tc>
      </w:tr>
      <w:tr w:rsidR="009832FC" w:rsidRPr="009832FC" w14:paraId="43332840" w14:textId="77777777" w:rsidTr="00EB585F">
        <w:trPr>
          <w:trHeight w:val="253"/>
        </w:trPr>
        <w:tc>
          <w:tcPr>
            <w:tcW w:w="2748" w:type="pct"/>
            <w:tcBorders>
              <w:top w:val="nil"/>
              <w:left w:val="nil"/>
              <w:bottom w:val="nil"/>
              <w:right w:val="nil"/>
            </w:tcBorders>
            <w:hideMark/>
          </w:tcPr>
          <w:p w14:paraId="2AAEAAD9" w14:textId="59D1B8F5" w:rsidR="009832FC" w:rsidRPr="009832FC" w:rsidRDefault="009832FC" w:rsidP="00812F22">
            <w:pPr>
              <w:numPr>
                <w:ilvl w:val="0"/>
                <w:numId w:val="44"/>
              </w:numPr>
              <w:pBdr>
                <w:top w:val="nil"/>
                <w:left w:val="nil"/>
                <w:bottom w:val="nil"/>
                <w:right w:val="nil"/>
                <w:between w:val="nil"/>
                <w:bar w:val="nil"/>
              </w:pBdr>
              <w:spacing w:before="0" w:after="0" w:line="254" w:lineRule="auto"/>
              <w:rPr>
                <w:sz w:val="20"/>
                <w:bdr w:val="nil"/>
              </w:rPr>
            </w:pPr>
            <w:r w:rsidRPr="009832FC">
              <w:rPr>
                <w:sz w:val="20"/>
                <w:bdr w:val="nil"/>
                <w:lang w:eastAsia="en-AU"/>
              </w:rPr>
              <w:t>Percentage of screened patients who are assessed within 28 days</w:t>
            </w:r>
            <w:r w:rsidRPr="009832FC">
              <w:rPr>
                <w:sz w:val="20"/>
                <w:bdr w:val="nil"/>
                <w:vertAlign w:val="superscript"/>
                <w:lang w:eastAsia="en-AU"/>
              </w:rPr>
              <w:t>3</w:t>
            </w:r>
          </w:p>
        </w:tc>
        <w:tc>
          <w:tcPr>
            <w:tcW w:w="706" w:type="pct"/>
            <w:gridSpan w:val="2"/>
            <w:tcBorders>
              <w:top w:val="nil"/>
              <w:left w:val="nil"/>
              <w:bottom w:val="nil"/>
              <w:right w:val="nil"/>
            </w:tcBorders>
            <w:hideMark/>
          </w:tcPr>
          <w:p w14:paraId="09DD009B"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90%</w:t>
            </w:r>
          </w:p>
        </w:tc>
        <w:tc>
          <w:tcPr>
            <w:tcW w:w="785" w:type="pct"/>
            <w:tcBorders>
              <w:top w:val="nil"/>
              <w:left w:val="nil"/>
              <w:bottom w:val="nil"/>
              <w:right w:val="nil"/>
            </w:tcBorders>
            <w:hideMark/>
          </w:tcPr>
          <w:p w14:paraId="7E6CEF81"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96%</w:t>
            </w:r>
          </w:p>
        </w:tc>
        <w:tc>
          <w:tcPr>
            <w:tcW w:w="761" w:type="pct"/>
            <w:tcBorders>
              <w:top w:val="nil"/>
              <w:left w:val="nil"/>
              <w:bottom w:val="nil"/>
              <w:right w:val="nil"/>
            </w:tcBorders>
            <w:hideMark/>
          </w:tcPr>
          <w:p w14:paraId="342D26B8"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90%</w:t>
            </w:r>
          </w:p>
        </w:tc>
      </w:tr>
      <w:tr w:rsidR="009832FC" w:rsidRPr="009832FC" w14:paraId="728F8207" w14:textId="77777777" w:rsidTr="00EB585F">
        <w:trPr>
          <w:trHeight w:val="283"/>
        </w:trPr>
        <w:tc>
          <w:tcPr>
            <w:tcW w:w="3061" w:type="pct"/>
            <w:gridSpan w:val="2"/>
            <w:tcBorders>
              <w:top w:val="nil"/>
              <w:left w:val="nil"/>
              <w:bottom w:val="nil"/>
              <w:right w:val="nil"/>
            </w:tcBorders>
            <w:hideMark/>
          </w:tcPr>
          <w:p w14:paraId="1C9BFD10" w14:textId="77777777" w:rsidR="009832FC" w:rsidRPr="009832FC" w:rsidRDefault="009832FC" w:rsidP="009832FC">
            <w:pPr>
              <w:pBdr>
                <w:top w:val="nil"/>
                <w:left w:val="nil"/>
                <w:bottom w:val="nil"/>
                <w:right w:val="nil"/>
                <w:between w:val="nil"/>
                <w:bar w:val="nil"/>
              </w:pBdr>
              <w:spacing w:before="0" w:after="0" w:line="254" w:lineRule="auto"/>
              <w:rPr>
                <w:b/>
                <w:sz w:val="20"/>
                <w:bdr w:val="nil"/>
              </w:rPr>
            </w:pPr>
            <w:r w:rsidRPr="009832FC">
              <w:rPr>
                <w:b/>
                <w:sz w:val="20"/>
                <w:bdr w:val="nil"/>
                <w:lang w:eastAsia="en-AU"/>
              </w:rPr>
              <w:t>Radiotherapy Treatment Within Standard Timeframes</w:t>
            </w:r>
          </w:p>
        </w:tc>
        <w:tc>
          <w:tcPr>
            <w:tcW w:w="393" w:type="pct"/>
            <w:tcBorders>
              <w:top w:val="nil"/>
              <w:left w:val="nil"/>
              <w:bottom w:val="nil"/>
              <w:right w:val="nil"/>
            </w:tcBorders>
          </w:tcPr>
          <w:p w14:paraId="2748122D"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p>
        </w:tc>
        <w:tc>
          <w:tcPr>
            <w:tcW w:w="785" w:type="pct"/>
            <w:tcBorders>
              <w:top w:val="nil"/>
              <w:left w:val="nil"/>
              <w:bottom w:val="nil"/>
              <w:right w:val="nil"/>
            </w:tcBorders>
          </w:tcPr>
          <w:p w14:paraId="12EE0724"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p>
        </w:tc>
        <w:tc>
          <w:tcPr>
            <w:tcW w:w="761" w:type="pct"/>
            <w:tcBorders>
              <w:top w:val="nil"/>
              <w:left w:val="nil"/>
              <w:bottom w:val="nil"/>
              <w:right w:val="nil"/>
            </w:tcBorders>
          </w:tcPr>
          <w:p w14:paraId="5094ABCC"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p>
        </w:tc>
      </w:tr>
      <w:tr w:rsidR="009832FC" w:rsidRPr="009832FC" w14:paraId="5637424E" w14:textId="77777777" w:rsidTr="00EB585F">
        <w:trPr>
          <w:trHeight w:val="283"/>
        </w:trPr>
        <w:tc>
          <w:tcPr>
            <w:tcW w:w="2748" w:type="pct"/>
            <w:tcBorders>
              <w:top w:val="nil"/>
              <w:left w:val="nil"/>
              <w:bottom w:val="nil"/>
              <w:right w:val="nil"/>
            </w:tcBorders>
            <w:hideMark/>
          </w:tcPr>
          <w:p w14:paraId="067C4D58" w14:textId="5DB184CA" w:rsidR="009832FC" w:rsidRPr="009832FC" w:rsidRDefault="009832FC" w:rsidP="00812F22">
            <w:pPr>
              <w:numPr>
                <w:ilvl w:val="0"/>
                <w:numId w:val="44"/>
              </w:numPr>
              <w:pBdr>
                <w:top w:val="nil"/>
                <w:left w:val="nil"/>
                <w:bottom w:val="nil"/>
                <w:right w:val="nil"/>
                <w:between w:val="nil"/>
                <w:bar w:val="nil"/>
              </w:pBdr>
              <w:spacing w:before="0" w:after="0" w:line="254" w:lineRule="auto"/>
              <w:rPr>
                <w:sz w:val="20"/>
                <w:bdr w:val="nil"/>
              </w:rPr>
            </w:pPr>
            <w:r w:rsidRPr="009832FC">
              <w:rPr>
                <w:sz w:val="20"/>
                <w:bdr w:val="nil"/>
                <w:lang w:eastAsia="en-AU"/>
              </w:rPr>
              <w:t>Emergency – treatment starts within 48 hours</w:t>
            </w:r>
            <w:r w:rsidRPr="009832FC">
              <w:rPr>
                <w:sz w:val="20"/>
                <w:bdr w:val="nil"/>
                <w:vertAlign w:val="superscript"/>
                <w:lang w:eastAsia="en-AU"/>
              </w:rPr>
              <w:t>4</w:t>
            </w:r>
          </w:p>
        </w:tc>
        <w:tc>
          <w:tcPr>
            <w:tcW w:w="706" w:type="pct"/>
            <w:gridSpan w:val="2"/>
            <w:tcBorders>
              <w:top w:val="nil"/>
              <w:left w:val="nil"/>
              <w:bottom w:val="nil"/>
              <w:right w:val="nil"/>
            </w:tcBorders>
            <w:hideMark/>
          </w:tcPr>
          <w:p w14:paraId="69AFD3C0"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100%</w:t>
            </w:r>
          </w:p>
        </w:tc>
        <w:tc>
          <w:tcPr>
            <w:tcW w:w="785" w:type="pct"/>
            <w:tcBorders>
              <w:top w:val="nil"/>
              <w:left w:val="nil"/>
              <w:bottom w:val="nil"/>
              <w:right w:val="nil"/>
            </w:tcBorders>
            <w:hideMark/>
          </w:tcPr>
          <w:p w14:paraId="195B6217"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100%</w:t>
            </w:r>
          </w:p>
        </w:tc>
        <w:tc>
          <w:tcPr>
            <w:tcW w:w="761" w:type="pct"/>
            <w:tcBorders>
              <w:top w:val="nil"/>
              <w:left w:val="nil"/>
              <w:bottom w:val="nil"/>
              <w:right w:val="nil"/>
            </w:tcBorders>
            <w:hideMark/>
          </w:tcPr>
          <w:p w14:paraId="61CED110"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100%</w:t>
            </w:r>
          </w:p>
        </w:tc>
      </w:tr>
      <w:tr w:rsidR="009832FC" w:rsidRPr="009832FC" w14:paraId="2F2E7793" w14:textId="77777777" w:rsidTr="00EB585F">
        <w:trPr>
          <w:trHeight w:val="283"/>
        </w:trPr>
        <w:tc>
          <w:tcPr>
            <w:tcW w:w="2748" w:type="pct"/>
            <w:tcBorders>
              <w:top w:val="nil"/>
              <w:left w:val="nil"/>
              <w:bottom w:val="nil"/>
              <w:right w:val="nil"/>
            </w:tcBorders>
            <w:hideMark/>
          </w:tcPr>
          <w:p w14:paraId="20F78EF8" w14:textId="7E4027E6" w:rsidR="009832FC" w:rsidRPr="009832FC" w:rsidRDefault="009832FC" w:rsidP="00812F22">
            <w:pPr>
              <w:numPr>
                <w:ilvl w:val="0"/>
                <w:numId w:val="44"/>
              </w:numPr>
              <w:pBdr>
                <w:top w:val="nil"/>
                <w:left w:val="nil"/>
                <w:bottom w:val="nil"/>
                <w:right w:val="nil"/>
                <w:between w:val="nil"/>
                <w:bar w:val="nil"/>
              </w:pBdr>
              <w:spacing w:before="0" w:after="0" w:line="254" w:lineRule="auto"/>
              <w:rPr>
                <w:sz w:val="20"/>
                <w:bdr w:val="nil"/>
              </w:rPr>
            </w:pPr>
            <w:r w:rsidRPr="009832FC">
              <w:rPr>
                <w:sz w:val="20"/>
                <w:bdr w:val="nil"/>
                <w:lang w:eastAsia="en-AU"/>
              </w:rPr>
              <w:t>Palliative – treatment starts within 2 weeks</w:t>
            </w:r>
            <w:r w:rsidRPr="009832FC">
              <w:rPr>
                <w:sz w:val="20"/>
                <w:bdr w:val="nil"/>
                <w:vertAlign w:val="superscript"/>
                <w:lang w:eastAsia="en-AU"/>
              </w:rPr>
              <w:t>5</w:t>
            </w:r>
          </w:p>
        </w:tc>
        <w:tc>
          <w:tcPr>
            <w:tcW w:w="706" w:type="pct"/>
            <w:gridSpan w:val="2"/>
            <w:tcBorders>
              <w:top w:val="nil"/>
              <w:left w:val="nil"/>
              <w:bottom w:val="nil"/>
              <w:right w:val="nil"/>
            </w:tcBorders>
            <w:hideMark/>
          </w:tcPr>
          <w:p w14:paraId="54347165"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90%</w:t>
            </w:r>
          </w:p>
        </w:tc>
        <w:tc>
          <w:tcPr>
            <w:tcW w:w="785" w:type="pct"/>
            <w:tcBorders>
              <w:top w:val="nil"/>
              <w:left w:val="nil"/>
              <w:bottom w:val="nil"/>
              <w:right w:val="nil"/>
            </w:tcBorders>
            <w:hideMark/>
          </w:tcPr>
          <w:p w14:paraId="7AEF1D75"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95%</w:t>
            </w:r>
          </w:p>
        </w:tc>
        <w:tc>
          <w:tcPr>
            <w:tcW w:w="761" w:type="pct"/>
            <w:tcBorders>
              <w:top w:val="nil"/>
              <w:left w:val="nil"/>
              <w:bottom w:val="nil"/>
              <w:right w:val="nil"/>
            </w:tcBorders>
            <w:hideMark/>
          </w:tcPr>
          <w:p w14:paraId="424A15AD"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90%</w:t>
            </w:r>
          </w:p>
        </w:tc>
      </w:tr>
      <w:tr w:rsidR="009832FC" w:rsidRPr="009832FC" w14:paraId="3DC69B2F" w14:textId="77777777" w:rsidTr="00EB585F">
        <w:trPr>
          <w:trHeight w:val="283"/>
        </w:trPr>
        <w:tc>
          <w:tcPr>
            <w:tcW w:w="2748" w:type="pct"/>
            <w:tcBorders>
              <w:top w:val="nil"/>
              <w:left w:val="nil"/>
              <w:bottom w:val="single" w:sz="4" w:space="0" w:color="auto"/>
              <w:right w:val="nil"/>
            </w:tcBorders>
            <w:hideMark/>
          </w:tcPr>
          <w:p w14:paraId="24AE0132" w14:textId="7E479FAE" w:rsidR="009832FC" w:rsidRPr="009832FC" w:rsidRDefault="009832FC" w:rsidP="00812F22">
            <w:pPr>
              <w:numPr>
                <w:ilvl w:val="0"/>
                <w:numId w:val="44"/>
              </w:numPr>
              <w:pBdr>
                <w:top w:val="nil"/>
                <w:left w:val="nil"/>
                <w:bottom w:val="nil"/>
                <w:right w:val="nil"/>
                <w:between w:val="nil"/>
                <w:bar w:val="nil"/>
              </w:pBdr>
              <w:spacing w:before="0" w:after="0" w:line="254" w:lineRule="auto"/>
              <w:rPr>
                <w:sz w:val="20"/>
                <w:bdr w:val="nil"/>
              </w:rPr>
            </w:pPr>
            <w:r w:rsidRPr="009832FC">
              <w:rPr>
                <w:sz w:val="20"/>
                <w:bdr w:val="nil"/>
                <w:lang w:eastAsia="en-AU"/>
              </w:rPr>
              <w:t>Radical – treatment starts within 4 weeks</w:t>
            </w:r>
            <w:r w:rsidRPr="009832FC">
              <w:rPr>
                <w:sz w:val="20"/>
                <w:bdr w:val="nil"/>
                <w:vertAlign w:val="superscript"/>
                <w:lang w:eastAsia="en-AU"/>
              </w:rPr>
              <w:t>6</w:t>
            </w:r>
          </w:p>
        </w:tc>
        <w:tc>
          <w:tcPr>
            <w:tcW w:w="706" w:type="pct"/>
            <w:gridSpan w:val="2"/>
            <w:tcBorders>
              <w:top w:val="nil"/>
              <w:left w:val="nil"/>
              <w:bottom w:val="single" w:sz="4" w:space="0" w:color="auto"/>
              <w:right w:val="nil"/>
            </w:tcBorders>
            <w:hideMark/>
          </w:tcPr>
          <w:p w14:paraId="427096E2"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90%</w:t>
            </w:r>
          </w:p>
        </w:tc>
        <w:tc>
          <w:tcPr>
            <w:tcW w:w="785" w:type="pct"/>
            <w:tcBorders>
              <w:top w:val="nil"/>
              <w:left w:val="nil"/>
              <w:bottom w:val="single" w:sz="4" w:space="0" w:color="auto"/>
              <w:right w:val="nil"/>
            </w:tcBorders>
            <w:hideMark/>
          </w:tcPr>
          <w:p w14:paraId="74592D05"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97%</w:t>
            </w:r>
          </w:p>
        </w:tc>
        <w:tc>
          <w:tcPr>
            <w:tcW w:w="761" w:type="pct"/>
            <w:tcBorders>
              <w:top w:val="nil"/>
              <w:left w:val="nil"/>
              <w:bottom w:val="single" w:sz="4" w:space="0" w:color="auto"/>
              <w:right w:val="nil"/>
            </w:tcBorders>
            <w:hideMark/>
          </w:tcPr>
          <w:p w14:paraId="1C211F9D" w14:textId="77777777" w:rsidR="009832FC" w:rsidRPr="009832FC" w:rsidRDefault="009832FC" w:rsidP="009832FC">
            <w:pPr>
              <w:pBdr>
                <w:top w:val="nil"/>
                <w:left w:val="nil"/>
                <w:bottom w:val="nil"/>
                <w:right w:val="nil"/>
                <w:between w:val="nil"/>
                <w:bar w:val="nil"/>
              </w:pBdr>
              <w:spacing w:before="0" w:after="0" w:line="254" w:lineRule="auto"/>
              <w:ind w:left="227" w:hanging="227"/>
              <w:jc w:val="right"/>
              <w:rPr>
                <w:sz w:val="20"/>
                <w:bdr w:val="nil"/>
              </w:rPr>
            </w:pPr>
            <w:r w:rsidRPr="009832FC">
              <w:rPr>
                <w:sz w:val="20"/>
                <w:bdr w:val="nil"/>
              </w:rPr>
              <w:t>90%</w:t>
            </w:r>
          </w:p>
        </w:tc>
      </w:tr>
    </w:tbl>
    <w:p w14:paraId="073C290D" w14:textId="77777777" w:rsidR="009832FC" w:rsidRPr="009832FC" w:rsidRDefault="009832FC" w:rsidP="00527903">
      <w:pPr>
        <w:keepNext/>
        <w:keepLines/>
        <w:pBdr>
          <w:top w:val="nil"/>
          <w:left w:val="nil"/>
          <w:bottom w:val="nil"/>
          <w:right w:val="nil"/>
          <w:between w:val="nil"/>
          <w:bar w:val="nil"/>
        </w:pBdr>
        <w:spacing w:before="120" w:after="0"/>
        <w:rPr>
          <w:rFonts w:cs="Calibri"/>
          <w:b/>
          <w:sz w:val="18"/>
          <w:szCs w:val="16"/>
          <w:bdr w:val="nil"/>
        </w:rPr>
      </w:pPr>
      <w:r w:rsidRPr="009832FC">
        <w:rPr>
          <w:rFonts w:cs="Calibri"/>
          <w:b/>
          <w:sz w:val="18"/>
          <w:szCs w:val="16"/>
          <w:bdr w:val="nil"/>
          <w:lang w:eastAsia="en-AU"/>
        </w:rPr>
        <w:t>Note(s):</w:t>
      </w:r>
    </w:p>
    <w:p w14:paraId="29FF9C6F" w14:textId="77777777" w:rsidR="009832FC" w:rsidRPr="009832FC" w:rsidRDefault="009832FC" w:rsidP="00812F22">
      <w:pPr>
        <w:keepLines/>
        <w:widowControl w:val="0"/>
        <w:numPr>
          <w:ilvl w:val="0"/>
          <w:numId w:val="45"/>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 xml:space="preserve">The percentage of all women in the target age group who have received a breast screen within the last 24 months as per national counting and reporting period schedule. This indicator differs with other breast screen reporting periods which report within a single financial year. </w:t>
      </w:r>
      <w:r w:rsidRPr="009832FC">
        <w:rPr>
          <w:sz w:val="18"/>
          <w:szCs w:val="24"/>
          <w:bdr w:val="nil"/>
        </w:rPr>
        <w:t>As a result of a review of all performance indicators against the ACT Government’s Performance and Accountability Framework, t</w:t>
      </w:r>
      <w:r w:rsidRPr="009832FC">
        <w:rPr>
          <w:color w:val="181818"/>
          <w:sz w:val="18"/>
          <w:szCs w:val="18"/>
          <w:bdr w:val="nil"/>
        </w:rPr>
        <w:t>his accountability indicator has been discontinued and will be reported as a strategic indicator.</w:t>
      </w:r>
    </w:p>
    <w:p w14:paraId="4E211774" w14:textId="77777777" w:rsidR="009832FC" w:rsidRPr="009832FC" w:rsidRDefault="009832FC" w:rsidP="00812F22">
      <w:pPr>
        <w:keepLines/>
        <w:widowControl w:val="0"/>
        <w:numPr>
          <w:ilvl w:val="0"/>
          <w:numId w:val="45"/>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 xml:space="preserve">Total number of breast screens completed in the period. </w:t>
      </w:r>
      <w:r w:rsidRPr="009832FC">
        <w:rPr>
          <w:sz w:val="18"/>
          <w:szCs w:val="24"/>
          <w:bdr w:val="nil"/>
        </w:rPr>
        <w:t>As a result of a review of all performance indicators against the ACT Government’s Performance and Accountability Framework, this indicator has been discontinued for 2021-22</w:t>
      </w:r>
      <w:r w:rsidRPr="009832FC">
        <w:rPr>
          <w:color w:val="181818"/>
          <w:sz w:val="18"/>
          <w:szCs w:val="18"/>
          <w:bdr w:val="nil"/>
        </w:rPr>
        <w:t>.</w:t>
      </w:r>
    </w:p>
    <w:p w14:paraId="668DA1C4" w14:textId="77777777" w:rsidR="009832FC" w:rsidRPr="009832FC" w:rsidRDefault="009832FC" w:rsidP="00812F22">
      <w:pPr>
        <w:keepLines/>
        <w:widowControl w:val="0"/>
        <w:numPr>
          <w:ilvl w:val="0"/>
          <w:numId w:val="45"/>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The percentage of women requiring assessment who wait 28 days or less from their breast screen appointment to their assessment appointment.</w:t>
      </w:r>
    </w:p>
    <w:p w14:paraId="6283DA3B" w14:textId="77777777" w:rsidR="009832FC" w:rsidRPr="009832FC" w:rsidRDefault="009832FC" w:rsidP="00812F22">
      <w:pPr>
        <w:keepLines/>
        <w:widowControl w:val="0"/>
        <w:numPr>
          <w:ilvl w:val="0"/>
          <w:numId w:val="45"/>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The percentage of patients requiring emergency radiotherapy treatment who started treatment within 48 hours of requiring it.</w:t>
      </w:r>
    </w:p>
    <w:p w14:paraId="7757F733" w14:textId="77777777" w:rsidR="009832FC" w:rsidRPr="009832FC" w:rsidRDefault="009832FC" w:rsidP="00812F22">
      <w:pPr>
        <w:keepLines/>
        <w:widowControl w:val="0"/>
        <w:numPr>
          <w:ilvl w:val="0"/>
          <w:numId w:val="45"/>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The percentage of patients requiring palliative radiotherapy treatment who started treatment within 2 weeks of requiring it.</w:t>
      </w:r>
    </w:p>
    <w:p w14:paraId="04B363B4" w14:textId="77777777" w:rsidR="009832FC" w:rsidRPr="009832FC" w:rsidRDefault="009832FC" w:rsidP="00812F22">
      <w:pPr>
        <w:keepLines/>
        <w:widowControl w:val="0"/>
        <w:numPr>
          <w:ilvl w:val="0"/>
          <w:numId w:val="45"/>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The percentage of patients requiring radical radiotherapy treatment who started treatment within 4 weeks of requiring it.</w:t>
      </w:r>
    </w:p>
    <w:p w14:paraId="7104B3C0" w14:textId="77777777" w:rsidR="009832FC" w:rsidRPr="009832FC" w:rsidRDefault="009832FC" w:rsidP="009832FC">
      <w:pPr>
        <w:keepNext/>
        <w:keepLines/>
        <w:pageBreakBefore/>
        <w:pBdr>
          <w:top w:val="nil"/>
          <w:left w:val="nil"/>
          <w:bottom w:val="nil"/>
          <w:right w:val="nil"/>
          <w:between w:val="nil"/>
          <w:bar w:val="nil"/>
        </w:pBdr>
        <w:spacing w:before="240" w:after="120"/>
        <w:outlineLvl w:val="3"/>
        <w:rPr>
          <w:b/>
          <w:i/>
          <w:bdr w:val="nil"/>
        </w:rPr>
      </w:pPr>
      <w:r w:rsidRPr="009832FC">
        <w:rPr>
          <w:b/>
          <w:i/>
          <w:bdr w:val="nil"/>
        </w:rPr>
        <w:lastRenderedPageBreak/>
        <w:t>Output 1.4: Subacute and Community Services</w:t>
      </w:r>
    </w:p>
    <w:p w14:paraId="5C70B1E7" w14:textId="77777777" w:rsidR="009832FC" w:rsidRPr="009832FC" w:rsidRDefault="009832FC" w:rsidP="009832FC">
      <w:pPr>
        <w:keepNext/>
        <w:pBdr>
          <w:top w:val="nil"/>
          <w:left w:val="nil"/>
          <w:bottom w:val="nil"/>
          <w:right w:val="nil"/>
          <w:between w:val="nil"/>
          <w:bar w:val="nil"/>
        </w:pBdr>
        <w:spacing w:before="240"/>
        <w:rPr>
          <w:b/>
          <w:bCs/>
          <w:noProof/>
          <w:sz w:val="22"/>
          <w:szCs w:val="18"/>
          <w:bdr w:val="nil"/>
        </w:rPr>
      </w:pPr>
      <w:r w:rsidRPr="009832FC">
        <w:rPr>
          <w:b/>
          <w:bCs/>
          <w:sz w:val="22"/>
          <w:szCs w:val="18"/>
          <w:bdr w:val="nil"/>
        </w:rPr>
        <w:t>Table 21</w:t>
      </w:r>
      <w:r w:rsidRPr="009832FC">
        <w:rPr>
          <w:b/>
          <w:bCs/>
          <w:noProof/>
          <w:sz w:val="22"/>
          <w:szCs w:val="18"/>
          <w:bdr w:val="nil"/>
        </w:rPr>
        <w:t>:</w:t>
      </w:r>
      <w:r w:rsidRPr="009832FC">
        <w:rPr>
          <w:b/>
          <w:bCs/>
          <w:sz w:val="22"/>
          <w:szCs w:val="18"/>
          <w:bdr w:val="nil"/>
        </w:rPr>
        <w:t xml:space="preserve"> Accountability Indicators</w:t>
      </w:r>
      <w:r w:rsidRPr="009832FC">
        <w:rPr>
          <w:b/>
          <w:bCs/>
          <w:noProof/>
          <w:sz w:val="22"/>
          <w:szCs w:val="18"/>
          <w:bdr w:val="nil"/>
        </w:rPr>
        <w:t xml:space="preserve"> Output 1.4</w:t>
      </w:r>
    </w:p>
    <w:tbl>
      <w:tblPr>
        <w:tblW w:w="8678" w:type="dxa"/>
        <w:tblBorders>
          <w:top w:val="single" w:sz="12" w:space="0" w:color="000000"/>
          <w:bottom w:val="single" w:sz="12" w:space="0" w:color="000000"/>
        </w:tblBorders>
        <w:tblLook w:val="04A0" w:firstRow="1" w:lastRow="0" w:firstColumn="1" w:lastColumn="0" w:noHBand="0" w:noVBand="1"/>
      </w:tblPr>
      <w:tblGrid>
        <w:gridCol w:w="4376"/>
        <w:gridCol w:w="470"/>
        <w:gridCol w:w="1102"/>
        <w:gridCol w:w="115"/>
        <w:gridCol w:w="1232"/>
        <w:gridCol w:w="1383"/>
      </w:tblGrid>
      <w:tr w:rsidR="009832FC" w:rsidRPr="009832FC" w14:paraId="20B28F93" w14:textId="77777777" w:rsidTr="00EB585F">
        <w:trPr>
          <w:tblHeader/>
        </w:trPr>
        <w:tc>
          <w:tcPr>
            <w:tcW w:w="2521" w:type="pct"/>
            <w:tcBorders>
              <w:top w:val="single" w:sz="12" w:space="0" w:color="000000"/>
              <w:left w:val="nil"/>
              <w:bottom w:val="single" w:sz="12" w:space="0" w:color="000000"/>
              <w:right w:val="nil"/>
            </w:tcBorders>
          </w:tcPr>
          <w:p w14:paraId="6A65CD26"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p>
        </w:tc>
        <w:tc>
          <w:tcPr>
            <w:tcW w:w="906" w:type="pct"/>
            <w:gridSpan w:val="2"/>
            <w:tcBorders>
              <w:top w:val="single" w:sz="12" w:space="0" w:color="000000"/>
              <w:left w:val="nil"/>
              <w:bottom w:val="single" w:sz="12" w:space="0" w:color="000000"/>
              <w:right w:val="nil"/>
            </w:tcBorders>
            <w:hideMark/>
          </w:tcPr>
          <w:p w14:paraId="5E7C09AA"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2020-21</w:t>
            </w:r>
          </w:p>
          <w:p w14:paraId="578B96F3"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Targets</w:t>
            </w:r>
          </w:p>
        </w:tc>
        <w:tc>
          <w:tcPr>
            <w:tcW w:w="776" w:type="pct"/>
            <w:gridSpan w:val="2"/>
            <w:tcBorders>
              <w:top w:val="single" w:sz="12" w:space="0" w:color="000000"/>
              <w:left w:val="nil"/>
              <w:bottom w:val="single" w:sz="12" w:space="0" w:color="000000"/>
              <w:right w:val="nil"/>
            </w:tcBorders>
            <w:hideMark/>
          </w:tcPr>
          <w:p w14:paraId="212ABA1A"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 xml:space="preserve">2020-21 </w:t>
            </w:r>
          </w:p>
          <w:p w14:paraId="7F323868"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Interim</w:t>
            </w:r>
          </w:p>
          <w:p w14:paraId="44AADA21"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Outcome</w:t>
            </w:r>
          </w:p>
        </w:tc>
        <w:tc>
          <w:tcPr>
            <w:tcW w:w="797" w:type="pct"/>
            <w:tcBorders>
              <w:top w:val="single" w:sz="12" w:space="0" w:color="000000"/>
              <w:left w:val="nil"/>
              <w:bottom w:val="single" w:sz="12" w:space="0" w:color="000000"/>
              <w:right w:val="nil"/>
            </w:tcBorders>
            <w:hideMark/>
          </w:tcPr>
          <w:p w14:paraId="697EF0A3"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 xml:space="preserve">2021-22 </w:t>
            </w:r>
          </w:p>
          <w:p w14:paraId="45E29673" w14:textId="77777777" w:rsidR="009832FC" w:rsidRPr="009832FC" w:rsidRDefault="009832FC" w:rsidP="009832FC">
            <w:pPr>
              <w:keepNext/>
              <w:keepLines/>
              <w:framePr w:wrap="around" w:vAnchor="text" w:hAnchor="text" w:y="1"/>
              <w:pBdr>
                <w:top w:val="nil"/>
                <w:left w:val="nil"/>
                <w:bottom w:val="nil"/>
                <w:right w:val="nil"/>
                <w:between w:val="nil"/>
                <w:bar w:val="nil"/>
              </w:pBdr>
              <w:spacing w:before="0" w:after="0"/>
              <w:jc w:val="right"/>
              <w:rPr>
                <w:b/>
                <w:bCs/>
                <w:sz w:val="20"/>
                <w:bdr w:val="nil"/>
              </w:rPr>
            </w:pPr>
            <w:r w:rsidRPr="009832FC">
              <w:rPr>
                <w:b/>
                <w:bCs/>
                <w:sz w:val="20"/>
                <w:bdr w:val="nil"/>
              </w:rPr>
              <w:t>Targets</w:t>
            </w:r>
          </w:p>
        </w:tc>
      </w:tr>
      <w:tr w:rsidR="009832FC" w:rsidRPr="009832FC" w14:paraId="632EF338" w14:textId="77777777" w:rsidTr="00EB585F">
        <w:trPr>
          <w:trHeight w:val="283"/>
        </w:trPr>
        <w:tc>
          <w:tcPr>
            <w:tcW w:w="2521" w:type="pct"/>
            <w:tcBorders>
              <w:top w:val="nil"/>
              <w:left w:val="nil"/>
              <w:bottom w:val="nil"/>
              <w:right w:val="nil"/>
            </w:tcBorders>
            <w:hideMark/>
          </w:tcPr>
          <w:p w14:paraId="7D3AAD0D" w14:textId="1CC5E39A" w:rsidR="009832FC" w:rsidRPr="009832FC" w:rsidRDefault="009832FC" w:rsidP="00812F22">
            <w:pPr>
              <w:numPr>
                <w:ilvl w:val="0"/>
                <w:numId w:val="46"/>
              </w:numPr>
              <w:pBdr>
                <w:top w:val="nil"/>
                <w:left w:val="nil"/>
                <w:bottom w:val="nil"/>
                <w:right w:val="nil"/>
                <w:between w:val="nil"/>
                <w:bar w:val="nil"/>
              </w:pBdr>
              <w:spacing w:before="0" w:after="0" w:line="252" w:lineRule="auto"/>
              <w:rPr>
                <w:sz w:val="20"/>
                <w:bdr w:val="nil"/>
              </w:rPr>
            </w:pPr>
            <w:r w:rsidRPr="009832FC">
              <w:rPr>
                <w:sz w:val="20"/>
                <w:bdr w:val="nil"/>
                <w:lang w:eastAsia="en-AU"/>
              </w:rPr>
              <w:t>Mean waiting time for clients on the dental services waiting list</w:t>
            </w:r>
            <w:r w:rsidRPr="009832FC">
              <w:rPr>
                <w:sz w:val="20"/>
                <w:bdr w:val="nil"/>
                <w:vertAlign w:val="superscript"/>
                <w:lang w:eastAsia="en-AU"/>
              </w:rPr>
              <w:t>1</w:t>
            </w:r>
          </w:p>
        </w:tc>
        <w:tc>
          <w:tcPr>
            <w:tcW w:w="906" w:type="pct"/>
            <w:gridSpan w:val="2"/>
            <w:tcBorders>
              <w:top w:val="nil"/>
              <w:left w:val="nil"/>
              <w:bottom w:val="nil"/>
              <w:right w:val="nil"/>
            </w:tcBorders>
            <w:hideMark/>
          </w:tcPr>
          <w:p w14:paraId="4F0DC3D5"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12 months</w:t>
            </w:r>
          </w:p>
        </w:tc>
        <w:tc>
          <w:tcPr>
            <w:tcW w:w="776" w:type="pct"/>
            <w:gridSpan w:val="2"/>
            <w:tcBorders>
              <w:top w:val="nil"/>
              <w:left w:val="nil"/>
              <w:bottom w:val="nil"/>
              <w:right w:val="nil"/>
            </w:tcBorders>
            <w:hideMark/>
          </w:tcPr>
          <w:p w14:paraId="5E1EA2CF"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13.5 months</w:t>
            </w:r>
          </w:p>
        </w:tc>
        <w:tc>
          <w:tcPr>
            <w:tcW w:w="797" w:type="pct"/>
            <w:tcBorders>
              <w:top w:val="nil"/>
              <w:left w:val="nil"/>
              <w:bottom w:val="nil"/>
              <w:right w:val="nil"/>
            </w:tcBorders>
            <w:hideMark/>
          </w:tcPr>
          <w:p w14:paraId="5858D6A2"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12 months</w:t>
            </w:r>
          </w:p>
        </w:tc>
      </w:tr>
      <w:tr w:rsidR="009832FC" w:rsidRPr="009832FC" w14:paraId="661176F9" w14:textId="77777777" w:rsidTr="00EB585F">
        <w:trPr>
          <w:trHeight w:val="462"/>
        </w:trPr>
        <w:tc>
          <w:tcPr>
            <w:tcW w:w="2521" w:type="pct"/>
            <w:tcBorders>
              <w:top w:val="nil"/>
              <w:left w:val="nil"/>
              <w:bottom w:val="nil"/>
              <w:right w:val="nil"/>
            </w:tcBorders>
            <w:hideMark/>
          </w:tcPr>
          <w:p w14:paraId="1B359A8A" w14:textId="6EB95B7E" w:rsidR="009832FC" w:rsidRPr="009832FC" w:rsidRDefault="009832FC" w:rsidP="00812F22">
            <w:pPr>
              <w:numPr>
                <w:ilvl w:val="0"/>
                <w:numId w:val="46"/>
              </w:numPr>
              <w:pBdr>
                <w:top w:val="nil"/>
                <w:left w:val="nil"/>
                <w:bottom w:val="nil"/>
                <w:right w:val="nil"/>
                <w:between w:val="nil"/>
                <w:bar w:val="nil"/>
              </w:pBdr>
              <w:spacing w:before="0" w:after="0" w:line="252" w:lineRule="auto"/>
              <w:rPr>
                <w:sz w:val="20"/>
                <w:bdr w:val="nil"/>
              </w:rPr>
            </w:pPr>
            <w:r w:rsidRPr="009832FC">
              <w:rPr>
                <w:sz w:val="20"/>
                <w:bdr w:val="nil"/>
                <w:lang w:eastAsia="en-AU"/>
              </w:rPr>
              <w:t>Sub-acute bed days of care at University of Canberra Hospital</w:t>
            </w:r>
            <w:r w:rsidRPr="009832FC">
              <w:rPr>
                <w:sz w:val="20"/>
                <w:bdr w:val="nil"/>
                <w:vertAlign w:val="superscript"/>
                <w:lang w:eastAsia="en-AU"/>
              </w:rPr>
              <w:t>2</w:t>
            </w:r>
          </w:p>
        </w:tc>
        <w:tc>
          <w:tcPr>
            <w:tcW w:w="906" w:type="pct"/>
            <w:gridSpan w:val="2"/>
            <w:tcBorders>
              <w:top w:val="nil"/>
              <w:left w:val="nil"/>
              <w:bottom w:val="nil"/>
              <w:right w:val="nil"/>
            </w:tcBorders>
            <w:hideMark/>
          </w:tcPr>
          <w:p w14:paraId="727668E3"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27,600</w:t>
            </w:r>
          </w:p>
        </w:tc>
        <w:tc>
          <w:tcPr>
            <w:tcW w:w="776" w:type="pct"/>
            <w:gridSpan w:val="2"/>
            <w:tcBorders>
              <w:top w:val="nil"/>
              <w:left w:val="nil"/>
              <w:bottom w:val="nil"/>
              <w:right w:val="nil"/>
            </w:tcBorders>
            <w:hideMark/>
          </w:tcPr>
          <w:p w14:paraId="43A2B49E"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37,550</w:t>
            </w:r>
          </w:p>
        </w:tc>
        <w:tc>
          <w:tcPr>
            <w:tcW w:w="797" w:type="pct"/>
            <w:tcBorders>
              <w:top w:val="nil"/>
              <w:left w:val="nil"/>
              <w:bottom w:val="nil"/>
              <w:right w:val="nil"/>
            </w:tcBorders>
            <w:hideMark/>
          </w:tcPr>
          <w:p w14:paraId="53F7D775"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r>
      <w:tr w:rsidR="009832FC" w:rsidRPr="009832FC" w14:paraId="33757F6E" w14:textId="77777777" w:rsidTr="00EB585F">
        <w:trPr>
          <w:trHeight w:val="129"/>
        </w:trPr>
        <w:tc>
          <w:tcPr>
            <w:tcW w:w="2521" w:type="pct"/>
            <w:tcBorders>
              <w:top w:val="nil"/>
              <w:left w:val="nil"/>
              <w:bottom w:val="nil"/>
              <w:right w:val="nil"/>
            </w:tcBorders>
            <w:hideMark/>
          </w:tcPr>
          <w:p w14:paraId="470E15A2" w14:textId="57F7D4BA" w:rsidR="009832FC" w:rsidRPr="009832FC" w:rsidRDefault="009832FC" w:rsidP="00812F22">
            <w:pPr>
              <w:numPr>
                <w:ilvl w:val="0"/>
                <w:numId w:val="46"/>
              </w:numPr>
              <w:pBdr>
                <w:top w:val="nil"/>
                <w:left w:val="nil"/>
                <w:bottom w:val="nil"/>
                <w:right w:val="nil"/>
                <w:between w:val="nil"/>
                <w:bar w:val="nil"/>
              </w:pBdr>
              <w:spacing w:before="0" w:after="0" w:line="252" w:lineRule="auto"/>
              <w:rPr>
                <w:sz w:val="20"/>
                <w:bdr w:val="nil"/>
              </w:rPr>
            </w:pPr>
            <w:r w:rsidRPr="009832FC">
              <w:rPr>
                <w:sz w:val="20"/>
                <w:bdr w:val="nil"/>
                <w:lang w:eastAsia="en-AU"/>
              </w:rPr>
              <w:t>Walk-in Centre presentations to Gungahlin</w:t>
            </w:r>
            <w:r w:rsidRPr="009832FC">
              <w:rPr>
                <w:sz w:val="20"/>
                <w:bdr w:val="nil"/>
                <w:vertAlign w:val="superscript"/>
                <w:lang w:eastAsia="en-AU"/>
              </w:rPr>
              <w:t>3</w:t>
            </w:r>
          </w:p>
        </w:tc>
        <w:tc>
          <w:tcPr>
            <w:tcW w:w="906" w:type="pct"/>
            <w:gridSpan w:val="2"/>
            <w:tcBorders>
              <w:top w:val="nil"/>
              <w:left w:val="nil"/>
              <w:bottom w:val="nil"/>
              <w:right w:val="nil"/>
            </w:tcBorders>
            <w:hideMark/>
          </w:tcPr>
          <w:p w14:paraId="0260C644"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20,000</w:t>
            </w:r>
          </w:p>
        </w:tc>
        <w:tc>
          <w:tcPr>
            <w:tcW w:w="776" w:type="pct"/>
            <w:gridSpan w:val="2"/>
            <w:tcBorders>
              <w:top w:val="nil"/>
              <w:left w:val="nil"/>
              <w:bottom w:val="nil"/>
              <w:right w:val="nil"/>
            </w:tcBorders>
            <w:hideMark/>
          </w:tcPr>
          <w:p w14:paraId="55A2CD15"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16,608</w:t>
            </w:r>
          </w:p>
        </w:tc>
        <w:tc>
          <w:tcPr>
            <w:tcW w:w="797" w:type="pct"/>
            <w:tcBorders>
              <w:top w:val="nil"/>
              <w:left w:val="nil"/>
              <w:bottom w:val="nil"/>
              <w:right w:val="nil"/>
            </w:tcBorders>
            <w:hideMark/>
          </w:tcPr>
          <w:p w14:paraId="61A2892D"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r>
      <w:tr w:rsidR="009832FC" w:rsidRPr="009832FC" w14:paraId="769FEAAF" w14:textId="77777777" w:rsidTr="00EB585F">
        <w:trPr>
          <w:trHeight w:val="129"/>
        </w:trPr>
        <w:tc>
          <w:tcPr>
            <w:tcW w:w="2521" w:type="pct"/>
            <w:tcBorders>
              <w:top w:val="nil"/>
              <w:left w:val="nil"/>
              <w:bottom w:val="nil"/>
              <w:right w:val="nil"/>
            </w:tcBorders>
            <w:hideMark/>
          </w:tcPr>
          <w:p w14:paraId="3DA67102" w14:textId="59A8C966" w:rsidR="009832FC" w:rsidRPr="009832FC" w:rsidRDefault="009832FC" w:rsidP="00812F22">
            <w:pPr>
              <w:numPr>
                <w:ilvl w:val="0"/>
                <w:numId w:val="46"/>
              </w:numPr>
              <w:pBdr>
                <w:top w:val="nil"/>
                <w:left w:val="nil"/>
                <w:bottom w:val="nil"/>
                <w:right w:val="nil"/>
                <w:between w:val="nil"/>
                <w:bar w:val="nil"/>
              </w:pBdr>
              <w:spacing w:before="0" w:after="0" w:line="252" w:lineRule="auto"/>
              <w:rPr>
                <w:sz w:val="20"/>
                <w:bdr w:val="nil"/>
              </w:rPr>
            </w:pPr>
            <w:r w:rsidRPr="009832FC">
              <w:rPr>
                <w:sz w:val="20"/>
                <w:bdr w:val="nil"/>
                <w:lang w:eastAsia="en-AU"/>
              </w:rPr>
              <w:t>Walk-in Centre presentations to Belconnen</w:t>
            </w:r>
            <w:r w:rsidRPr="009832FC">
              <w:rPr>
                <w:sz w:val="20"/>
                <w:bdr w:val="nil"/>
                <w:vertAlign w:val="superscript"/>
                <w:lang w:eastAsia="en-AU"/>
              </w:rPr>
              <w:t>4</w:t>
            </w:r>
          </w:p>
        </w:tc>
        <w:tc>
          <w:tcPr>
            <w:tcW w:w="906" w:type="pct"/>
            <w:gridSpan w:val="2"/>
            <w:tcBorders>
              <w:top w:val="nil"/>
              <w:left w:val="nil"/>
              <w:bottom w:val="nil"/>
              <w:right w:val="nil"/>
            </w:tcBorders>
            <w:hideMark/>
          </w:tcPr>
          <w:p w14:paraId="354A2F98"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24,000</w:t>
            </w:r>
          </w:p>
        </w:tc>
        <w:tc>
          <w:tcPr>
            <w:tcW w:w="776" w:type="pct"/>
            <w:gridSpan w:val="2"/>
            <w:tcBorders>
              <w:top w:val="nil"/>
              <w:left w:val="nil"/>
              <w:bottom w:val="nil"/>
              <w:right w:val="nil"/>
            </w:tcBorders>
            <w:hideMark/>
          </w:tcPr>
          <w:p w14:paraId="7A10BA33"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19,614</w:t>
            </w:r>
          </w:p>
        </w:tc>
        <w:tc>
          <w:tcPr>
            <w:tcW w:w="797" w:type="pct"/>
            <w:tcBorders>
              <w:top w:val="nil"/>
              <w:left w:val="nil"/>
              <w:bottom w:val="nil"/>
              <w:right w:val="nil"/>
            </w:tcBorders>
            <w:hideMark/>
          </w:tcPr>
          <w:p w14:paraId="6EC42A84"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r>
      <w:tr w:rsidR="009832FC" w:rsidRPr="009832FC" w14:paraId="769888F1" w14:textId="77777777" w:rsidTr="00EB585F">
        <w:trPr>
          <w:trHeight w:val="129"/>
        </w:trPr>
        <w:tc>
          <w:tcPr>
            <w:tcW w:w="2521" w:type="pct"/>
            <w:tcBorders>
              <w:top w:val="nil"/>
              <w:left w:val="nil"/>
              <w:bottom w:val="nil"/>
              <w:right w:val="nil"/>
            </w:tcBorders>
            <w:hideMark/>
          </w:tcPr>
          <w:p w14:paraId="6FFB2898" w14:textId="77777777" w:rsidR="009832FC" w:rsidRPr="009832FC" w:rsidRDefault="009832FC" w:rsidP="00812F22">
            <w:pPr>
              <w:numPr>
                <w:ilvl w:val="0"/>
                <w:numId w:val="46"/>
              </w:numPr>
              <w:pBdr>
                <w:top w:val="nil"/>
                <w:left w:val="nil"/>
                <w:bottom w:val="nil"/>
                <w:right w:val="nil"/>
                <w:between w:val="nil"/>
                <w:bar w:val="nil"/>
              </w:pBdr>
              <w:spacing w:before="0" w:after="0" w:line="252" w:lineRule="auto"/>
              <w:rPr>
                <w:sz w:val="20"/>
                <w:bdr w:val="nil"/>
              </w:rPr>
            </w:pPr>
            <w:r w:rsidRPr="009832FC">
              <w:rPr>
                <w:sz w:val="20"/>
                <w:bdr w:val="nil"/>
                <w:lang w:eastAsia="en-AU"/>
              </w:rPr>
              <w:t>Walk-in Centre presentations to Tuggeranong</w:t>
            </w:r>
            <w:r w:rsidRPr="009832FC">
              <w:rPr>
                <w:sz w:val="20"/>
                <w:bdr w:val="nil"/>
                <w:vertAlign w:val="superscript"/>
                <w:lang w:eastAsia="en-AU"/>
              </w:rPr>
              <w:t>5</w:t>
            </w:r>
          </w:p>
        </w:tc>
        <w:tc>
          <w:tcPr>
            <w:tcW w:w="906" w:type="pct"/>
            <w:gridSpan w:val="2"/>
            <w:tcBorders>
              <w:top w:val="nil"/>
              <w:left w:val="nil"/>
              <w:bottom w:val="nil"/>
              <w:right w:val="nil"/>
            </w:tcBorders>
            <w:hideMark/>
          </w:tcPr>
          <w:p w14:paraId="11513426"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24,000</w:t>
            </w:r>
          </w:p>
        </w:tc>
        <w:tc>
          <w:tcPr>
            <w:tcW w:w="776" w:type="pct"/>
            <w:gridSpan w:val="2"/>
            <w:tcBorders>
              <w:top w:val="nil"/>
              <w:left w:val="nil"/>
              <w:bottom w:val="nil"/>
              <w:right w:val="nil"/>
            </w:tcBorders>
            <w:hideMark/>
          </w:tcPr>
          <w:p w14:paraId="734A630E"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18,741</w:t>
            </w:r>
          </w:p>
        </w:tc>
        <w:tc>
          <w:tcPr>
            <w:tcW w:w="797" w:type="pct"/>
            <w:tcBorders>
              <w:top w:val="nil"/>
              <w:left w:val="nil"/>
              <w:bottom w:val="nil"/>
              <w:right w:val="nil"/>
            </w:tcBorders>
            <w:hideMark/>
          </w:tcPr>
          <w:p w14:paraId="07C6F458"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r>
      <w:tr w:rsidR="009832FC" w:rsidRPr="009832FC" w14:paraId="5C20ABD1" w14:textId="77777777" w:rsidTr="00EB585F">
        <w:trPr>
          <w:trHeight w:val="129"/>
        </w:trPr>
        <w:tc>
          <w:tcPr>
            <w:tcW w:w="2521" w:type="pct"/>
            <w:tcBorders>
              <w:top w:val="nil"/>
              <w:left w:val="nil"/>
              <w:bottom w:val="nil"/>
              <w:right w:val="nil"/>
            </w:tcBorders>
            <w:hideMark/>
          </w:tcPr>
          <w:p w14:paraId="54CA6F80" w14:textId="3B432220" w:rsidR="009832FC" w:rsidRPr="009832FC" w:rsidRDefault="009832FC" w:rsidP="00812F22">
            <w:pPr>
              <w:numPr>
                <w:ilvl w:val="0"/>
                <w:numId w:val="46"/>
              </w:numPr>
              <w:pBdr>
                <w:top w:val="nil"/>
                <w:left w:val="nil"/>
                <w:bottom w:val="nil"/>
                <w:right w:val="nil"/>
                <w:between w:val="nil"/>
                <w:bar w:val="nil"/>
              </w:pBdr>
              <w:spacing w:before="0" w:after="0" w:line="252" w:lineRule="auto"/>
              <w:rPr>
                <w:sz w:val="20"/>
                <w:bdr w:val="nil"/>
              </w:rPr>
            </w:pPr>
            <w:r w:rsidRPr="009832FC">
              <w:rPr>
                <w:sz w:val="20"/>
                <w:bdr w:val="nil"/>
                <w:lang w:eastAsia="en-AU"/>
              </w:rPr>
              <w:t>Median wait time to be seen, in minutes (all Walk-in Centre’s combined)</w:t>
            </w:r>
            <w:r w:rsidRPr="009832FC">
              <w:rPr>
                <w:sz w:val="20"/>
                <w:bdr w:val="nil"/>
                <w:vertAlign w:val="superscript"/>
                <w:lang w:eastAsia="en-AU"/>
              </w:rPr>
              <w:t>6</w:t>
            </w:r>
            <w:r w:rsidRPr="009832FC">
              <w:rPr>
                <w:sz w:val="20"/>
                <w:bdr w:val="nil"/>
                <w:lang w:eastAsia="en-AU"/>
              </w:rPr>
              <w:t xml:space="preserve"> </w:t>
            </w:r>
          </w:p>
        </w:tc>
        <w:tc>
          <w:tcPr>
            <w:tcW w:w="906" w:type="pct"/>
            <w:gridSpan w:val="2"/>
            <w:tcBorders>
              <w:top w:val="nil"/>
              <w:left w:val="nil"/>
              <w:bottom w:val="nil"/>
              <w:right w:val="nil"/>
            </w:tcBorders>
            <w:hideMark/>
          </w:tcPr>
          <w:p w14:paraId="75245558"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&lt;30 minutes</w:t>
            </w:r>
          </w:p>
        </w:tc>
        <w:tc>
          <w:tcPr>
            <w:tcW w:w="776" w:type="pct"/>
            <w:gridSpan w:val="2"/>
            <w:tcBorders>
              <w:top w:val="nil"/>
              <w:left w:val="nil"/>
              <w:bottom w:val="nil"/>
              <w:right w:val="nil"/>
            </w:tcBorders>
            <w:hideMark/>
          </w:tcPr>
          <w:p w14:paraId="0DEAF4A0"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11 minutes</w:t>
            </w:r>
          </w:p>
        </w:tc>
        <w:tc>
          <w:tcPr>
            <w:tcW w:w="797" w:type="pct"/>
            <w:tcBorders>
              <w:top w:val="nil"/>
              <w:left w:val="nil"/>
              <w:bottom w:val="nil"/>
              <w:right w:val="nil"/>
            </w:tcBorders>
            <w:hideMark/>
          </w:tcPr>
          <w:p w14:paraId="09B76815"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&lt;30 minutes</w:t>
            </w:r>
          </w:p>
        </w:tc>
      </w:tr>
      <w:tr w:rsidR="009832FC" w:rsidRPr="009832FC" w14:paraId="15DE2071" w14:textId="77777777" w:rsidTr="00EB585F">
        <w:trPr>
          <w:trHeight w:val="283"/>
        </w:trPr>
        <w:tc>
          <w:tcPr>
            <w:tcW w:w="5000" w:type="pct"/>
            <w:gridSpan w:val="6"/>
            <w:tcBorders>
              <w:top w:val="nil"/>
              <w:left w:val="nil"/>
              <w:bottom w:val="nil"/>
              <w:right w:val="nil"/>
            </w:tcBorders>
            <w:hideMark/>
          </w:tcPr>
          <w:p w14:paraId="6C6C67FC" w14:textId="77777777" w:rsidR="009832FC" w:rsidRPr="009832FC" w:rsidRDefault="009832FC" w:rsidP="009832FC">
            <w:pPr>
              <w:pBdr>
                <w:top w:val="nil"/>
                <w:left w:val="nil"/>
                <w:bottom w:val="nil"/>
                <w:right w:val="nil"/>
                <w:between w:val="nil"/>
                <w:bar w:val="nil"/>
              </w:pBdr>
              <w:spacing w:before="0" w:after="0" w:line="252" w:lineRule="auto"/>
              <w:ind w:left="227" w:hanging="227"/>
              <w:rPr>
                <w:b/>
                <w:sz w:val="20"/>
                <w:bdr w:val="nil"/>
              </w:rPr>
            </w:pPr>
            <w:r w:rsidRPr="009832FC">
              <w:rPr>
                <w:b/>
                <w:sz w:val="20"/>
                <w:bdr w:val="nil"/>
              </w:rPr>
              <w:t>National Weighted Activity Units</w:t>
            </w:r>
          </w:p>
        </w:tc>
      </w:tr>
      <w:tr w:rsidR="009832FC" w:rsidRPr="009832FC" w14:paraId="489651A0" w14:textId="77777777" w:rsidTr="00EB585F">
        <w:trPr>
          <w:trHeight w:val="283"/>
        </w:trPr>
        <w:tc>
          <w:tcPr>
            <w:tcW w:w="2792" w:type="pct"/>
            <w:gridSpan w:val="2"/>
            <w:tcBorders>
              <w:top w:val="nil"/>
              <w:left w:val="nil"/>
              <w:bottom w:val="single" w:sz="4" w:space="0" w:color="auto"/>
              <w:right w:val="nil"/>
            </w:tcBorders>
            <w:hideMark/>
          </w:tcPr>
          <w:p w14:paraId="058F4621" w14:textId="1980F7D3" w:rsidR="009832FC" w:rsidRPr="009832FC" w:rsidRDefault="009832FC" w:rsidP="00812F22">
            <w:pPr>
              <w:numPr>
                <w:ilvl w:val="0"/>
                <w:numId w:val="46"/>
              </w:numPr>
              <w:pBdr>
                <w:top w:val="nil"/>
                <w:left w:val="nil"/>
                <w:bottom w:val="nil"/>
                <w:right w:val="nil"/>
                <w:between w:val="nil"/>
                <w:bar w:val="nil"/>
              </w:pBdr>
              <w:spacing w:before="0" w:after="0" w:line="252" w:lineRule="auto"/>
              <w:rPr>
                <w:sz w:val="20"/>
                <w:bdr w:val="nil"/>
                <w:lang w:eastAsia="en-AU"/>
              </w:rPr>
            </w:pPr>
            <w:r w:rsidRPr="009832FC">
              <w:rPr>
                <w:sz w:val="20"/>
                <w:bdr w:val="nil"/>
                <w:lang w:eastAsia="en-AU"/>
              </w:rPr>
              <w:t>Sub-Acute services {NWAU 21}</w:t>
            </w:r>
            <w:r w:rsidRPr="009832FC">
              <w:rPr>
                <w:sz w:val="20"/>
                <w:bdr w:val="nil"/>
                <w:vertAlign w:val="superscript"/>
                <w:lang w:eastAsia="en-AU"/>
              </w:rPr>
              <w:t>7</w:t>
            </w:r>
          </w:p>
        </w:tc>
        <w:tc>
          <w:tcPr>
            <w:tcW w:w="701" w:type="pct"/>
            <w:gridSpan w:val="2"/>
            <w:tcBorders>
              <w:top w:val="nil"/>
              <w:left w:val="nil"/>
              <w:bottom w:val="single" w:sz="4" w:space="0" w:color="auto"/>
              <w:right w:val="nil"/>
            </w:tcBorders>
            <w:vAlign w:val="bottom"/>
            <w:hideMark/>
          </w:tcPr>
          <w:p w14:paraId="64820081"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10" w:type="pct"/>
            <w:tcBorders>
              <w:top w:val="nil"/>
              <w:left w:val="nil"/>
              <w:bottom w:val="single" w:sz="4" w:space="0" w:color="auto"/>
              <w:right w:val="nil"/>
            </w:tcBorders>
            <w:vAlign w:val="bottom"/>
            <w:hideMark/>
          </w:tcPr>
          <w:p w14:paraId="6A5A4E9F"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N/A</w:t>
            </w:r>
          </w:p>
        </w:tc>
        <w:tc>
          <w:tcPr>
            <w:tcW w:w="797" w:type="pct"/>
            <w:tcBorders>
              <w:top w:val="nil"/>
              <w:left w:val="nil"/>
              <w:bottom w:val="single" w:sz="4" w:space="0" w:color="auto"/>
              <w:right w:val="nil"/>
            </w:tcBorders>
            <w:vAlign w:val="bottom"/>
            <w:hideMark/>
          </w:tcPr>
          <w:p w14:paraId="258709F9" w14:textId="77777777" w:rsidR="009832FC" w:rsidRPr="009832FC" w:rsidRDefault="009832FC" w:rsidP="009832FC">
            <w:pPr>
              <w:pBdr>
                <w:top w:val="nil"/>
                <w:left w:val="nil"/>
                <w:bottom w:val="nil"/>
                <w:right w:val="nil"/>
                <w:between w:val="nil"/>
                <w:bar w:val="nil"/>
              </w:pBdr>
              <w:spacing w:before="0" w:after="0" w:line="252" w:lineRule="auto"/>
              <w:ind w:left="227" w:hanging="227"/>
              <w:jc w:val="right"/>
              <w:rPr>
                <w:sz w:val="20"/>
                <w:bdr w:val="nil"/>
              </w:rPr>
            </w:pPr>
            <w:r w:rsidRPr="009832FC">
              <w:rPr>
                <w:sz w:val="20"/>
                <w:bdr w:val="nil"/>
              </w:rPr>
              <w:t>8,700</w:t>
            </w:r>
          </w:p>
        </w:tc>
      </w:tr>
    </w:tbl>
    <w:p w14:paraId="49C63B7E" w14:textId="77777777" w:rsidR="009832FC" w:rsidRPr="009832FC" w:rsidRDefault="009832FC" w:rsidP="00527903">
      <w:pPr>
        <w:keepNext/>
        <w:keepLines/>
        <w:pBdr>
          <w:top w:val="nil"/>
          <w:left w:val="nil"/>
          <w:bottom w:val="nil"/>
          <w:right w:val="nil"/>
          <w:between w:val="nil"/>
          <w:bar w:val="nil"/>
        </w:pBdr>
        <w:spacing w:before="120" w:after="0"/>
        <w:rPr>
          <w:rFonts w:cs="Calibri"/>
          <w:b/>
          <w:sz w:val="18"/>
          <w:szCs w:val="16"/>
          <w:bdr w:val="nil"/>
        </w:rPr>
      </w:pPr>
      <w:r w:rsidRPr="009832FC">
        <w:rPr>
          <w:rFonts w:cs="Calibri"/>
          <w:b/>
          <w:sz w:val="18"/>
          <w:szCs w:val="16"/>
          <w:bdr w:val="nil"/>
          <w:lang w:eastAsia="en-AU"/>
        </w:rPr>
        <w:t>Note(s):</w:t>
      </w:r>
    </w:p>
    <w:p w14:paraId="54E53ED8" w14:textId="77777777" w:rsidR="009832FC" w:rsidRPr="009832FC" w:rsidRDefault="009832FC" w:rsidP="00812F22">
      <w:pPr>
        <w:keepLines/>
        <w:widowControl w:val="0"/>
        <w:numPr>
          <w:ilvl w:val="0"/>
          <w:numId w:val="47"/>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Client mean waiting time is defined as the mean waiting period between when a client is placed on the adult dental central waiting list and the receipt of treatment.</w:t>
      </w:r>
    </w:p>
    <w:p w14:paraId="79A8B7C9" w14:textId="77777777" w:rsidR="009832FC" w:rsidRPr="009832FC" w:rsidRDefault="009832FC" w:rsidP="00812F22">
      <w:pPr>
        <w:keepLines/>
        <w:widowControl w:val="0"/>
        <w:numPr>
          <w:ilvl w:val="0"/>
          <w:numId w:val="47"/>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Sub-acute bed days of care at University of Canberra Hospital in the period. As a result of a review of all performance indicators against the ACT Government’s Performance and Accountability Framework, this indicator has been discontinued for 2021-22.</w:t>
      </w:r>
    </w:p>
    <w:p w14:paraId="589F999F" w14:textId="77777777" w:rsidR="009832FC" w:rsidRPr="009832FC" w:rsidRDefault="009832FC" w:rsidP="00812F22">
      <w:pPr>
        <w:keepLines/>
        <w:widowControl w:val="0"/>
        <w:numPr>
          <w:ilvl w:val="0"/>
          <w:numId w:val="47"/>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Total patient presentations in the period to the Gungahlin Walk-in Centre. As a result of a review of all performance indicators against the ACT Government’s Performance and Accountability Framework, this indicator has been discontinued for 2021-22.</w:t>
      </w:r>
    </w:p>
    <w:p w14:paraId="7DD54F7C" w14:textId="77777777" w:rsidR="009832FC" w:rsidRPr="009832FC" w:rsidRDefault="009832FC" w:rsidP="00812F22">
      <w:pPr>
        <w:keepLines/>
        <w:widowControl w:val="0"/>
        <w:numPr>
          <w:ilvl w:val="0"/>
          <w:numId w:val="47"/>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Total patient presentations in the period to the Belconnen Walk-in Centre. As a result of a review of all performance indicators against the ACT Government’s Performance and Accountability Framework, this indicator has been discontinued for 2021-22.</w:t>
      </w:r>
    </w:p>
    <w:p w14:paraId="7B57495F" w14:textId="77777777" w:rsidR="009832FC" w:rsidRPr="009832FC" w:rsidRDefault="009832FC" w:rsidP="00812F22">
      <w:pPr>
        <w:keepLines/>
        <w:widowControl w:val="0"/>
        <w:numPr>
          <w:ilvl w:val="0"/>
          <w:numId w:val="47"/>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Total patient presentations in the period to the Tuggeranong Walk-in Centre. As a result of a review of all performance indicators against the ACT Government’s Performance and Accountability Framework, this indicator has been discontinued for 2021-22.</w:t>
      </w:r>
    </w:p>
    <w:p w14:paraId="5EA6AF21" w14:textId="77777777" w:rsidR="009832FC" w:rsidRPr="009832FC" w:rsidRDefault="009832FC" w:rsidP="00812F22">
      <w:pPr>
        <w:keepLines/>
        <w:widowControl w:val="0"/>
        <w:numPr>
          <w:ilvl w:val="0"/>
          <w:numId w:val="47"/>
        </w:numPr>
        <w:pBdr>
          <w:top w:val="nil"/>
          <w:left w:val="nil"/>
          <w:bottom w:val="nil"/>
          <w:right w:val="nil"/>
          <w:between w:val="nil"/>
          <w:bar w:val="nil"/>
        </w:pBdr>
        <w:spacing w:before="0" w:after="0"/>
        <w:jc w:val="both"/>
        <w:rPr>
          <w:color w:val="181818"/>
          <w:sz w:val="18"/>
          <w:szCs w:val="18"/>
          <w:bdr w:val="nil"/>
        </w:rPr>
      </w:pPr>
      <w:r w:rsidRPr="009832FC">
        <w:rPr>
          <w:color w:val="181818"/>
          <w:sz w:val="18"/>
          <w:szCs w:val="18"/>
          <w:bdr w:val="nil"/>
        </w:rPr>
        <w:t>Median wait time to be seen for clients at all Walk-in Centres.</w:t>
      </w:r>
    </w:p>
    <w:p w14:paraId="3B997B4D" w14:textId="77777777" w:rsidR="009832FC" w:rsidRPr="009832FC" w:rsidRDefault="009832FC" w:rsidP="00812F22">
      <w:pPr>
        <w:keepLines/>
        <w:widowControl w:val="0"/>
        <w:numPr>
          <w:ilvl w:val="0"/>
          <w:numId w:val="47"/>
        </w:numPr>
        <w:pBdr>
          <w:top w:val="nil"/>
          <w:left w:val="nil"/>
          <w:bottom w:val="nil"/>
          <w:right w:val="nil"/>
          <w:between w:val="nil"/>
          <w:bar w:val="nil"/>
        </w:pBdr>
        <w:spacing w:before="0" w:after="0"/>
        <w:jc w:val="both"/>
        <w:rPr>
          <w:color w:val="181818"/>
          <w:sz w:val="18"/>
          <w:szCs w:val="18"/>
          <w:bdr w:val="nil"/>
        </w:rPr>
      </w:pPr>
      <w:r w:rsidRPr="009832FC">
        <w:rPr>
          <w:sz w:val="18"/>
          <w:szCs w:val="24"/>
          <w:bdr w:val="nil"/>
        </w:rPr>
        <w:t>Number of national weighted activity units for sub-acute services undertaken by Canberra Health Services.  This indicator has not been previously reported at Canberra Health Services level.</w:t>
      </w:r>
    </w:p>
    <w:p w14:paraId="0A1C0B8C" w14:textId="77777777" w:rsidR="009832FC" w:rsidRPr="009832FC" w:rsidRDefault="009832FC" w:rsidP="009832FC">
      <w:pPr>
        <w:keepNext/>
        <w:pageBreakBefore/>
        <w:pBdr>
          <w:top w:val="nil"/>
          <w:left w:val="nil"/>
          <w:bottom w:val="nil"/>
          <w:right w:val="nil"/>
          <w:between w:val="nil"/>
          <w:bar w:val="nil"/>
        </w:pBdr>
        <w:spacing w:before="360"/>
        <w:outlineLvl w:val="1"/>
        <w:rPr>
          <w:b/>
          <w:snapToGrid w:val="0"/>
          <w:sz w:val="32"/>
          <w:bdr w:val="nil"/>
        </w:rPr>
      </w:pPr>
      <w:bookmarkStart w:id="74" w:name="_Toc83910753"/>
      <w:r w:rsidRPr="009832FC">
        <w:rPr>
          <w:b/>
          <w:snapToGrid w:val="0"/>
          <w:sz w:val="32"/>
          <w:bdr w:val="nil"/>
        </w:rPr>
        <w:lastRenderedPageBreak/>
        <w:t>Changes to Appropriation</w:t>
      </w:r>
      <w:bookmarkEnd w:id="74"/>
    </w:p>
    <w:p w14:paraId="70F3B3C7" w14:textId="77777777" w:rsidR="009832FC" w:rsidRPr="009832FC" w:rsidRDefault="009832FC" w:rsidP="009832FC">
      <w:pPr>
        <w:keepNext/>
        <w:pBdr>
          <w:top w:val="nil"/>
          <w:left w:val="nil"/>
          <w:bottom w:val="nil"/>
          <w:right w:val="nil"/>
          <w:between w:val="nil"/>
          <w:bar w:val="nil"/>
        </w:pBdr>
        <w:spacing w:before="240"/>
        <w:rPr>
          <w:b/>
          <w:bCs/>
          <w:color w:val="000000"/>
          <w:sz w:val="22"/>
          <w:szCs w:val="18"/>
          <w:bdr w:val="nil"/>
        </w:rPr>
      </w:pPr>
      <w:r w:rsidRPr="009832FC">
        <w:rPr>
          <w:b/>
          <w:bCs/>
          <w:color w:val="000000"/>
          <w:sz w:val="22"/>
          <w:szCs w:val="18"/>
          <w:bdr w:val="nil"/>
        </w:rPr>
        <w:t>Table 22: Changes to appropriation – Capital Injections, Controlled</w:t>
      </w:r>
    </w:p>
    <w:tbl>
      <w:tblPr>
        <w:tblStyle w:val="CDMRange1"/>
        <w:tblW w:w="9345" w:type="dxa"/>
        <w:tblLayout w:type="fixed"/>
        <w:tblLook w:val="0600" w:firstRow="0" w:lastRow="0" w:firstColumn="0" w:lastColumn="0" w:noHBand="1" w:noVBand="1"/>
      </w:tblPr>
      <w:tblGrid>
        <w:gridCol w:w="4170"/>
        <w:gridCol w:w="1035"/>
        <w:gridCol w:w="1035"/>
        <w:gridCol w:w="1035"/>
        <w:gridCol w:w="1035"/>
        <w:gridCol w:w="1035"/>
      </w:tblGrid>
      <w:tr w:rsidR="009832FC" w:rsidRPr="009832FC" w14:paraId="60173D09" w14:textId="77777777" w:rsidTr="00EB585F">
        <w:trPr>
          <w:trHeight w:val="984"/>
        </w:trPr>
        <w:tc>
          <w:tcPr>
            <w:tcW w:w="417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044C2C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8F1B5F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2020-21 Interim Outcome</w:t>
            </w:r>
          </w:p>
          <w:p w14:paraId="6BDFBFB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1CAC5C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2021-22 Budget</w:t>
            </w:r>
          </w:p>
          <w:p w14:paraId="5B12CF64" w14:textId="77777777" w:rsidR="009832FC" w:rsidRPr="009832FC" w:rsidRDefault="009832FC" w:rsidP="009832FC">
            <w:pPr>
              <w:spacing w:before="0" w:after="0"/>
              <w:jc w:val="right"/>
              <w:rPr>
                <w:rFonts w:eastAsia="Calibri" w:cs="Calibri"/>
                <w:b/>
                <w:color w:val="000000"/>
                <w:sz w:val="18"/>
                <w:szCs w:val="24"/>
                <w:lang w:eastAsia="en-AU"/>
              </w:rPr>
            </w:pPr>
          </w:p>
          <w:p w14:paraId="7BAB169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D8E282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2022-23 Estimate</w:t>
            </w:r>
          </w:p>
          <w:p w14:paraId="01A7015E" w14:textId="77777777" w:rsidR="009832FC" w:rsidRPr="009832FC" w:rsidRDefault="009832FC" w:rsidP="009832FC">
            <w:pPr>
              <w:spacing w:before="0" w:after="0"/>
              <w:jc w:val="right"/>
              <w:rPr>
                <w:rFonts w:eastAsia="Calibri" w:cs="Calibri"/>
                <w:b/>
                <w:color w:val="000000"/>
                <w:sz w:val="18"/>
                <w:szCs w:val="24"/>
                <w:lang w:eastAsia="en-AU"/>
              </w:rPr>
            </w:pPr>
          </w:p>
          <w:p w14:paraId="7EEC123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184BCF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2023-24 Estimate</w:t>
            </w:r>
          </w:p>
          <w:p w14:paraId="1C5289C8" w14:textId="77777777" w:rsidR="009832FC" w:rsidRPr="009832FC" w:rsidRDefault="009832FC" w:rsidP="009832FC">
            <w:pPr>
              <w:spacing w:before="0" w:after="0"/>
              <w:jc w:val="right"/>
              <w:rPr>
                <w:rFonts w:eastAsia="Calibri" w:cs="Calibri"/>
                <w:b/>
                <w:color w:val="000000"/>
                <w:sz w:val="18"/>
                <w:szCs w:val="24"/>
                <w:lang w:eastAsia="en-AU"/>
              </w:rPr>
            </w:pPr>
          </w:p>
          <w:p w14:paraId="257C71A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221161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2024-25 Estimate</w:t>
            </w:r>
          </w:p>
          <w:p w14:paraId="3A5A5FCE" w14:textId="77777777" w:rsidR="009832FC" w:rsidRPr="009832FC" w:rsidRDefault="009832FC" w:rsidP="009832FC">
            <w:pPr>
              <w:spacing w:before="0" w:after="0"/>
              <w:jc w:val="right"/>
              <w:rPr>
                <w:rFonts w:eastAsia="Calibri" w:cs="Calibri"/>
                <w:b/>
                <w:color w:val="000000"/>
                <w:sz w:val="18"/>
                <w:szCs w:val="24"/>
                <w:lang w:eastAsia="en-AU"/>
              </w:rPr>
            </w:pPr>
          </w:p>
          <w:p w14:paraId="381A32A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r>
      <w:tr w:rsidR="009832FC" w:rsidRPr="009832FC" w14:paraId="1F7D8C7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17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68D7DD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D20F5A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47CADA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E1EE36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206599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8A866D3"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0DA3219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170" w:type="dxa"/>
            <w:tcBorders>
              <w:top w:val="nil"/>
              <w:left w:val="nil"/>
              <w:bottom w:val="nil"/>
              <w:right w:val="nil"/>
              <w:tl2br w:val="nil"/>
              <w:tr2bl w:val="nil"/>
            </w:tcBorders>
            <w:shd w:val="clear" w:color="auto" w:fill="auto"/>
            <w:noWrap/>
            <w:tcMar>
              <w:left w:w="101" w:type="dxa"/>
              <w:right w:w="101" w:type="dxa"/>
            </w:tcMar>
            <w:vAlign w:val="bottom"/>
          </w:tcPr>
          <w:p w14:paraId="2E83571A"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2020-21 Budget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7FB1430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83 731</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4E665C4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62 481</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47EF1B1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34 859</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3AEEE82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4 434</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7A4D96E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4 434</w:t>
            </w:r>
          </w:p>
        </w:tc>
      </w:tr>
      <w:tr w:rsidR="009832FC" w:rsidRPr="009832FC" w14:paraId="3F43AC8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170" w:type="dxa"/>
            <w:tcBorders>
              <w:top w:val="nil"/>
              <w:left w:val="nil"/>
              <w:bottom w:val="nil"/>
              <w:right w:val="nil"/>
              <w:tl2br w:val="nil"/>
              <w:tr2bl w:val="nil"/>
            </w:tcBorders>
            <w:shd w:val="clear" w:color="auto" w:fill="auto"/>
            <w:noWrap/>
            <w:tcMar>
              <w:left w:w="0" w:type="dxa"/>
              <w:right w:w="0" w:type="dxa"/>
            </w:tcMar>
            <w:vAlign w:val="bottom"/>
          </w:tcPr>
          <w:p w14:paraId="464C797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EDDB63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AA4DF0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20C270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741B5B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EE62C70"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F5B281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170" w:type="dxa"/>
            <w:tcBorders>
              <w:top w:val="nil"/>
              <w:left w:val="nil"/>
              <w:bottom w:val="nil"/>
              <w:right w:val="nil"/>
              <w:tl2br w:val="nil"/>
              <w:tr2bl w:val="nil"/>
            </w:tcBorders>
            <w:shd w:val="clear" w:color="auto" w:fill="auto"/>
            <w:noWrap/>
            <w:tcMar>
              <w:left w:w="101" w:type="dxa"/>
              <w:right w:w="101" w:type="dxa"/>
            </w:tcMar>
            <w:vAlign w:val="bottom"/>
          </w:tcPr>
          <w:p w14:paraId="223EFA88"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FMA Section 16B Rollovers from 2019-20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51E096C" w14:textId="77777777" w:rsidR="009832FC" w:rsidRPr="009832FC" w:rsidRDefault="009832FC" w:rsidP="009832FC">
            <w:pPr>
              <w:spacing w:before="0" w:after="0"/>
              <w:rPr>
                <w:rFonts w:eastAsia="Calibri" w:cs="Calibri"/>
                <w:color w:val="FFFFFF"/>
                <w:sz w:val="18"/>
                <w:szCs w:val="24"/>
                <w:lang w:eastAsia="en-AU"/>
              </w:rPr>
            </w:pPr>
            <w:r w:rsidRPr="009832FC">
              <w:rPr>
                <w:rFonts w:eastAsia="Calibri" w:cs="Calibri"/>
                <w:color w:val="FFFFFF"/>
                <w:sz w:val="18"/>
                <w:szCs w:val="24"/>
                <w:lang w:eastAsia="en-AU"/>
              </w:rPr>
              <w:t>#REF!</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C5C6227" w14:textId="77777777" w:rsidR="009832FC" w:rsidRPr="009832FC" w:rsidRDefault="009832FC" w:rsidP="009832FC">
            <w:pPr>
              <w:spacing w:before="0" w:after="0"/>
              <w:rPr>
                <w:rFonts w:eastAsia="Calibri" w:cs="Calibri"/>
                <w:color w:val="FFFFFF"/>
                <w:sz w:val="18"/>
                <w:szCs w:val="24"/>
                <w:lang w:eastAsia="en-AU"/>
              </w:rPr>
            </w:pPr>
            <w:r w:rsidRPr="009832FC">
              <w:rPr>
                <w:rFonts w:eastAsia="Calibri" w:cs="Calibri"/>
                <w:color w:val="FFFFFF"/>
                <w:sz w:val="18"/>
                <w:szCs w:val="24"/>
                <w:lang w:eastAsia="en-AU"/>
              </w:rPr>
              <w:t>#REF!</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F2E5DEB" w14:textId="77777777" w:rsidR="009832FC" w:rsidRPr="009832FC" w:rsidRDefault="009832FC" w:rsidP="009832FC">
            <w:pPr>
              <w:spacing w:before="0" w:after="0"/>
              <w:rPr>
                <w:rFonts w:eastAsia="Calibri" w:cs="Calibri"/>
                <w:color w:val="FFFFFF"/>
                <w:sz w:val="18"/>
                <w:szCs w:val="24"/>
                <w:lang w:eastAsia="en-AU"/>
              </w:rPr>
            </w:pPr>
            <w:r w:rsidRPr="009832FC">
              <w:rPr>
                <w:rFonts w:eastAsia="Calibri" w:cs="Calibri"/>
                <w:color w:val="FFFFFF"/>
                <w:sz w:val="18"/>
                <w:szCs w:val="24"/>
                <w:lang w:eastAsia="en-AU"/>
              </w:rPr>
              <w:t>#REF!</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0D5BB7E" w14:textId="77777777" w:rsidR="009832FC" w:rsidRPr="009832FC" w:rsidRDefault="009832FC" w:rsidP="009832FC">
            <w:pPr>
              <w:spacing w:before="0" w:after="0"/>
              <w:rPr>
                <w:rFonts w:eastAsia="Calibri" w:cs="Calibri"/>
                <w:color w:val="FFFFFF"/>
                <w:sz w:val="18"/>
                <w:szCs w:val="24"/>
                <w:lang w:eastAsia="en-AU"/>
              </w:rPr>
            </w:pPr>
            <w:r w:rsidRPr="009832FC">
              <w:rPr>
                <w:rFonts w:eastAsia="Calibri" w:cs="Calibri"/>
                <w:color w:val="FFFFFF"/>
                <w:sz w:val="18"/>
                <w:szCs w:val="24"/>
                <w:lang w:eastAsia="en-AU"/>
              </w:rPr>
              <w:t>#REF!</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2869051" w14:textId="77777777" w:rsidR="009832FC" w:rsidRPr="009832FC" w:rsidRDefault="009832FC" w:rsidP="009832FC">
            <w:pPr>
              <w:spacing w:before="0" w:after="0"/>
              <w:rPr>
                <w:rFonts w:eastAsia="Calibri" w:cs="Calibri"/>
                <w:color w:val="FFFFFF"/>
                <w:sz w:val="18"/>
                <w:szCs w:val="24"/>
                <w:lang w:eastAsia="en-AU"/>
              </w:rPr>
            </w:pPr>
            <w:r w:rsidRPr="009832FC">
              <w:rPr>
                <w:rFonts w:eastAsia="Calibri" w:cs="Calibri"/>
                <w:color w:val="FFFFFF"/>
                <w:sz w:val="18"/>
                <w:szCs w:val="24"/>
                <w:lang w:eastAsia="en-AU"/>
              </w:rPr>
              <w:t>#REF!</w:t>
            </w:r>
          </w:p>
        </w:tc>
      </w:tr>
      <w:tr w:rsidR="009832FC" w:rsidRPr="009832FC" w14:paraId="34FAF9C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170" w:type="dxa"/>
            <w:tcBorders>
              <w:top w:val="nil"/>
              <w:left w:val="nil"/>
              <w:bottom w:val="nil"/>
              <w:right w:val="nil"/>
              <w:tl2br w:val="nil"/>
              <w:tr2bl w:val="nil"/>
            </w:tcBorders>
            <w:shd w:val="clear" w:color="auto" w:fill="auto"/>
            <w:tcMar>
              <w:left w:w="101" w:type="dxa"/>
              <w:right w:w="101" w:type="dxa"/>
            </w:tcMar>
          </w:tcPr>
          <w:p w14:paraId="071E4707"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Commonwealth Grant - Health Innovation Fund</w:t>
            </w:r>
          </w:p>
        </w:tc>
        <w:tc>
          <w:tcPr>
            <w:tcW w:w="1035" w:type="dxa"/>
            <w:tcBorders>
              <w:top w:val="nil"/>
              <w:left w:val="nil"/>
              <w:bottom w:val="nil"/>
              <w:right w:val="nil"/>
              <w:tl2br w:val="nil"/>
              <w:tr2bl w:val="nil"/>
            </w:tcBorders>
            <w:shd w:val="clear" w:color="auto" w:fill="auto"/>
            <w:noWrap/>
            <w:tcMar>
              <w:left w:w="101" w:type="dxa"/>
              <w:right w:w="101" w:type="dxa"/>
            </w:tcMar>
          </w:tcPr>
          <w:p w14:paraId="2F977DA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(4 922)</w:t>
            </w:r>
          </w:p>
        </w:tc>
        <w:tc>
          <w:tcPr>
            <w:tcW w:w="1035" w:type="dxa"/>
            <w:tcBorders>
              <w:top w:val="nil"/>
              <w:left w:val="nil"/>
              <w:bottom w:val="nil"/>
              <w:right w:val="nil"/>
              <w:tl2br w:val="nil"/>
              <w:tr2bl w:val="nil"/>
            </w:tcBorders>
            <w:shd w:val="clear" w:color="auto" w:fill="auto"/>
            <w:noWrap/>
            <w:tcMar>
              <w:left w:w="101" w:type="dxa"/>
              <w:right w:w="161" w:type="dxa"/>
            </w:tcMar>
          </w:tcPr>
          <w:p w14:paraId="61BBF79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4 922</w:t>
            </w:r>
          </w:p>
        </w:tc>
        <w:tc>
          <w:tcPr>
            <w:tcW w:w="1035" w:type="dxa"/>
            <w:tcBorders>
              <w:top w:val="nil"/>
              <w:left w:val="nil"/>
              <w:bottom w:val="nil"/>
              <w:right w:val="nil"/>
              <w:tl2br w:val="nil"/>
              <w:tr2bl w:val="nil"/>
            </w:tcBorders>
            <w:shd w:val="clear" w:color="auto" w:fill="auto"/>
            <w:noWrap/>
            <w:tcMar>
              <w:left w:w="101" w:type="dxa"/>
              <w:right w:w="161" w:type="dxa"/>
            </w:tcMar>
          </w:tcPr>
          <w:p w14:paraId="03158F5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D27EE8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FF7155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0C4F4E7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170" w:type="dxa"/>
            <w:tcBorders>
              <w:top w:val="nil"/>
              <w:left w:val="nil"/>
              <w:bottom w:val="nil"/>
              <w:right w:val="nil"/>
              <w:tl2br w:val="nil"/>
              <w:tr2bl w:val="nil"/>
            </w:tcBorders>
            <w:shd w:val="clear" w:color="auto" w:fill="auto"/>
            <w:tcMar>
              <w:left w:w="101" w:type="dxa"/>
              <w:right w:w="101" w:type="dxa"/>
            </w:tcMar>
          </w:tcPr>
          <w:p w14:paraId="1B4D5090"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Commonwealth Grant - Community, Health and Hospital Program - Australian Capital Territory Initiatives</w:t>
            </w:r>
          </w:p>
        </w:tc>
        <w:tc>
          <w:tcPr>
            <w:tcW w:w="1035" w:type="dxa"/>
            <w:tcBorders>
              <w:top w:val="nil"/>
              <w:left w:val="nil"/>
              <w:bottom w:val="nil"/>
              <w:right w:val="nil"/>
              <w:tl2br w:val="nil"/>
              <w:tr2bl w:val="nil"/>
            </w:tcBorders>
            <w:shd w:val="clear" w:color="auto" w:fill="auto"/>
            <w:noWrap/>
            <w:tcMar>
              <w:left w:w="101" w:type="dxa"/>
              <w:right w:w="101" w:type="dxa"/>
            </w:tcMar>
          </w:tcPr>
          <w:p w14:paraId="0018752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(4 768)</w:t>
            </w:r>
          </w:p>
        </w:tc>
        <w:tc>
          <w:tcPr>
            <w:tcW w:w="1035" w:type="dxa"/>
            <w:tcBorders>
              <w:top w:val="nil"/>
              <w:left w:val="nil"/>
              <w:bottom w:val="nil"/>
              <w:right w:val="nil"/>
              <w:tl2br w:val="nil"/>
              <w:tr2bl w:val="nil"/>
            </w:tcBorders>
            <w:shd w:val="clear" w:color="auto" w:fill="auto"/>
            <w:noWrap/>
            <w:tcMar>
              <w:left w:w="101" w:type="dxa"/>
              <w:right w:w="161" w:type="dxa"/>
            </w:tcMar>
          </w:tcPr>
          <w:p w14:paraId="45537F5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4 768</w:t>
            </w:r>
          </w:p>
        </w:tc>
        <w:tc>
          <w:tcPr>
            <w:tcW w:w="1035" w:type="dxa"/>
            <w:tcBorders>
              <w:top w:val="nil"/>
              <w:left w:val="nil"/>
              <w:bottom w:val="nil"/>
              <w:right w:val="nil"/>
              <w:tl2br w:val="nil"/>
              <w:tr2bl w:val="nil"/>
            </w:tcBorders>
            <w:shd w:val="clear" w:color="auto" w:fill="auto"/>
            <w:noWrap/>
            <w:tcMar>
              <w:left w:w="101" w:type="dxa"/>
              <w:right w:w="161" w:type="dxa"/>
            </w:tcMar>
          </w:tcPr>
          <w:p w14:paraId="2F49C19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B959FA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61B31B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65B3059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70" w:type="dxa"/>
            <w:tcBorders>
              <w:top w:val="nil"/>
              <w:left w:val="nil"/>
              <w:bottom w:val="nil"/>
              <w:right w:val="nil"/>
              <w:tl2br w:val="nil"/>
              <w:tr2bl w:val="nil"/>
            </w:tcBorders>
            <w:shd w:val="clear" w:color="auto" w:fill="auto"/>
            <w:tcMar>
              <w:left w:w="0" w:type="dxa"/>
              <w:right w:w="0" w:type="dxa"/>
            </w:tcMar>
            <w:vAlign w:val="bottom"/>
          </w:tcPr>
          <w:p w14:paraId="5980FC6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4609DF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999DC2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EA0D8C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BA9451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7CCC51E"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E05F46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70" w:type="dxa"/>
            <w:tcBorders>
              <w:top w:val="nil"/>
              <w:left w:val="nil"/>
              <w:bottom w:val="nil"/>
              <w:right w:val="nil"/>
              <w:tl2br w:val="nil"/>
              <w:tr2bl w:val="nil"/>
            </w:tcBorders>
            <w:shd w:val="clear" w:color="auto" w:fill="auto"/>
            <w:tcMar>
              <w:left w:w="101" w:type="dxa"/>
              <w:right w:w="101" w:type="dxa"/>
            </w:tcMar>
            <w:vAlign w:val="bottom"/>
          </w:tcPr>
          <w:p w14:paraId="1FEB193A"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9337A99" w14:textId="77777777" w:rsidR="009832FC" w:rsidRPr="009832FC" w:rsidRDefault="009832FC" w:rsidP="009832FC">
            <w:pPr>
              <w:spacing w:before="0" w:after="0"/>
              <w:rPr>
                <w:rFonts w:eastAsia="Calibri" w:cs="Calibr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6F2FFB8" w14:textId="77777777" w:rsidR="009832FC" w:rsidRPr="009832FC" w:rsidRDefault="009832FC" w:rsidP="009832FC">
            <w:pPr>
              <w:spacing w:before="0" w:after="0"/>
              <w:rPr>
                <w:rFonts w:eastAsia="Calibri" w:cs="Calibr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3492245" w14:textId="77777777" w:rsidR="009832FC" w:rsidRPr="009832FC" w:rsidRDefault="009832FC" w:rsidP="009832FC">
            <w:pPr>
              <w:spacing w:before="0" w:after="0"/>
              <w:rPr>
                <w:rFonts w:eastAsia="Calibri" w:cs="Calibr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7B45E2C" w14:textId="77777777" w:rsidR="009832FC" w:rsidRPr="009832FC" w:rsidRDefault="009832FC" w:rsidP="009832FC">
            <w:pPr>
              <w:spacing w:before="0" w:after="0"/>
              <w:rPr>
                <w:rFonts w:eastAsia="Calibri" w:cs="Calibr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D8DA529" w14:textId="77777777" w:rsidR="009832FC" w:rsidRPr="009832FC" w:rsidRDefault="009832FC" w:rsidP="009832FC">
            <w:pPr>
              <w:spacing w:before="0" w:after="0"/>
              <w:rPr>
                <w:rFonts w:eastAsia="Calibri" w:cs="Calibri"/>
                <w:color w:val="FFFFFF"/>
                <w:sz w:val="18"/>
                <w:szCs w:val="24"/>
                <w:lang w:eastAsia="en-AU"/>
              </w:rPr>
            </w:pPr>
          </w:p>
        </w:tc>
      </w:tr>
      <w:tr w:rsidR="009832FC" w:rsidRPr="009832FC" w14:paraId="4D33BD0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70" w:type="dxa"/>
            <w:tcBorders>
              <w:top w:val="nil"/>
              <w:left w:val="nil"/>
              <w:bottom w:val="nil"/>
              <w:right w:val="nil"/>
              <w:tl2br w:val="nil"/>
              <w:tr2bl w:val="nil"/>
            </w:tcBorders>
            <w:shd w:val="clear" w:color="auto" w:fill="auto"/>
            <w:tcMar>
              <w:left w:w="101" w:type="dxa"/>
              <w:right w:w="101" w:type="dxa"/>
            </w:tcMar>
          </w:tcPr>
          <w:p w14:paraId="657D08F3"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Fast Track Phase 3 - Upgrades to non-acute sites</w:t>
            </w:r>
          </w:p>
        </w:tc>
        <w:tc>
          <w:tcPr>
            <w:tcW w:w="1035" w:type="dxa"/>
            <w:tcBorders>
              <w:top w:val="nil"/>
              <w:left w:val="nil"/>
              <w:bottom w:val="nil"/>
              <w:right w:val="nil"/>
              <w:tl2br w:val="nil"/>
              <w:tr2bl w:val="nil"/>
            </w:tcBorders>
            <w:shd w:val="clear" w:color="auto" w:fill="auto"/>
            <w:noWrap/>
            <w:tcMar>
              <w:left w:w="101" w:type="dxa"/>
              <w:right w:w="161" w:type="dxa"/>
            </w:tcMar>
          </w:tcPr>
          <w:p w14:paraId="08CD38B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40536D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405</w:t>
            </w:r>
          </w:p>
        </w:tc>
        <w:tc>
          <w:tcPr>
            <w:tcW w:w="1035" w:type="dxa"/>
            <w:tcBorders>
              <w:top w:val="nil"/>
              <w:left w:val="nil"/>
              <w:bottom w:val="nil"/>
              <w:right w:val="nil"/>
              <w:tl2br w:val="nil"/>
              <w:tr2bl w:val="nil"/>
            </w:tcBorders>
            <w:shd w:val="clear" w:color="auto" w:fill="auto"/>
            <w:noWrap/>
            <w:tcMar>
              <w:left w:w="101" w:type="dxa"/>
              <w:right w:w="161" w:type="dxa"/>
            </w:tcMar>
          </w:tcPr>
          <w:p w14:paraId="1715D41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B752A4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8E2BB2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5F959B0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70" w:type="dxa"/>
            <w:tcBorders>
              <w:top w:val="nil"/>
              <w:left w:val="nil"/>
              <w:bottom w:val="nil"/>
              <w:right w:val="nil"/>
              <w:tl2br w:val="nil"/>
              <w:tr2bl w:val="nil"/>
            </w:tcBorders>
            <w:shd w:val="clear" w:color="auto" w:fill="auto"/>
            <w:tcMar>
              <w:left w:w="101" w:type="dxa"/>
              <w:right w:w="101" w:type="dxa"/>
            </w:tcMar>
          </w:tcPr>
          <w:p w14:paraId="54E8D120"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Improving Canberra’s health infrastructure – Calvary critical infrastructure</w:t>
            </w:r>
          </w:p>
        </w:tc>
        <w:tc>
          <w:tcPr>
            <w:tcW w:w="1035" w:type="dxa"/>
            <w:tcBorders>
              <w:top w:val="nil"/>
              <w:left w:val="nil"/>
              <w:bottom w:val="nil"/>
              <w:right w:val="nil"/>
              <w:tl2br w:val="nil"/>
              <w:tr2bl w:val="nil"/>
            </w:tcBorders>
            <w:shd w:val="clear" w:color="auto" w:fill="auto"/>
            <w:noWrap/>
            <w:tcMar>
              <w:left w:w="101" w:type="dxa"/>
              <w:right w:w="161" w:type="dxa"/>
            </w:tcMar>
          </w:tcPr>
          <w:p w14:paraId="02AB88F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9B1A15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1 200</w:t>
            </w:r>
          </w:p>
        </w:tc>
        <w:tc>
          <w:tcPr>
            <w:tcW w:w="1035" w:type="dxa"/>
            <w:tcBorders>
              <w:top w:val="nil"/>
              <w:left w:val="nil"/>
              <w:bottom w:val="nil"/>
              <w:right w:val="nil"/>
              <w:tl2br w:val="nil"/>
              <w:tr2bl w:val="nil"/>
            </w:tcBorders>
            <w:shd w:val="clear" w:color="auto" w:fill="auto"/>
            <w:noWrap/>
            <w:tcMar>
              <w:left w:w="101" w:type="dxa"/>
              <w:right w:w="161" w:type="dxa"/>
            </w:tcMar>
          </w:tcPr>
          <w:p w14:paraId="7E86DF3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4 590</w:t>
            </w:r>
          </w:p>
        </w:tc>
        <w:tc>
          <w:tcPr>
            <w:tcW w:w="1035" w:type="dxa"/>
            <w:tcBorders>
              <w:top w:val="nil"/>
              <w:left w:val="nil"/>
              <w:bottom w:val="nil"/>
              <w:right w:val="nil"/>
              <w:tl2br w:val="nil"/>
              <w:tr2bl w:val="nil"/>
            </w:tcBorders>
            <w:shd w:val="clear" w:color="auto" w:fill="auto"/>
            <w:noWrap/>
            <w:tcMar>
              <w:left w:w="101" w:type="dxa"/>
              <w:right w:w="161" w:type="dxa"/>
            </w:tcMar>
          </w:tcPr>
          <w:p w14:paraId="172D5D2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4 700</w:t>
            </w:r>
          </w:p>
        </w:tc>
        <w:tc>
          <w:tcPr>
            <w:tcW w:w="1035" w:type="dxa"/>
            <w:tcBorders>
              <w:top w:val="nil"/>
              <w:left w:val="nil"/>
              <w:bottom w:val="nil"/>
              <w:right w:val="nil"/>
              <w:tl2br w:val="nil"/>
              <w:tr2bl w:val="nil"/>
            </w:tcBorders>
            <w:shd w:val="clear" w:color="auto" w:fill="auto"/>
            <w:noWrap/>
            <w:tcMar>
              <w:left w:w="101" w:type="dxa"/>
              <w:right w:w="161" w:type="dxa"/>
            </w:tcMar>
          </w:tcPr>
          <w:p w14:paraId="425C076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331901F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0969C28D"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Improving Canberra’s health infrastructure – Canberra Health Services warehouse and logistics facility</w:t>
            </w:r>
          </w:p>
        </w:tc>
        <w:tc>
          <w:tcPr>
            <w:tcW w:w="1035" w:type="dxa"/>
            <w:tcBorders>
              <w:top w:val="nil"/>
              <w:left w:val="nil"/>
              <w:bottom w:val="nil"/>
              <w:right w:val="nil"/>
              <w:tl2br w:val="nil"/>
              <w:tr2bl w:val="nil"/>
            </w:tcBorders>
            <w:shd w:val="clear" w:color="auto" w:fill="auto"/>
            <w:noWrap/>
            <w:tcMar>
              <w:left w:w="101" w:type="dxa"/>
              <w:right w:w="161" w:type="dxa"/>
            </w:tcMar>
          </w:tcPr>
          <w:p w14:paraId="39594EA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22A1AD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767</w:t>
            </w:r>
          </w:p>
        </w:tc>
        <w:tc>
          <w:tcPr>
            <w:tcW w:w="1035" w:type="dxa"/>
            <w:tcBorders>
              <w:top w:val="nil"/>
              <w:left w:val="nil"/>
              <w:bottom w:val="nil"/>
              <w:right w:val="nil"/>
              <w:tl2br w:val="nil"/>
              <w:tr2bl w:val="nil"/>
            </w:tcBorders>
            <w:shd w:val="clear" w:color="auto" w:fill="auto"/>
            <w:noWrap/>
            <w:tcMar>
              <w:left w:w="101" w:type="dxa"/>
              <w:right w:w="161" w:type="dxa"/>
            </w:tcMar>
          </w:tcPr>
          <w:p w14:paraId="1454148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500</w:t>
            </w:r>
          </w:p>
        </w:tc>
        <w:tc>
          <w:tcPr>
            <w:tcW w:w="1035" w:type="dxa"/>
            <w:tcBorders>
              <w:top w:val="nil"/>
              <w:left w:val="nil"/>
              <w:bottom w:val="nil"/>
              <w:right w:val="nil"/>
              <w:tl2br w:val="nil"/>
              <w:tr2bl w:val="nil"/>
            </w:tcBorders>
            <w:shd w:val="clear" w:color="auto" w:fill="auto"/>
            <w:noWrap/>
            <w:tcMar>
              <w:left w:w="101" w:type="dxa"/>
              <w:right w:w="161" w:type="dxa"/>
            </w:tcMar>
          </w:tcPr>
          <w:p w14:paraId="78A44CE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226BC7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251978C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616D2750"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Improving Canberra’s health infrastructure – Cancer Research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338A05F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113059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760</w:t>
            </w:r>
          </w:p>
        </w:tc>
        <w:tc>
          <w:tcPr>
            <w:tcW w:w="1035" w:type="dxa"/>
            <w:tcBorders>
              <w:top w:val="nil"/>
              <w:left w:val="nil"/>
              <w:bottom w:val="nil"/>
              <w:right w:val="nil"/>
              <w:tl2br w:val="nil"/>
              <w:tr2bl w:val="nil"/>
            </w:tcBorders>
            <w:shd w:val="clear" w:color="auto" w:fill="auto"/>
            <w:noWrap/>
            <w:tcMar>
              <w:left w:w="101" w:type="dxa"/>
              <w:right w:w="161" w:type="dxa"/>
            </w:tcMar>
          </w:tcPr>
          <w:p w14:paraId="61CAEC5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6 035</w:t>
            </w:r>
          </w:p>
        </w:tc>
        <w:tc>
          <w:tcPr>
            <w:tcW w:w="1035" w:type="dxa"/>
            <w:tcBorders>
              <w:top w:val="nil"/>
              <w:left w:val="nil"/>
              <w:bottom w:val="nil"/>
              <w:right w:val="nil"/>
              <w:tl2br w:val="nil"/>
              <w:tr2bl w:val="nil"/>
            </w:tcBorders>
            <w:shd w:val="clear" w:color="auto" w:fill="auto"/>
            <w:noWrap/>
            <w:tcMar>
              <w:left w:w="101" w:type="dxa"/>
              <w:right w:w="161" w:type="dxa"/>
            </w:tcMar>
          </w:tcPr>
          <w:p w14:paraId="40D9A81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9113B3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7F7C0A3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5D3C7025"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Improving Canberra’s health infrastructure – Expanding Endoscopy Services</w:t>
            </w:r>
          </w:p>
        </w:tc>
        <w:tc>
          <w:tcPr>
            <w:tcW w:w="1035" w:type="dxa"/>
            <w:tcBorders>
              <w:top w:val="nil"/>
              <w:left w:val="nil"/>
              <w:bottom w:val="nil"/>
              <w:right w:val="nil"/>
              <w:tl2br w:val="nil"/>
              <w:tr2bl w:val="nil"/>
            </w:tcBorders>
            <w:shd w:val="clear" w:color="auto" w:fill="auto"/>
            <w:noWrap/>
            <w:tcMar>
              <w:left w:w="101" w:type="dxa"/>
              <w:right w:w="161" w:type="dxa"/>
            </w:tcMar>
          </w:tcPr>
          <w:p w14:paraId="72A7183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F5857C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175</w:t>
            </w:r>
          </w:p>
        </w:tc>
        <w:tc>
          <w:tcPr>
            <w:tcW w:w="1035" w:type="dxa"/>
            <w:tcBorders>
              <w:top w:val="nil"/>
              <w:left w:val="nil"/>
              <w:bottom w:val="nil"/>
              <w:right w:val="nil"/>
              <w:tl2br w:val="nil"/>
              <w:tr2bl w:val="nil"/>
            </w:tcBorders>
            <w:shd w:val="clear" w:color="auto" w:fill="auto"/>
            <w:noWrap/>
            <w:tcMar>
              <w:left w:w="101" w:type="dxa"/>
              <w:right w:w="161" w:type="dxa"/>
            </w:tcMar>
          </w:tcPr>
          <w:p w14:paraId="4B2C8C3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650</w:t>
            </w:r>
          </w:p>
        </w:tc>
        <w:tc>
          <w:tcPr>
            <w:tcW w:w="1035" w:type="dxa"/>
            <w:tcBorders>
              <w:top w:val="nil"/>
              <w:left w:val="nil"/>
              <w:bottom w:val="nil"/>
              <w:right w:val="nil"/>
              <w:tl2br w:val="nil"/>
              <w:tr2bl w:val="nil"/>
            </w:tcBorders>
            <w:shd w:val="clear" w:color="auto" w:fill="auto"/>
            <w:noWrap/>
            <w:tcMar>
              <w:left w:w="101" w:type="dxa"/>
              <w:right w:w="161" w:type="dxa"/>
            </w:tcMar>
          </w:tcPr>
          <w:p w14:paraId="070BFDC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213DFC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310010A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70" w:type="dxa"/>
            <w:tcBorders>
              <w:top w:val="nil"/>
              <w:left w:val="nil"/>
              <w:bottom w:val="nil"/>
              <w:right w:val="nil"/>
              <w:tl2br w:val="nil"/>
              <w:tr2bl w:val="nil"/>
            </w:tcBorders>
            <w:shd w:val="clear" w:color="auto" w:fill="auto"/>
            <w:tcMar>
              <w:left w:w="0" w:type="dxa"/>
              <w:right w:w="0" w:type="dxa"/>
            </w:tcMar>
            <w:vAlign w:val="bottom"/>
          </w:tcPr>
          <w:p w14:paraId="54A0B9D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5057F0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EE75CA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CD9569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8DBD15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3FB0BC9"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3B0FC0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70" w:type="dxa"/>
            <w:tcBorders>
              <w:top w:val="nil"/>
              <w:left w:val="nil"/>
              <w:bottom w:val="nil"/>
              <w:right w:val="nil"/>
              <w:tl2br w:val="nil"/>
              <w:tr2bl w:val="nil"/>
            </w:tcBorders>
            <w:shd w:val="clear" w:color="auto" w:fill="auto"/>
            <w:tcMar>
              <w:left w:w="101" w:type="dxa"/>
              <w:right w:w="101" w:type="dxa"/>
            </w:tcMar>
            <w:vAlign w:val="bottom"/>
          </w:tcPr>
          <w:p w14:paraId="6A8BF9C9"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6FA7E6C" w14:textId="77777777" w:rsidR="009832FC" w:rsidRPr="009832FC" w:rsidRDefault="009832FC" w:rsidP="009832FC">
            <w:pPr>
              <w:spacing w:before="0" w:after="0"/>
              <w:rPr>
                <w:rFonts w:eastAsia="Calibri" w:cs="Calibr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2D0A604" w14:textId="77777777" w:rsidR="009832FC" w:rsidRPr="009832FC" w:rsidRDefault="009832FC" w:rsidP="009832FC">
            <w:pPr>
              <w:spacing w:before="0" w:after="0"/>
              <w:rPr>
                <w:rFonts w:eastAsia="Calibri" w:cs="Calibr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97DA472" w14:textId="77777777" w:rsidR="009832FC" w:rsidRPr="009832FC" w:rsidRDefault="009832FC" w:rsidP="009832FC">
            <w:pPr>
              <w:spacing w:before="0" w:after="0"/>
              <w:rPr>
                <w:rFonts w:eastAsia="Calibri" w:cs="Calibr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41A7DB6" w14:textId="77777777" w:rsidR="009832FC" w:rsidRPr="009832FC" w:rsidRDefault="009832FC" w:rsidP="009832FC">
            <w:pPr>
              <w:spacing w:before="0" w:after="0"/>
              <w:rPr>
                <w:rFonts w:eastAsia="Calibri" w:cs="Calibr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7556FDB" w14:textId="77777777" w:rsidR="009832FC" w:rsidRPr="009832FC" w:rsidRDefault="009832FC" w:rsidP="009832FC">
            <w:pPr>
              <w:spacing w:before="0" w:after="0"/>
              <w:rPr>
                <w:rFonts w:eastAsia="Calibri" w:cs="Calibri"/>
                <w:color w:val="FFFFFF"/>
                <w:sz w:val="18"/>
                <w:szCs w:val="24"/>
                <w:lang w:eastAsia="en-AU"/>
              </w:rPr>
            </w:pPr>
          </w:p>
        </w:tc>
      </w:tr>
      <w:tr w:rsidR="009832FC" w:rsidRPr="009832FC" w14:paraId="78D3F9D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66DA190A"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Better care when you need it - New medical imaging equipment</w:t>
            </w:r>
          </w:p>
        </w:tc>
        <w:tc>
          <w:tcPr>
            <w:tcW w:w="1035" w:type="dxa"/>
            <w:tcBorders>
              <w:top w:val="nil"/>
              <w:left w:val="nil"/>
              <w:bottom w:val="nil"/>
              <w:right w:val="nil"/>
              <w:tl2br w:val="nil"/>
              <w:tr2bl w:val="nil"/>
            </w:tcBorders>
            <w:shd w:val="clear" w:color="auto" w:fill="auto"/>
            <w:noWrap/>
            <w:tcMar>
              <w:left w:w="101" w:type="dxa"/>
              <w:right w:w="101" w:type="dxa"/>
            </w:tcMar>
          </w:tcPr>
          <w:p w14:paraId="57FF8D4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(500)</w:t>
            </w:r>
          </w:p>
        </w:tc>
        <w:tc>
          <w:tcPr>
            <w:tcW w:w="1035" w:type="dxa"/>
            <w:tcBorders>
              <w:top w:val="nil"/>
              <w:left w:val="nil"/>
              <w:bottom w:val="nil"/>
              <w:right w:val="nil"/>
              <w:tl2br w:val="nil"/>
              <w:tr2bl w:val="nil"/>
            </w:tcBorders>
            <w:shd w:val="clear" w:color="auto" w:fill="auto"/>
            <w:noWrap/>
            <w:tcMar>
              <w:left w:w="101" w:type="dxa"/>
              <w:right w:w="161" w:type="dxa"/>
            </w:tcMar>
          </w:tcPr>
          <w:p w14:paraId="01DB547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500</w:t>
            </w:r>
          </w:p>
        </w:tc>
        <w:tc>
          <w:tcPr>
            <w:tcW w:w="1035" w:type="dxa"/>
            <w:tcBorders>
              <w:top w:val="nil"/>
              <w:left w:val="nil"/>
              <w:bottom w:val="nil"/>
              <w:right w:val="nil"/>
              <w:tl2br w:val="nil"/>
              <w:tr2bl w:val="nil"/>
            </w:tcBorders>
            <w:shd w:val="clear" w:color="auto" w:fill="auto"/>
            <w:noWrap/>
            <w:tcMar>
              <w:left w:w="101" w:type="dxa"/>
              <w:right w:w="161" w:type="dxa"/>
            </w:tcMar>
          </w:tcPr>
          <w:p w14:paraId="56449FF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1B8AF4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52A0A2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33F17FA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70" w:type="dxa"/>
            <w:tcBorders>
              <w:top w:val="nil"/>
              <w:left w:val="nil"/>
              <w:bottom w:val="nil"/>
              <w:right w:val="nil"/>
              <w:tl2br w:val="nil"/>
              <w:tr2bl w:val="nil"/>
            </w:tcBorders>
            <w:shd w:val="clear" w:color="auto" w:fill="auto"/>
            <w:tcMar>
              <w:left w:w="101" w:type="dxa"/>
              <w:right w:w="101" w:type="dxa"/>
            </w:tcMar>
          </w:tcPr>
          <w:p w14:paraId="77259DF9"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Better care when you need it - Training our future health workforce</w:t>
            </w:r>
          </w:p>
        </w:tc>
        <w:tc>
          <w:tcPr>
            <w:tcW w:w="1035" w:type="dxa"/>
            <w:tcBorders>
              <w:top w:val="nil"/>
              <w:left w:val="nil"/>
              <w:bottom w:val="nil"/>
              <w:right w:val="nil"/>
              <w:tl2br w:val="nil"/>
              <w:tr2bl w:val="nil"/>
            </w:tcBorders>
            <w:shd w:val="clear" w:color="auto" w:fill="auto"/>
            <w:noWrap/>
            <w:tcMar>
              <w:left w:w="101" w:type="dxa"/>
              <w:right w:w="101" w:type="dxa"/>
            </w:tcMar>
          </w:tcPr>
          <w:p w14:paraId="792A620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(752)</w:t>
            </w:r>
          </w:p>
        </w:tc>
        <w:tc>
          <w:tcPr>
            <w:tcW w:w="1035" w:type="dxa"/>
            <w:tcBorders>
              <w:top w:val="nil"/>
              <w:left w:val="nil"/>
              <w:bottom w:val="nil"/>
              <w:right w:val="nil"/>
              <w:tl2br w:val="nil"/>
              <w:tr2bl w:val="nil"/>
            </w:tcBorders>
            <w:shd w:val="clear" w:color="auto" w:fill="auto"/>
            <w:noWrap/>
            <w:tcMar>
              <w:left w:w="101" w:type="dxa"/>
              <w:right w:w="161" w:type="dxa"/>
            </w:tcMar>
          </w:tcPr>
          <w:p w14:paraId="6A006BA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752</w:t>
            </w:r>
          </w:p>
        </w:tc>
        <w:tc>
          <w:tcPr>
            <w:tcW w:w="1035" w:type="dxa"/>
            <w:tcBorders>
              <w:top w:val="nil"/>
              <w:left w:val="nil"/>
              <w:bottom w:val="nil"/>
              <w:right w:val="nil"/>
              <w:tl2br w:val="nil"/>
              <w:tr2bl w:val="nil"/>
            </w:tcBorders>
            <w:shd w:val="clear" w:color="auto" w:fill="auto"/>
            <w:noWrap/>
            <w:tcMar>
              <w:left w:w="101" w:type="dxa"/>
              <w:right w:w="161" w:type="dxa"/>
            </w:tcMar>
          </w:tcPr>
          <w:p w14:paraId="2D2EEB4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C04645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F8B741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0E415F9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52BA2532"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Better Health Services - Upgrading and maintaining ACT Health assets</w:t>
            </w:r>
          </w:p>
        </w:tc>
        <w:tc>
          <w:tcPr>
            <w:tcW w:w="1035" w:type="dxa"/>
            <w:tcBorders>
              <w:top w:val="nil"/>
              <w:left w:val="nil"/>
              <w:bottom w:val="nil"/>
              <w:right w:val="nil"/>
              <w:tl2br w:val="nil"/>
              <w:tr2bl w:val="nil"/>
            </w:tcBorders>
            <w:shd w:val="clear" w:color="auto" w:fill="auto"/>
            <w:noWrap/>
            <w:tcMar>
              <w:left w:w="101" w:type="dxa"/>
              <w:right w:w="101" w:type="dxa"/>
            </w:tcMar>
          </w:tcPr>
          <w:p w14:paraId="4A31C39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(2 160)</w:t>
            </w:r>
          </w:p>
        </w:tc>
        <w:tc>
          <w:tcPr>
            <w:tcW w:w="1035" w:type="dxa"/>
            <w:tcBorders>
              <w:top w:val="nil"/>
              <w:left w:val="nil"/>
              <w:bottom w:val="nil"/>
              <w:right w:val="nil"/>
              <w:tl2br w:val="nil"/>
              <w:tr2bl w:val="nil"/>
            </w:tcBorders>
            <w:shd w:val="clear" w:color="auto" w:fill="auto"/>
            <w:noWrap/>
            <w:tcMar>
              <w:left w:w="101" w:type="dxa"/>
              <w:right w:w="161" w:type="dxa"/>
            </w:tcMar>
          </w:tcPr>
          <w:p w14:paraId="722A065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2 160</w:t>
            </w:r>
          </w:p>
        </w:tc>
        <w:tc>
          <w:tcPr>
            <w:tcW w:w="1035" w:type="dxa"/>
            <w:tcBorders>
              <w:top w:val="nil"/>
              <w:left w:val="nil"/>
              <w:bottom w:val="nil"/>
              <w:right w:val="nil"/>
              <w:tl2br w:val="nil"/>
              <w:tr2bl w:val="nil"/>
            </w:tcBorders>
            <w:shd w:val="clear" w:color="auto" w:fill="auto"/>
            <w:noWrap/>
            <w:tcMar>
              <w:left w:w="101" w:type="dxa"/>
              <w:right w:w="161" w:type="dxa"/>
            </w:tcMar>
          </w:tcPr>
          <w:p w14:paraId="5142538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88B621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63F1CD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7A63D3B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170" w:type="dxa"/>
            <w:tcBorders>
              <w:top w:val="nil"/>
              <w:left w:val="nil"/>
              <w:bottom w:val="nil"/>
              <w:right w:val="nil"/>
              <w:tl2br w:val="nil"/>
              <w:tr2bl w:val="nil"/>
            </w:tcBorders>
            <w:shd w:val="clear" w:color="auto" w:fill="auto"/>
            <w:tcMar>
              <w:left w:w="101" w:type="dxa"/>
              <w:right w:w="101" w:type="dxa"/>
            </w:tcMar>
          </w:tcPr>
          <w:p w14:paraId="7CFBBE6C"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Better healthcare for a growing community - ACT Health critical assets upgrades</w:t>
            </w:r>
          </w:p>
        </w:tc>
        <w:tc>
          <w:tcPr>
            <w:tcW w:w="1035" w:type="dxa"/>
            <w:tcBorders>
              <w:top w:val="nil"/>
              <w:left w:val="nil"/>
              <w:bottom w:val="nil"/>
              <w:right w:val="nil"/>
              <w:tl2br w:val="nil"/>
              <w:tr2bl w:val="nil"/>
            </w:tcBorders>
            <w:shd w:val="clear" w:color="auto" w:fill="auto"/>
            <w:noWrap/>
            <w:tcMar>
              <w:left w:w="101" w:type="dxa"/>
              <w:right w:w="101" w:type="dxa"/>
            </w:tcMar>
          </w:tcPr>
          <w:p w14:paraId="60C52E6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(2 147)</w:t>
            </w:r>
          </w:p>
        </w:tc>
        <w:tc>
          <w:tcPr>
            <w:tcW w:w="1035" w:type="dxa"/>
            <w:tcBorders>
              <w:top w:val="nil"/>
              <w:left w:val="nil"/>
              <w:bottom w:val="nil"/>
              <w:right w:val="nil"/>
              <w:tl2br w:val="nil"/>
              <w:tr2bl w:val="nil"/>
            </w:tcBorders>
            <w:shd w:val="clear" w:color="auto" w:fill="auto"/>
            <w:noWrap/>
            <w:tcMar>
              <w:left w:w="101" w:type="dxa"/>
              <w:right w:w="101" w:type="dxa"/>
            </w:tcMar>
          </w:tcPr>
          <w:p w14:paraId="0791A79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(1 353)</w:t>
            </w:r>
          </w:p>
        </w:tc>
        <w:tc>
          <w:tcPr>
            <w:tcW w:w="1035" w:type="dxa"/>
            <w:tcBorders>
              <w:top w:val="nil"/>
              <w:left w:val="nil"/>
              <w:bottom w:val="nil"/>
              <w:right w:val="nil"/>
              <w:tl2br w:val="nil"/>
              <w:tr2bl w:val="nil"/>
            </w:tcBorders>
            <w:shd w:val="clear" w:color="auto" w:fill="auto"/>
            <w:noWrap/>
            <w:tcMar>
              <w:left w:w="101" w:type="dxa"/>
              <w:right w:w="161" w:type="dxa"/>
            </w:tcMar>
          </w:tcPr>
          <w:p w14:paraId="79D72FF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3 500</w:t>
            </w:r>
          </w:p>
        </w:tc>
        <w:tc>
          <w:tcPr>
            <w:tcW w:w="1035" w:type="dxa"/>
            <w:tcBorders>
              <w:top w:val="nil"/>
              <w:left w:val="nil"/>
              <w:bottom w:val="nil"/>
              <w:right w:val="nil"/>
              <w:tl2br w:val="nil"/>
              <w:tr2bl w:val="nil"/>
            </w:tcBorders>
            <w:shd w:val="clear" w:color="auto" w:fill="auto"/>
            <w:noWrap/>
            <w:tcMar>
              <w:left w:w="101" w:type="dxa"/>
              <w:right w:w="161" w:type="dxa"/>
            </w:tcMar>
          </w:tcPr>
          <w:p w14:paraId="4F57BD9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4123AB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7FC10D2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170" w:type="dxa"/>
            <w:tcBorders>
              <w:top w:val="nil"/>
              <w:left w:val="nil"/>
              <w:bottom w:val="nil"/>
              <w:right w:val="nil"/>
              <w:tl2br w:val="nil"/>
              <w:tr2bl w:val="nil"/>
            </w:tcBorders>
            <w:shd w:val="clear" w:color="auto" w:fill="auto"/>
            <w:tcMar>
              <w:left w:w="101" w:type="dxa"/>
              <w:right w:w="101" w:type="dxa"/>
            </w:tcMar>
          </w:tcPr>
          <w:p w14:paraId="62BE5E9C"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Better Healthcare for a growing community - Delivering the Inner North Walk in Centre</w:t>
            </w:r>
          </w:p>
        </w:tc>
        <w:tc>
          <w:tcPr>
            <w:tcW w:w="1035" w:type="dxa"/>
            <w:tcBorders>
              <w:top w:val="nil"/>
              <w:left w:val="nil"/>
              <w:bottom w:val="nil"/>
              <w:right w:val="nil"/>
              <w:tl2br w:val="nil"/>
              <w:tr2bl w:val="nil"/>
            </w:tcBorders>
            <w:shd w:val="clear" w:color="auto" w:fill="auto"/>
            <w:noWrap/>
            <w:tcMar>
              <w:left w:w="101" w:type="dxa"/>
              <w:right w:w="101" w:type="dxa"/>
            </w:tcMar>
          </w:tcPr>
          <w:p w14:paraId="3C4070F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(409)</w:t>
            </w:r>
          </w:p>
        </w:tc>
        <w:tc>
          <w:tcPr>
            <w:tcW w:w="1035" w:type="dxa"/>
            <w:tcBorders>
              <w:top w:val="nil"/>
              <w:left w:val="nil"/>
              <w:bottom w:val="nil"/>
              <w:right w:val="nil"/>
              <w:tl2br w:val="nil"/>
              <w:tr2bl w:val="nil"/>
            </w:tcBorders>
            <w:shd w:val="clear" w:color="auto" w:fill="auto"/>
            <w:noWrap/>
            <w:tcMar>
              <w:left w:w="101" w:type="dxa"/>
              <w:right w:w="161" w:type="dxa"/>
            </w:tcMar>
          </w:tcPr>
          <w:p w14:paraId="0F3BB6D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409</w:t>
            </w:r>
          </w:p>
        </w:tc>
        <w:tc>
          <w:tcPr>
            <w:tcW w:w="1035" w:type="dxa"/>
            <w:tcBorders>
              <w:top w:val="nil"/>
              <w:left w:val="nil"/>
              <w:bottom w:val="nil"/>
              <w:right w:val="nil"/>
              <w:tl2br w:val="nil"/>
              <w:tr2bl w:val="nil"/>
            </w:tcBorders>
            <w:shd w:val="clear" w:color="auto" w:fill="auto"/>
            <w:noWrap/>
            <w:tcMar>
              <w:left w:w="101" w:type="dxa"/>
              <w:right w:w="161" w:type="dxa"/>
            </w:tcMar>
          </w:tcPr>
          <w:p w14:paraId="00E10AA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46362C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3D0E3D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66FE21F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170" w:type="dxa"/>
            <w:tcBorders>
              <w:top w:val="nil"/>
              <w:left w:val="nil"/>
              <w:bottom w:val="nil"/>
              <w:right w:val="nil"/>
              <w:tl2br w:val="nil"/>
              <w:tr2bl w:val="nil"/>
            </w:tcBorders>
            <w:shd w:val="clear" w:color="auto" w:fill="auto"/>
            <w:tcMar>
              <w:left w:w="101" w:type="dxa"/>
              <w:right w:w="101" w:type="dxa"/>
            </w:tcMar>
          </w:tcPr>
          <w:p w14:paraId="2C22D33C"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Better healthcare for a growing community - Delivering the Weston Creek Walk in Centre</w:t>
            </w:r>
          </w:p>
        </w:tc>
        <w:tc>
          <w:tcPr>
            <w:tcW w:w="1035" w:type="dxa"/>
            <w:tcBorders>
              <w:top w:val="nil"/>
              <w:left w:val="nil"/>
              <w:bottom w:val="nil"/>
              <w:right w:val="nil"/>
              <w:tl2br w:val="nil"/>
              <w:tr2bl w:val="nil"/>
            </w:tcBorders>
            <w:shd w:val="clear" w:color="auto" w:fill="auto"/>
            <w:noWrap/>
            <w:tcMar>
              <w:left w:w="101" w:type="dxa"/>
              <w:right w:w="101" w:type="dxa"/>
            </w:tcMar>
          </w:tcPr>
          <w:p w14:paraId="4F0E69A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(247)</w:t>
            </w:r>
          </w:p>
        </w:tc>
        <w:tc>
          <w:tcPr>
            <w:tcW w:w="1035" w:type="dxa"/>
            <w:tcBorders>
              <w:top w:val="nil"/>
              <w:left w:val="nil"/>
              <w:bottom w:val="nil"/>
              <w:right w:val="nil"/>
              <w:tl2br w:val="nil"/>
              <w:tr2bl w:val="nil"/>
            </w:tcBorders>
            <w:shd w:val="clear" w:color="auto" w:fill="auto"/>
            <w:noWrap/>
            <w:tcMar>
              <w:left w:w="101" w:type="dxa"/>
              <w:right w:w="161" w:type="dxa"/>
            </w:tcMar>
          </w:tcPr>
          <w:p w14:paraId="76F8291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247</w:t>
            </w:r>
          </w:p>
        </w:tc>
        <w:tc>
          <w:tcPr>
            <w:tcW w:w="1035" w:type="dxa"/>
            <w:tcBorders>
              <w:top w:val="nil"/>
              <w:left w:val="nil"/>
              <w:bottom w:val="nil"/>
              <w:right w:val="nil"/>
              <w:tl2br w:val="nil"/>
              <w:tr2bl w:val="nil"/>
            </w:tcBorders>
            <w:shd w:val="clear" w:color="auto" w:fill="auto"/>
            <w:noWrap/>
            <w:tcMar>
              <w:left w:w="101" w:type="dxa"/>
              <w:right w:w="161" w:type="dxa"/>
            </w:tcMar>
          </w:tcPr>
          <w:p w14:paraId="294D807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D46541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E14975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2CC0935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170" w:type="dxa"/>
            <w:tcBorders>
              <w:top w:val="nil"/>
              <w:left w:val="nil"/>
              <w:bottom w:val="nil"/>
              <w:right w:val="nil"/>
              <w:tl2br w:val="nil"/>
              <w:tr2bl w:val="nil"/>
            </w:tcBorders>
            <w:shd w:val="clear" w:color="auto" w:fill="auto"/>
            <w:tcMar>
              <w:left w:w="101" w:type="dxa"/>
              <w:right w:w="101" w:type="dxa"/>
            </w:tcMar>
          </w:tcPr>
          <w:p w14:paraId="3E6AFB1E"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Better healthcare for a growing community - More mental health accommodation</w:t>
            </w:r>
          </w:p>
        </w:tc>
        <w:tc>
          <w:tcPr>
            <w:tcW w:w="1035" w:type="dxa"/>
            <w:tcBorders>
              <w:top w:val="nil"/>
              <w:left w:val="nil"/>
              <w:bottom w:val="nil"/>
              <w:right w:val="nil"/>
              <w:tl2br w:val="nil"/>
              <w:tr2bl w:val="nil"/>
            </w:tcBorders>
            <w:shd w:val="clear" w:color="auto" w:fill="auto"/>
            <w:noWrap/>
            <w:tcMar>
              <w:left w:w="101" w:type="dxa"/>
              <w:right w:w="101" w:type="dxa"/>
            </w:tcMar>
          </w:tcPr>
          <w:p w14:paraId="293092A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(502)</w:t>
            </w:r>
          </w:p>
        </w:tc>
        <w:tc>
          <w:tcPr>
            <w:tcW w:w="1035" w:type="dxa"/>
            <w:tcBorders>
              <w:top w:val="nil"/>
              <w:left w:val="nil"/>
              <w:bottom w:val="nil"/>
              <w:right w:val="nil"/>
              <w:tl2br w:val="nil"/>
              <w:tr2bl w:val="nil"/>
            </w:tcBorders>
            <w:shd w:val="clear" w:color="auto" w:fill="auto"/>
            <w:noWrap/>
            <w:tcMar>
              <w:left w:w="101" w:type="dxa"/>
              <w:right w:w="161" w:type="dxa"/>
            </w:tcMar>
          </w:tcPr>
          <w:p w14:paraId="4777DC7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502</w:t>
            </w:r>
          </w:p>
        </w:tc>
        <w:tc>
          <w:tcPr>
            <w:tcW w:w="1035" w:type="dxa"/>
            <w:tcBorders>
              <w:top w:val="nil"/>
              <w:left w:val="nil"/>
              <w:bottom w:val="nil"/>
              <w:right w:val="nil"/>
              <w:tl2br w:val="nil"/>
              <w:tr2bl w:val="nil"/>
            </w:tcBorders>
            <w:shd w:val="clear" w:color="auto" w:fill="auto"/>
            <w:noWrap/>
            <w:tcMar>
              <w:left w:w="101" w:type="dxa"/>
              <w:right w:w="161" w:type="dxa"/>
            </w:tcMar>
          </w:tcPr>
          <w:p w14:paraId="5C510D4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C7847E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D6AFEE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76C1DA5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170" w:type="dxa"/>
            <w:tcBorders>
              <w:top w:val="nil"/>
              <w:left w:val="nil"/>
              <w:bottom w:val="nil"/>
              <w:right w:val="nil"/>
              <w:tl2br w:val="nil"/>
              <w:tr2bl w:val="nil"/>
            </w:tcBorders>
            <w:shd w:val="clear" w:color="auto" w:fill="auto"/>
            <w:tcMar>
              <w:left w:w="101" w:type="dxa"/>
              <w:right w:w="101" w:type="dxa"/>
            </w:tcMar>
          </w:tcPr>
          <w:p w14:paraId="72E07040"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Better Infrastructure Fund</w:t>
            </w:r>
          </w:p>
        </w:tc>
        <w:tc>
          <w:tcPr>
            <w:tcW w:w="1035" w:type="dxa"/>
            <w:tcBorders>
              <w:top w:val="nil"/>
              <w:left w:val="nil"/>
              <w:bottom w:val="nil"/>
              <w:right w:val="nil"/>
              <w:tl2br w:val="nil"/>
              <w:tr2bl w:val="nil"/>
            </w:tcBorders>
            <w:shd w:val="clear" w:color="auto" w:fill="auto"/>
            <w:noWrap/>
            <w:tcMar>
              <w:left w:w="101" w:type="dxa"/>
              <w:right w:w="101" w:type="dxa"/>
            </w:tcMar>
          </w:tcPr>
          <w:p w14:paraId="273F41A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(382)</w:t>
            </w:r>
          </w:p>
        </w:tc>
        <w:tc>
          <w:tcPr>
            <w:tcW w:w="1035" w:type="dxa"/>
            <w:tcBorders>
              <w:top w:val="nil"/>
              <w:left w:val="nil"/>
              <w:bottom w:val="nil"/>
              <w:right w:val="nil"/>
              <w:tl2br w:val="nil"/>
              <w:tr2bl w:val="nil"/>
            </w:tcBorders>
            <w:shd w:val="clear" w:color="auto" w:fill="auto"/>
            <w:noWrap/>
            <w:tcMar>
              <w:left w:w="101" w:type="dxa"/>
              <w:right w:w="161" w:type="dxa"/>
            </w:tcMar>
          </w:tcPr>
          <w:p w14:paraId="40C7A8E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382</w:t>
            </w:r>
          </w:p>
        </w:tc>
        <w:tc>
          <w:tcPr>
            <w:tcW w:w="1035" w:type="dxa"/>
            <w:tcBorders>
              <w:top w:val="nil"/>
              <w:left w:val="nil"/>
              <w:bottom w:val="nil"/>
              <w:right w:val="nil"/>
              <w:tl2br w:val="nil"/>
              <w:tr2bl w:val="nil"/>
            </w:tcBorders>
            <w:shd w:val="clear" w:color="auto" w:fill="auto"/>
            <w:noWrap/>
            <w:tcMar>
              <w:left w:w="101" w:type="dxa"/>
              <w:right w:w="161" w:type="dxa"/>
            </w:tcMar>
          </w:tcPr>
          <w:p w14:paraId="46A8311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D70F50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175296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635C52C1" w14:textId="77777777" w:rsidTr="00F30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05E1FC7F"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Clinical Services and Inpatient Unit Design and Infrastructure Expansion</w:t>
            </w:r>
          </w:p>
        </w:tc>
        <w:tc>
          <w:tcPr>
            <w:tcW w:w="1035" w:type="dxa"/>
            <w:tcBorders>
              <w:top w:val="nil"/>
              <w:left w:val="nil"/>
              <w:bottom w:val="nil"/>
              <w:right w:val="nil"/>
              <w:tl2br w:val="nil"/>
              <w:tr2bl w:val="nil"/>
            </w:tcBorders>
            <w:shd w:val="clear" w:color="auto" w:fill="auto"/>
            <w:noWrap/>
            <w:tcMar>
              <w:left w:w="101" w:type="dxa"/>
              <w:right w:w="101" w:type="dxa"/>
            </w:tcMar>
          </w:tcPr>
          <w:p w14:paraId="49A0534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(74)</w:t>
            </w:r>
          </w:p>
        </w:tc>
        <w:tc>
          <w:tcPr>
            <w:tcW w:w="1035" w:type="dxa"/>
            <w:tcBorders>
              <w:top w:val="nil"/>
              <w:left w:val="nil"/>
              <w:bottom w:val="nil"/>
              <w:right w:val="nil"/>
              <w:tl2br w:val="nil"/>
              <w:tr2bl w:val="nil"/>
            </w:tcBorders>
            <w:shd w:val="clear" w:color="auto" w:fill="auto"/>
            <w:noWrap/>
            <w:tcMar>
              <w:left w:w="101" w:type="dxa"/>
              <w:right w:w="161" w:type="dxa"/>
            </w:tcMar>
          </w:tcPr>
          <w:p w14:paraId="26A88F8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74</w:t>
            </w:r>
          </w:p>
        </w:tc>
        <w:tc>
          <w:tcPr>
            <w:tcW w:w="1035" w:type="dxa"/>
            <w:tcBorders>
              <w:top w:val="nil"/>
              <w:left w:val="nil"/>
              <w:bottom w:val="nil"/>
              <w:right w:val="nil"/>
              <w:tl2br w:val="nil"/>
              <w:tr2bl w:val="nil"/>
            </w:tcBorders>
            <w:shd w:val="clear" w:color="auto" w:fill="auto"/>
            <w:noWrap/>
            <w:tcMar>
              <w:left w:w="101" w:type="dxa"/>
              <w:right w:w="161" w:type="dxa"/>
            </w:tcMar>
          </w:tcPr>
          <w:p w14:paraId="2B97371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329294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D222E7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4E9E166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67DFAEAC"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Clinical Services Redevelopment - Phase 2</w:t>
            </w:r>
          </w:p>
        </w:tc>
        <w:tc>
          <w:tcPr>
            <w:tcW w:w="1035" w:type="dxa"/>
            <w:tcBorders>
              <w:top w:val="nil"/>
              <w:left w:val="nil"/>
              <w:bottom w:val="nil"/>
              <w:right w:val="nil"/>
              <w:tl2br w:val="nil"/>
              <w:tr2bl w:val="nil"/>
            </w:tcBorders>
            <w:shd w:val="clear" w:color="auto" w:fill="auto"/>
            <w:noWrap/>
            <w:tcMar>
              <w:left w:w="101" w:type="dxa"/>
              <w:right w:w="101" w:type="dxa"/>
            </w:tcMar>
          </w:tcPr>
          <w:p w14:paraId="0B3CE04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(208)</w:t>
            </w:r>
          </w:p>
        </w:tc>
        <w:tc>
          <w:tcPr>
            <w:tcW w:w="1035" w:type="dxa"/>
            <w:tcBorders>
              <w:top w:val="nil"/>
              <w:left w:val="nil"/>
              <w:bottom w:val="nil"/>
              <w:right w:val="nil"/>
              <w:tl2br w:val="nil"/>
              <w:tr2bl w:val="nil"/>
            </w:tcBorders>
            <w:shd w:val="clear" w:color="auto" w:fill="auto"/>
            <w:noWrap/>
            <w:tcMar>
              <w:left w:w="101" w:type="dxa"/>
              <w:right w:w="161" w:type="dxa"/>
            </w:tcMar>
          </w:tcPr>
          <w:p w14:paraId="39754EA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208</w:t>
            </w:r>
          </w:p>
        </w:tc>
        <w:tc>
          <w:tcPr>
            <w:tcW w:w="1035" w:type="dxa"/>
            <w:tcBorders>
              <w:top w:val="nil"/>
              <w:left w:val="nil"/>
              <w:bottom w:val="nil"/>
              <w:right w:val="nil"/>
              <w:tl2br w:val="nil"/>
              <w:tr2bl w:val="nil"/>
            </w:tcBorders>
            <w:shd w:val="clear" w:color="auto" w:fill="auto"/>
            <w:noWrap/>
            <w:tcMar>
              <w:left w:w="101" w:type="dxa"/>
              <w:right w:w="161" w:type="dxa"/>
            </w:tcMar>
          </w:tcPr>
          <w:p w14:paraId="64561E8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6DCEE3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4AA918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F307B7" w:rsidRPr="009832FC" w14:paraId="57BE53F4" w14:textId="77777777" w:rsidTr="00F30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42D032A9" w14:textId="77777777" w:rsidR="00F307B7" w:rsidRPr="009832FC" w:rsidRDefault="00F307B7" w:rsidP="00527C7B">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Clinical Services Redevelopment - Phase 3</w:t>
            </w:r>
          </w:p>
        </w:tc>
        <w:tc>
          <w:tcPr>
            <w:tcW w:w="1035" w:type="dxa"/>
            <w:tcBorders>
              <w:top w:val="nil"/>
              <w:left w:val="nil"/>
              <w:bottom w:val="nil"/>
              <w:right w:val="nil"/>
              <w:tl2br w:val="nil"/>
              <w:tr2bl w:val="nil"/>
            </w:tcBorders>
            <w:shd w:val="clear" w:color="auto" w:fill="auto"/>
            <w:noWrap/>
            <w:tcMar>
              <w:left w:w="101" w:type="dxa"/>
              <w:right w:w="101" w:type="dxa"/>
            </w:tcMar>
          </w:tcPr>
          <w:p w14:paraId="48344327" w14:textId="77777777" w:rsidR="00F307B7" w:rsidRPr="009832FC" w:rsidRDefault="00F307B7" w:rsidP="00527C7B">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(237)</w:t>
            </w:r>
          </w:p>
        </w:tc>
        <w:tc>
          <w:tcPr>
            <w:tcW w:w="1035" w:type="dxa"/>
            <w:tcBorders>
              <w:top w:val="nil"/>
              <w:left w:val="nil"/>
              <w:bottom w:val="nil"/>
              <w:right w:val="nil"/>
              <w:tl2br w:val="nil"/>
              <w:tr2bl w:val="nil"/>
            </w:tcBorders>
            <w:shd w:val="clear" w:color="auto" w:fill="auto"/>
            <w:noWrap/>
            <w:tcMar>
              <w:left w:w="101" w:type="dxa"/>
              <w:right w:w="161" w:type="dxa"/>
            </w:tcMar>
          </w:tcPr>
          <w:p w14:paraId="18011898" w14:textId="77777777" w:rsidR="00F307B7" w:rsidRPr="009832FC" w:rsidRDefault="00F307B7" w:rsidP="00527C7B">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237</w:t>
            </w:r>
          </w:p>
        </w:tc>
        <w:tc>
          <w:tcPr>
            <w:tcW w:w="1035" w:type="dxa"/>
            <w:tcBorders>
              <w:top w:val="nil"/>
              <w:left w:val="nil"/>
              <w:bottom w:val="nil"/>
              <w:right w:val="nil"/>
              <w:tl2br w:val="nil"/>
              <w:tr2bl w:val="nil"/>
            </w:tcBorders>
            <w:shd w:val="clear" w:color="auto" w:fill="auto"/>
            <w:noWrap/>
            <w:tcMar>
              <w:left w:w="101" w:type="dxa"/>
              <w:right w:w="161" w:type="dxa"/>
            </w:tcMar>
          </w:tcPr>
          <w:p w14:paraId="7D19487F" w14:textId="77777777" w:rsidR="00F307B7" w:rsidRPr="009832FC" w:rsidRDefault="00F307B7" w:rsidP="00527C7B">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DFF22B4" w14:textId="77777777" w:rsidR="00F307B7" w:rsidRPr="009832FC" w:rsidRDefault="00F307B7" w:rsidP="00527C7B">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FE322E4" w14:textId="77777777" w:rsidR="00F307B7" w:rsidRPr="009832FC" w:rsidRDefault="00F307B7" w:rsidP="00527C7B">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F307B7" w:rsidRPr="009832FC" w14:paraId="0126A68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4643440A" w14:textId="77777777" w:rsidR="00F307B7" w:rsidRPr="009832FC" w:rsidRDefault="00F307B7" w:rsidP="009832FC">
            <w:pPr>
              <w:spacing w:before="0" w:after="0"/>
              <w:ind w:left="179" w:hanging="179"/>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101" w:type="dxa"/>
              <w:right w:w="101" w:type="dxa"/>
            </w:tcMar>
          </w:tcPr>
          <w:p w14:paraId="1D9615DE" w14:textId="77777777" w:rsidR="00F307B7" w:rsidRPr="009832FC" w:rsidRDefault="00F307B7"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101" w:type="dxa"/>
              <w:right w:w="161" w:type="dxa"/>
            </w:tcMar>
          </w:tcPr>
          <w:p w14:paraId="21D19E26" w14:textId="77777777" w:rsidR="00F307B7" w:rsidRPr="009832FC" w:rsidRDefault="00F307B7"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101" w:type="dxa"/>
              <w:right w:w="161" w:type="dxa"/>
            </w:tcMar>
          </w:tcPr>
          <w:p w14:paraId="01ACC9A3" w14:textId="77777777" w:rsidR="00F307B7" w:rsidRPr="009832FC" w:rsidRDefault="00F307B7"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101" w:type="dxa"/>
              <w:right w:w="161" w:type="dxa"/>
            </w:tcMar>
          </w:tcPr>
          <w:p w14:paraId="5CC01DAC" w14:textId="77777777" w:rsidR="00F307B7" w:rsidRPr="009832FC" w:rsidRDefault="00F307B7"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101" w:type="dxa"/>
              <w:right w:w="161" w:type="dxa"/>
            </w:tcMar>
          </w:tcPr>
          <w:p w14:paraId="513F36D0" w14:textId="77777777" w:rsidR="00F307B7" w:rsidRPr="009832FC" w:rsidRDefault="00F307B7" w:rsidP="009832FC">
            <w:pPr>
              <w:spacing w:before="0" w:after="0"/>
              <w:jc w:val="right"/>
              <w:rPr>
                <w:rFonts w:eastAsia="Calibri" w:cs="Calibri"/>
                <w:color w:val="000000"/>
                <w:sz w:val="18"/>
                <w:szCs w:val="24"/>
                <w:lang w:eastAsia="en-AU"/>
              </w:rPr>
            </w:pPr>
          </w:p>
        </w:tc>
      </w:tr>
      <w:tr w:rsidR="009832FC" w:rsidRPr="009832FC" w14:paraId="7FB915D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9345" w:type="dxa"/>
            <w:gridSpan w:val="6"/>
            <w:tcBorders>
              <w:top w:val="nil"/>
              <w:left w:val="nil"/>
              <w:bottom w:val="single" w:sz="12" w:space="0" w:color="000000"/>
              <w:right w:val="nil"/>
              <w:tl2br w:val="nil"/>
              <w:tr2bl w:val="nil"/>
            </w:tcBorders>
            <w:shd w:val="clear" w:color="auto" w:fill="auto"/>
            <w:tcMar>
              <w:left w:w="101" w:type="dxa"/>
              <w:right w:w="101" w:type="dxa"/>
            </w:tcMar>
          </w:tcPr>
          <w:p w14:paraId="21CE3AF9" w14:textId="77777777" w:rsidR="009832FC" w:rsidRPr="009832FC" w:rsidRDefault="009832FC" w:rsidP="009832FC">
            <w:pPr>
              <w:keepNext/>
              <w:spacing w:before="240"/>
              <w:rPr>
                <w:rFonts w:eastAsia="Calibri"/>
                <w:b/>
                <w:bCs/>
                <w:color w:val="000000"/>
                <w:sz w:val="22"/>
                <w:szCs w:val="18"/>
              </w:rPr>
            </w:pPr>
            <w:r w:rsidRPr="009832FC">
              <w:rPr>
                <w:b/>
                <w:bCs/>
                <w:color w:val="000000"/>
                <w:sz w:val="22"/>
                <w:szCs w:val="18"/>
              </w:rPr>
              <w:lastRenderedPageBreak/>
              <w:t>Table 22: Changes to appropriation – Capital Injections, Controlled (continued)</w:t>
            </w:r>
          </w:p>
        </w:tc>
      </w:tr>
      <w:tr w:rsidR="009832FC" w:rsidRPr="009832FC" w14:paraId="662463B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7A88639F" w14:textId="77777777" w:rsidR="009832FC" w:rsidRPr="009832FC" w:rsidRDefault="009832FC" w:rsidP="009832FC">
            <w:pPr>
              <w:spacing w:before="0" w:after="0"/>
              <w:ind w:left="179" w:hanging="179"/>
              <w:rPr>
                <w:rFonts w:eastAsia="Calibri" w:cs="Calibri"/>
                <w:color w:val="000000"/>
                <w:sz w:val="18"/>
                <w:szCs w:val="24"/>
                <w:lang w:eastAsia="en-AU"/>
              </w:rPr>
            </w:pP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tcPr>
          <w:p w14:paraId="5D62CEB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2020-21 Interim Outcome</w:t>
            </w:r>
          </w:p>
          <w:p w14:paraId="32A0F10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61" w:type="dxa"/>
            </w:tcMar>
          </w:tcPr>
          <w:p w14:paraId="634AD23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2021-22 Budget</w:t>
            </w:r>
          </w:p>
          <w:p w14:paraId="486F3E74" w14:textId="77777777" w:rsidR="009832FC" w:rsidRPr="009832FC" w:rsidRDefault="009832FC" w:rsidP="009832FC">
            <w:pPr>
              <w:spacing w:before="0" w:after="0"/>
              <w:jc w:val="right"/>
              <w:rPr>
                <w:rFonts w:eastAsia="Calibri" w:cs="Calibri"/>
                <w:b/>
                <w:color w:val="000000"/>
                <w:sz w:val="18"/>
                <w:szCs w:val="24"/>
                <w:lang w:eastAsia="en-AU"/>
              </w:rPr>
            </w:pPr>
          </w:p>
          <w:p w14:paraId="6EBBC40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61" w:type="dxa"/>
            </w:tcMar>
          </w:tcPr>
          <w:p w14:paraId="345B285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2022-23 Estimate</w:t>
            </w:r>
          </w:p>
          <w:p w14:paraId="28285513" w14:textId="77777777" w:rsidR="009832FC" w:rsidRPr="009832FC" w:rsidRDefault="009832FC" w:rsidP="009832FC">
            <w:pPr>
              <w:spacing w:before="0" w:after="0"/>
              <w:jc w:val="right"/>
              <w:rPr>
                <w:rFonts w:eastAsia="Calibri" w:cs="Calibri"/>
                <w:b/>
                <w:color w:val="000000"/>
                <w:sz w:val="18"/>
                <w:szCs w:val="24"/>
                <w:lang w:eastAsia="en-AU"/>
              </w:rPr>
            </w:pPr>
          </w:p>
          <w:p w14:paraId="2E5472D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61" w:type="dxa"/>
            </w:tcMar>
          </w:tcPr>
          <w:p w14:paraId="78C6CA7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2023-24 Estimate</w:t>
            </w:r>
          </w:p>
          <w:p w14:paraId="7D523D0D" w14:textId="77777777" w:rsidR="009832FC" w:rsidRPr="009832FC" w:rsidRDefault="009832FC" w:rsidP="009832FC">
            <w:pPr>
              <w:spacing w:before="0" w:after="0"/>
              <w:jc w:val="right"/>
              <w:rPr>
                <w:rFonts w:eastAsia="Calibri" w:cs="Calibri"/>
                <w:b/>
                <w:color w:val="000000"/>
                <w:sz w:val="18"/>
                <w:szCs w:val="24"/>
                <w:lang w:eastAsia="en-AU"/>
              </w:rPr>
            </w:pPr>
          </w:p>
          <w:p w14:paraId="56FD057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61" w:type="dxa"/>
            </w:tcMar>
          </w:tcPr>
          <w:p w14:paraId="43C6CBA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2024-25 Estimate</w:t>
            </w:r>
          </w:p>
          <w:p w14:paraId="3C7F3BA1" w14:textId="77777777" w:rsidR="009832FC" w:rsidRPr="009832FC" w:rsidRDefault="009832FC" w:rsidP="009832FC">
            <w:pPr>
              <w:spacing w:before="0" w:after="0"/>
              <w:jc w:val="right"/>
              <w:rPr>
                <w:rFonts w:eastAsia="Calibri" w:cs="Calibri"/>
                <w:b/>
                <w:color w:val="000000"/>
                <w:sz w:val="18"/>
                <w:szCs w:val="24"/>
                <w:lang w:eastAsia="en-AU"/>
              </w:rPr>
            </w:pPr>
          </w:p>
          <w:p w14:paraId="781F5C4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b/>
                <w:color w:val="000000"/>
                <w:sz w:val="18"/>
                <w:szCs w:val="24"/>
                <w:lang w:eastAsia="en-AU"/>
              </w:rPr>
              <w:t>$'000</w:t>
            </w:r>
          </w:p>
        </w:tc>
      </w:tr>
      <w:tr w:rsidR="009832FC" w:rsidRPr="009832FC" w14:paraId="35BAB195" w14:textId="77777777" w:rsidTr="00F30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4170" w:type="dxa"/>
            <w:tcBorders>
              <w:top w:val="single" w:sz="12" w:space="0" w:color="000000"/>
              <w:left w:val="nil"/>
              <w:bottom w:val="nil"/>
              <w:right w:val="nil"/>
              <w:tl2br w:val="nil"/>
              <w:tr2bl w:val="nil"/>
            </w:tcBorders>
            <w:shd w:val="clear" w:color="auto" w:fill="auto"/>
            <w:tcMar>
              <w:left w:w="101" w:type="dxa"/>
              <w:right w:w="101" w:type="dxa"/>
            </w:tcMar>
          </w:tcPr>
          <w:p w14:paraId="1D114ADB" w14:textId="1C94E0DC" w:rsidR="009832FC" w:rsidRPr="009832FC" w:rsidRDefault="009832FC" w:rsidP="009832FC">
            <w:pPr>
              <w:spacing w:before="0" w:after="0"/>
              <w:ind w:left="179" w:hanging="179"/>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101" w:type="dxa"/>
              <w:right w:w="101" w:type="dxa"/>
            </w:tcMar>
          </w:tcPr>
          <w:p w14:paraId="3B7166F6" w14:textId="3839CDB1"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101" w:type="dxa"/>
              <w:right w:w="161" w:type="dxa"/>
            </w:tcMar>
          </w:tcPr>
          <w:p w14:paraId="0887B613" w14:textId="59DE1789"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101" w:type="dxa"/>
              <w:right w:w="161" w:type="dxa"/>
            </w:tcMar>
          </w:tcPr>
          <w:p w14:paraId="5960AE0C" w14:textId="7A2ADFF1"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101" w:type="dxa"/>
              <w:right w:w="161" w:type="dxa"/>
            </w:tcMar>
          </w:tcPr>
          <w:p w14:paraId="6D01F692" w14:textId="2570F9C6"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101" w:type="dxa"/>
              <w:right w:w="161" w:type="dxa"/>
            </w:tcMar>
          </w:tcPr>
          <w:p w14:paraId="7F5D34AC" w14:textId="3BA78A4A" w:rsidR="009832FC" w:rsidRPr="009832FC" w:rsidRDefault="009832FC" w:rsidP="009832FC">
            <w:pPr>
              <w:spacing w:before="0" w:after="0"/>
              <w:jc w:val="right"/>
              <w:rPr>
                <w:rFonts w:eastAsia="Calibri" w:cs="Calibri"/>
                <w:color w:val="000000"/>
                <w:sz w:val="18"/>
                <w:szCs w:val="24"/>
                <w:lang w:eastAsia="en-AU"/>
              </w:rPr>
            </w:pPr>
          </w:p>
        </w:tc>
      </w:tr>
      <w:tr w:rsidR="009832FC" w:rsidRPr="009832FC" w14:paraId="59A3631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563B67C9"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Expanding pharmacy services at The Canberra Hospital</w:t>
            </w:r>
          </w:p>
        </w:tc>
        <w:tc>
          <w:tcPr>
            <w:tcW w:w="1035" w:type="dxa"/>
            <w:tcBorders>
              <w:top w:val="nil"/>
              <w:left w:val="nil"/>
              <w:bottom w:val="nil"/>
              <w:right w:val="nil"/>
              <w:tl2br w:val="nil"/>
              <w:tr2bl w:val="nil"/>
            </w:tcBorders>
            <w:shd w:val="clear" w:color="auto" w:fill="auto"/>
            <w:noWrap/>
            <w:tcMar>
              <w:left w:w="101" w:type="dxa"/>
              <w:right w:w="101" w:type="dxa"/>
            </w:tcMar>
          </w:tcPr>
          <w:p w14:paraId="40096EE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(540)</w:t>
            </w:r>
          </w:p>
        </w:tc>
        <w:tc>
          <w:tcPr>
            <w:tcW w:w="1035" w:type="dxa"/>
            <w:tcBorders>
              <w:top w:val="nil"/>
              <w:left w:val="nil"/>
              <w:bottom w:val="nil"/>
              <w:right w:val="nil"/>
              <w:tl2br w:val="nil"/>
              <w:tr2bl w:val="nil"/>
            </w:tcBorders>
            <w:shd w:val="clear" w:color="auto" w:fill="auto"/>
            <w:noWrap/>
            <w:tcMar>
              <w:left w:w="101" w:type="dxa"/>
              <w:right w:w="101" w:type="dxa"/>
            </w:tcMar>
          </w:tcPr>
          <w:p w14:paraId="44EF4D9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(2 935)</w:t>
            </w:r>
          </w:p>
        </w:tc>
        <w:tc>
          <w:tcPr>
            <w:tcW w:w="1035" w:type="dxa"/>
            <w:tcBorders>
              <w:top w:val="nil"/>
              <w:left w:val="nil"/>
              <w:bottom w:val="nil"/>
              <w:right w:val="nil"/>
              <w:tl2br w:val="nil"/>
              <w:tr2bl w:val="nil"/>
            </w:tcBorders>
            <w:shd w:val="clear" w:color="auto" w:fill="auto"/>
            <w:noWrap/>
            <w:tcMar>
              <w:left w:w="101" w:type="dxa"/>
              <w:right w:w="161" w:type="dxa"/>
            </w:tcMar>
          </w:tcPr>
          <w:p w14:paraId="2B802E8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3 475</w:t>
            </w:r>
          </w:p>
        </w:tc>
        <w:tc>
          <w:tcPr>
            <w:tcW w:w="1035" w:type="dxa"/>
            <w:tcBorders>
              <w:top w:val="nil"/>
              <w:left w:val="nil"/>
              <w:bottom w:val="nil"/>
              <w:right w:val="nil"/>
              <w:tl2br w:val="nil"/>
              <w:tr2bl w:val="nil"/>
            </w:tcBorders>
            <w:shd w:val="clear" w:color="auto" w:fill="auto"/>
            <w:noWrap/>
            <w:tcMar>
              <w:left w:w="101" w:type="dxa"/>
              <w:right w:w="161" w:type="dxa"/>
            </w:tcMar>
          </w:tcPr>
          <w:p w14:paraId="6F861CB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708048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5872FD6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6C1C9F2D"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Expanding the Centenary Hospital for Women and Children</w:t>
            </w:r>
          </w:p>
        </w:tc>
        <w:tc>
          <w:tcPr>
            <w:tcW w:w="1035" w:type="dxa"/>
            <w:tcBorders>
              <w:top w:val="nil"/>
              <w:left w:val="nil"/>
              <w:bottom w:val="nil"/>
              <w:right w:val="nil"/>
              <w:tl2br w:val="nil"/>
              <w:tr2bl w:val="nil"/>
            </w:tcBorders>
            <w:shd w:val="clear" w:color="auto" w:fill="auto"/>
            <w:noWrap/>
            <w:tcMar>
              <w:left w:w="101" w:type="dxa"/>
              <w:right w:w="101" w:type="dxa"/>
            </w:tcMar>
          </w:tcPr>
          <w:p w14:paraId="211361E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(4 580)</w:t>
            </w:r>
          </w:p>
        </w:tc>
        <w:tc>
          <w:tcPr>
            <w:tcW w:w="1035" w:type="dxa"/>
            <w:tcBorders>
              <w:top w:val="nil"/>
              <w:left w:val="nil"/>
              <w:bottom w:val="nil"/>
              <w:right w:val="nil"/>
              <w:tl2br w:val="nil"/>
              <w:tr2bl w:val="nil"/>
            </w:tcBorders>
            <w:shd w:val="clear" w:color="auto" w:fill="auto"/>
            <w:noWrap/>
            <w:tcMar>
              <w:left w:w="101" w:type="dxa"/>
              <w:right w:w="101" w:type="dxa"/>
            </w:tcMar>
          </w:tcPr>
          <w:p w14:paraId="7FA0C68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(2 371)</w:t>
            </w:r>
          </w:p>
        </w:tc>
        <w:tc>
          <w:tcPr>
            <w:tcW w:w="1035" w:type="dxa"/>
            <w:tcBorders>
              <w:top w:val="nil"/>
              <w:left w:val="nil"/>
              <w:bottom w:val="nil"/>
              <w:right w:val="nil"/>
              <w:tl2br w:val="nil"/>
              <w:tr2bl w:val="nil"/>
            </w:tcBorders>
            <w:shd w:val="clear" w:color="auto" w:fill="auto"/>
            <w:noWrap/>
            <w:tcMar>
              <w:left w:w="101" w:type="dxa"/>
              <w:right w:w="161" w:type="dxa"/>
            </w:tcMar>
          </w:tcPr>
          <w:p w14:paraId="55EDAF9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6 951</w:t>
            </w:r>
          </w:p>
        </w:tc>
        <w:tc>
          <w:tcPr>
            <w:tcW w:w="1035" w:type="dxa"/>
            <w:tcBorders>
              <w:top w:val="nil"/>
              <w:left w:val="nil"/>
              <w:bottom w:val="nil"/>
              <w:right w:val="nil"/>
              <w:tl2br w:val="nil"/>
              <w:tr2bl w:val="nil"/>
            </w:tcBorders>
            <w:shd w:val="clear" w:color="auto" w:fill="auto"/>
            <w:noWrap/>
            <w:tcMar>
              <w:left w:w="101" w:type="dxa"/>
              <w:right w:w="161" w:type="dxa"/>
            </w:tcMar>
          </w:tcPr>
          <w:p w14:paraId="1A761FA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0AA184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3C60D09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4E6FC0BD"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Imaging services at the Weston Creek Walk-in Centre</w:t>
            </w:r>
          </w:p>
        </w:tc>
        <w:tc>
          <w:tcPr>
            <w:tcW w:w="1035" w:type="dxa"/>
            <w:tcBorders>
              <w:top w:val="nil"/>
              <w:left w:val="nil"/>
              <w:bottom w:val="nil"/>
              <w:right w:val="nil"/>
              <w:tl2br w:val="nil"/>
              <w:tr2bl w:val="nil"/>
            </w:tcBorders>
            <w:shd w:val="clear" w:color="auto" w:fill="auto"/>
            <w:noWrap/>
            <w:tcMar>
              <w:left w:w="101" w:type="dxa"/>
              <w:right w:w="101" w:type="dxa"/>
            </w:tcMar>
          </w:tcPr>
          <w:p w14:paraId="3042039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(660)</w:t>
            </w:r>
          </w:p>
        </w:tc>
        <w:tc>
          <w:tcPr>
            <w:tcW w:w="1035" w:type="dxa"/>
            <w:tcBorders>
              <w:top w:val="nil"/>
              <w:left w:val="nil"/>
              <w:bottom w:val="nil"/>
              <w:right w:val="nil"/>
              <w:tl2br w:val="nil"/>
              <w:tr2bl w:val="nil"/>
            </w:tcBorders>
            <w:shd w:val="clear" w:color="auto" w:fill="auto"/>
            <w:noWrap/>
            <w:tcMar>
              <w:left w:w="101" w:type="dxa"/>
              <w:right w:w="101" w:type="dxa"/>
            </w:tcMar>
          </w:tcPr>
          <w:p w14:paraId="6F90145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(2 548)</w:t>
            </w:r>
          </w:p>
        </w:tc>
        <w:tc>
          <w:tcPr>
            <w:tcW w:w="1035" w:type="dxa"/>
            <w:tcBorders>
              <w:top w:val="nil"/>
              <w:left w:val="nil"/>
              <w:bottom w:val="nil"/>
              <w:right w:val="nil"/>
              <w:tl2br w:val="nil"/>
              <w:tr2bl w:val="nil"/>
            </w:tcBorders>
            <w:shd w:val="clear" w:color="auto" w:fill="auto"/>
            <w:noWrap/>
            <w:tcMar>
              <w:left w:w="101" w:type="dxa"/>
              <w:right w:w="161" w:type="dxa"/>
            </w:tcMar>
          </w:tcPr>
          <w:p w14:paraId="056923B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3 208</w:t>
            </w:r>
          </w:p>
        </w:tc>
        <w:tc>
          <w:tcPr>
            <w:tcW w:w="1035" w:type="dxa"/>
            <w:tcBorders>
              <w:top w:val="nil"/>
              <w:left w:val="nil"/>
              <w:bottom w:val="nil"/>
              <w:right w:val="nil"/>
              <w:tl2br w:val="nil"/>
              <w:tr2bl w:val="nil"/>
            </w:tcBorders>
            <w:shd w:val="clear" w:color="auto" w:fill="auto"/>
            <w:noWrap/>
            <w:tcMar>
              <w:left w:w="101" w:type="dxa"/>
              <w:right w:w="161" w:type="dxa"/>
            </w:tcMar>
          </w:tcPr>
          <w:p w14:paraId="2D8B58A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5D3E0B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4ABA18C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692EA085"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Improved Infrastructure for Acute Aged Care and Cancer Inpatients</w:t>
            </w:r>
          </w:p>
        </w:tc>
        <w:tc>
          <w:tcPr>
            <w:tcW w:w="1035" w:type="dxa"/>
            <w:tcBorders>
              <w:top w:val="nil"/>
              <w:left w:val="nil"/>
              <w:bottom w:val="nil"/>
              <w:right w:val="nil"/>
              <w:tl2br w:val="nil"/>
              <w:tr2bl w:val="nil"/>
            </w:tcBorders>
            <w:shd w:val="clear" w:color="auto" w:fill="auto"/>
            <w:noWrap/>
            <w:tcMar>
              <w:left w:w="101" w:type="dxa"/>
              <w:right w:w="101" w:type="dxa"/>
            </w:tcMar>
          </w:tcPr>
          <w:p w14:paraId="3CD0F79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(1 135)</w:t>
            </w:r>
          </w:p>
        </w:tc>
        <w:tc>
          <w:tcPr>
            <w:tcW w:w="1035" w:type="dxa"/>
            <w:tcBorders>
              <w:top w:val="nil"/>
              <w:left w:val="nil"/>
              <w:bottom w:val="nil"/>
              <w:right w:val="nil"/>
              <w:tl2br w:val="nil"/>
              <w:tr2bl w:val="nil"/>
            </w:tcBorders>
            <w:shd w:val="clear" w:color="auto" w:fill="auto"/>
            <w:noWrap/>
            <w:tcMar>
              <w:left w:w="101" w:type="dxa"/>
              <w:right w:w="161" w:type="dxa"/>
            </w:tcMar>
          </w:tcPr>
          <w:p w14:paraId="37B73D9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1 135</w:t>
            </w:r>
          </w:p>
        </w:tc>
        <w:tc>
          <w:tcPr>
            <w:tcW w:w="1035" w:type="dxa"/>
            <w:tcBorders>
              <w:top w:val="nil"/>
              <w:left w:val="nil"/>
              <w:bottom w:val="nil"/>
              <w:right w:val="nil"/>
              <w:tl2br w:val="nil"/>
              <w:tr2bl w:val="nil"/>
            </w:tcBorders>
            <w:shd w:val="clear" w:color="auto" w:fill="auto"/>
            <w:noWrap/>
            <w:tcMar>
              <w:left w:w="101" w:type="dxa"/>
              <w:right w:w="161" w:type="dxa"/>
            </w:tcMar>
          </w:tcPr>
          <w:p w14:paraId="0BC191C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C018E2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2B73D5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5DDD99A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6054D3F8"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More mental health services at The Canberra Hospital</w:t>
            </w:r>
          </w:p>
        </w:tc>
        <w:tc>
          <w:tcPr>
            <w:tcW w:w="1035" w:type="dxa"/>
            <w:tcBorders>
              <w:top w:val="nil"/>
              <w:left w:val="nil"/>
              <w:bottom w:val="nil"/>
              <w:right w:val="nil"/>
              <w:tl2br w:val="nil"/>
              <w:tr2bl w:val="nil"/>
            </w:tcBorders>
            <w:shd w:val="clear" w:color="auto" w:fill="auto"/>
            <w:noWrap/>
            <w:tcMar>
              <w:left w:w="101" w:type="dxa"/>
              <w:right w:w="101" w:type="dxa"/>
            </w:tcMar>
          </w:tcPr>
          <w:p w14:paraId="3154CDD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(2 015)</w:t>
            </w:r>
          </w:p>
        </w:tc>
        <w:tc>
          <w:tcPr>
            <w:tcW w:w="1035" w:type="dxa"/>
            <w:tcBorders>
              <w:top w:val="nil"/>
              <w:left w:val="nil"/>
              <w:bottom w:val="nil"/>
              <w:right w:val="nil"/>
              <w:tl2br w:val="nil"/>
              <w:tr2bl w:val="nil"/>
            </w:tcBorders>
            <w:shd w:val="clear" w:color="auto" w:fill="auto"/>
            <w:noWrap/>
            <w:tcMar>
              <w:left w:w="101" w:type="dxa"/>
              <w:right w:w="161" w:type="dxa"/>
            </w:tcMar>
          </w:tcPr>
          <w:p w14:paraId="1D69E83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2 015</w:t>
            </w:r>
          </w:p>
        </w:tc>
        <w:tc>
          <w:tcPr>
            <w:tcW w:w="1035" w:type="dxa"/>
            <w:tcBorders>
              <w:top w:val="nil"/>
              <w:left w:val="nil"/>
              <w:bottom w:val="nil"/>
              <w:right w:val="nil"/>
              <w:tl2br w:val="nil"/>
              <w:tr2bl w:val="nil"/>
            </w:tcBorders>
            <w:shd w:val="clear" w:color="auto" w:fill="auto"/>
            <w:noWrap/>
            <w:tcMar>
              <w:left w:w="101" w:type="dxa"/>
              <w:right w:w="161" w:type="dxa"/>
            </w:tcMar>
          </w:tcPr>
          <w:p w14:paraId="02FEF69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A4648C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5620EC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426F180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195CCDDA"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More public medical imaging services for Canberra Hospital</w:t>
            </w:r>
          </w:p>
        </w:tc>
        <w:tc>
          <w:tcPr>
            <w:tcW w:w="1035" w:type="dxa"/>
            <w:tcBorders>
              <w:top w:val="nil"/>
              <w:left w:val="nil"/>
              <w:bottom w:val="nil"/>
              <w:right w:val="nil"/>
              <w:tl2br w:val="nil"/>
              <w:tr2bl w:val="nil"/>
            </w:tcBorders>
            <w:shd w:val="clear" w:color="auto" w:fill="auto"/>
            <w:noWrap/>
            <w:tcMar>
              <w:left w:w="101" w:type="dxa"/>
              <w:right w:w="101" w:type="dxa"/>
            </w:tcMar>
          </w:tcPr>
          <w:p w14:paraId="1851D56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(891)</w:t>
            </w:r>
          </w:p>
        </w:tc>
        <w:tc>
          <w:tcPr>
            <w:tcW w:w="1035" w:type="dxa"/>
            <w:tcBorders>
              <w:top w:val="nil"/>
              <w:left w:val="nil"/>
              <w:bottom w:val="nil"/>
              <w:right w:val="nil"/>
              <w:tl2br w:val="nil"/>
              <w:tr2bl w:val="nil"/>
            </w:tcBorders>
            <w:shd w:val="clear" w:color="auto" w:fill="auto"/>
            <w:noWrap/>
            <w:tcMar>
              <w:left w:w="101" w:type="dxa"/>
              <w:right w:w="101" w:type="dxa"/>
            </w:tcMar>
          </w:tcPr>
          <w:p w14:paraId="1675770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(6 000)</w:t>
            </w:r>
          </w:p>
        </w:tc>
        <w:tc>
          <w:tcPr>
            <w:tcW w:w="1035" w:type="dxa"/>
            <w:tcBorders>
              <w:top w:val="nil"/>
              <w:left w:val="nil"/>
              <w:bottom w:val="nil"/>
              <w:right w:val="nil"/>
              <w:tl2br w:val="nil"/>
              <w:tr2bl w:val="nil"/>
            </w:tcBorders>
            <w:shd w:val="clear" w:color="auto" w:fill="auto"/>
            <w:noWrap/>
            <w:tcMar>
              <w:left w:w="101" w:type="dxa"/>
              <w:right w:w="161" w:type="dxa"/>
            </w:tcMar>
          </w:tcPr>
          <w:p w14:paraId="3364763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4 991</w:t>
            </w:r>
          </w:p>
        </w:tc>
        <w:tc>
          <w:tcPr>
            <w:tcW w:w="1035" w:type="dxa"/>
            <w:tcBorders>
              <w:top w:val="nil"/>
              <w:left w:val="nil"/>
              <w:bottom w:val="nil"/>
              <w:right w:val="nil"/>
              <w:tl2br w:val="nil"/>
              <w:tr2bl w:val="nil"/>
            </w:tcBorders>
            <w:shd w:val="clear" w:color="auto" w:fill="auto"/>
            <w:noWrap/>
            <w:tcMar>
              <w:left w:w="101" w:type="dxa"/>
              <w:right w:w="161" w:type="dxa"/>
            </w:tcMar>
          </w:tcPr>
          <w:p w14:paraId="30176BE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1 900</w:t>
            </w:r>
          </w:p>
        </w:tc>
        <w:tc>
          <w:tcPr>
            <w:tcW w:w="1035" w:type="dxa"/>
            <w:tcBorders>
              <w:top w:val="nil"/>
              <w:left w:val="nil"/>
              <w:bottom w:val="nil"/>
              <w:right w:val="nil"/>
              <w:tl2br w:val="nil"/>
              <w:tr2bl w:val="nil"/>
            </w:tcBorders>
            <w:shd w:val="clear" w:color="auto" w:fill="auto"/>
            <w:noWrap/>
            <w:tcMar>
              <w:left w:w="101" w:type="dxa"/>
              <w:right w:w="161" w:type="dxa"/>
            </w:tcMar>
          </w:tcPr>
          <w:p w14:paraId="0D92590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33A2952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3AFA5369"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Opioid treatment services on Canberra’s northside</w:t>
            </w:r>
          </w:p>
        </w:tc>
        <w:tc>
          <w:tcPr>
            <w:tcW w:w="1035" w:type="dxa"/>
            <w:tcBorders>
              <w:top w:val="nil"/>
              <w:left w:val="nil"/>
              <w:bottom w:val="nil"/>
              <w:right w:val="nil"/>
              <w:tl2br w:val="nil"/>
              <w:tr2bl w:val="nil"/>
            </w:tcBorders>
            <w:shd w:val="clear" w:color="auto" w:fill="auto"/>
            <w:noWrap/>
            <w:tcMar>
              <w:left w:w="101" w:type="dxa"/>
              <w:right w:w="101" w:type="dxa"/>
            </w:tcMar>
          </w:tcPr>
          <w:p w14:paraId="305EAED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(36)</w:t>
            </w:r>
          </w:p>
        </w:tc>
        <w:tc>
          <w:tcPr>
            <w:tcW w:w="1035" w:type="dxa"/>
            <w:tcBorders>
              <w:top w:val="nil"/>
              <w:left w:val="nil"/>
              <w:bottom w:val="nil"/>
              <w:right w:val="nil"/>
              <w:tl2br w:val="nil"/>
              <w:tr2bl w:val="nil"/>
            </w:tcBorders>
            <w:shd w:val="clear" w:color="auto" w:fill="auto"/>
            <w:noWrap/>
            <w:tcMar>
              <w:left w:w="101" w:type="dxa"/>
              <w:right w:w="161" w:type="dxa"/>
            </w:tcMar>
          </w:tcPr>
          <w:p w14:paraId="3B6599A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3C4CD6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36</w:t>
            </w:r>
          </w:p>
        </w:tc>
        <w:tc>
          <w:tcPr>
            <w:tcW w:w="1035" w:type="dxa"/>
            <w:tcBorders>
              <w:top w:val="nil"/>
              <w:left w:val="nil"/>
              <w:bottom w:val="nil"/>
              <w:right w:val="nil"/>
              <w:tl2br w:val="nil"/>
              <w:tr2bl w:val="nil"/>
            </w:tcBorders>
            <w:shd w:val="clear" w:color="auto" w:fill="auto"/>
            <w:noWrap/>
            <w:tcMar>
              <w:left w:w="101" w:type="dxa"/>
              <w:right w:w="161" w:type="dxa"/>
            </w:tcMar>
          </w:tcPr>
          <w:p w14:paraId="7008963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476FBB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11F8E89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7F401F66"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Sterilising Services - Relocation and upgrade</w:t>
            </w:r>
          </w:p>
        </w:tc>
        <w:tc>
          <w:tcPr>
            <w:tcW w:w="1035" w:type="dxa"/>
            <w:tcBorders>
              <w:top w:val="nil"/>
              <w:left w:val="nil"/>
              <w:bottom w:val="nil"/>
              <w:right w:val="nil"/>
              <w:tl2br w:val="nil"/>
              <w:tr2bl w:val="nil"/>
            </w:tcBorders>
            <w:shd w:val="clear" w:color="auto" w:fill="auto"/>
            <w:noWrap/>
            <w:tcMar>
              <w:left w:w="101" w:type="dxa"/>
              <w:right w:w="101" w:type="dxa"/>
            </w:tcMar>
          </w:tcPr>
          <w:p w14:paraId="5A019B6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(190)</w:t>
            </w:r>
          </w:p>
        </w:tc>
        <w:tc>
          <w:tcPr>
            <w:tcW w:w="1035" w:type="dxa"/>
            <w:tcBorders>
              <w:top w:val="nil"/>
              <w:left w:val="nil"/>
              <w:bottom w:val="nil"/>
              <w:right w:val="nil"/>
              <w:tl2br w:val="nil"/>
              <w:tr2bl w:val="nil"/>
            </w:tcBorders>
            <w:shd w:val="clear" w:color="auto" w:fill="auto"/>
            <w:noWrap/>
            <w:tcMar>
              <w:left w:w="101" w:type="dxa"/>
              <w:right w:w="161" w:type="dxa"/>
            </w:tcMar>
          </w:tcPr>
          <w:p w14:paraId="0AB3379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190</w:t>
            </w:r>
          </w:p>
        </w:tc>
        <w:tc>
          <w:tcPr>
            <w:tcW w:w="1035" w:type="dxa"/>
            <w:tcBorders>
              <w:top w:val="nil"/>
              <w:left w:val="nil"/>
              <w:bottom w:val="nil"/>
              <w:right w:val="nil"/>
              <w:tl2br w:val="nil"/>
              <w:tr2bl w:val="nil"/>
            </w:tcBorders>
            <w:shd w:val="clear" w:color="auto" w:fill="auto"/>
            <w:noWrap/>
            <w:tcMar>
              <w:left w:w="101" w:type="dxa"/>
              <w:right w:w="161" w:type="dxa"/>
            </w:tcMar>
          </w:tcPr>
          <w:p w14:paraId="1868D47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8AC3BB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27C9F5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5B9E579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14FF3CCD"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The Canberra Hospital - Essential infrastructure and engineering works</w:t>
            </w:r>
          </w:p>
        </w:tc>
        <w:tc>
          <w:tcPr>
            <w:tcW w:w="1035" w:type="dxa"/>
            <w:tcBorders>
              <w:top w:val="nil"/>
              <w:left w:val="nil"/>
              <w:bottom w:val="nil"/>
              <w:right w:val="nil"/>
              <w:tl2br w:val="nil"/>
              <w:tr2bl w:val="nil"/>
            </w:tcBorders>
            <w:shd w:val="clear" w:color="auto" w:fill="auto"/>
            <w:noWrap/>
            <w:tcMar>
              <w:left w:w="101" w:type="dxa"/>
              <w:right w:w="101" w:type="dxa"/>
            </w:tcMar>
          </w:tcPr>
          <w:p w14:paraId="1ECC3F7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(658)</w:t>
            </w:r>
          </w:p>
        </w:tc>
        <w:tc>
          <w:tcPr>
            <w:tcW w:w="1035" w:type="dxa"/>
            <w:tcBorders>
              <w:top w:val="nil"/>
              <w:left w:val="nil"/>
              <w:bottom w:val="nil"/>
              <w:right w:val="nil"/>
              <w:tl2br w:val="nil"/>
              <w:tr2bl w:val="nil"/>
            </w:tcBorders>
            <w:shd w:val="clear" w:color="auto" w:fill="auto"/>
            <w:noWrap/>
            <w:tcMar>
              <w:left w:w="101" w:type="dxa"/>
              <w:right w:w="161" w:type="dxa"/>
            </w:tcMar>
          </w:tcPr>
          <w:p w14:paraId="1CAAAA0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108</w:t>
            </w:r>
          </w:p>
        </w:tc>
        <w:tc>
          <w:tcPr>
            <w:tcW w:w="1035" w:type="dxa"/>
            <w:tcBorders>
              <w:top w:val="nil"/>
              <w:left w:val="nil"/>
              <w:bottom w:val="nil"/>
              <w:right w:val="nil"/>
              <w:tl2br w:val="nil"/>
              <w:tr2bl w:val="nil"/>
            </w:tcBorders>
            <w:shd w:val="clear" w:color="auto" w:fill="auto"/>
            <w:noWrap/>
            <w:tcMar>
              <w:left w:w="101" w:type="dxa"/>
              <w:right w:w="161" w:type="dxa"/>
            </w:tcMar>
          </w:tcPr>
          <w:p w14:paraId="5A493EB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550</w:t>
            </w:r>
          </w:p>
        </w:tc>
        <w:tc>
          <w:tcPr>
            <w:tcW w:w="1035" w:type="dxa"/>
            <w:tcBorders>
              <w:top w:val="nil"/>
              <w:left w:val="nil"/>
              <w:bottom w:val="nil"/>
              <w:right w:val="nil"/>
              <w:tl2br w:val="nil"/>
              <w:tr2bl w:val="nil"/>
            </w:tcBorders>
            <w:shd w:val="clear" w:color="auto" w:fill="auto"/>
            <w:noWrap/>
            <w:tcMar>
              <w:left w:w="101" w:type="dxa"/>
              <w:right w:w="161" w:type="dxa"/>
            </w:tcMar>
          </w:tcPr>
          <w:p w14:paraId="46F87F9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644E1F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70CBB25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6493FE6B"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University of Canberra Public Hospital</w:t>
            </w:r>
          </w:p>
        </w:tc>
        <w:tc>
          <w:tcPr>
            <w:tcW w:w="1035" w:type="dxa"/>
            <w:tcBorders>
              <w:top w:val="nil"/>
              <w:left w:val="nil"/>
              <w:bottom w:val="nil"/>
              <w:right w:val="nil"/>
              <w:tl2br w:val="nil"/>
              <w:tr2bl w:val="nil"/>
            </w:tcBorders>
            <w:shd w:val="clear" w:color="auto" w:fill="auto"/>
            <w:noWrap/>
            <w:tcMar>
              <w:left w:w="101" w:type="dxa"/>
              <w:right w:w="101" w:type="dxa"/>
            </w:tcMar>
          </w:tcPr>
          <w:p w14:paraId="1C944DA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(800)</w:t>
            </w:r>
          </w:p>
        </w:tc>
        <w:tc>
          <w:tcPr>
            <w:tcW w:w="1035" w:type="dxa"/>
            <w:tcBorders>
              <w:top w:val="nil"/>
              <w:left w:val="nil"/>
              <w:bottom w:val="nil"/>
              <w:right w:val="nil"/>
              <w:tl2br w:val="nil"/>
              <w:tr2bl w:val="nil"/>
            </w:tcBorders>
            <w:shd w:val="clear" w:color="auto" w:fill="auto"/>
            <w:noWrap/>
            <w:tcMar>
              <w:left w:w="101" w:type="dxa"/>
              <w:right w:w="161" w:type="dxa"/>
            </w:tcMar>
          </w:tcPr>
          <w:p w14:paraId="0073C00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800</w:t>
            </w:r>
          </w:p>
        </w:tc>
        <w:tc>
          <w:tcPr>
            <w:tcW w:w="1035" w:type="dxa"/>
            <w:tcBorders>
              <w:top w:val="nil"/>
              <w:left w:val="nil"/>
              <w:bottom w:val="nil"/>
              <w:right w:val="nil"/>
              <w:tl2br w:val="nil"/>
              <w:tr2bl w:val="nil"/>
            </w:tcBorders>
            <w:shd w:val="clear" w:color="auto" w:fill="auto"/>
            <w:noWrap/>
            <w:tcMar>
              <w:left w:w="101" w:type="dxa"/>
              <w:right w:w="161" w:type="dxa"/>
            </w:tcMar>
          </w:tcPr>
          <w:p w14:paraId="739ACDD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4D8AB1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72991D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268A2ED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51850B38"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University of Canberra Public Hospital Car Park</w:t>
            </w:r>
          </w:p>
        </w:tc>
        <w:tc>
          <w:tcPr>
            <w:tcW w:w="1035" w:type="dxa"/>
            <w:tcBorders>
              <w:top w:val="nil"/>
              <w:left w:val="nil"/>
              <w:bottom w:val="nil"/>
              <w:right w:val="nil"/>
              <w:tl2br w:val="nil"/>
              <w:tr2bl w:val="nil"/>
            </w:tcBorders>
            <w:shd w:val="clear" w:color="auto" w:fill="auto"/>
            <w:noWrap/>
            <w:tcMar>
              <w:left w:w="101" w:type="dxa"/>
              <w:right w:w="101" w:type="dxa"/>
            </w:tcMar>
          </w:tcPr>
          <w:p w14:paraId="780C40E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(307)</w:t>
            </w:r>
          </w:p>
        </w:tc>
        <w:tc>
          <w:tcPr>
            <w:tcW w:w="1035" w:type="dxa"/>
            <w:tcBorders>
              <w:top w:val="nil"/>
              <w:left w:val="nil"/>
              <w:bottom w:val="nil"/>
              <w:right w:val="nil"/>
              <w:tl2br w:val="nil"/>
              <w:tr2bl w:val="nil"/>
            </w:tcBorders>
            <w:shd w:val="clear" w:color="auto" w:fill="auto"/>
            <w:noWrap/>
            <w:tcMar>
              <w:left w:w="101" w:type="dxa"/>
              <w:right w:w="161" w:type="dxa"/>
            </w:tcMar>
          </w:tcPr>
          <w:p w14:paraId="0923BF4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307</w:t>
            </w:r>
          </w:p>
        </w:tc>
        <w:tc>
          <w:tcPr>
            <w:tcW w:w="1035" w:type="dxa"/>
            <w:tcBorders>
              <w:top w:val="nil"/>
              <w:left w:val="nil"/>
              <w:bottom w:val="nil"/>
              <w:right w:val="nil"/>
              <w:tl2br w:val="nil"/>
              <w:tr2bl w:val="nil"/>
            </w:tcBorders>
            <w:shd w:val="clear" w:color="auto" w:fill="auto"/>
            <w:noWrap/>
            <w:tcMar>
              <w:left w:w="101" w:type="dxa"/>
              <w:right w:w="161" w:type="dxa"/>
            </w:tcMar>
          </w:tcPr>
          <w:p w14:paraId="3B6DF84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4DBCFA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FBA3B8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1A80113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1E33B990"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Upgrade and refurbishment of buildings at Canberra Hospital</w:t>
            </w:r>
          </w:p>
        </w:tc>
        <w:tc>
          <w:tcPr>
            <w:tcW w:w="1035" w:type="dxa"/>
            <w:tcBorders>
              <w:top w:val="nil"/>
              <w:left w:val="nil"/>
              <w:bottom w:val="nil"/>
              <w:right w:val="nil"/>
              <w:tl2br w:val="nil"/>
              <w:tr2bl w:val="nil"/>
            </w:tcBorders>
            <w:shd w:val="clear" w:color="auto" w:fill="auto"/>
            <w:noWrap/>
            <w:tcMar>
              <w:left w:w="101" w:type="dxa"/>
              <w:right w:w="161" w:type="dxa"/>
            </w:tcMar>
          </w:tcPr>
          <w:p w14:paraId="4162796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79D8C8D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(2 000)</w:t>
            </w:r>
          </w:p>
        </w:tc>
        <w:tc>
          <w:tcPr>
            <w:tcW w:w="1035" w:type="dxa"/>
            <w:tcBorders>
              <w:top w:val="nil"/>
              <w:left w:val="nil"/>
              <w:bottom w:val="nil"/>
              <w:right w:val="nil"/>
              <w:tl2br w:val="nil"/>
              <w:tr2bl w:val="nil"/>
            </w:tcBorders>
            <w:shd w:val="clear" w:color="auto" w:fill="auto"/>
            <w:noWrap/>
            <w:tcMar>
              <w:left w:w="101" w:type="dxa"/>
              <w:right w:w="161" w:type="dxa"/>
            </w:tcMar>
          </w:tcPr>
          <w:p w14:paraId="0C9F0C6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2 000</w:t>
            </w:r>
          </w:p>
        </w:tc>
        <w:tc>
          <w:tcPr>
            <w:tcW w:w="1035" w:type="dxa"/>
            <w:tcBorders>
              <w:top w:val="nil"/>
              <w:left w:val="nil"/>
              <w:bottom w:val="nil"/>
              <w:right w:val="nil"/>
              <w:tl2br w:val="nil"/>
              <w:tr2bl w:val="nil"/>
            </w:tcBorders>
            <w:shd w:val="clear" w:color="auto" w:fill="auto"/>
            <w:noWrap/>
            <w:tcMar>
              <w:left w:w="101" w:type="dxa"/>
              <w:right w:w="161" w:type="dxa"/>
            </w:tcMar>
          </w:tcPr>
          <w:p w14:paraId="4CAB626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5EB9A0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5386BDD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3E219106"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Upgrade and Refurbishment of Critical Buildings at Canberra Hospital</w:t>
            </w:r>
          </w:p>
        </w:tc>
        <w:tc>
          <w:tcPr>
            <w:tcW w:w="1035" w:type="dxa"/>
            <w:tcBorders>
              <w:top w:val="nil"/>
              <w:left w:val="nil"/>
              <w:bottom w:val="nil"/>
              <w:right w:val="nil"/>
              <w:tl2br w:val="nil"/>
              <w:tr2bl w:val="nil"/>
            </w:tcBorders>
            <w:shd w:val="clear" w:color="auto" w:fill="auto"/>
            <w:noWrap/>
            <w:tcMar>
              <w:left w:w="101" w:type="dxa"/>
              <w:right w:w="101" w:type="dxa"/>
            </w:tcMar>
          </w:tcPr>
          <w:p w14:paraId="28C55A7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(1 000)</w:t>
            </w:r>
          </w:p>
        </w:tc>
        <w:tc>
          <w:tcPr>
            <w:tcW w:w="1035" w:type="dxa"/>
            <w:tcBorders>
              <w:top w:val="nil"/>
              <w:left w:val="nil"/>
              <w:bottom w:val="nil"/>
              <w:right w:val="nil"/>
              <w:tl2br w:val="nil"/>
              <w:tr2bl w:val="nil"/>
            </w:tcBorders>
            <w:shd w:val="clear" w:color="auto" w:fill="auto"/>
            <w:noWrap/>
            <w:tcMar>
              <w:left w:w="101" w:type="dxa"/>
              <w:right w:w="101" w:type="dxa"/>
            </w:tcMar>
          </w:tcPr>
          <w:p w14:paraId="362B4A9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(700)</w:t>
            </w:r>
          </w:p>
        </w:tc>
        <w:tc>
          <w:tcPr>
            <w:tcW w:w="1035" w:type="dxa"/>
            <w:tcBorders>
              <w:top w:val="nil"/>
              <w:left w:val="nil"/>
              <w:bottom w:val="nil"/>
              <w:right w:val="nil"/>
              <w:tl2br w:val="nil"/>
              <w:tr2bl w:val="nil"/>
            </w:tcBorders>
            <w:shd w:val="clear" w:color="auto" w:fill="auto"/>
            <w:noWrap/>
            <w:tcMar>
              <w:left w:w="101" w:type="dxa"/>
              <w:right w:w="161" w:type="dxa"/>
            </w:tcMar>
          </w:tcPr>
          <w:p w14:paraId="35D841E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1 700</w:t>
            </w:r>
          </w:p>
        </w:tc>
        <w:tc>
          <w:tcPr>
            <w:tcW w:w="1035" w:type="dxa"/>
            <w:tcBorders>
              <w:top w:val="nil"/>
              <w:left w:val="nil"/>
              <w:bottom w:val="nil"/>
              <w:right w:val="nil"/>
              <w:tl2br w:val="nil"/>
              <w:tr2bl w:val="nil"/>
            </w:tcBorders>
            <w:shd w:val="clear" w:color="auto" w:fill="auto"/>
            <w:noWrap/>
            <w:tcMar>
              <w:left w:w="101" w:type="dxa"/>
              <w:right w:w="161" w:type="dxa"/>
            </w:tcMar>
          </w:tcPr>
          <w:p w14:paraId="4465926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7AEAF4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267D20A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732D976D"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Funding Profile - Walk-in health centre - Coombs pilot</w:t>
            </w:r>
          </w:p>
        </w:tc>
        <w:tc>
          <w:tcPr>
            <w:tcW w:w="1035" w:type="dxa"/>
            <w:tcBorders>
              <w:top w:val="nil"/>
              <w:left w:val="nil"/>
              <w:bottom w:val="nil"/>
              <w:right w:val="nil"/>
              <w:tl2br w:val="nil"/>
              <w:tr2bl w:val="nil"/>
            </w:tcBorders>
            <w:shd w:val="clear" w:color="auto" w:fill="auto"/>
            <w:noWrap/>
            <w:tcMar>
              <w:left w:w="101" w:type="dxa"/>
              <w:right w:w="101" w:type="dxa"/>
            </w:tcMar>
          </w:tcPr>
          <w:p w14:paraId="371724E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(250)</w:t>
            </w:r>
          </w:p>
        </w:tc>
        <w:tc>
          <w:tcPr>
            <w:tcW w:w="1035" w:type="dxa"/>
            <w:tcBorders>
              <w:top w:val="nil"/>
              <w:left w:val="nil"/>
              <w:bottom w:val="nil"/>
              <w:right w:val="nil"/>
              <w:tl2br w:val="nil"/>
              <w:tr2bl w:val="nil"/>
            </w:tcBorders>
            <w:shd w:val="clear" w:color="auto" w:fill="auto"/>
            <w:noWrap/>
            <w:tcMar>
              <w:left w:w="101" w:type="dxa"/>
              <w:right w:w="161" w:type="dxa"/>
            </w:tcMar>
          </w:tcPr>
          <w:p w14:paraId="0DEEEEB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250</w:t>
            </w:r>
          </w:p>
        </w:tc>
        <w:tc>
          <w:tcPr>
            <w:tcW w:w="1035" w:type="dxa"/>
            <w:tcBorders>
              <w:top w:val="nil"/>
              <w:left w:val="nil"/>
              <w:bottom w:val="nil"/>
              <w:right w:val="nil"/>
              <w:tl2br w:val="nil"/>
              <w:tr2bl w:val="nil"/>
            </w:tcBorders>
            <w:shd w:val="clear" w:color="auto" w:fill="auto"/>
            <w:noWrap/>
            <w:tcMar>
              <w:left w:w="101" w:type="dxa"/>
              <w:right w:w="161" w:type="dxa"/>
            </w:tcMar>
          </w:tcPr>
          <w:p w14:paraId="2248723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052875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91FDD6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7491432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70" w:type="dxa"/>
            <w:tcBorders>
              <w:top w:val="nil"/>
              <w:left w:val="nil"/>
              <w:bottom w:val="nil"/>
              <w:right w:val="nil"/>
              <w:tl2br w:val="nil"/>
              <w:tr2bl w:val="nil"/>
            </w:tcBorders>
            <w:shd w:val="clear" w:color="auto" w:fill="auto"/>
            <w:tcMar>
              <w:left w:w="101" w:type="dxa"/>
              <w:right w:w="101" w:type="dxa"/>
            </w:tcMar>
          </w:tcPr>
          <w:p w14:paraId="295B03B5"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Revised Indexation Parameters - Better Infrastructure Fund</w:t>
            </w:r>
          </w:p>
        </w:tc>
        <w:tc>
          <w:tcPr>
            <w:tcW w:w="1035" w:type="dxa"/>
            <w:tcBorders>
              <w:top w:val="nil"/>
              <w:left w:val="nil"/>
              <w:bottom w:val="nil"/>
              <w:right w:val="nil"/>
              <w:tl2br w:val="nil"/>
              <w:tr2bl w:val="nil"/>
            </w:tcBorders>
            <w:shd w:val="clear" w:color="auto" w:fill="auto"/>
            <w:noWrap/>
            <w:tcMar>
              <w:left w:w="101" w:type="dxa"/>
              <w:right w:w="161" w:type="dxa"/>
            </w:tcMar>
          </w:tcPr>
          <w:p w14:paraId="23AA0A7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D5FB37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B75E12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44C9DF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A5406A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111</w:t>
            </w:r>
          </w:p>
        </w:tc>
      </w:tr>
      <w:tr w:rsidR="009832FC" w:rsidRPr="009832FC" w14:paraId="72D90D3C" w14:textId="77777777" w:rsidTr="00EF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170" w:type="dxa"/>
            <w:tcBorders>
              <w:top w:val="nil"/>
              <w:left w:val="nil"/>
              <w:bottom w:val="nil"/>
              <w:right w:val="nil"/>
              <w:tl2br w:val="nil"/>
              <w:tr2bl w:val="nil"/>
            </w:tcBorders>
            <w:shd w:val="clear" w:color="auto" w:fill="auto"/>
            <w:tcMar>
              <w:left w:w="101" w:type="dxa"/>
              <w:right w:w="101" w:type="dxa"/>
            </w:tcMar>
          </w:tcPr>
          <w:p w14:paraId="03C96E36"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Undrawn Funds</w:t>
            </w:r>
          </w:p>
        </w:tc>
        <w:tc>
          <w:tcPr>
            <w:tcW w:w="1035" w:type="dxa"/>
            <w:tcBorders>
              <w:top w:val="nil"/>
              <w:left w:val="nil"/>
              <w:bottom w:val="nil"/>
              <w:right w:val="nil"/>
              <w:tl2br w:val="nil"/>
              <w:tr2bl w:val="nil"/>
            </w:tcBorders>
            <w:shd w:val="clear" w:color="auto" w:fill="auto"/>
            <w:noWrap/>
            <w:tcMar>
              <w:left w:w="101" w:type="dxa"/>
              <w:right w:w="161" w:type="dxa"/>
            </w:tcMar>
          </w:tcPr>
          <w:p w14:paraId="6195AEA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(241)</w:t>
            </w:r>
          </w:p>
        </w:tc>
        <w:tc>
          <w:tcPr>
            <w:tcW w:w="1035" w:type="dxa"/>
            <w:tcBorders>
              <w:top w:val="nil"/>
              <w:left w:val="nil"/>
              <w:bottom w:val="nil"/>
              <w:right w:val="nil"/>
              <w:tl2br w:val="nil"/>
              <w:tr2bl w:val="nil"/>
            </w:tcBorders>
            <w:shd w:val="clear" w:color="auto" w:fill="auto"/>
            <w:noWrap/>
            <w:tcMar>
              <w:left w:w="101" w:type="dxa"/>
              <w:right w:w="161" w:type="dxa"/>
            </w:tcMar>
          </w:tcPr>
          <w:p w14:paraId="465A673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5361F9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867AF3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CB8A68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r>
      <w:tr w:rsidR="009832FC" w:rsidRPr="009832FC" w14:paraId="23B237B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17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BDDBD9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4BF415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83B821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DFBCA5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F8E0E6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7CA3723"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5543C1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170"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71161F2"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2021-22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40E7464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53 120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0380B31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67 847</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7B635F4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73 045</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2E4A420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11 034</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71D3619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4 545</w:t>
            </w:r>
          </w:p>
        </w:tc>
      </w:tr>
    </w:tbl>
    <w:p w14:paraId="1B9234F8" w14:textId="77777777" w:rsidR="009832FC" w:rsidRPr="009832FC" w:rsidRDefault="009832FC" w:rsidP="009832FC">
      <w:pPr>
        <w:keepNext/>
        <w:pageBreakBefore/>
        <w:pBdr>
          <w:top w:val="nil"/>
          <w:left w:val="nil"/>
          <w:bottom w:val="nil"/>
          <w:right w:val="nil"/>
          <w:between w:val="nil"/>
          <w:bar w:val="nil"/>
        </w:pBdr>
        <w:spacing w:before="360"/>
        <w:outlineLvl w:val="1"/>
        <w:rPr>
          <w:b/>
          <w:snapToGrid w:val="0"/>
          <w:sz w:val="32"/>
          <w:bdr w:val="nil"/>
        </w:rPr>
      </w:pPr>
      <w:bookmarkStart w:id="75" w:name="_Toc83910754"/>
      <w:r w:rsidRPr="009832FC">
        <w:rPr>
          <w:b/>
          <w:snapToGrid w:val="0"/>
          <w:sz w:val="32"/>
          <w:bdr w:val="nil"/>
        </w:rPr>
        <w:lastRenderedPageBreak/>
        <w:t>Summary of 2021-22 Infrastructure Program</w:t>
      </w:r>
      <w:bookmarkEnd w:id="75"/>
    </w:p>
    <w:p w14:paraId="5306D62D" w14:textId="77777777" w:rsidR="009832FC" w:rsidRPr="009832FC" w:rsidRDefault="009832FC" w:rsidP="009832FC">
      <w:pPr>
        <w:keepNext/>
        <w:spacing w:before="240"/>
        <w:rPr>
          <w:b/>
          <w:bCs/>
          <w:color w:val="000000"/>
          <w:sz w:val="22"/>
          <w:szCs w:val="18"/>
        </w:rPr>
      </w:pPr>
      <w:r w:rsidRPr="009832FC">
        <w:rPr>
          <w:b/>
          <w:bCs/>
          <w:color w:val="000000"/>
          <w:sz w:val="22"/>
          <w:szCs w:val="18"/>
        </w:rPr>
        <w:t>Table 23: 2021-22 Canberra Health Services Infrastructure Program</w:t>
      </w:r>
    </w:p>
    <w:tbl>
      <w:tblPr>
        <w:tblStyle w:val="CDMRange2"/>
        <w:tblW w:w="9375" w:type="dxa"/>
        <w:tblLayout w:type="fixed"/>
        <w:tblLook w:val="0600" w:firstRow="0" w:lastRow="0" w:firstColumn="0" w:lastColumn="0" w:noHBand="1" w:noVBand="1"/>
      </w:tblPr>
      <w:tblGrid>
        <w:gridCol w:w="3225"/>
        <w:gridCol w:w="975"/>
        <w:gridCol w:w="975"/>
        <w:gridCol w:w="975"/>
        <w:gridCol w:w="975"/>
        <w:gridCol w:w="1125"/>
        <w:gridCol w:w="1125"/>
      </w:tblGrid>
      <w:tr w:rsidR="009832FC" w:rsidRPr="009832FC" w14:paraId="6B557F17" w14:textId="77777777" w:rsidTr="00EB585F">
        <w:trPr>
          <w:trHeight w:val="750"/>
        </w:trPr>
        <w:tc>
          <w:tcPr>
            <w:tcW w:w="3225" w:type="dxa"/>
            <w:tcBorders>
              <w:top w:val="single" w:sz="4" w:space="0" w:color="000000"/>
              <w:left w:val="nil"/>
              <w:bottom w:val="single" w:sz="4" w:space="0" w:color="000000"/>
              <w:right w:val="nil"/>
              <w:tl2br w:val="nil"/>
              <w:tr2bl w:val="nil"/>
            </w:tcBorders>
            <w:shd w:val="clear" w:color="auto" w:fill="auto"/>
            <w:tcMar>
              <w:left w:w="101" w:type="dxa"/>
              <w:right w:w="101" w:type="dxa"/>
            </w:tcMar>
          </w:tcPr>
          <w:p w14:paraId="48534C25" w14:textId="77777777" w:rsidR="009832FC" w:rsidRPr="009832FC" w:rsidRDefault="009832FC" w:rsidP="001F17E0">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Project</w:t>
            </w:r>
          </w:p>
        </w:tc>
        <w:tc>
          <w:tcPr>
            <w:tcW w:w="975" w:type="dxa"/>
            <w:tcBorders>
              <w:top w:val="single" w:sz="4" w:space="0" w:color="000000"/>
              <w:left w:val="nil"/>
              <w:bottom w:val="single" w:sz="4" w:space="0" w:color="000000"/>
              <w:right w:val="nil"/>
              <w:tl2br w:val="nil"/>
              <w:tr2bl w:val="nil"/>
            </w:tcBorders>
            <w:shd w:val="clear" w:color="auto" w:fill="auto"/>
            <w:tcMar>
              <w:left w:w="101" w:type="dxa"/>
              <w:right w:w="101" w:type="dxa"/>
            </w:tcMar>
          </w:tcPr>
          <w:p w14:paraId="3E9D1270"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2021-22</w:t>
            </w:r>
          </w:p>
          <w:p w14:paraId="2AD93B37"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975" w:type="dxa"/>
            <w:tcBorders>
              <w:top w:val="single" w:sz="4" w:space="0" w:color="000000"/>
              <w:left w:val="nil"/>
              <w:bottom w:val="single" w:sz="4" w:space="0" w:color="000000"/>
              <w:right w:val="nil"/>
              <w:tl2br w:val="nil"/>
              <w:tr2bl w:val="nil"/>
            </w:tcBorders>
            <w:shd w:val="clear" w:color="auto" w:fill="auto"/>
            <w:tcMar>
              <w:left w:w="101" w:type="dxa"/>
              <w:right w:w="101" w:type="dxa"/>
            </w:tcMar>
          </w:tcPr>
          <w:p w14:paraId="6AC16F5D"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2022-23</w:t>
            </w:r>
          </w:p>
          <w:p w14:paraId="19DA4071"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975" w:type="dxa"/>
            <w:tcBorders>
              <w:top w:val="single" w:sz="4" w:space="0" w:color="000000"/>
              <w:left w:val="nil"/>
              <w:bottom w:val="single" w:sz="4" w:space="0" w:color="000000"/>
              <w:right w:val="nil"/>
              <w:tl2br w:val="nil"/>
              <w:tr2bl w:val="nil"/>
            </w:tcBorders>
            <w:shd w:val="clear" w:color="auto" w:fill="auto"/>
            <w:tcMar>
              <w:left w:w="101" w:type="dxa"/>
              <w:right w:w="101" w:type="dxa"/>
            </w:tcMar>
          </w:tcPr>
          <w:p w14:paraId="64E6F9FA"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2023-24</w:t>
            </w:r>
          </w:p>
          <w:p w14:paraId="0C10DE3D"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975" w:type="dxa"/>
            <w:tcBorders>
              <w:top w:val="single" w:sz="4" w:space="0" w:color="000000"/>
              <w:left w:val="nil"/>
              <w:bottom w:val="single" w:sz="4" w:space="0" w:color="000000"/>
              <w:right w:val="nil"/>
              <w:tl2br w:val="nil"/>
              <w:tr2bl w:val="nil"/>
            </w:tcBorders>
            <w:shd w:val="clear" w:color="auto" w:fill="auto"/>
            <w:tcMar>
              <w:left w:w="101" w:type="dxa"/>
              <w:right w:w="101" w:type="dxa"/>
            </w:tcMar>
          </w:tcPr>
          <w:p w14:paraId="7E2A8BA5"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2024-25</w:t>
            </w:r>
          </w:p>
          <w:p w14:paraId="413C2FB4"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125" w:type="dxa"/>
            <w:tcBorders>
              <w:top w:val="single" w:sz="4" w:space="0" w:color="000000"/>
              <w:left w:val="nil"/>
              <w:bottom w:val="single" w:sz="4" w:space="0" w:color="000000"/>
              <w:right w:val="nil"/>
              <w:tl2br w:val="nil"/>
              <w:tr2bl w:val="nil"/>
            </w:tcBorders>
            <w:shd w:val="clear" w:color="auto" w:fill="auto"/>
            <w:tcMar>
              <w:left w:w="101" w:type="dxa"/>
              <w:right w:w="101" w:type="dxa"/>
            </w:tcMar>
          </w:tcPr>
          <w:p w14:paraId="3CFEE27C"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Four Year</w:t>
            </w:r>
          </w:p>
          <w:p w14:paraId="19437D93"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Investment</w:t>
            </w:r>
          </w:p>
          <w:p w14:paraId="4D3531AA"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p w14:paraId="0CBF289E" w14:textId="77777777" w:rsidR="009832FC" w:rsidRPr="009832FC" w:rsidRDefault="009832FC" w:rsidP="001F17E0">
            <w:pPr>
              <w:spacing w:before="0" w:after="0"/>
              <w:jc w:val="right"/>
              <w:rPr>
                <w:rFonts w:eastAsia="Calibri" w:cs="Calibri"/>
                <w:b/>
                <w:color w:val="000000"/>
                <w:sz w:val="18"/>
                <w:szCs w:val="24"/>
                <w:lang w:eastAsia="en-AU"/>
              </w:rPr>
            </w:pPr>
          </w:p>
        </w:tc>
        <w:tc>
          <w:tcPr>
            <w:tcW w:w="1125" w:type="dxa"/>
            <w:tcBorders>
              <w:top w:val="single" w:sz="4" w:space="0" w:color="000000"/>
              <w:left w:val="nil"/>
              <w:bottom w:val="single" w:sz="4" w:space="0" w:color="000000"/>
              <w:right w:val="nil"/>
              <w:tl2br w:val="nil"/>
              <w:tr2bl w:val="nil"/>
            </w:tcBorders>
            <w:shd w:val="clear" w:color="auto" w:fill="auto"/>
            <w:tcMar>
              <w:left w:w="101" w:type="dxa"/>
              <w:right w:w="101" w:type="dxa"/>
            </w:tcMar>
          </w:tcPr>
          <w:p w14:paraId="1C85F16B"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Physical</w:t>
            </w:r>
          </w:p>
          <w:p w14:paraId="598B5C4D"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Completion</w:t>
            </w:r>
          </w:p>
          <w:p w14:paraId="5260EC49"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Date</w:t>
            </w:r>
          </w:p>
        </w:tc>
      </w:tr>
      <w:tr w:rsidR="009832FC" w:rsidRPr="009832FC" w14:paraId="2693C04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single" w:sz="4" w:space="0" w:color="000000"/>
              <w:left w:val="nil"/>
              <w:bottom w:val="nil"/>
              <w:right w:val="nil"/>
              <w:tl2br w:val="nil"/>
              <w:tr2bl w:val="nil"/>
            </w:tcBorders>
            <w:shd w:val="clear" w:color="auto" w:fill="auto"/>
            <w:tcMar>
              <w:left w:w="0" w:type="dxa"/>
              <w:right w:w="0" w:type="dxa"/>
            </w:tcMar>
          </w:tcPr>
          <w:p w14:paraId="49F975A3"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0222D7CB"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0DBD379A"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2F0AD2E9"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4D49F575" w14:textId="77777777" w:rsidR="009832FC" w:rsidRPr="009832FC" w:rsidRDefault="009832FC" w:rsidP="001F17E0">
            <w:pPr>
              <w:spacing w:before="0" w:after="0"/>
              <w:rPr>
                <w:rFonts w:eastAsia="Calibri" w:cs="Calibri"/>
                <w:color w:val="000000"/>
                <w:sz w:val="18"/>
                <w:szCs w:val="24"/>
                <w:lang w:eastAsia="en-AU"/>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295A67EA" w14:textId="77777777" w:rsidR="009832FC" w:rsidRPr="009832FC" w:rsidRDefault="009832FC" w:rsidP="001F17E0">
            <w:pPr>
              <w:spacing w:before="0" w:after="0"/>
              <w:rPr>
                <w:rFonts w:eastAsia="Calibri" w:cs="Calibri"/>
                <w:color w:val="000000"/>
                <w:sz w:val="18"/>
                <w:szCs w:val="24"/>
                <w:lang w:eastAsia="en-AU"/>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0C5150C1" w14:textId="77777777" w:rsidR="009832FC" w:rsidRPr="009832FC" w:rsidRDefault="009832FC" w:rsidP="001F17E0">
            <w:pPr>
              <w:spacing w:before="0" w:after="0"/>
              <w:jc w:val="right"/>
              <w:rPr>
                <w:rFonts w:eastAsia="Calibri" w:cs="Calibri"/>
                <w:color w:val="000000"/>
                <w:sz w:val="18"/>
                <w:szCs w:val="24"/>
                <w:lang w:eastAsia="en-AU"/>
              </w:rPr>
            </w:pPr>
          </w:p>
        </w:tc>
      </w:tr>
      <w:tr w:rsidR="009832FC" w:rsidRPr="009832FC" w14:paraId="5A7EC74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D4508B1" w14:textId="77777777" w:rsidR="009832FC" w:rsidRPr="009832FC" w:rsidRDefault="009832FC" w:rsidP="001F17E0">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CAPITAL WORKS PROGRAM</w:t>
            </w:r>
          </w:p>
        </w:tc>
        <w:tc>
          <w:tcPr>
            <w:tcW w:w="975" w:type="dxa"/>
            <w:tcBorders>
              <w:top w:val="nil"/>
              <w:left w:val="nil"/>
              <w:bottom w:val="nil"/>
              <w:right w:val="nil"/>
              <w:tl2br w:val="nil"/>
              <w:tr2bl w:val="nil"/>
            </w:tcBorders>
            <w:shd w:val="clear" w:color="auto" w:fill="auto"/>
            <w:noWrap/>
            <w:tcMar>
              <w:left w:w="0" w:type="dxa"/>
              <w:right w:w="0" w:type="dxa"/>
            </w:tcMar>
          </w:tcPr>
          <w:p w14:paraId="2C6B230D"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252C7EC5"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37080543"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49BEAFEF" w14:textId="77777777" w:rsidR="009832FC" w:rsidRPr="009832FC" w:rsidRDefault="009832FC" w:rsidP="001F17E0">
            <w:pPr>
              <w:spacing w:before="0" w:after="0"/>
              <w:rPr>
                <w:rFonts w:eastAsia="Calibri" w:cs="Calibri"/>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33704070" w14:textId="77777777" w:rsidR="009832FC" w:rsidRPr="009832FC" w:rsidRDefault="009832FC" w:rsidP="001F17E0">
            <w:pPr>
              <w:spacing w:before="0" w:after="0"/>
              <w:rPr>
                <w:rFonts w:eastAsia="Calibri" w:cs="Calibri"/>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7464CFA4" w14:textId="77777777" w:rsidR="009832FC" w:rsidRPr="009832FC" w:rsidRDefault="009832FC" w:rsidP="001F17E0">
            <w:pPr>
              <w:spacing w:before="0" w:after="0"/>
              <w:jc w:val="right"/>
              <w:rPr>
                <w:rFonts w:eastAsia="Calibri" w:cs="Calibri"/>
                <w:color w:val="000000"/>
                <w:sz w:val="18"/>
                <w:szCs w:val="24"/>
                <w:lang w:eastAsia="en-AU"/>
              </w:rPr>
            </w:pPr>
          </w:p>
        </w:tc>
      </w:tr>
      <w:tr w:rsidR="009832FC" w:rsidRPr="009832FC" w14:paraId="63B02AA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4CB0D792" w14:textId="77777777" w:rsidR="009832FC" w:rsidRPr="009832FC" w:rsidRDefault="009832FC" w:rsidP="001F17E0">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374AECE2"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506E62B5"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35CD93F8"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2AB25F3F" w14:textId="77777777" w:rsidR="009832FC" w:rsidRPr="009832FC" w:rsidRDefault="009832FC" w:rsidP="001F17E0">
            <w:pPr>
              <w:spacing w:before="0" w:after="0"/>
              <w:rPr>
                <w:rFonts w:eastAsia="Calibri" w:cs="Calibri"/>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17FCB8AC" w14:textId="77777777" w:rsidR="009832FC" w:rsidRPr="009832FC" w:rsidRDefault="009832FC" w:rsidP="001F17E0">
            <w:pPr>
              <w:spacing w:before="0" w:after="0"/>
              <w:rPr>
                <w:rFonts w:eastAsia="Calibri" w:cs="Calibri"/>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55456E95" w14:textId="77777777" w:rsidR="009832FC" w:rsidRPr="009832FC" w:rsidRDefault="009832FC" w:rsidP="001F17E0">
            <w:pPr>
              <w:spacing w:before="0" w:after="0"/>
              <w:jc w:val="right"/>
              <w:rPr>
                <w:rFonts w:eastAsia="Calibri" w:cs="Calibri"/>
                <w:color w:val="000000"/>
                <w:sz w:val="18"/>
                <w:szCs w:val="24"/>
                <w:lang w:eastAsia="en-AU"/>
              </w:rPr>
            </w:pPr>
          </w:p>
        </w:tc>
      </w:tr>
      <w:tr w:rsidR="009832FC" w:rsidRPr="009832FC" w14:paraId="507B0D3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8608741" w14:textId="77777777" w:rsidR="009832FC" w:rsidRPr="009832FC" w:rsidRDefault="009832FC" w:rsidP="001F17E0">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Work In Progress</w:t>
            </w:r>
          </w:p>
        </w:tc>
        <w:tc>
          <w:tcPr>
            <w:tcW w:w="975" w:type="dxa"/>
            <w:tcBorders>
              <w:top w:val="nil"/>
              <w:left w:val="nil"/>
              <w:bottom w:val="nil"/>
              <w:right w:val="nil"/>
              <w:tl2br w:val="nil"/>
              <w:tr2bl w:val="nil"/>
            </w:tcBorders>
            <w:shd w:val="clear" w:color="auto" w:fill="auto"/>
            <w:noWrap/>
            <w:tcMar>
              <w:left w:w="0" w:type="dxa"/>
              <w:right w:w="0" w:type="dxa"/>
            </w:tcMar>
          </w:tcPr>
          <w:p w14:paraId="2A31B2DD"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4FA791A4"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6A8B13BF"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7481780D" w14:textId="77777777" w:rsidR="009832FC" w:rsidRPr="009832FC" w:rsidRDefault="009832FC" w:rsidP="001F17E0">
            <w:pPr>
              <w:spacing w:before="0" w:after="0"/>
              <w:rPr>
                <w:rFonts w:eastAsia="Calibri" w:cs="Calibri"/>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25E7799E" w14:textId="77777777" w:rsidR="009832FC" w:rsidRPr="009832FC" w:rsidRDefault="009832FC" w:rsidP="001F17E0">
            <w:pPr>
              <w:spacing w:before="0" w:after="0"/>
              <w:rPr>
                <w:rFonts w:eastAsia="Calibri" w:cs="Calibri"/>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3C3175A5" w14:textId="77777777" w:rsidR="009832FC" w:rsidRPr="009832FC" w:rsidRDefault="009832FC" w:rsidP="001F17E0">
            <w:pPr>
              <w:spacing w:before="0" w:after="0"/>
              <w:jc w:val="right"/>
              <w:rPr>
                <w:rFonts w:eastAsia="Calibri" w:cs="Calibri"/>
                <w:color w:val="000000"/>
                <w:sz w:val="18"/>
                <w:szCs w:val="24"/>
                <w:lang w:eastAsia="en-AU"/>
              </w:rPr>
            </w:pPr>
          </w:p>
        </w:tc>
      </w:tr>
      <w:tr w:rsidR="009832FC" w:rsidRPr="009832FC" w14:paraId="2823568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1BB6BB64"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Better care when you need it – New medical imaging equipment</w:t>
            </w:r>
          </w:p>
        </w:tc>
        <w:tc>
          <w:tcPr>
            <w:tcW w:w="975" w:type="dxa"/>
            <w:tcBorders>
              <w:top w:val="nil"/>
              <w:left w:val="nil"/>
              <w:bottom w:val="nil"/>
              <w:right w:val="nil"/>
              <w:tl2br w:val="nil"/>
              <w:tr2bl w:val="nil"/>
            </w:tcBorders>
            <w:shd w:val="clear" w:color="auto" w:fill="auto"/>
            <w:noWrap/>
            <w:tcMar>
              <w:left w:w="101" w:type="dxa"/>
              <w:right w:w="161" w:type="dxa"/>
            </w:tcMar>
          </w:tcPr>
          <w:p w14:paraId="4C3FBEF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500</w:t>
            </w:r>
          </w:p>
        </w:tc>
        <w:tc>
          <w:tcPr>
            <w:tcW w:w="975" w:type="dxa"/>
            <w:tcBorders>
              <w:top w:val="nil"/>
              <w:left w:val="nil"/>
              <w:bottom w:val="nil"/>
              <w:right w:val="nil"/>
              <w:tl2br w:val="nil"/>
              <w:tr2bl w:val="nil"/>
            </w:tcBorders>
            <w:shd w:val="clear" w:color="auto" w:fill="auto"/>
            <w:noWrap/>
            <w:tcMar>
              <w:left w:w="101" w:type="dxa"/>
              <w:right w:w="161" w:type="dxa"/>
            </w:tcMar>
          </w:tcPr>
          <w:p w14:paraId="448D3F07"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9B7C5B5"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A28AC9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2572C041"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500</w:t>
            </w:r>
          </w:p>
        </w:tc>
        <w:tc>
          <w:tcPr>
            <w:tcW w:w="1125" w:type="dxa"/>
            <w:tcBorders>
              <w:top w:val="nil"/>
              <w:left w:val="nil"/>
              <w:bottom w:val="nil"/>
              <w:right w:val="nil"/>
              <w:tl2br w:val="nil"/>
              <w:tr2bl w:val="nil"/>
            </w:tcBorders>
            <w:shd w:val="clear" w:color="auto" w:fill="auto"/>
            <w:noWrap/>
            <w:tcMar>
              <w:left w:w="101" w:type="dxa"/>
              <w:right w:w="101" w:type="dxa"/>
            </w:tcMar>
          </w:tcPr>
          <w:p w14:paraId="3E46407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Jun-22</w:t>
            </w:r>
          </w:p>
        </w:tc>
      </w:tr>
      <w:tr w:rsidR="009832FC" w:rsidRPr="009832FC" w14:paraId="4F2FF55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6EBADE84"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Better care when you need it — Training our future health workforce</w:t>
            </w:r>
          </w:p>
        </w:tc>
        <w:tc>
          <w:tcPr>
            <w:tcW w:w="975" w:type="dxa"/>
            <w:tcBorders>
              <w:top w:val="nil"/>
              <w:left w:val="nil"/>
              <w:bottom w:val="nil"/>
              <w:right w:val="nil"/>
              <w:tl2br w:val="nil"/>
              <w:tr2bl w:val="nil"/>
            </w:tcBorders>
            <w:shd w:val="clear" w:color="auto" w:fill="auto"/>
            <w:noWrap/>
            <w:tcMar>
              <w:left w:w="101" w:type="dxa"/>
              <w:right w:w="161" w:type="dxa"/>
            </w:tcMar>
          </w:tcPr>
          <w:p w14:paraId="11F7629F"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1 052</w:t>
            </w:r>
          </w:p>
        </w:tc>
        <w:tc>
          <w:tcPr>
            <w:tcW w:w="975" w:type="dxa"/>
            <w:tcBorders>
              <w:top w:val="nil"/>
              <w:left w:val="nil"/>
              <w:bottom w:val="nil"/>
              <w:right w:val="nil"/>
              <w:tl2br w:val="nil"/>
              <w:tr2bl w:val="nil"/>
            </w:tcBorders>
            <w:shd w:val="clear" w:color="auto" w:fill="auto"/>
            <w:noWrap/>
            <w:tcMar>
              <w:left w:w="101" w:type="dxa"/>
              <w:right w:w="161" w:type="dxa"/>
            </w:tcMar>
          </w:tcPr>
          <w:p w14:paraId="5A8F1A31"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EECBEF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B67CD0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783216B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1 052</w:t>
            </w:r>
          </w:p>
        </w:tc>
        <w:tc>
          <w:tcPr>
            <w:tcW w:w="1125" w:type="dxa"/>
            <w:tcBorders>
              <w:top w:val="nil"/>
              <w:left w:val="nil"/>
              <w:bottom w:val="nil"/>
              <w:right w:val="nil"/>
              <w:tl2br w:val="nil"/>
              <w:tr2bl w:val="nil"/>
            </w:tcBorders>
            <w:shd w:val="clear" w:color="auto" w:fill="auto"/>
            <w:noWrap/>
            <w:tcMar>
              <w:left w:w="101" w:type="dxa"/>
              <w:right w:w="101" w:type="dxa"/>
            </w:tcMar>
          </w:tcPr>
          <w:p w14:paraId="349EE7D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Jun-22</w:t>
            </w:r>
          </w:p>
        </w:tc>
      </w:tr>
      <w:tr w:rsidR="009832FC" w:rsidRPr="009832FC" w14:paraId="4B305EC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7DE4288D"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Better Health Services – Upgrading and maintaining ACT Health assets</w:t>
            </w:r>
          </w:p>
        </w:tc>
        <w:tc>
          <w:tcPr>
            <w:tcW w:w="975" w:type="dxa"/>
            <w:tcBorders>
              <w:top w:val="nil"/>
              <w:left w:val="nil"/>
              <w:bottom w:val="nil"/>
              <w:right w:val="nil"/>
              <w:tl2br w:val="nil"/>
              <w:tr2bl w:val="nil"/>
            </w:tcBorders>
            <w:shd w:val="clear" w:color="auto" w:fill="auto"/>
            <w:noWrap/>
            <w:tcMar>
              <w:left w:w="101" w:type="dxa"/>
              <w:right w:w="161" w:type="dxa"/>
            </w:tcMar>
          </w:tcPr>
          <w:p w14:paraId="34F4A588"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4 860</w:t>
            </w:r>
          </w:p>
        </w:tc>
        <w:tc>
          <w:tcPr>
            <w:tcW w:w="975" w:type="dxa"/>
            <w:tcBorders>
              <w:top w:val="nil"/>
              <w:left w:val="nil"/>
              <w:bottom w:val="nil"/>
              <w:right w:val="nil"/>
              <w:tl2br w:val="nil"/>
              <w:tr2bl w:val="nil"/>
            </w:tcBorders>
            <w:shd w:val="clear" w:color="auto" w:fill="auto"/>
            <w:noWrap/>
            <w:tcMar>
              <w:left w:w="101" w:type="dxa"/>
              <w:right w:w="161" w:type="dxa"/>
            </w:tcMar>
          </w:tcPr>
          <w:p w14:paraId="287F1312"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1 500</w:t>
            </w:r>
          </w:p>
        </w:tc>
        <w:tc>
          <w:tcPr>
            <w:tcW w:w="975" w:type="dxa"/>
            <w:tcBorders>
              <w:top w:val="nil"/>
              <w:left w:val="nil"/>
              <w:bottom w:val="nil"/>
              <w:right w:val="nil"/>
              <w:tl2br w:val="nil"/>
              <w:tr2bl w:val="nil"/>
            </w:tcBorders>
            <w:shd w:val="clear" w:color="auto" w:fill="auto"/>
            <w:noWrap/>
            <w:tcMar>
              <w:left w:w="101" w:type="dxa"/>
              <w:right w:w="161" w:type="dxa"/>
            </w:tcMar>
          </w:tcPr>
          <w:p w14:paraId="2E0B6A0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6EED214"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12FE0CB4"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6 360</w:t>
            </w:r>
          </w:p>
        </w:tc>
        <w:tc>
          <w:tcPr>
            <w:tcW w:w="1125" w:type="dxa"/>
            <w:tcBorders>
              <w:top w:val="nil"/>
              <w:left w:val="nil"/>
              <w:bottom w:val="nil"/>
              <w:right w:val="nil"/>
              <w:tl2br w:val="nil"/>
              <w:tr2bl w:val="nil"/>
            </w:tcBorders>
            <w:shd w:val="clear" w:color="auto" w:fill="auto"/>
            <w:noWrap/>
            <w:tcMar>
              <w:left w:w="101" w:type="dxa"/>
              <w:right w:w="101" w:type="dxa"/>
            </w:tcMar>
          </w:tcPr>
          <w:p w14:paraId="373A1B26"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Dec-22</w:t>
            </w:r>
          </w:p>
        </w:tc>
      </w:tr>
      <w:tr w:rsidR="009832FC" w:rsidRPr="009832FC" w14:paraId="41B3795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19B05681"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Better healthcare for a growing community  - ACT Health critical assets upgrades</w:t>
            </w:r>
          </w:p>
        </w:tc>
        <w:tc>
          <w:tcPr>
            <w:tcW w:w="975" w:type="dxa"/>
            <w:tcBorders>
              <w:top w:val="nil"/>
              <w:left w:val="nil"/>
              <w:bottom w:val="nil"/>
              <w:right w:val="nil"/>
              <w:tl2br w:val="nil"/>
              <w:tr2bl w:val="nil"/>
            </w:tcBorders>
            <w:shd w:val="clear" w:color="auto" w:fill="auto"/>
            <w:noWrap/>
            <w:tcMar>
              <w:left w:w="101" w:type="dxa"/>
              <w:right w:w="161" w:type="dxa"/>
            </w:tcMar>
          </w:tcPr>
          <w:p w14:paraId="1CF3496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5 747</w:t>
            </w:r>
          </w:p>
        </w:tc>
        <w:tc>
          <w:tcPr>
            <w:tcW w:w="975" w:type="dxa"/>
            <w:tcBorders>
              <w:top w:val="nil"/>
              <w:left w:val="nil"/>
              <w:bottom w:val="nil"/>
              <w:right w:val="nil"/>
              <w:tl2br w:val="nil"/>
              <w:tr2bl w:val="nil"/>
            </w:tcBorders>
            <w:shd w:val="clear" w:color="auto" w:fill="auto"/>
            <w:noWrap/>
            <w:tcMar>
              <w:left w:w="101" w:type="dxa"/>
              <w:right w:w="161" w:type="dxa"/>
            </w:tcMar>
          </w:tcPr>
          <w:p w14:paraId="3C5423F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7 500</w:t>
            </w:r>
          </w:p>
        </w:tc>
        <w:tc>
          <w:tcPr>
            <w:tcW w:w="975" w:type="dxa"/>
            <w:tcBorders>
              <w:top w:val="nil"/>
              <w:left w:val="nil"/>
              <w:bottom w:val="nil"/>
              <w:right w:val="nil"/>
              <w:tl2br w:val="nil"/>
              <w:tr2bl w:val="nil"/>
            </w:tcBorders>
            <w:shd w:val="clear" w:color="auto" w:fill="auto"/>
            <w:noWrap/>
            <w:tcMar>
              <w:left w:w="101" w:type="dxa"/>
              <w:right w:w="161" w:type="dxa"/>
            </w:tcMar>
          </w:tcPr>
          <w:p w14:paraId="02F4F7B4"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ACF6B9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52603ADB"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13 247</w:t>
            </w:r>
          </w:p>
        </w:tc>
        <w:tc>
          <w:tcPr>
            <w:tcW w:w="1125" w:type="dxa"/>
            <w:tcBorders>
              <w:top w:val="nil"/>
              <w:left w:val="nil"/>
              <w:bottom w:val="nil"/>
              <w:right w:val="nil"/>
              <w:tl2br w:val="nil"/>
              <w:tr2bl w:val="nil"/>
            </w:tcBorders>
            <w:shd w:val="clear" w:color="auto" w:fill="auto"/>
            <w:noWrap/>
            <w:tcMar>
              <w:left w:w="101" w:type="dxa"/>
              <w:right w:w="101" w:type="dxa"/>
            </w:tcMar>
          </w:tcPr>
          <w:p w14:paraId="50BEC5B4"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Dec-22</w:t>
            </w:r>
          </w:p>
        </w:tc>
      </w:tr>
      <w:tr w:rsidR="009832FC" w:rsidRPr="009832FC" w14:paraId="7046B88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1D4398A3"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Better healthcare for a growing community  - More mental health accommodation</w:t>
            </w:r>
          </w:p>
        </w:tc>
        <w:tc>
          <w:tcPr>
            <w:tcW w:w="975" w:type="dxa"/>
            <w:tcBorders>
              <w:top w:val="nil"/>
              <w:left w:val="nil"/>
              <w:bottom w:val="nil"/>
              <w:right w:val="nil"/>
              <w:tl2br w:val="nil"/>
              <w:tr2bl w:val="nil"/>
            </w:tcBorders>
            <w:shd w:val="clear" w:color="auto" w:fill="auto"/>
            <w:noWrap/>
            <w:tcMar>
              <w:left w:w="101" w:type="dxa"/>
              <w:right w:w="161" w:type="dxa"/>
            </w:tcMar>
          </w:tcPr>
          <w:p w14:paraId="4543735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588</w:t>
            </w:r>
          </w:p>
        </w:tc>
        <w:tc>
          <w:tcPr>
            <w:tcW w:w="975" w:type="dxa"/>
            <w:tcBorders>
              <w:top w:val="nil"/>
              <w:left w:val="nil"/>
              <w:bottom w:val="nil"/>
              <w:right w:val="nil"/>
              <w:tl2br w:val="nil"/>
              <w:tr2bl w:val="nil"/>
            </w:tcBorders>
            <w:shd w:val="clear" w:color="auto" w:fill="auto"/>
            <w:noWrap/>
            <w:tcMar>
              <w:left w:w="101" w:type="dxa"/>
              <w:right w:w="161" w:type="dxa"/>
            </w:tcMar>
          </w:tcPr>
          <w:p w14:paraId="47ADA1EF"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B2A1DE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9CAC73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34A6D91"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588</w:t>
            </w:r>
          </w:p>
        </w:tc>
        <w:tc>
          <w:tcPr>
            <w:tcW w:w="1125" w:type="dxa"/>
            <w:tcBorders>
              <w:top w:val="nil"/>
              <w:left w:val="nil"/>
              <w:bottom w:val="nil"/>
              <w:right w:val="nil"/>
              <w:tl2br w:val="nil"/>
              <w:tr2bl w:val="nil"/>
            </w:tcBorders>
            <w:shd w:val="clear" w:color="auto" w:fill="auto"/>
            <w:noWrap/>
            <w:tcMar>
              <w:left w:w="101" w:type="dxa"/>
              <w:right w:w="101" w:type="dxa"/>
            </w:tcMar>
          </w:tcPr>
          <w:p w14:paraId="595A178F"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Mar-21</w:t>
            </w:r>
          </w:p>
        </w:tc>
      </w:tr>
      <w:tr w:rsidR="009832FC" w:rsidRPr="009832FC" w14:paraId="576AB51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6421A28D"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Better healthcare for a growing community – Delivering the Weston Creek Walk in Centre</w:t>
            </w:r>
          </w:p>
        </w:tc>
        <w:tc>
          <w:tcPr>
            <w:tcW w:w="975" w:type="dxa"/>
            <w:tcBorders>
              <w:top w:val="nil"/>
              <w:left w:val="nil"/>
              <w:bottom w:val="nil"/>
              <w:right w:val="nil"/>
              <w:tl2br w:val="nil"/>
              <w:tr2bl w:val="nil"/>
            </w:tcBorders>
            <w:shd w:val="clear" w:color="auto" w:fill="auto"/>
            <w:noWrap/>
            <w:tcMar>
              <w:left w:w="101" w:type="dxa"/>
              <w:right w:w="161" w:type="dxa"/>
            </w:tcMar>
          </w:tcPr>
          <w:p w14:paraId="7965EC2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247</w:t>
            </w:r>
          </w:p>
        </w:tc>
        <w:tc>
          <w:tcPr>
            <w:tcW w:w="975" w:type="dxa"/>
            <w:tcBorders>
              <w:top w:val="nil"/>
              <w:left w:val="nil"/>
              <w:bottom w:val="nil"/>
              <w:right w:val="nil"/>
              <w:tl2br w:val="nil"/>
              <w:tr2bl w:val="nil"/>
            </w:tcBorders>
            <w:shd w:val="clear" w:color="auto" w:fill="auto"/>
            <w:noWrap/>
            <w:tcMar>
              <w:left w:w="101" w:type="dxa"/>
              <w:right w:w="161" w:type="dxa"/>
            </w:tcMar>
          </w:tcPr>
          <w:p w14:paraId="5620F0A7"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8BD0CE9"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7A5231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540A231"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247</w:t>
            </w:r>
          </w:p>
        </w:tc>
        <w:tc>
          <w:tcPr>
            <w:tcW w:w="1125" w:type="dxa"/>
            <w:tcBorders>
              <w:top w:val="nil"/>
              <w:left w:val="nil"/>
              <w:bottom w:val="nil"/>
              <w:right w:val="nil"/>
              <w:tl2br w:val="nil"/>
              <w:tr2bl w:val="nil"/>
            </w:tcBorders>
            <w:shd w:val="clear" w:color="auto" w:fill="auto"/>
            <w:noWrap/>
            <w:tcMar>
              <w:left w:w="101" w:type="dxa"/>
              <w:right w:w="101" w:type="dxa"/>
            </w:tcMar>
          </w:tcPr>
          <w:p w14:paraId="0B9B1469"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Completed</w:t>
            </w:r>
          </w:p>
        </w:tc>
      </w:tr>
      <w:tr w:rsidR="009832FC" w:rsidRPr="009832FC" w14:paraId="0A3CD76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33B329D9"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Clinical Services and Inpatient Unit Design and Infrastructure Expansion</w:t>
            </w:r>
          </w:p>
        </w:tc>
        <w:tc>
          <w:tcPr>
            <w:tcW w:w="975" w:type="dxa"/>
            <w:tcBorders>
              <w:top w:val="nil"/>
              <w:left w:val="nil"/>
              <w:bottom w:val="nil"/>
              <w:right w:val="nil"/>
              <w:tl2br w:val="nil"/>
              <w:tr2bl w:val="nil"/>
            </w:tcBorders>
            <w:shd w:val="clear" w:color="auto" w:fill="auto"/>
            <w:noWrap/>
            <w:tcMar>
              <w:left w:w="101" w:type="dxa"/>
              <w:right w:w="161" w:type="dxa"/>
            </w:tcMar>
          </w:tcPr>
          <w:p w14:paraId="7B593D86"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74</w:t>
            </w:r>
          </w:p>
        </w:tc>
        <w:tc>
          <w:tcPr>
            <w:tcW w:w="975" w:type="dxa"/>
            <w:tcBorders>
              <w:top w:val="nil"/>
              <w:left w:val="nil"/>
              <w:bottom w:val="nil"/>
              <w:right w:val="nil"/>
              <w:tl2br w:val="nil"/>
              <w:tr2bl w:val="nil"/>
            </w:tcBorders>
            <w:shd w:val="clear" w:color="auto" w:fill="auto"/>
            <w:noWrap/>
            <w:tcMar>
              <w:left w:w="101" w:type="dxa"/>
              <w:right w:w="161" w:type="dxa"/>
            </w:tcMar>
          </w:tcPr>
          <w:p w14:paraId="299A39C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CA6BFE4"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41C3D55"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A69C5D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74</w:t>
            </w:r>
          </w:p>
        </w:tc>
        <w:tc>
          <w:tcPr>
            <w:tcW w:w="1125" w:type="dxa"/>
            <w:tcBorders>
              <w:top w:val="nil"/>
              <w:left w:val="nil"/>
              <w:bottom w:val="nil"/>
              <w:right w:val="nil"/>
              <w:tl2br w:val="nil"/>
              <w:tr2bl w:val="nil"/>
            </w:tcBorders>
            <w:shd w:val="clear" w:color="auto" w:fill="auto"/>
            <w:noWrap/>
            <w:tcMar>
              <w:left w:w="101" w:type="dxa"/>
              <w:right w:w="101" w:type="dxa"/>
            </w:tcMar>
          </w:tcPr>
          <w:p w14:paraId="16D87CE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Completed</w:t>
            </w:r>
          </w:p>
        </w:tc>
      </w:tr>
      <w:tr w:rsidR="009832FC" w:rsidRPr="009832FC" w14:paraId="6EB117C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5B1F6AD2" w14:textId="77777777" w:rsidR="009832FC" w:rsidRPr="009832FC" w:rsidRDefault="009832FC" w:rsidP="001F17E0">
            <w:pPr>
              <w:spacing w:before="0" w:after="0"/>
              <w:ind w:right="45"/>
              <w:rPr>
                <w:rFonts w:eastAsia="Calibri" w:cs="Calibri"/>
                <w:color w:val="000000"/>
                <w:sz w:val="18"/>
                <w:szCs w:val="24"/>
                <w:lang w:eastAsia="en-AU"/>
              </w:rPr>
            </w:pPr>
            <w:r w:rsidRPr="009832FC">
              <w:rPr>
                <w:rFonts w:eastAsia="Calibri" w:cs="Calibri"/>
                <w:color w:val="000000"/>
                <w:sz w:val="18"/>
                <w:szCs w:val="24"/>
                <w:lang w:eastAsia="en-AU"/>
              </w:rPr>
              <w:t xml:space="preserve">Clinical Services Redevelopment </w:t>
            </w:r>
            <w:r w:rsidRPr="009832FC">
              <w:rPr>
                <w:rFonts w:eastAsia="Calibri" w:cs="Calibri"/>
                <w:color w:val="000000"/>
                <w:sz w:val="18"/>
                <w:szCs w:val="24"/>
                <w:lang w:eastAsia="en-AU"/>
              </w:rPr>
              <w:br/>
              <w:t>– Phase 2</w:t>
            </w:r>
          </w:p>
        </w:tc>
        <w:tc>
          <w:tcPr>
            <w:tcW w:w="975" w:type="dxa"/>
            <w:tcBorders>
              <w:top w:val="nil"/>
              <w:left w:val="nil"/>
              <w:bottom w:val="nil"/>
              <w:right w:val="nil"/>
              <w:tl2br w:val="nil"/>
              <w:tr2bl w:val="nil"/>
            </w:tcBorders>
            <w:shd w:val="clear" w:color="auto" w:fill="auto"/>
            <w:noWrap/>
            <w:tcMar>
              <w:left w:w="101" w:type="dxa"/>
              <w:right w:w="161" w:type="dxa"/>
            </w:tcMar>
          </w:tcPr>
          <w:p w14:paraId="5F51D82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208</w:t>
            </w:r>
          </w:p>
        </w:tc>
        <w:tc>
          <w:tcPr>
            <w:tcW w:w="975" w:type="dxa"/>
            <w:tcBorders>
              <w:top w:val="nil"/>
              <w:left w:val="nil"/>
              <w:bottom w:val="nil"/>
              <w:right w:val="nil"/>
              <w:tl2br w:val="nil"/>
              <w:tr2bl w:val="nil"/>
            </w:tcBorders>
            <w:shd w:val="clear" w:color="auto" w:fill="auto"/>
            <w:noWrap/>
            <w:tcMar>
              <w:left w:w="101" w:type="dxa"/>
              <w:right w:w="161" w:type="dxa"/>
            </w:tcMar>
          </w:tcPr>
          <w:p w14:paraId="61DF00A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329CDE1"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5CC1332"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7109329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208</w:t>
            </w:r>
          </w:p>
        </w:tc>
        <w:tc>
          <w:tcPr>
            <w:tcW w:w="1125" w:type="dxa"/>
            <w:tcBorders>
              <w:top w:val="nil"/>
              <w:left w:val="nil"/>
              <w:bottom w:val="nil"/>
              <w:right w:val="nil"/>
              <w:tl2br w:val="nil"/>
              <w:tr2bl w:val="nil"/>
            </w:tcBorders>
            <w:shd w:val="clear" w:color="auto" w:fill="auto"/>
            <w:noWrap/>
            <w:tcMar>
              <w:left w:w="101" w:type="dxa"/>
              <w:right w:w="101" w:type="dxa"/>
            </w:tcMar>
          </w:tcPr>
          <w:p w14:paraId="08E5B082"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Completed</w:t>
            </w:r>
          </w:p>
        </w:tc>
      </w:tr>
      <w:tr w:rsidR="009832FC" w:rsidRPr="009832FC" w14:paraId="2DFE2EB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AEB3CF7"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 xml:space="preserve">Clinical Services Redevelopment </w:t>
            </w:r>
            <w:r w:rsidRPr="009832FC">
              <w:rPr>
                <w:rFonts w:eastAsia="Calibri" w:cs="Calibri"/>
                <w:color w:val="000000"/>
                <w:sz w:val="18"/>
                <w:szCs w:val="24"/>
                <w:lang w:eastAsia="en-AU"/>
              </w:rPr>
              <w:br/>
              <w:t>– Phase 3</w:t>
            </w:r>
          </w:p>
        </w:tc>
        <w:tc>
          <w:tcPr>
            <w:tcW w:w="975" w:type="dxa"/>
            <w:tcBorders>
              <w:top w:val="nil"/>
              <w:left w:val="nil"/>
              <w:bottom w:val="nil"/>
              <w:right w:val="nil"/>
              <w:tl2br w:val="nil"/>
              <w:tr2bl w:val="nil"/>
            </w:tcBorders>
            <w:shd w:val="clear" w:color="auto" w:fill="auto"/>
            <w:noWrap/>
            <w:tcMar>
              <w:left w:w="101" w:type="dxa"/>
              <w:right w:w="161" w:type="dxa"/>
            </w:tcMar>
          </w:tcPr>
          <w:p w14:paraId="4D8E7E69"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237</w:t>
            </w:r>
          </w:p>
        </w:tc>
        <w:tc>
          <w:tcPr>
            <w:tcW w:w="975" w:type="dxa"/>
            <w:tcBorders>
              <w:top w:val="nil"/>
              <w:left w:val="nil"/>
              <w:bottom w:val="nil"/>
              <w:right w:val="nil"/>
              <w:tl2br w:val="nil"/>
              <w:tr2bl w:val="nil"/>
            </w:tcBorders>
            <w:shd w:val="clear" w:color="auto" w:fill="auto"/>
            <w:noWrap/>
            <w:tcMar>
              <w:left w:w="101" w:type="dxa"/>
              <w:right w:w="161" w:type="dxa"/>
            </w:tcMar>
          </w:tcPr>
          <w:p w14:paraId="6E94623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D88397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E1226BB"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1964C83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237</w:t>
            </w:r>
          </w:p>
        </w:tc>
        <w:tc>
          <w:tcPr>
            <w:tcW w:w="1125" w:type="dxa"/>
            <w:tcBorders>
              <w:top w:val="nil"/>
              <w:left w:val="nil"/>
              <w:bottom w:val="nil"/>
              <w:right w:val="nil"/>
              <w:tl2br w:val="nil"/>
              <w:tr2bl w:val="nil"/>
            </w:tcBorders>
            <w:shd w:val="clear" w:color="auto" w:fill="auto"/>
            <w:noWrap/>
            <w:tcMar>
              <w:left w:w="101" w:type="dxa"/>
              <w:right w:w="101" w:type="dxa"/>
            </w:tcMar>
          </w:tcPr>
          <w:p w14:paraId="4A6208F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Completed</w:t>
            </w:r>
          </w:p>
        </w:tc>
      </w:tr>
      <w:tr w:rsidR="009832FC" w:rsidRPr="009832FC" w14:paraId="1D3F3E3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0B53E80C"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Community, Health and Hospitals Program – Australian Capital Territory Initiatives</w:t>
            </w:r>
          </w:p>
        </w:tc>
        <w:tc>
          <w:tcPr>
            <w:tcW w:w="975" w:type="dxa"/>
            <w:tcBorders>
              <w:top w:val="nil"/>
              <w:left w:val="nil"/>
              <w:bottom w:val="nil"/>
              <w:right w:val="nil"/>
              <w:tl2br w:val="nil"/>
              <w:tr2bl w:val="nil"/>
            </w:tcBorders>
            <w:shd w:val="clear" w:color="auto" w:fill="auto"/>
            <w:noWrap/>
            <w:tcMar>
              <w:left w:w="101" w:type="dxa"/>
              <w:right w:w="161" w:type="dxa"/>
            </w:tcMar>
          </w:tcPr>
          <w:p w14:paraId="2CF9D09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9 768</w:t>
            </w:r>
          </w:p>
        </w:tc>
        <w:tc>
          <w:tcPr>
            <w:tcW w:w="975" w:type="dxa"/>
            <w:tcBorders>
              <w:top w:val="nil"/>
              <w:left w:val="nil"/>
              <w:bottom w:val="nil"/>
              <w:right w:val="nil"/>
              <w:tl2br w:val="nil"/>
              <w:tr2bl w:val="nil"/>
            </w:tcBorders>
            <w:shd w:val="clear" w:color="auto" w:fill="auto"/>
            <w:noWrap/>
            <w:tcMar>
              <w:left w:w="101" w:type="dxa"/>
              <w:right w:w="161" w:type="dxa"/>
            </w:tcMar>
          </w:tcPr>
          <w:p w14:paraId="06C47F49"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B53D71B"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A6FFA82"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54E9FC95"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9 768</w:t>
            </w:r>
          </w:p>
        </w:tc>
        <w:tc>
          <w:tcPr>
            <w:tcW w:w="1125" w:type="dxa"/>
            <w:tcBorders>
              <w:top w:val="nil"/>
              <w:left w:val="nil"/>
              <w:bottom w:val="nil"/>
              <w:right w:val="nil"/>
              <w:tl2br w:val="nil"/>
              <w:tr2bl w:val="nil"/>
            </w:tcBorders>
            <w:shd w:val="clear" w:color="auto" w:fill="auto"/>
            <w:noWrap/>
            <w:tcMar>
              <w:left w:w="101" w:type="dxa"/>
              <w:right w:w="101" w:type="dxa"/>
            </w:tcMar>
          </w:tcPr>
          <w:p w14:paraId="2F8BB22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Dec-21</w:t>
            </w:r>
          </w:p>
        </w:tc>
      </w:tr>
      <w:tr w:rsidR="009832FC" w:rsidRPr="009832FC" w14:paraId="7253E2C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E42A3F7"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Delivering the Inner North Walk in Centre</w:t>
            </w:r>
          </w:p>
        </w:tc>
        <w:tc>
          <w:tcPr>
            <w:tcW w:w="975" w:type="dxa"/>
            <w:tcBorders>
              <w:top w:val="nil"/>
              <w:left w:val="nil"/>
              <w:bottom w:val="nil"/>
              <w:right w:val="nil"/>
              <w:tl2br w:val="nil"/>
              <w:tr2bl w:val="nil"/>
            </w:tcBorders>
            <w:shd w:val="clear" w:color="auto" w:fill="auto"/>
            <w:noWrap/>
            <w:tcMar>
              <w:left w:w="101" w:type="dxa"/>
              <w:right w:w="161" w:type="dxa"/>
            </w:tcMar>
          </w:tcPr>
          <w:p w14:paraId="7D99085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409</w:t>
            </w:r>
          </w:p>
        </w:tc>
        <w:tc>
          <w:tcPr>
            <w:tcW w:w="975" w:type="dxa"/>
            <w:tcBorders>
              <w:top w:val="nil"/>
              <w:left w:val="nil"/>
              <w:bottom w:val="nil"/>
              <w:right w:val="nil"/>
              <w:tl2br w:val="nil"/>
              <w:tr2bl w:val="nil"/>
            </w:tcBorders>
            <w:shd w:val="clear" w:color="auto" w:fill="auto"/>
            <w:noWrap/>
            <w:tcMar>
              <w:left w:w="101" w:type="dxa"/>
              <w:right w:w="161" w:type="dxa"/>
            </w:tcMar>
          </w:tcPr>
          <w:p w14:paraId="72E26BC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34E1167"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4FE8159"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2B50096"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409</w:t>
            </w:r>
          </w:p>
        </w:tc>
        <w:tc>
          <w:tcPr>
            <w:tcW w:w="1125" w:type="dxa"/>
            <w:tcBorders>
              <w:top w:val="nil"/>
              <w:left w:val="nil"/>
              <w:bottom w:val="nil"/>
              <w:right w:val="nil"/>
              <w:tl2br w:val="nil"/>
              <w:tr2bl w:val="nil"/>
            </w:tcBorders>
            <w:shd w:val="clear" w:color="auto" w:fill="auto"/>
            <w:noWrap/>
            <w:tcMar>
              <w:left w:w="101" w:type="dxa"/>
              <w:right w:w="101" w:type="dxa"/>
            </w:tcMar>
          </w:tcPr>
          <w:p w14:paraId="74E43861"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Completed</w:t>
            </w:r>
          </w:p>
        </w:tc>
      </w:tr>
      <w:tr w:rsidR="009832FC" w:rsidRPr="009832FC" w14:paraId="5FB52C6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17305267"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Expanding pharmacy services at The Canberra Hospital</w:t>
            </w:r>
          </w:p>
        </w:tc>
        <w:tc>
          <w:tcPr>
            <w:tcW w:w="975" w:type="dxa"/>
            <w:tcBorders>
              <w:top w:val="nil"/>
              <w:left w:val="nil"/>
              <w:bottom w:val="nil"/>
              <w:right w:val="nil"/>
              <w:tl2br w:val="nil"/>
              <w:tr2bl w:val="nil"/>
            </w:tcBorders>
            <w:shd w:val="clear" w:color="auto" w:fill="auto"/>
            <w:noWrap/>
            <w:tcMar>
              <w:left w:w="101" w:type="dxa"/>
              <w:right w:w="161" w:type="dxa"/>
            </w:tcMar>
          </w:tcPr>
          <w:p w14:paraId="33D5E60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540</w:t>
            </w:r>
          </w:p>
        </w:tc>
        <w:tc>
          <w:tcPr>
            <w:tcW w:w="975" w:type="dxa"/>
            <w:tcBorders>
              <w:top w:val="nil"/>
              <w:left w:val="nil"/>
              <w:bottom w:val="nil"/>
              <w:right w:val="nil"/>
              <w:tl2br w:val="nil"/>
              <w:tr2bl w:val="nil"/>
            </w:tcBorders>
            <w:shd w:val="clear" w:color="auto" w:fill="auto"/>
            <w:noWrap/>
            <w:tcMar>
              <w:left w:w="101" w:type="dxa"/>
              <w:right w:w="161" w:type="dxa"/>
            </w:tcMar>
          </w:tcPr>
          <w:p w14:paraId="2FE56AC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4 475</w:t>
            </w:r>
          </w:p>
        </w:tc>
        <w:tc>
          <w:tcPr>
            <w:tcW w:w="975" w:type="dxa"/>
            <w:tcBorders>
              <w:top w:val="nil"/>
              <w:left w:val="nil"/>
              <w:bottom w:val="nil"/>
              <w:right w:val="nil"/>
              <w:tl2br w:val="nil"/>
              <w:tr2bl w:val="nil"/>
            </w:tcBorders>
            <w:shd w:val="clear" w:color="auto" w:fill="auto"/>
            <w:noWrap/>
            <w:tcMar>
              <w:left w:w="101" w:type="dxa"/>
              <w:right w:w="161" w:type="dxa"/>
            </w:tcMar>
          </w:tcPr>
          <w:p w14:paraId="0F3D8FB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7BFF16B"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299D72B5"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5 015</w:t>
            </w:r>
          </w:p>
        </w:tc>
        <w:tc>
          <w:tcPr>
            <w:tcW w:w="1125" w:type="dxa"/>
            <w:tcBorders>
              <w:top w:val="nil"/>
              <w:left w:val="nil"/>
              <w:bottom w:val="nil"/>
              <w:right w:val="nil"/>
              <w:tl2br w:val="nil"/>
              <w:tr2bl w:val="nil"/>
            </w:tcBorders>
            <w:shd w:val="clear" w:color="auto" w:fill="auto"/>
            <w:noWrap/>
            <w:tcMar>
              <w:left w:w="101" w:type="dxa"/>
              <w:right w:w="101" w:type="dxa"/>
            </w:tcMar>
          </w:tcPr>
          <w:p w14:paraId="1846659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Aug-22</w:t>
            </w:r>
          </w:p>
        </w:tc>
      </w:tr>
      <w:tr w:rsidR="009832FC" w:rsidRPr="009832FC" w14:paraId="5EE880D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44752244"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Expanding the Centenary Hospital for Women and Children</w:t>
            </w:r>
          </w:p>
        </w:tc>
        <w:tc>
          <w:tcPr>
            <w:tcW w:w="975" w:type="dxa"/>
            <w:tcBorders>
              <w:top w:val="nil"/>
              <w:left w:val="nil"/>
              <w:bottom w:val="nil"/>
              <w:right w:val="nil"/>
              <w:tl2br w:val="nil"/>
              <w:tr2bl w:val="nil"/>
            </w:tcBorders>
            <w:shd w:val="clear" w:color="auto" w:fill="auto"/>
            <w:noWrap/>
            <w:tcMar>
              <w:left w:w="101" w:type="dxa"/>
              <w:right w:w="161" w:type="dxa"/>
            </w:tcMar>
          </w:tcPr>
          <w:p w14:paraId="5CB0630B"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13 620</w:t>
            </w:r>
          </w:p>
        </w:tc>
        <w:tc>
          <w:tcPr>
            <w:tcW w:w="975" w:type="dxa"/>
            <w:tcBorders>
              <w:top w:val="nil"/>
              <w:left w:val="nil"/>
              <w:bottom w:val="nil"/>
              <w:right w:val="nil"/>
              <w:tl2br w:val="nil"/>
              <w:tr2bl w:val="nil"/>
            </w:tcBorders>
            <w:shd w:val="clear" w:color="auto" w:fill="auto"/>
            <w:noWrap/>
            <w:tcMar>
              <w:left w:w="101" w:type="dxa"/>
              <w:right w:w="161" w:type="dxa"/>
            </w:tcMar>
          </w:tcPr>
          <w:p w14:paraId="75D47CC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22 513</w:t>
            </w:r>
          </w:p>
        </w:tc>
        <w:tc>
          <w:tcPr>
            <w:tcW w:w="975" w:type="dxa"/>
            <w:tcBorders>
              <w:top w:val="nil"/>
              <w:left w:val="nil"/>
              <w:bottom w:val="nil"/>
              <w:right w:val="nil"/>
              <w:tl2br w:val="nil"/>
              <w:tr2bl w:val="nil"/>
            </w:tcBorders>
            <w:shd w:val="clear" w:color="auto" w:fill="auto"/>
            <w:noWrap/>
            <w:tcMar>
              <w:left w:w="101" w:type="dxa"/>
              <w:right w:w="161" w:type="dxa"/>
            </w:tcMar>
          </w:tcPr>
          <w:p w14:paraId="73C2D732"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4C68656"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1F1C5DBF"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36 133</w:t>
            </w:r>
          </w:p>
        </w:tc>
        <w:tc>
          <w:tcPr>
            <w:tcW w:w="1125" w:type="dxa"/>
            <w:tcBorders>
              <w:top w:val="nil"/>
              <w:left w:val="nil"/>
              <w:bottom w:val="nil"/>
              <w:right w:val="nil"/>
              <w:tl2br w:val="nil"/>
              <w:tr2bl w:val="nil"/>
            </w:tcBorders>
            <w:shd w:val="clear" w:color="auto" w:fill="auto"/>
            <w:noWrap/>
            <w:tcMar>
              <w:left w:w="101" w:type="dxa"/>
              <w:right w:w="101" w:type="dxa"/>
            </w:tcMar>
          </w:tcPr>
          <w:p w14:paraId="1E452D5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Sep-23</w:t>
            </w:r>
          </w:p>
        </w:tc>
      </w:tr>
      <w:tr w:rsidR="009832FC" w:rsidRPr="009832FC" w14:paraId="6EB4425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8A2F6EC"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Health Innovation Fund</w:t>
            </w:r>
          </w:p>
        </w:tc>
        <w:tc>
          <w:tcPr>
            <w:tcW w:w="975" w:type="dxa"/>
            <w:tcBorders>
              <w:top w:val="nil"/>
              <w:left w:val="nil"/>
              <w:bottom w:val="nil"/>
              <w:right w:val="nil"/>
              <w:tl2br w:val="nil"/>
              <w:tr2bl w:val="nil"/>
            </w:tcBorders>
            <w:shd w:val="clear" w:color="auto" w:fill="auto"/>
            <w:noWrap/>
            <w:tcMar>
              <w:left w:w="101" w:type="dxa"/>
              <w:right w:w="161" w:type="dxa"/>
            </w:tcMar>
          </w:tcPr>
          <w:p w14:paraId="3EE76E29"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4 922</w:t>
            </w:r>
          </w:p>
        </w:tc>
        <w:tc>
          <w:tcPr>
            <w:tcW w:w="975" w:type="dxa"/>
            <w:tcBorders>
              <w:top w:val="nil"/>
              <w:left w:val="nil"/>
              <w:bottom w:val="nil"/>
              <w:right w:val="nil"/>
              <w:tl2br w:val="nil"/>
              <w:tr2bl w:val="nil"/>
            </w:tcBorders>
            <w:shd w:val="clear" w:color="auto" w:fill="auto"/>
            <w:noWrap/>
            <w:tcMar>
              <w:left w:w="101" w:type="dxa"/>
              <w:right w:w="161" w:type="dxa"/>
            </w:tcMar>
          </w:tcPr>
          <w:p w14:paraId="4F79FE19"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615F1C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2EA34D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4DF90C9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4 922</w:t>
            </w:r>
          </w:p>
        </w:tc>
        <w:tc>
          <w:tcPr>
            <w:tcW w:w="1125" w:type="dxa"/>
            <w:tcBorders>
              <w:top w:val="nil"/>
              <w:left w:val="nil"/>
              <w:bottom w:val="nil"/>
              <w:right w:val="nil"/>
              <w:tl2br w:val="nil"/>
              <w:tr2bl w:val="nil"/>
            </w:tcBorders>
            <w:shd w:val="clear" w:color="auto" w:fill="auto"/>
            <w:noWrap/>
            <w:tcMar>
              <w:left w:w="101" w:type="dxa"/>
              <w:right w:w="101" w:type="dxa"/>
            </w:tcMar>
          </w:tcPr>
          <w:p w14:paraId="6665E94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Sep-21</w:t>
            </w:r>
          </w:p>
        </w:tc>
      </w:tr>
      <w:tr w:rsidR="009832FC" w:rsidRPr="009832FC" w14:paraId="41DEB44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146281EA"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Imaging services at the Weston Creek Walk-in Centre</w:t>
            </w:r>
          </w:p>
        </w:tc>
        <w:tc>
          <w:tcPr>
            <w:tcW w:w="975" w:type="dxa"/>
            <w:tcBorders>
              <w:top w:val="nil"/>
              <w:left w:val="nil"/>
              <w:bottom w:val="nil"/>
              <w:right w:val="nil"/>
              <w:tl2br w:val="nil"/>
              <w:tr2bl w:val="nil"/>
            </w:tcBorders>
            <w:shd w:val="clear" w:color="auto" w:fill="auto"/>
            <w:noWrap/>
            <w:tcMar>
              <w:left w:w="101" w:type="dxa"/>
              <w:right w:w="161" w:type="dxa"/>
            </w:tcMar>
          </w:tcPr>
          <w:p w14:paraId="221EB45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2 462</w:t>
            </w:r>
          </w:p>
        </w:tc>
        <w:tc>
          <w:tcPr>
            <w:tcW w:w="975" w:type="dxa"/>
            <w:tcBorders>
              <w:top w:val="nil"/>
              <w:left w:val="nil"/>
              <w:bottom w:val="nil"/>
              <w:right w:val="nil"/>
              <w:tl2br w:val="nil"/>
              <w:tr2bl w:val="nil"/>
            </w:tcBorders>
            <w:shd w:val="clear" w:color="auto" w:fill="auto"/>
            <w:noWrap/>
            <w:tcMar>
              <w:left w:w="101" w:type="dxa"/>
              <w:right w:w="161" w:type="dxa"/>
            </w:tcMar>
          </w:tcPr>
          <w:p w14:paraId="0EFA4322"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3 208</w:t>
            </w:r>
          </w:p>
        </w:tc>
        <w:tc>
          <w:tcPr>
            <w:tcW w:w="975" w:type="dxa"/>
            <w:tcBorders>
              <w:top w:val="nil"/>
              <w:left w:val="nil"/>
              <w:bottom w:val="nil"/>
              <w:right w:val="nil"/>
              <w:tl2br w:val="nil"/>
              <w:tr2bl w:val="nil"/>
            </w:tcBorders>
            <w:shd w:val="clear" w:color="auto" w:fill="auto"/>
            <w:noWrap/>
            <w:tcMar>
              <w:left w:w="101" w:type="dxa"/>
              <w:right w:w="161" w:type="dxa"/>
            </w:tcMar>
          </w:tcPr>
          <w:p w14:paraId="31EE1FA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742361F"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622309EB"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5 670</w:t>
            </w:r>
          </w:p>
        </w:tc>
        <w:tc>
          <w:tcPr>
            <w:tcW w:w="1125" w:type="dxa"/>
            <w:tcBorders>
              <w:top w:val="nil"/>
              <w:left w:val="nil"/>
              <w:bottom w:val="nil"/>
              <w:right w:val="nil"/>
              <w:tl2br w:val="nil"/>
              <w:tr2bl w:val="nil"/>
            </w:tcBorders>
            <w:shd w:val="clear" w:color="auto" w:fill="auto"/>
            <w:noWrap/>
            <w:tcMar>
              <w:left w:w="101" w:type="dxa"/>
              <w:right w:w="101" w:type="dxa"/>
            </w:tcMar>
          </w:tcPr>
          <w:p w14:paraId="75406139"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Oct-22</w:t>
            </w:r>
          </w:p>
        </w:tc>
      </w:tr>
      <w:tr w:rsidR="009832FC" w:rsidRPr="009832FC" w14:paraId="6D69345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17B6E947"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Improved Infrastructure for Acute Aged Care and Cancer Inpatients</w:t>
            </w:r>
          </w:p>
        </w:tc>
        <w:tc>
          <w:tcPr>
            <w:tcW w:w="975" w:type="dxa"/>
            <w:tcBorders>
              <w:top w:val="nil"/>
              <w:left w:val="nil"/>
              <w:bottom w:val="nil"/>
              <w:right w:val="nil"/>
              <w:tl2br w:val="nil"/>
              <w:tr2bl w:val="nil"/>
            </w:tcBorders>
            <w:shd w:val="clear" w:color="auto" w:fill="auto"/>
            <w:noWrap/>
            <w:tcMar>
              <w:left w:w="101" w:type="dxa"/>
              <w:right w:w="161" w:type="dxa"/>
            </w:tcMar>
          </w:tcPr>
          <w:p w14:paraId="5F200855"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1 135</w:t>
            </w:r>
          </w:p>
        </w:tc>
        <w:tc>
          <w:tcPr>
            <w:tcW w:w="975" w:type="dxa"/>
            <w:tcBorders>
              <w:top w:val="nil"/>
              <w:left w:val="nil"/>
              <w:bottom w:val="nil"/>
              <w:right w:val="nil"/>
              <w:tl2br w:val="nil"/>
              <w:tr2bl w:val="nil"/>
            </w:tcBorders>
            <w:shd w:val="clear" w:color="auto" w:fill="auto"/>
            <w:noWrap/>
            <w:tcMar>
              <w:left w:w="101" w:type="dxa"/>
              <w:right w:w="161" w:type="dxa"/>
            </w:tcMar>
          </w:tcPr>
          <w:p w14:paraId="6AEC7FE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DF4287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AC081B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763E382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1 135</w:t>
            </w:r>
          </w:p>
        </w:tc>
        <w:tc>
          <w:tcPr>
            <w:tcW w:w="1125" w:type="dxa"/>
            <w:tcBorders>
              <w:top w:val="nil"/>
              <w:left w:val="nil"/>
              <w:bottom w:val="nil"/>
              <w:right w:val="nil"/>
              <w:tl2br w:val="nil"/>
              <w:tr2bl w:val="nil"/>
            </w:tcBorders>
            <w:shd w:val="clear" w:color="auto" w:fill="auto"/>
            <w:noWrap/>
            <w:tcMar>
              <w:left w:w="101" w:type="dxa"/>
              <w:right w:w="101" w:type="dxa"/>
            </w:tcMar>
          </w:tcPr>
          <w:p w14:paraId="4BFE149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Dec-21</w:t>
            </w:r>
          </w:p>
        </w:tc>
      </w:tr>
      <w:tr w:rsidR="009832FC" w:rsidRPr="009832FC" w14:paraId="29D273D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7809794B"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More mental health services at The Canberra Hospital</w:t>
            </w:r>
          </w:p>
        </w:tc>
        <w:tc>
          <w:tcPr>
            <w:tcW w:w="975" w:type="dxa"/>
            <w:tcBorders>
              <w:top w:val="nil"/>
              <w:left w:val="nil"/>
              <w:bottom w:val="nil"/>
              <w:right w:val="nil"/>
              <w:tl2br w:val="nil"/>
              <w:tr2bl w:val="nil"/>
            </w:tcBorders>
            <w:shd w:val="clear" w:color="auto" w:fill="auto"/>
            <w:noWrap/>
            <w:tcMar>
              <w:left w:w="101" w:type="dxa"/>
              <w:right w:w="161" w:type="dxa"/>
            </w:tcMar>
          </w:tcPr>
          <w:p w14:paraId="1E7F18F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2 015</w:t>
            </w:r>
          </w:p>
        </w:tc>
        <w:tc>
          <w:tcPr>
            <w:tcW w:w="975" w:type="dxa"/>
            <w:tcBorders>
              <w:top w:val="nil"/>
              <w:left w:val="nil"/>
              <w:bottom w:val="nil"/>
              <w:right w:val="nil"/>
              <w:tl2br w:val="nil"/>
              <w:tr2bl w:val="nil"/>
            </w:tcBorders>
            <w:shd w:val="clear" w:color="auto" w:fill="auto"/>
            <w:noWrap/>
            <w:tcMar>
              <w:left w:w="101" w:type="dxa"/>
              <w:right w:w="161" w:type="dxa"/>
            </w:tcMar>
          </w:tcPr>
          <w:p w14:paraId="0CEDE38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D3D4D37"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3C7F4C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9070A54"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2 015</w:t>
            </w:r>
          </w:p>
        </w:tc>
        <w:tc>
          <w:tcPr>
            <w:tcW w:w="1125" w:type="dxa"/>
            <w:tcBorders>
              <w:top w:val="nil"/>
              <w:left w:val="nil"/>
              <w:bottom w:val="nil"/>
              <w:right w:val="nil"/>
              <w:tl2br w:val="nil"/>
              <w:tr2bl w:val="nil"/>
            </w:tcBorders>
            <w:shd w:val="clear" w:color="auto" w:fill="auto"/>
            <w:noWrap/>
            <w:tcMar>
              <w:left w:w="101" w:type="dxa"/>
              <w:right w:w="101" w:type="dxa"/>
            </w:tcMar>
          </w:tcPr>
          <w:p w14:paraId="5E2418A6"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Oct-21</w:t>
            </w:r>
          </w:p>
        </w:tc>
      </w:tr>
      <w:tr w:rsidR="009832FC" w:rsidRPr="009832FC" w14:paraId="25E96B0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09B3E424"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More public medical imaging services for Canberra Hospital</w:t>
            </w:r>
          </w:p>
        </w:tc>
        <w:tc>
          <w:tcPr>
            <w:tcW w:w="975" w:type="dxa"/>
            <w:tcBorders>
              <w:top w:val="nil"/>
              <w:left w:val="nil"/>
              <w:bottom w:val="nil"/>
              <w:right w:val="nil"/>
              <w:tl2br w:val="nil"/>
              <w:tr2bl w:val="nil"/>
            </w:tcBorders>
            <w:shd w:val="clear" w:color="auto" w:fill="auto"/>
            <w:noWrap/>
            <w:tcMar>
              <w:left w:w="101" w:type="dxa"/>
              <w:right w:w="161" w:type="dxa"/>
            </w:tcMar>
          </w:tcPr>
          <w:p w14:paraId="55440069"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2 000</w:t>
            </w:r>
          </w:p>
        </w:tc>
        <w:tc>
          <w:tcPr>
            <w:tcW w:w="975" w:type="dxa"/>
            <w:tcBorders>
              <w:top w:val="nil"/>
              <w:left w:val="nil"/>
              <w:bottom w:val="nil"/>
              <w:right w:val="nil"/>
              <w:tl2br w:val="nil"/>
              <w:tr2bl w:val="nil"/>
            </w:tcBorders>
            <w:shd w:val="clear" w:color="auto" w:fill="auto"/>
            <w:noWrap/>
            <w:tcMar>
              <w:left w:w="101" w:type="dxa"/>
              <w:right w:w="161" w:type="dxa"/>
            </w:tcMar>
          </w:tcPr>
          <w:p w14:paraId="2CD092F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7 291</w:t>
            </w:r>
          </w:p>
        </w:tc>
        <w:tc>
          <w:tcPr>
            <w:tcW w:w="975" w:type="dxa"/>
            <w:tcBorders>
              <w:top w:val="nil"/>
              <w:left w:val="nil"/>
              <w:bottom w:val="nil"/>
              <w:right w:val="nil"/>
              <w:tl2br w:val="nil"/>
              <w:tr2bl w:val="nil"/>
            </w:tcBorders>
            <w:shd w:val="clear" w:color="auto" w:fill="auto"/>
            <w:noWrap/>
            <w:tcMar>
              <w:left w:w="101" w:type="dxa"/>
              <w:right w:w="161" w:type="dxa"/>
            </w:tcMar>
          </w:tcPr>
          <w:p w14:paraId="58A3BB64"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1 900</w:t>
            </w:r>
          </w:p>
        </w:tc>
        <w:tc>
          <w:tcPr>
            <w:tcW w:w="975" w:type="dxa"/>
            <w:tcBorders>
              <w:top w:val="nil"/>
              <w:left w:val="nil"/>
              <w:bottom w:val="nil"/>
              <w:right w:val="nil"/>
              <w:tl2br w:val="nil"/>
              <w:tr2bl w:val="nil"/>
            </w:tcBorders>
            <w:shd w:val="clear" w:color="auto" w:fill="auto"/>
            <w:noWrap/>
            <w:tcMar>
              <w:left w:w="101" w:type="dxa"/>
              <w:right w:w="161" w:type="dxa"/>
            </w:tcMar>
          </w:tcPr>
          <w:p w14:paraId="1C58D01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1634816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11 191</w:t>
            </w:r>
          </w:p>
        </w:tc>
        <w:tc>
          <w:tcPr>
            <w:tcW w:w="1125" w:type="dxa"/>
            <w:tcBorders>
              <w:top w:val="nil"/>
              <w:left w:val="nil"/>
              <w:bottom w:val="nil"/>
              <w:right w:val="nil"/>
              <w:tl2br w:val="nil"/>
              <w:tr2bl w:val="nil"/>
            </w:tcBorders>
            <w:shd w:val="clear" w:color="auto" w:fill="auto"/>
            <w:noWrap/>
            <w:tcMar>
              <w:left w:w="101" w:type="dxa"/>
              <w:right w:w="101" w:type="dxa"/>
            </w:tcMar>
          </w:tcPr>
          <w:p w14:paraId="77557EAB"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Jul-23</w:t>
            </w:r>
          </w:p>
        </w:tc>
      </w:tr>
      <w:tr w:rsidR="009832FC" w:rsidRPr="009832FC" w14:paraId="69010DB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06BC67D5"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Opioid treatment services on Canberra’s northside</w:t>
            </w:r>
          </w:p>
        </w:tc>
        <w:tc>
          <w:tcPr>
            <w:tcW w:w="975" w:type="dxa"/>
            <w:tcBorders>
              <w:top w:val="nil"/>
              <w:left w:val="nil"/>
              <w:bottom w:val="nil"/>
              <w:right w:val="nil"/>
              <w:tl2br w:val="nil"/>
              <w:tr2bl w:val="nil"/>
            </w:tcBorders>
            <w:shd w:val="clear" w:color="auto" w:fill="auto"/>
            <w:noWrap/>
            <w:tcMar>
              <w:left w:w="101" w:type="dxa"/>
              <w:right w:w="161" w:type="dxa"/>
            </w:tcMar>
          </w:tcPr>
          <w:p w14:paraId="04E7F9E6"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26AA3C7"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36</w:t>
            </w:r>
          </w:p>
        </w:tc>
        <w:tc>
          <w:tcPr>
            <w:tcW w:w="975" w:type="dxa"/>
            <w:tcBorders>
              <w:top w:val="nil"/>
              <w:left w:val="nil"/>
              <w:bottom w:val="nil"/>
              <w:right w:val="nil"/>
              <w:tl2br w:val="nil"/>
              <w:tr2bl w:val="nil"/>
            </w:tcBorders>
            <w:shd w:val="clear" w:color="auto" w:fill="auto"/>
            <w:noWrap/>
            <w:tcMar>
              <w:left w:w="101" w:type="dxa"/>
              <w:right w:w="161" w:type="dxa"/>
            </w:tcMar>
          </w:tcPr>
          <w:p w14:paraId="6019DE1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B6AC9B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2AC845E5"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36</w:t>
            </w:r>
          </w:p>
        </w:tc>
        <w:tc>
          <w:tcPr>
            <w:tcW w:w="1125" w:type="dxa"/>
            <w:tcBorders>
              <w:top w:val="nil"/>
              <w:left w:val="nil"/>
              <w:bottom w:val="nil"/>
              <w:right w:val="nil"/>
              <w:tl2br w:val="nil"/>
              <w:tr2bl w:val="nil"/>
            </w:tcBorders>
            <w:shd w:val="clear" w:color="auto" w:fill="auto"/>
            <w:noWrap/>
            <w:tcMar>
              <w:left w:w="101" w:type="dxa"/>
              <w:right w:w="101" w:type="dxa"/>
            </w:tcMar>
          </w:tcPr>
          <w:p w14:paraId="602E3DA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Mar-21</w:t>
            </w:r>
          </w:p>
        </w:tc>
      </w:tr>
      <w:tr w:rsidR="009832FC" w:rsidRPr="009832FC" w14:paraId="1632CE6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6878B0BF"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Sterilising Services – Relocation and upgrade</w:t>
            </w:r>
          </w:p>
        </w:tc>
        <w:tc>
          <w:tcPr>
            <w:tcW w:w="975" w:type="dxa"/>
            <w:tcBorders>
              <w:top w:val="nil"/>
              <w:left w:val="nil"/>
              <w:bottom w:val="nil"/>
              <w:right w:val="nil"/>
              <w:tl2br w:val="nil"/>
              <w:tr2bl w:val="nil"/>
            </w:tcBorders>
            <w:shd w:val="clear" w:color="auto" w:fill="auto"/>
            <w:noWrap/>
            <w:tcMar>
              <w:left w:w="101" w:type="dxa"/>
              <w:right w:w="161" w:type="dxa"/>
            </w:tcMar>
          </w:tcPr>
          <w:p w14:paraId="79218C37"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490</w:t>
            </w:r>
          </w:p>
        </w:tc>
        <w:tc>
          <w:tcPr>
            <w:tcW w:w="975" w:type="dxa"/>
            <w:tcBorders>
              <w:top w:val="nil"/>
              <w:left w:val="nil"/>
              <w:bottom w:val="nil"/>
              <w:right w:val="nil"/>
              <w:tl2br w:val="nil"/>
              <w:tr2bl w:val="nil"/>
            </w:tcBorders>
            <w:shd w:val="clear" w:color="auto" w:fill="auto"/>
            <w:noWrap/>
            <w:tcMar>
              <w:left w:w="101" w:type="dxa"/>
              <w:right w:w="161" w:type="dxa"/>
            </w:tcMar>
          </w:tcPr>
          <w:p w14:paraId="170D0B5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A79286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510C84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2FE0D84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490</w:t>
            </w:r>
          </w:p>
        </w:tc>
        <w:tc>
          <w:tcPr>
            <w:tcW w:w="1125" w:type="dxa"/>
            <w:tcBorders>
              <w:top w:val="nil"/>
              <w:left w:val="nil"/>
              <w:bottom w:val="nil"/>
              <w:right w:val="nil"/>
              <w:tl2br w:val="nil"/>
              <w:tr2bl w:val="nil"/>
            </w:tcBorders>
            <w:shd w:val="clear" w:color="auto" w:fill="auto"/>
            <w:noWrap/>
            <w:tcMar>
              <w:left w:w="101" w:type="dxa"/>
              <w:right w:w="101" w:type="dxa"/>
            </w:tcMar>
          </w:tcPr>
          <w:p w14:paraId="5FD55535"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Completed</w:t>
            </w:r>
          </w:p>
        </w:tc>
      </w:tr>
      <w:tr w:rsidR="009832FC" w:rsidRPr="009832FC" w14:paraId="77A85EE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36256B29"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The Canberra Hospital – Essential infrastructure and engineering works</w:t>
            </w:r>
          </w:p>
        </w:tc>
        <w:tc>
          <w:tcPr>
            <w:tcW w:w="975" w:type="dxa"/>
            <w:tcBorders>
              <w:top w:val="nil"/>
              <w:left w:val="nil"/>
              <w:bottom w:val="nil"/>
              <w:right w:val="nil"/>
              <w:tl2br w:val="nil"/>
              <w:tr2bl w:val="nil"/>
            </w:tcBorders>
            <w:shd w:val="clear" w:color="auto" w:fill="auto"/>
            <w:noWrap/>
            <w:tcMar>
              <w:left w:w="101" w:type="dxa"/>
              <w:right w:w="161" w:type="dxa"/>
            </w:tcMar>
          </w:tcPr>
          <w:p w14:paraId="548CD5A4"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708</w:t>
            </w:r>
          </w:p>
        </w:tc>
        <w:tc>
          <w:tcPr>
            <w:tcW w:w="975" w:type="dxa"/>
            <w:tcBorders>
              <w:top w:val="nil"/>
              <w:left w:val="nil"/>
              <w:bottom w:val="nil"/>
              <w:right w:val="nil"/>
              <w:tl2br w:val="nil"/>
              <w:tr2bl w:val="nil"/>
            </w:tcBorders>
            <w:shd w:val="clear" w:color="auto" w:fill="auto"/>
            <w:noWrap/>
            <w:tcMar>
              <w:left w:w="101" w:type="dxa"/>
              <w:right w:w="161" w:type="dxa"/>
            </w:tcMar>
          </w:tcPr>
          <w:p w14:paraId="39ECD4F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550</w:t>
            </w:r>
          </w:p>
        </w:tc>
        <w:tc>
          <w:tcPr>
            <w:tcW w:w="975" w:type="dxa"/>
            <w:tcBorders>
              <w:top w:val="nil"/>
              <w:left w:val="nil"/>
              <w:bottom w:val="nil"/>
              <w:right w:val="nil"/>
              <w:tl2br w:val="nil"/>
              <w:tr2bl w:val="nil"/>
            </w:tcBorders>
            <w:shd w:val="clear" w:color="auto" w:fill="auto"/>
            <w:noWrap/>
            <w:tcMar>
              <w:left w:w="101" w:type="dxa"/>
              <w:right w:w="161" w:type="dxa"/>
            </w:tcMar>
          </w:tcPr>
          <w:p w14:paraId="4DB1C54B"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7EA9A6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E311D55"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1 258</w:t>
            </w:r>
          </w:p>
        </w:tc>
        <w:tc>
          <w:tcPr>
            <w:tcW w:w="1125" w:type="dxa"/>
            <w:tcBorders>
              <w:top w:val="nil"/>
              <w:left w:val="nil"/>
              <w:bottom w:val="nil"/>
              <w:right w:val="nil"/>
              <w:tl2br w:val="nil"/>
              <w:tr2bl w:val="nil"/>
            </w:tcBorders>
            <w:shd w:val="clear" w:color="auto" w:fill="auto"/>
            <w:noWrap/>
            <w:tcMar>
              <w:left w:w="101" w:type="dxa"/>
              <w:right w:w="101" w:type="dxa"/>
            </w:tcMar>
          </w:tcPr>
          <w:p w14:paraId="7D3F1227"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Dec-22</w:t>
            </w:r>
          </w:p>
        </w:tc>
      </w:tr>
      <w:tr w:rsidR="009832FC" w:rsidRPr="009832FC" w14:paraId="08E6C571" w14:textId="77777777" w:rsidTr="00F30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9375" w:type="dxa"/>
            <w:gridSpan w:val="7"/>
            <w:tcBorders>
              <w:top w:val="nil"/>
              <w:left w:val="nil"/>
              <w:bottom w:val="single" w:sz="4" w:space="0" w:color="000000"/>
              <w:right w:val="nil"/>
              <w:tl2br w:val="nil"/>
              <w:tr2bl w:val="nil"/>
            </w:tcBorders>
            <w:shd w:val="clear" w:color="auto" w:fill="auto"/>
            <w:tcMar>
              <w:left w:w="101" w:type="dxa"/>
              <w:right w:w="101" w:type="dxa"/>
            </w:tcMar>
          </w:tcPr>
          <w:p w14:paraId="114E6E36" w14:textId="77777777" w:rsidR="009832FC" w:rsidRPr="009832FC" w:rsidRDefault="009832FC" w:rsidP="001F17E0">
            <w:pPr>
              <w:keepNext/>
              <w:spacing w:before="240"/>
              <w:rPr>
                <w:rFonts w:eastAsia="Calibri"/>
                <w:b/>
                <w:bCs/>
                <w:color w:val="000000"/>
                <w:sz w:val="22"/>
                <w:szCs w:val="18"/>
              </w:rPr>
            </w:pPr>
            <w:r w:rsidRPr="009832FC">
              <w:rPr>
                <w:b/>
                <w:bCs/>
                <w:color w:val="000000"/>
                <w:sz w:val="22"/>
                <w:szCs w:val="18"/>
              </w:rPr>
              <w:lastRenderedPageBreak/>
              <w:t>Table 23: 2021-22 Canberra Health Services Infrastructure Program (continued)</w:t>
            </w:r>
          </w:p>
        </w:tc>
      </w:tr>
      <w:tr w:rsidR="009832FC" w:rsidRPr="009832FC" w14:paraId="3E955103" w14:textId="77777777" w:rsidTr="00F30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single" w:sz="4" w:space="0" w:color="000000"/>
              <w:left w:val="nil"/>
              <w:bottom w:val="single" w:sz="4" w:space="0" w:color="auto"/>
              <w:right w:val="nil"/>
              <w:tl2br w:val="nil"/>
              <w:tr2bl w:val="nil"/>
            </w:tcBorders>
            <w:shd w:val="clear" w:color="auto" w:fill="auto"/>
            <w:tcMar>
              <w:left w:w="101" w:type="dxa"/>
              <w:right w:w="101" w:type="dxa"/>
            </w:tcMar>
          </w:tcPr>
          <w:p w14:paraId="18313FE4"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b/>
                <w:color w:val="000000"/>
                <w:sz w:val="18"/>
                <w:szCs w:val="24"/>
                <w:lang w:eastAsia="en-AU"/>
              </w:rPr>
              <w:t>Project</w:t>
            </w:r>
          </w:p>
        </w:tc>
        <w:tc>
          <w:tcPr>
            <w:tcW w:w="975" w:type="dxa"/>
            <w:tcBorders>
              <w:top w:val="single" w:sz="4" w:space="0" w:color="000000"/>
              <w:left w:val="nil"/>
              <w:bottom w:val="single" w:sz="4" w:space="0" w:color="auto"/>
              <w:right w:val="nil"/>
              <w:tl2br w:val="nil"/>
              <w:tr2bl w:val="nil"/>
            </w:tcBorders>
            <w:shd w:val="clear" w:color="auto" w:fill="auto"/>
            <w:noWrap/>
            <w:tcMar>
              <w:left w:w="101" w:type="dxa"/>
              <w:right w:w="161" w:type="dxa"/>
            </w:tcMar>
          </w:tcPr>
          <w:p w14:paraId="346CDE61"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2021-22</w:t>
            </w:r>
          </w:p>
          <w:p w14:paraId="4F9BECD4"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b/>
                <w:color w:val="000000"/>
                <w:sz w:val="18"/>
                <w:szCs w:val="24"/>
                <w:lang w:eastAsia="en-AU"/>
              </w:rPr>
              <w:t>$'000</w:t>
            </w:r>
          </w:p>
        </w:tc>
        <w:tc>
          <w:tcPr>
            <w:tcW w:w="975" w:type="dxa"/>
            <w:tcBorders>
              <w:top w:val="single" w:sz="4" w:space="0" w:color="000000"/>
              <w:left w:val="nil"/>
              <w:bottom w:val="single" w:sz="4" w:space="0" w:color="auto"/>
              <w:right w:val="nil"/>
              <w:tl2br w:val="nil"/>
              <w:tr2bl w:val="nil"/>
            </w:tcBorders>
            <w:shd w:val="clear" w:color="auto" w:fill="auto"/>
            <w:noWrap/>
            <w:tcMar>
              <w:left w:w="101" w:type="dxa"/>
              <w:right w:w="161" w:type="dxa"/>
            </w:tcMar>
          </w:tcPr>
          <w:p w14:paraId="2BD966B2"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2022-23</w:t>
            </w:r>
          </w:p>
          <w:p w14:paraId="4E4580C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b/>
                <w:color w:val="000000"/>
                <w:sz w:val="18"/>
                <w:szCs w:val="24"/>
                <w:lang w:eastAsia="en-AU"/>
              </w:rPr>
              <w:t>$'000</w:t>
            </w:r>
          </w:p>
        </w:tc>
        <w:tc>
          <w:tcPr>
            <w:tcW w:w="975" w:type="dxa"/>
            <w:tcBorders>
              <w:top w:val="single" w:sz="4" w:space="0" w:color="000000"/>
              <w:left w:val="nil"/>
              <w:bottom w:val="single" w:sz="4" w:space="0" w:color="auto"/>
              <w:right w:val="nil"/>
              <w:tl2br w:val="nil"/>
              <w:tr2bl w:val="nil"/>
            </w:tcBorders>
            <w:shd w:val="clear" w:color="auto" w:fill="auto"/>
            <w:noWrap/>
            <w:tcMar>
              <w:left w:w="101" w:type="dxa"/>
              <w:right w:w="161" w:type="dxa"/>
            </w:tcMar>
          </w:tcPr>
          <w:p w14:paraId="5B6AEC8C"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2023-24</w:t>
            </w:r>
          </w:p>
          <w:p w14:paraId="300199E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b/>
                <w:color w:val="000000"/>
                <w:sz w:val="18"/>
                <w:szCs w:val="24"/>
                <w:lang w:eastAsia="en-AU"/>
              </w:rPr>
              <w:t>$'000</w:t>
            </w:r>
          </w:p>
        </w:tc>
        <w:tc>
          <w:tcPr>
            <w:tcW w:w="975" w:type="dxa"/>
            <w:tcBorders>
              <w:top w:val="single" w:sz="4" w:space="0" w:color="000000"/>
              <w:left w:val="nil"/>
              <w:bottom w:val="single" w:sz="4" w:space="0" w:color="auto"/>
              <w:right w:val="nil"/>
              <w:tl2br w:val="nil"/>
              <w:tr2bl w:val="nil"/>
            </w:tcBorders>
            <w:shd w:val="clear" w:color="auto" w:fill="auto"/>
            <w:noWrap/>
            <w:tcMar>
              <w:left w:w="101" w:type="dxa"/>
              <w:right w:w="161" w:type="dxa"/>
            </w:tcMar>
          </w:tcPr>
          <w:p w14:paraId="487A84CB"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2024-25</w:t>
            </w:r>
          </w:p>
          <w:p w14:paraId="1F4530F8"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b/>
                <w:color w:val="000000"/>
                <w:sz w:val="18"/>
                <w:szCs w:val="24"/>
                <w:lang w:eastAsia="en-AU"/>
              </w:rPr>
              <w:t>$'000</w:t>
            </w:r>
          </w:p>
        </w:tc>
        <w:tc>
          <w:tcPr>
            <w:tcW w:w="1125" w:type="dxa"/>
            <w:tcBorders>
              <w:top w:val="single" w:sz="4" w:space="0" w:color="000000"/>
              <w:left w:val="nil"/>
              <w:bottom w:val="single" w:sz="4" w:space="0" w:color="auto"/>
              <w:right w:val="nil"/>
              <w:tl2br w:val="nil"/>
              <w:tr2bl w:val="nil"/>
            </w:tcBorders>
            <w:shd w:val="clear" w:color="auto" w:fill="auto"/>
            <w:noWrap/>
            <w:tcMar>
              <w:left w:w="101" w:type="dxa"/>
              <w:right w:w="161" w:type="dxa"/>
            </w:tcMar>
          </w:tcPr>
          <w:p w14:paraId="3C747009"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Four Year</w:t>
            </w:r>
          </w:p>
          <w:p w14:paraId="59FAF038"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Investment</w:t>
            </w:r>
          </w:p>
          <w:p w14:paraId="0ADE8437"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p w14:paraId="1582ECBA" w14:textId="77777777" w:rsidR="009832FC" w:rsidRPr="009832FC" w:rsidRDefault="009832FC" w:rsidP="001F17E0">
            <w:pPr>
              <w:spacing w:before="0" w:after="0"/>
              <w:jc w:val="right"/>
              <w:rPr>
                <w:rFonts w:eastAsia="Calibri" w:cs="Calibri"/>
                <w:color w:val="000000"/>
                <w:sz w:val="18"/>
                <w:szCs w:val="24"/>
                <w:lang w:eastAsia="en-AU"/>
              </w:rPr>
            </w:pPr>
          </w:p>
        </w:tc>
        <w:tc>
          <w:tcPr>
            <w:tcW w:w="1125" w:type="dxa"/>
            <w:tcBorders>
              <w:top w:val="single" w:sz="4" w:space="0" w:color="000000"/>
              <w:left w:val="nil"/>
              <w:bottom w:val="single" w:sz="4" w:space="0" w:color="auto"/>
              <w:right w:val="nil"/>
              <w:tl2br w:val="nil"/>
              <w:tr2bl w:val="nil"/>
            </w:tcBorders>
            <w:shd w:val="clear" w:color="auto" w:fill="auto"/>
            <w:noWrap/>
            <w:tcMar>
              <w:left w:w="101" w:type="dxa"/>
              <w:right w:w="101" w:type="dxa"/>
            </w:tcMar>
          </w:tcPr>
          <w:p w14:paraId="5AC05EA1"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Physical</w:t>
            </w:r>
          </w:p>
          <w:p w14:paraId="20FB3622"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Completion</w:t>
            </w:r>
          </w:p>
          <w:p w14:paraId="6058828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b/>
                <w:color w:val="000000"/>
                <w:sz w:val="18"/>
                <w:szCs w:val="24"/>
                <w:lang w:eastAsia="en-AU"/>
              </w:rPr>
              <w:t>Date</w:t>
            </w:r>
          </w:p>
        </w:tc>
      </w:tr>
      <w:tr w:rsidR="00F307B7" w:rsidRPr="009832FC" w14:paraId="538F4D3A" w14:textId="77777777" w:rsidTr="00F30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single" w:sz="4" w:space="0" w:color="auto"/>
              <w:left w:val="nil"/>
              <w:bottom w:val="nil"/>
              <w:right w:val="nil"/>
              <w:tl2br w:val="nil"/>
              <w:tr2bl w:val="nil"/>
            </w:tcBorders>
            <w:shd w:val="clear" w:color="auto" w:fill="auto"/>
            <w:tcMar>
              <w:left w:w="101" w:type="dxa"/>
              <w:right w:w="101" w:type="dxa"/>
            </w:tcMar>
          </w:tcPr>
          <w:p w14:paraId="117079D8" w14:textId="6D3A2338" w:rsidR="00F307B7" w:rsidRPr="009832FC" w:rsidRDefault="00F307B7" w:rsidP="00527C7B">
            <w:pPr>
              <w:spacing w:before="0" w:after="0"/>
              <w:rPr>
                <w:rFonts w:eastAsia="Calibri" w:cs="Calibri"/>
                <w:color w:val="000000"/>
                <w:sz w:val="18"/>
                <w:szCs w:val="24"/>
                <w:lang w:eastAsia="en-AU"/>
              </w:rPr>
            </w:pPr>
          </w:p>
        </w:tc>
        <w:tc>
          <w:tcPr>
            <w:tcW w:w="975" w:type="dxa"/>
            <w:tcBorders>
              <w:top w:val="single" w:sz="4" w:space="0" w:color="auto"/>
              <w:left w:val="nil"/>
              <w:bottom w:val="nil"/>
              <w:right w:val="nil"/>
              <w:tl2br w:val="nil"/>
              <w:tr2bl w:val="nil"/>
            </w:tcBorders>
            <w:shd w:val="clear" w:color="auto" w:fill="auto"/>
            <w:noWrap/>
            <w:tcMar>
              <w:left w:w="101" w:type="dxa"/>
              <w:right w:w="161" w:type="dxa"/>
            </w:tcMar>
          </w:tcPr>
          <w:p w14:paraId="22FF02C0" w14:textId="2D212FF9" w:rsidR="00F307B7" w:rsidRPr="009832FC" w:rsidRDefault="00F307B7" w:rsidP="00527C7B">
            <w:pPr>
              <w:spacing w:before="0" w:after="0"/>
              <w:jc w:val="right"/>
              <w:rPr>
                <w:rFonts w:eastAsia="Calibri" w:cs="Calibri"/>
                <w:color w:val="000000"/>
                <w:sz w:val="18"/>
                <w:szCs w:val="24"/>
                <w:lang w:eastAsia="en-AU"/>
              </w:rPr>
            </w:pPr>
          </w:p>
        </w:tc>
        <w:tc>
          <w:tcPr>
            <w:tcW w:w="975" w:type="dxa"/>
            <w:tcBorders>
              <w:top w:val="single" w:sz="4" w:space="0" w:color="auto"/>
              <w:left w:val="nil"/>
              <w:bottom w:val="nil"/>
              <w:right w:val="nil"/>
              <w:tl2br w:val="nil"/>
              <w:tr2bl w:val="nil"/>
            </w:tcBorders>
            <w:shd w:val="clear" w:color="auto" w:fill="auto"/>
            <w:noWrap/>
            <w:tcMar>
              <w:left w:w="101" w:type="dxa"/>
              <w:right w:w="161" w:type="dxa"/>
            </w:tcMar>
          </w:tcPr>
          <w:p w14:paraId="2C194AD4" w14:textId="7B37F78F" w:rsidR="00F307B7" w:rsidRPr="009832FC" w:rsidRDefault="00F307B7" w:rsidP="00527C7B">
            <w:pPr>
              <w:spacing w:before="0" w:after="0"/>
              <w:jc w:val="right"/>
              <w:rPr>
                <w:rFonts w:eastAsia="Calibri" w:cs="Calibri"/>
                <w:color w:val="000000"/>
                <w:sz w:val="18"/>
                <w:szCs w:val="24"/>
                <w:lang w:eastAsia="en-AU"/>
              </w:rPr>
            </w:pPr>
          </w:p>
        </w:tc>
        <w:tc>
          <w:tcPr>
            <w:tcW w:w="975" w:type="dxa"/>
            <w:tcBorders>
              <w:top w:val="single" w:sz="4" w:space="0" w:color="auto"/>
              <w:left w:val="nil"/>
              <w:bottom w:val="nil"/>
              <w:right w:val="nil"/>
              <w:tl2br w:val="nil"/>
              <w:tr2bl w:val="nil"/>
            </w:tcBorders>
            <w:shd w:val="clear" w:color="auto" w:fill="auto"/>
            <w:noWrap/>
            <w:tcMar>
              <w:left w:w="101" w:type="dxa"/>
              <w:right w:w="161" w:type="dxa"/>
            </w:tcMar>
          </w:tcPr>
          <w:p w14:paraId="61588101" w14:textId="554961C0" w:rsidR="00F307B7" w:rsidRPr="009832FC" w:rsidRDefault="00F307B7" w:rsidP="00527C7B">
            <w:pPr>
              <w:spacing w:before="0" w:after="0"/>
              <w:jc w:val="right"/>
              <w:rPr>
                <w:rFonts w:eastAsia="Calibri" w:cs="Calibri"/>
                <w:color w:val="000000"/>
                <w:sz w:val="18"/>
                <w:szCs w:val="24"/>
                <w:lang w:eastAsia="en-AU"/>
              </w:rPr>
            </w:pPr>
          </w:p>
        </w:tc>
        <w:tc>
          <w:tcPr>
            <w:tcW w:w="975" w:type="dxa"/>
            <w:tcBorders>
              <w:top w:val="single" w:sz="4" w:space="0" w:color="auto"/>
              <w:left w:val="nil"/>
              <w:bottom w:val="nil"/>
              <w:right w:val="nil"/>
              <w:tl2br w:val="nil"/>
              <w:tr2bl w:val="nil"/>
            </w:tcBorders>
            <w:shd w:val="clear" w:color="auto" w:fill="auto"/>
            <w:noWrap/>
            <w:tcMar>
              <w:left w:w="101" w:type="dxa"/>
              <w:right w:w="161" w:type="dxa"/>
            </w:tcMar>
          </w:tcPr>
          <w:p w14:paraId="1B59E2F9" w14:textId="3C95AE38" w:rsidR="00F307B7" w:rsidRPr="009832FC" w:rsidRDefault="00F307B7" w:rsidP="00527C7B">
            <w:pPr>
              <w:spacing w:before="0" w:after="0"/>
              <w:jc w:val="right"/>
              <w:rPr>
                <w:rFonts w:eastAsia="Calibri" w:cs="Calibri"/>
                <w:color w:val="000000"/>
                <w:sz w:val="18"/>
                <w:szCs w:val="24"/>
                <w:lang w:eastAsia="en-AU"/>
              </w:rPr>
            </w:pPr>
          </w:p>
        </w:tc>
        <w:tc>
          <w:tcPr>
            <w:tcW w:w="1125" w:type="dxa"/>
            <w:tcBorders>
              <w:top w:val="single" w:sz="4" w:space="0" w:color="auto"/>
              <w:left w:val="nil"/>
              <w:bottom w:val="nil"/>
              <w:right w:val="nil"/>
              <w:tl2br w:val="nil"/>
              <w:tr2bl w:val="nil"/>
            </w:tcBorders>
            <w:shd w:val="clear" w:color="auto" w:fill="auto"/>
            <w:noWrap/>
            <w:tcMar>
              <w:left w:w="101" w:type="dxa"/>
              <w:right w:w="161" w:type="dxa"/>
            </w:tcMar>
          </w:tcPr>
          <w:p w14:paraId="62653B9A" w14:textId="021A0DF2" w:rsidR="00F307B7" w:rsidRPr="009832FC" w:rsidRDefault="00F307B7" w:rsidP="00527C7B">
            <w:pPr>
              <w:spacing w:before="0" w:after="0"/>
              <w:jc w:val="right"/>
              <w:rPr>
                <w:rFonts w:eastAsia="Calibri" w:cs="Calibri"/>
                <w:color w:val="000000"/>
                <w:sz w:val="18"/>
                <w:szCs w:val="24"/>
                <w:lang w:eastAsia="en-AU"/>
              </w:rPr>
            </w:pPr>
          </w:p>
        </w:tc>
        <w:tc>
          <w:tcPr>
            <w:tcW w:w="1125" w:type="dxa"/>
            <w:tcBorders>
              <w:top w:val="single" w:sz="4" w:space="0" w:color="auto"/>
              <w:left w:val="nil"/>
              <w:bottom w:val="nil"/>
              <w:right w:val="nil"/>
              <w:tl2br w:val="nil"/>
              <w:tr2bl w:val="nil"/>
            </w:tcBorders>
            <w:shd w:val="clear" w:color="auto" w:fill="auto"/>
            <w:noWrap/>
            <w:tcMar>
              <w:left w:w="101" w:type="dxa"/>
              <w:right w:w="101" w:type="dxa"/>
            </w:tcMar>
          </w:tcPr>
          <w:p w14:paraId="60AC7848" w14:textId="3B929990" w:rsidR="00F307B7" w:rsidRPr="009832FC" w:rsidRDefault="00F307B7" w:rsidP="00527C7B">
            <w:pPr>
              <w:spacing w:before="0" w:after="0"/>
              <w:jc w:val="right"/>
              <w:rPr>
                <w:rFonts w:eastAsia="Calibri" w:cs="Calibri"/>
                <w:color w:val="000000"/>
                <w:sz w:val="18"/>
                <w:szCs w:val="24"/>
                <w:lang w:eastAsia="en-AU"/>
              </w:rPr>
            </w:pPr>
          </w:p>
        </w:tc>
      </w:tr>
      <w:tr w:rsidR="009832FC" w:rsidRPr="009832FC" w14:paraId="4BA8CEF5" w14:textId="77777777" w:rsidTr="00F30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151A840"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University of Canberra Public Hospital</w:t>
            </w:r>
          </w:p>
        </w:tc>
        <w:tc>
          <w:tcPr>
            <w:tcW w:w="975" w:type="dxa"/>
            <w:tcBorders>
              <w:top w:val="nil"/>
              <w:left w:val="nil"/>
              <w:bottom w:val="nil"/>
              <w:right w:val="nil"/>
              <w:tl2br w:val="nil"/>
              <w:tr2bl w:val="nil"/>
            </w:tcBorders>
            <w:shd w:val="clear" w:color="auto" w:fill="auto"/>
            <w:noWrap/>
            <w:tcMar>
              <w:left w:w="101" w:type="dxa"/>
              <w:right w:w="161" w:type="dxa"/>
            </w:tcMar>
          </w:tcPr>
          <w:p w14:paraId="34B04FA8"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800</w:t>
            </w:r>
          </w:p>
        </w:tc>
        <w:tc>
          <w:tcPr>
            <w:tcW w:w="975" w:type="dxa"/>
            <w:tcBorders>
              <w:top w:val="nil"/>
              <w:left w:val="nil"/>
              <w:bottom w:val="nil"/>
              <w:right w:val="nil"/>
              <w:tl2br w:val="nil"/>
              <w:tr2bl w:val="nil"/>
            </w:tcBorders>
            <w:shd w:val="clear" w:color="auto" w:fill="auto"/>
            <w:noWrap/>
            <w:tcMar>
              <w:left w:w="101" w:type="dxa"/>
              <w:right w:w="161" w:type="dxa"/>
            </w:tcMar>
          </w:tcPr>
          <w:p w14:paraId="6AECA08B"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2D7E8E6"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00E8D1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49481E9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800</w:t>
            </w:r>
          </w:p>
        </w:tc>
        <w:tc>
          <w:tcPr>
            <w:tcW w:w="1125" w:type="dxa"/>
            <w:tcBorders>
              <w:top w:val="nil"/>
              <w:left w:val="nil"/>
              <w:bottom w:val="nil"/>
              <w:right w:val="nil"/>
              <w:tl2br w:val="nil"/>
              <w:tr2bl w:val="nil"/>
            </w:tcBorders>
            <w:shd w:val="clear" w:color="auto" w:fill="auto"/>
            <w:noWrap/>
            <w:tcMar>
              <w:left w:w="101" w:type="dxa"/>
              <w:right w:w="101" w:type="dxa"/>
            </w:tcMar>
          </w:tcPr>
          <w:p w14:paraId="6EC9B81B"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Completed</w:t>
            </w:r>
          </w:p>
        </w:tc>
      </w:tr>
      <w:tr w:rsidR="009832FC" w:rsidRPr="009832FC" w14:paraId="7DD6CEF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3225" w:type="dxa"/>
            <w:tcBorders>
              <w:top w:val="nil"/>
              <w:left w:val="nil"/>
              <w:bottom w:val="nil"/>
              <w:right w:val="nil"/>
              <w:tl2br w:val="nil"/>
              <w:tr2bl w:val="nil"/>
            </w:tcBorders>
            <w:shd w:val="clear" w:color="auto" w:fill="auto"/>
            <w:tcMar>
              <w:left w:w="101" w:type="dxa"/>
              <w:right w:w="101" w:type="dxa"/>
            </w:tcMar>
          </w:tcPr>
          <w:p w14:paraId="26185D41"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University of Canberra Public Hospital Car Park (Grant)</w:t>
            </w:r>
          </w:p>
        </w:tc>
        <w:tc>
          <w:tcPr>
            <w:tcW w:w="975" w:type="dxa"/>
            <w:tcBorders>
              <w:top w:val="nil"/>
              <w:left w:val="nil"/>
              <w:bottom w:val="nil"/>
              <w:right w:val="nil"/>
              <w:tl2br w:val="nil"/>
              <w:tr2bl w:val="nil"/>
            </w:tcBorders>
            <w:shd w:val="clear" w:color="auto" w:fill="auto"/>
            <w:noWrap/>
            <w:tcMar>
              <w:left w:w="101" w:type="dxa"/>
              <w:right w:w="161" w:type="dxa"/>
            </w:tcMar>
          </w:tcPr>
          <w:p w14:paraId="0FBE4EB3"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307</w:t>
            </w:r>
          </w:p>
        </w:tc>
        <w:tc>
          <w:tcPr>
            <w:tcW w:w="975" w:type="dxa"/>
            <w:tcBorders>
              <w:top w:val="nil"/>
              <w:left w:val="nil"/>
              <w:bottom w:val="nil"/>
              <w:right w:val="nil"/>
              <w:tl2br w:val="nil"/>
              <w:tr2bl w:val="nil"/>
            </w:tcBorders>
            <w:shd w:val="clear" w:color="auto" w:fill="auto"/>
            <w:noWrap/>
            <w:tcMar>
              <w:left w:w="101" w:type="dxa"/>
              <w:right w:w="161" w:type="dxa"/>
            </w:tcMar>
          </w:tcPr>
          <w:p w14:paraId="12DDD277"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2DFE3D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2357DCF"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192856F4"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307</w:t>
            </w:r>
          </w:p>
        </w:tc>
        <w:tc>
          <w:tcPr>
            <w:tcW w:w="1125" w:type="dxa"/>
            <w:tcBorders>
              <w:top w:val="nil"/>
              <w:left w:val="nil"/>
              <w:bottom w:val="nil"/>
              <w:right w:val="nil"/>
              <w:tl2br w:val="nil"/>
              <w:tr2bl w:val="nil"/>
            </w:tcBorders>
            <w:shd w:val="clear" w:color="auto" w:fill="auto"/>
            <w:noWrap/>
            <w:tcMar>
              <w:left w:w="101" w:type="dxa"/>
              <w:right w:w="101" w:type="dxa"/>
            </w:tcMar>
          </w:tcPr>
          <w:p w14:paraId="3B9C7F92"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Completed</w:t>
            </w:r>
          </w:p>
        </w:tc>
      </w:tr>
      <w:tr w:rsidR="009832FC" w:rsidRPr="009832FC" w14:paraId="57BAF40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34CECC26"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Upgrade and refurbishment of buildings at Canberra Hospital</w:t>
            </w:r>
          </w:p>
        </w:tc>
        <w:tc>
          <w:tcPr>
            <w:tcW w:w="975" w:type="dxa"/>
            <w:tcBorders>
              <w:top w:val="nil"/>
              <w:left w:val="nil"/>
              <w:bottom w:val="nil"/>
              <w:right w:val="nil"/>
              <w:tl2br w:val="nil"/>
              <w:tr2bl w:val="nil"/>
            </w:tcBorders>
            <w:shd w:val="clear" w:color="auto" w:fill="auto"/>
            <w:noWrap/>
            <w:tcMar>
              <w:left w:w="101" w:type="dxa"/>
              <w:right w:w="161" w:type="dxa"/>
            </w:tcMar>
          </w:tcPr>
          <w:p w14:paraId="7C7A8F5D"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6 999</w:t>
            </w:r>
          </w:p>
        </w:tc>
        <w:tc>
          <w:tcPr>
            <w:tcW w:w="975" w:type="dxa"/>
            <w:tcBorders>
              <w:top w:val="nil"/>
              <w:left w:val="nil"/>
              <w:bottom w:val="nil"/>
              <w:right w:val="nil"/>
              <w:tl2br w:val="nil"/>
              <w:tr2bl w:val="nil"/>
            </w:tcBorders>
            <w:shd w:val="clear" w:color="auto" w:fill="auto"/>
            <w:noWrap/>
            <w:tcMar>
              <w:left w:w="101" w:type="dxa"/>
              <w:right w:w="161" w:type="dxa"/>
            </w:tcMar>
          </w:tcPr>
          <w:p w14:paraId="04DAE085"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8 872</w:t>
            </w:r>
          </w:p>
        </w:tc>
        <w:tc>
          <w:tcPr>
            <w:tcW w:w="975" w:type="dxa"/>
            <w:tcBorders>
              <w:top w:val="nil"/>
              <w:left w:val="nil"/>
              <w:bottom w:val="nil"/>
              <w:right w:val="nil"/>
              <w:tl2br w:val="nil"/>
              <w:tr2bl w:val="nil"/>
            </w:tcBorders>
            <w:shd w:val="clear" w:color="auto" w:fill="auto"/>
            <w:noWrap/>
            <w:tcMar>
              <w:left w:w="101" w:type="dxa"/>
              <w:right w:w="161" w:type="dxa"/>
            </w:tcMar>
          </w:tcPr>
          <w:p w14:paraId="5BE3FA0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3FAA7D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5206CFA1"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15 871</w:t>
            </w:r>
          </w:p>
        </w:tc>
        <w:tc>
          <w:tcPr>
            <w:tcW w:w="1125" w:type="dxa"/>
            <w:tcBorders>
              <w:top w:val="nil"/>
              <w:left w:val="nil"/>
              <w:bottom w:val="nil"/>
              <w:right w:val="nil"/>
              <w:tl2br w:val="nil"/>
              <w:tr2bl w:val="nil"/>
            </w:tcBorders>
            <w:shd w:val="clear" w:color="auto" w:fill="auto"/>
            <w:noWrap/>
            <w:tcMar>
              <w:left w:w="101" w:type="dxa"/>
              <w:right w:w="101" w:type="dxa"/>
            </w:tcMar>
          </w:tcPr>
          <w:p w14:paraId="6A58477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Jul-22</w:t>
            </w:r>
          </w:p>
        </w:tc>
      </w:tr>
      <w:tr w:rsidR="009832FC" w:rsidRPr="009832FC" w14:paraId="7E5AF87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3A3183AB"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Upgrade and Refurbishment of Critical Buildings at Canberra Hospital</w:t>
            </w:r>
          </w:p>
        </w:tc>
        <w:tc>
          <w:tcPr>
            <w:tcW w:w="975" w:type="dxa"/>
            <w:tcBorders>
              <w:top w:val="nil"/>
              <w:left w:val="nil"/>
              <w:bottom w:val="nil"/>
              <w:right w:val="nil"/>
              <w:tl2br w:val="nil"/>
              <w:tr2bl w:val="nil"/>
            </w:tcBorders>
            <w:shd w:val="clear" w:color="auto" w:fill="auto"/>
            <w:noWrap/>
            <w:tcMar>
              <w:left w:w="101" w:type="dxa"/>
              <w:right w:w="161" w:type="dxa"/>
            </w:tcMar>
          </w:tcPr>
          <w:p w14:paraId="18951502"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2A53B80F"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1 000</w:t>
            </w:r>
          </w:p>
        </w:tc>
        <w:tc>
          <w:tcPr>
            <w:tcW w:w="975" w:type="dxa"/>
            <w:tcBorders>
              <w:top w:val="nil"/>
              <w:left w:val="nil"/>
              <w:bottom w:val="nil"/>
              <w:right w:val="nil"/>
              <w:tl2br w:val="nil"/>
              <w:tr2bl w:val="nil"/>
            </w:tcBorders>
            <w:shd w:val="clear" w:color="auto" w:fill="auto"/>
            <w:noWrap/>
            <w:tcMar>
              <w:left w:w="101" w:type="dxa"/>
              <w:right w:w="161" w:type="dxa"/>
            </w:tcMar>
          </w:tcPr>
          <w:p w14:paraId="68C8D21E"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7B31AB5A"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B878F76"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1 000</w:t>
            </w:r>
          </w:p>
        </w:tc>
        <w:tc>
          <w:tcPr>
            <w:tcW w:w="1125" w:type="dxa"/>
            <w:tcBorders>
              <w:top w:val="nil"/>
              <w:left w:val="nil"/>
              <w:bottom w:val="nil"/>
              <w:right w:val="nil"/>
              <w:tl2br w:val="nil"/>
              <w:tr2bl w:val="nil"/>
            </w:tcBorders>
            <w:shd w:val="clear" w:color="auto" w:fill="auto"/>
            <w:noWrap/>
            <w:tcMar>
              <w:left w:w="101" w:type="dxa"/>
              <w:right w:w="101" w:type="dxa"/>
            </w:tcMar>
          </w:tcPr>
          <w:p w14:paraId="5A976DC5"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Jul-22</w:t>
            </w:r>
          </w:p>
        </w:tc>
      </w:tr>
      <w:tr w:rsidR="009832FC" w:rsidRPr="009832FC" w14:paraId="3A6EE4F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2FB5F54" w14:textId="77777777" w:rsidR="009832FC" w:rsidRPr="009832FC" w:rsidRDefault="009832FC" w:rsidP="001F17E0">
            <w:pPr>
              <w:spacing w:before="0" w:after="0"/>
              <w:rPr>
                <w:rFonts w:eastAsia="Calibri" w:cs="Calibri"/>
                <w:color w:val="000000"/>
                <w:sz w:val="18"/>
                <w:szCs w:val="24"/>
                <w:lang w:eastAsia="en-AU"/>
              </w:rPr>
            </w:pPr>
            <w:r w:rsidRPr="009832FC">
              <w:rPr>
                <w:rFonts w:eastAsia="Calibri" w:cs="Calibri"/>
                <w:color w:val="000000"/>
                <w:sz w:val="18"/>
                <w:szCs w:val="24"/>
                <w:lang w:eastAsia="en-AU"/>
              </w:rPr>
              <w:t>Walk-in health centre – Coombs pilot</w:t>
            </w:r>
          </w:p>
        </w:tc>
        <w:tc>
          <w:tcPr>
            <w:tcW w:w="975" w:type="dxa"/>
            <w:tcBorders>
              <w:top w:val="nil"/>
              <w:left w:val="nil"/>
              <w:bottom w:val="nil"/>
              <w:right w:val="nil"/>
              <w:tl2br w:val="nil"/>
              <w:tr2bl w:val="nil"/>
            </w:tcBorders>
            <w:shd w:val="clear" w:color="auto" w:fill="auto"/>
            <w:noWrap/>
            <w:tcMar>
              <w:left w:w="101" w:type="dxa"/>
              <w:right w:w="161" w:type="dxa"/>
            </w:tcMar>
          </w:tcPr>
          <w:p w14:paraId="0084C88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250</w:t>
            </w:r>
          </w:p>
        </w:tc>
        <w:tc>
          <w:tcPr>
            <w:tcW w:w="975" w:type="dxa"/>
            <w:tcBorders>
              <w:top w:val="nil"/>
              <w:left w:val="nil"/>
              <w:bottom w:val="nil"/>
              <w:right w:val="nil"/>
              <w:tl2br w:val="nil"/>
              <w:tr2bl w:val="nil"/>
            </w:tcBorders>
            <w:shd w:val="clear" w:color="auto" w:fill="auto"/>
            <w:noWrap/>
            <w:tcMar>
              <w:left w:w="101" w:type="dxa"/>
              <w:right w:w="161" w:type="dxa"/>
            </w:tcMar>
          </w:tcPr>
          <w:p w14:paraId="010C85B6"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58724BDC"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33D51F34"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121AE99B"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250</w:t>
            </w:r>
          </w:p>
        </w:tc>
        <w:tc>
          <w:tcPr>
            <w:tcW w:w="1125" w:type="dxa"/>
            <w:tcBorders>
              <w:top w:val="nil"/>
              <w:left w:val="nil"/>
              <w:bottom w:val="nil"/>
              <w:right w:val="nil"/>
              <w:tl2br w:val="nil"/>
              <w:tr2bl w:val="nil"/>
            </w:tcBorders>
            <w:shd w:val="clear" w:color="auto" w:fill="auto"/>
            <w:noWrap/>
            <w:tcMar>
              <w:left w:w="101" w:type="dxa"/>
              <w:right w:w="101" w:type="dxa"/>
            </w:tcMar>
          </w:tcPr>
          <w:p w14:paraId="2D809F60" w14:textId="77777777" w:rsidR="009832FC" w:rsidRPr="009832FC" w:rsidRDefault="009832FC" w:rsidP="001F17E0">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Dec-21</w:t>
            </w:r>
          </w:p>
        </w:tc>
      </w:tr>
      <w:tr w:rsidR="009832FC" w:rsidRPr="009832FC" w14:paraId="7247291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4B52AF52"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3E1CC397"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708859C9"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39E95D5F" w14:textId="77777777" w:rsidR="009832FC" w:rsidRPr="009832FC" w:rsidRDefault="009832FC" w:rsidP="001F17E0">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48AFC7F9" w14:textId="77777777" w:rsidR="009832FC" w:rsidRPr="009832FC" w:rsidRDefault="009832FC" w:rsidP="001F17E0">
            <w:pPr>
              <w:spacing w:before="0" w:after="0"/>
              <w:rPr>
                <w:rFonts w:eastAsia="Calibri" w:cs="Calibri"/>
                <w:color w:val="000000"/>
                <w:sz w:val="18"/>
                <w:szCs w:val="24"/>
                <w:lang w:eastAsia="en-AU"/>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1A9779B8" w14:textId="77777777" w:rsidR="009832FC" w:rsidRPr="009832FC" w:rsidRDefault="009832FC" w:rsidP="001F17E0">
            <w:pPr>
              <w:spacing w:before="0" w:after="0"/>
              <w:rPr>
                <w:rFonts w:eastAsia="Calibri" w:cs="Calibri"/>
                <w:color w:val="000000"/>
                <w:sz w:val="18"/>
                <w:szCs w:val="24"/>
                <w:lang w:eastAsia="en-AU"/>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40254EA7" w14:textId="77777777" w:rsidR="009832FC" w:rsidRPr="009832FC" w:rsidRDefault="009832FC" w:rsidP="001F17E0">
            <w:pPr>
              <w:spacing w:before="0" w:after="0"/>
              <w:rPr>
                <w:rFonts w:eastAsia="Calibri" w:cs="Calibri"/>
                <w:color w:val="000000"/>
                <w:sz w:val="18"/>
                <w:szCs w:val="24"/>
                <w:lang w:eastAsia="en-AU"/>
              </w:rPr>
            </w:pPr>
          </w:p>
        </w:tc>
      </w:tr>
      <w:tr w:rsidR="009832FC" w:rsidRPr="009832FC" w14:paraId="09701EB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F00620D" w14:textId="77777777" w:rsidR="009832FC" w:rsidRPr="009832FC" w:rsidRDefault="009832FC" w:rsidP="001F17E0">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Work In Progress</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3CBE4897"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59 938</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6AF3A7B6"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56 945</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2075EFAC"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1 900</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67786B61"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w:t>
            </w:r>
          </w:p>
        </w:tc>
        <w:tc>
          <w:tcPr>
            <w:tcW w:w="1125" w:type="dxa"/>
            <w:tcBorders>
              <w:top w:val="single" w:sz="4" w:space="0" w:color="000000"/>
              <w:left w:val="nil"/>
              <w:bottom w:val="nil"/>
              <w:right w:val="nil"/>
              <w:tl2br w:val="nil"/>
              <w:tr2bl w:val="nil"/>
            </w:tcBorders>
            <w:shd w:val="clear" w:color="auto" w:fill="auto"/>
            <w:noWrap/>
            <w:tcMar>
              <w:left w:w="101" w:type="dxa"/>
              <w:right w:w="161" w:type="dxa"/>
            </w:tcMar>
          </w:tcPr>
          <w:p w14:paraId="11BC5689" w14:textId="77777777" w:rsidR="009832FC" w:rsidRPr="009832FC" w:rsidRDefault="009832FC" w:rsidP="001F17E0">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118 783</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015087A3" w14:textId="77777777" w:rsidR="009832FC" w:rsidRPr="009832FC" w:rsidRDefault="009832FC" w:rsidP="001F17E0">
            <w:pPr>
              <w:spacing w:before="0" w:after="0"/>
              <w:rPr>
                <w:rFonts w:eastAsia="Calibri" w:cs="Calibri"/>
                <w:color w:val="000000"/>
                <w:sz w:val="18"/>
                <w:szCs w:val="24"/>
                <w:lang w:eastAsia="en-AU"/>
              </w:rPr>
            </w:pPr>
          </w:p>
        </w:tc>
      </w:tr>
      <w:tr w:rsidR="009832FC" w:rsidRPr="009832FC" w14:paraId="3838278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2D57AD59" w14:textId="77777777" w:rsidR="009832FC" w:rsidRPr="009832FC" w:rsidRDefault="009832FC" w:rsidP="001F17E0">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17A20444" w14:textId="77777777" w:rsidR="009832FC" w:rsidRPr="009832FC" w:rsidRDefault="009832FC" w:rsidP="001F17E0">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3D8A6721" w14:textId="77777777" w:rsidR="009832FC" w:rsidRPr="009832FC" w:rsidRDefault="009832FC" w:rsidP="001F17E0">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01A32496" w14:textId="77777777" w:rsidR="009832FC" w:rsidRPr="009832FC" w:rsidRDefault="009832FC" w:rsidP="001F17E0">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6ABF4423" w14:textId="77777777" w:rsidR="009832FC" w:rsidRPr="009832FC" w:rsidRDefault="009832FC" w:rsidP="001F17E0">
            <w:pPr>
              <w:spacing w:before="0" w:after="0"/>
              <w:rPr>
                <w:rFonts w:eastAsia="Calibri" w:cs="Calibri"/>
                <w:b/>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46A5F504" w14:textId="77777777" w:rsidR="009832FC" w:rsidRPr="009832FC" w:rsidRDefault="009832FC" w:rsidP="001F17E0">
            <w:pPr>
              <w:spacing w:before="0" w:after="0"/>
              <w:rPr>
                <w:rFonts w:eastAsia="Calibri" w:cs="Calibri"/>
                <w:b/>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67B57AE2" w14:textId="77777777" w:rsidR="009832FC" w:rsidRPr="009832FC" w:rsidRDefault="009832FC" w:rsidP="001F17E0">
            <w:pPr>
              <w:spacing w:before="0" w:after="0"/>
              <w:rPr>
                <w:rFonts w:eastAsia="Calibri" w:cs="Calibri"/>
                <w:color w:val="000000"/>
                <w:sz w:val="18"/>
                <w:szCs w:val="24"/>
                <w:lang w:eastAsia="en-AU"/>
              </w:rPr>
            </w:pPr>
          </w:p>
        </w:tc>
      </w:tr>
    </w:tbl>
    <w:tbl>
      <w:tblPr>
        <w:tblStyle w:val="CDMRange10"/>
        <w:tblW w:w="9375" w:type="dxa"/>
        <w:tblLayout w:type="fixed"/>
        <w:tblLook w:val="0600" w:firstRow="0" w:lastRow="0" w:firstColumn="0" w:lastColumn="0" w:noHBand="1" w:noVBand="1"/>
      </w:tblPr>
      <w:tblGrid>
        <w:gridCol w:w="3225"/>
        <w:gridCol w:w="975"/>
        <w:gridCol w:w="975"/>
        <w:gridCol w:w="975"/>
        <w:gridCol w:w="975"/>
        <w:gridCol w:w="1125"/>
        <w:gridCol w:w="1125"/>
      </w:tblGrid>
      <w:tr w:rsidR="009832FC" w:rsidRPr="009832FC" w14:paraId="4CCBEF22" w14:textId="77777777" w:rsidTr="00EB585F">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5D51A123"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Capital Upgrade Programs</w:t>
            </w:r>
          </w:p>
        </w:tc>
        <w:tc>
          <w:tcPr>
            <w:tcW w:w="975" w:type="dxa"/>
            <w:tcBorders>
              <w:top w:val="nil"/>
              <w:left w:val="nil"/>
              <w:bottom w:val="nil"/>
              <w:right w:val="nil"/>
              <w:tl2br w:val="nil"/>
              <w:tr2bl w:val="nil"/>
            </w:tcBorders>
            <w:shd w:val="clear" w:color="auto" w:fill="auto"/>
            <w:noWrap/>
            <w:tcMar>
              <w:left w:w="0" w:type="dxa"/>
              <w:right w:w="0" w:type="dxa"/>
            </w:tcMar>
          </w:tcPr>
          <w:p w14:paraId="1F9FAAE9"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4B6C7566"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1AE0B235"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3921612A" w14:textId="77777777" w:rsidR="009832FC" w:rsidRPr="009832FC" w:rsidRDefault="009832FC" w:rsidP="009832FC">
            <w:pPr>
              <w:spacing w:before="0" w:after="0"/>
              <w:rPr>
                <w:rFonts w:eastAsia="Calibri" w:cs="Calibri"/>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50994DCA" w14:textId="77777777" w:rsidR="009832FC" w:rsidRPr="009832FC" w:rsidRDefault="009832FC" w:rsidP="009832FC">
            <w:pPr>
              <w:spacing w:before="0" w:after="0"/>
              <w:rPr>
                <w:rFonts w:eastAsia="Calibri" w:cs="Calibri"/>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244A2DCE" w14:textId="77777777" w:rsidR="009832FC" w:rsidRPr="009832FC" w:rsidRDefault="009832FC" w:rsidP="009832FC">
            <w:pPr>
              <w:spacing w:before="0" w:after="0"/>
              <w:jc w:val="right"/>
              <w:rPr>
                <w:rFonts w:eastAsia="Calibri" w:cs="Calibri"/>
                <w:color w:val="000000"/>
                <w:sz w:val="18"/>
                <w:szCs w:val="24"/>
                <w:lang w:eastAsia="en-AU"/>
              </w:rPr>
            </w:pPr>
          </w:p>
        </w:tc>
      </w:tr>
      <w:tr w:rsidR="009832FC" w:rsidRPr="009832FC" w14:paraId="0A3C52B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46A1C723"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Better Infrastructure Fund</w:t>
            </w:r>
          </w:p>
        </w:tc>
        <w:tc>
          <w:tcPr>
            <w:tcW w:w="975" w:type="dxa"/>
            <w:tcBorders>
              <w:top w:val="nil"/>
              <w:left w:val="nil"/>
              <w:bottom w:val="nil"/>
              <w:right w:val="nil"/>
              <w:tl2br w:val="nil"/>
              <w:tr2bl w:val="nil"/>
            </w:tcBorders>
            <w:shd w:val="clear" w:color="auto" w:fill="auto"/>
            <w:noWrap/>
            <w:tcMar>
              <w:left w:w="101" w:type="dxa"/>
              <w:right w:w="161" w:type="dxa"/>
            </w:tcMar>
          </w:tcPr>
          <w:p w14:paraId="4761771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4 602</w:t>
            </w:r>
          </w:p>
        </w:tc>
        <w:tc>
          <w:tcPr>
            <w:tcW w:w="975" w:type="dxa"/>
            <w:tcBorders>
              <w:top w:val="nil"/>
              <w:left w:val="nil"/>
              <w:bottom w:val="nil"/>
              <w:right w:val="nil"/>
              <w:tl2br w:val="nil"/>
              <w:tr2bl w:val="nil"/>
            </w:tcBorders>
            <w:shd w:val="clear" w:color="auto" w:fill="auto"/>
            <w:noWrap/>
            <w:tcMar>
              <w:left w:w="101" w:type="dxa"/>
              <w:right w:w="161" w:type="dxa"/>
            </w:tcMar>
          </w:tcPr>
          <w:p w14:paraId="01234E8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4 075</w:t>
            </w:r>
          </w:p>
        </w:tc>
        <w:tc>
          <w:tcPr>
            <w:tcW w:w="975" w:type="dxa"/>
            <w:tcBorders>
              <w:top w:val="nil"/>
              <w:left w:val="nil"/>
              <w:bottom w:val="nil"/>
              <w:right w:val="nil"/>
              <w:tl2br w:val="nil"/>
              <w:tr2bl w:val="nil"/>
            </w:tcBorders>
            <w:shd w:val="clear" w:color="auto" w:fill="auto"/>
            <w:noWrap/>
            <w:tcMar>
              <w:left w:w="101" w:type="dxa"/>
              <w:right w:w="161" w:type="dxa"/>
            </w:tcMar>
          </w:tcPr>
          <w:p w14:paraId="428782D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4 434</w:t>
            </w:r>
          </w:p>
        </w:tc>
        <w:tc>
          <w:tcPr>
            <w:tcW w:w="975" w:type="dxa"/>
            <w:tcBorders>
              <w:top w:val="nil"/>
              <w:left w:val="nil"/>
              <w:bottom w:val="nil"/>
              <w:right w:val="nil"/>
              <w:tl2br w:val="nil"/>
              <w:tr2bl w:val="nil"/>
            </w:tcBorders>
            <w:shd w:val="clear" w:color="auto" w:fill="auto"/>
            <w:noWrap/>
            <w:tcMar>
              <w:left w:w="101" w:type="dxa"/>
              <w:right w:w="161" w:type="dxa"/>
            </w:tcMar>
          </w:tcPr>
          <w:p w14:paraId="63B2E24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4 545</w:t>
            </w:r>
          </w:p>
        </w:tc>
        <w:tc>
          <w:tcPr>
            <w:tcW w:w="1125" w:type="dxa"/>
            <w:tcBorders>
              <w:top w:val="nil"/>
              <w:left w:val="nil"/>
              <w:bottom w:val="nil"/>
              <w:right w:val="nil"/>
              <w:tl2br w:val="nil"/>
              <w:tr2bl w:val="nil"/>
            </w:tcBorders>
            <w:shd w:val="clear" w:color="auto" w:fill="auto"/>
            <w:noWrap/>
            <w:tcMar>
              <w:left w:w="101" w:type="dxa"/>
              <w:right w:w="161" w:type="dxa"/>
            </w:tcMar>
          </w:tcPr>
          <w:p w14:paraId="60A0566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17 656</w:t>
            </w:r>
          </w:p>
        </w:tc>
        <w:tc>
          <w:tcPr>
            <w:tcW w:w="1125" w:type="dxa"/>
            <w:tcBorders>
              <w:top w:val="nil"/>
              <w:left w:val="nil"/>
              <w:bottom w:val="nil"/>
              <w:right w:val="nil"/>
              <w:tl2br w:val="nil"/>
              <w:tr2bl w:val="nil"/>
            </w:tcBorders>
            <w:shd w:val="clear" w:color="auto" w:fill="auto"/>
            <w:noWrap/>
            <w:tcMar>
              <w:left w:w="101" w:type="dxa"/>
              <w:right w:w="101" w:type="dxa"/>
            </w:tcMar>
          </w:tcPr>
          <w:p w14:paraId="021F6A4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Ongoing</w:t>
            </w:r>
          </w:p>
        </w:tc>
      </w:tr>
      <w:tr w:rsidR="009832FC" w:rsidRPr="009832FC" w14:paraId="6B825C1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473D6602"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Fast Track Phase 3 - Upgrades to non-acute sites</w:t>
            </w:r>
          </w:p>
        </w:tc>
        <w:tc>
          <w:tcPr>
            <w:tcW w:w="975" w:type="dxa"/>
            <w:tcBorders>
              <w:top w:val="nil"/>
              <w:left w:val="nil"/>
              <w:bottom w:val="nil"/>
              <w:right w:val="nil"/>
              <w:tl2br w:val="nil"/>
              <w:tr2bl w:val="nil"/>
            </w:tcBorders>
            <w:shd w:val="clear" w:color="auto" w:fill="auto"/>
            <w:noWrap/>
            <w:tcMar>
              <w:left w:w="101" w:type="dxa"/>
              <w:right w:w="161" w:type="dxa"/>
            </w:tcMar>
          </w:tcPr>
          <w:p w14:paraId="197F486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405</w:t>
            </w:r>
          </w:p>
        </w:tc>
        <w:tc>
          <w:tcPr>
            <w:tcW w:w="975" w:type="dxa"/>
            <w:tcBorders>
              <w:top w:val="nil"/>
              <w:left w:val="nil"/>
              <w:bottom w:val="nil"/>
              <w:right w:val="nil"/>
              <w:tl2br w:val="nil"/>
              <w:tr2bl w:val="nil"/>
            </w:tcBorders>
            <w:shd w:val="clear" w:color="auto" w:fill="auto"/>
            <w:noWrap/>
            <w:tcMar>
              <w:left w:w="101" w:type="dxa"/>
              <w:right w:w="161" w:type="dxa"/>
            </w:tcMar>
          </w:tcPr>
          <w:p w14:paraId="4309D21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6ACC9B8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46789E6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1C62C7F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149D243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Dec-21</w:t>
            </w:r>
          </w:p>
        </w:tc>
      </w:tr>
      <w:tr w:rsidR="009832FC" w:rsidRPr="009832FC" w14:paraId="7DADC23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0314CF75"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506765FD"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29C07461"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573D7312"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6B745E77" w14:textId="77777777" w:rsidR="009832FC" w:rsidRPr="009832FC" w:rsidRDefault="009832FC" w:rsidP="009832FC">
            <w:pPr>
              <w:spacing w:before="0" w:after="0"/>
              <w:rPr>
                <w:rFonts w:eastAsia="Calibri" w:cs="Calibri"/>
                <w:color w:val="000000"/>
                <w:sz w:val="18"/>
                <w:szCs w:val="24"/>
                <w:lang w:eastAsia="en-AU"/>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6A58EEC5" w14:textId="77777777" w:rsidR="009832FC" w:rsidRPr="009832FC" w:rsidRDefault="009832FC" w:rsidP="009832FC">
            <w:pPr>
              <w:spacing w:before="0" w:after="0"/>
              <w:rPr>
                <w:rFonts w:eastAsia="Calibri" w:cs="Calibri"/>
                <w:color w:val="000000"/>
                <w:sz w:val="18"/>
                <w:szCs w:val="24"/>
                <w:lang w:eastAsia="en-AU"/>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70CCD900"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9FC738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E01BE6F"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Capital Upgrade Programs</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73F3702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5 007</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5D2375F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4 075</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34717C3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4 434</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00B8258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4 545</w:t>
            </w:r>
          </w:p>
        </w:tc>
        <w:tc>
          <w:tcPr>
            <w:tcW w:w="1125" w:type="dxa"/>
            <w:tcBorders>
              <w:top w:val="single" w:sz="4" w:space="0" w:color="000000"/>
              <w:left w:val="nil"/>
              <w:bottom w:val="nil"/>
              <w:right w:val="nil"/>
              <w:tl2br w:val="nil"/>
              <w:tr2bl w:val="nil"/>
            </w:tcBorders>
            <w:shd w:val="clear" w:color="auto" w:fill="auto"/>
            <w:noWrap/>
            <w:tcMar>
              <w:left w:w="101" w:type="dxa"/>
              <w:right w:w="161" w:type="dxa"/>
            </w:tcMar>
          </w:tcPr>
          <w:p w14:paraId="3383643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18 061</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52A834BF"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914191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04E8754F" w14:textId="77777777" w:rsidR="009832FC" w:rsidRPr="009832FC" w:rsidRDefault="009832FC" w:rsidP="009832FC">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64E90FD2" w14:textId="77777777" w:rsidR="009832FC" w:rsidRPr="009832FC" w:rsidRDefault="009832FC" w:rsidP="009832FC">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5C10C700" w14:textId="77777777" w:rsidR="009832FC" w:rsidRPr="009832FC" w:rsidRDefault="009832FC" w:rsidP="009832FC">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0AAF316E" w14:textId="77777777" w:rsidR="009832FC" w:rsidRPr="009832FC" w:rsidRDefault="009832FC" w:rsidP="009832FC">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7E08080C" w14:textId="77777777" w:rsidR="009832FC" w:rsidRPr="009832FC" w:rsidRDefault="009832FC" w:rsidP="009832FC">
            <w:pPr>
              <w:spacing w:before="0" w:after="0"/>
              <w:rPr>
                <w:rFonts w:eastAsia="Calibri" w:cs="Calibri"/>
                <w:b/>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1529B251" w14:textId="77777777" w:rsidR="009832FC" w:rsidRPr="009832FC" w:rsidRDefault="009832FC" w:rsidP="009832FC">
            <w:pPr>
              <w:spacing w:before="0" w:after="0"/>
              <w:rPr>
                <w:rFonts w:eastAsia="Calibri" w:cs="Calibri"/>
                <w:b/>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7BAA8DF0" w14:textId="77777777" w:rsidR="009832FC" w:rsidRPr="009832FC" w:rsidRDefault="009832FC" w:rsidP="009832FC">
            <w:pPr>
              <w:spacing w:before="0" w:after="0"/>
              <w:rPr>
                <w:rFonts w:eastAsia="Calibri" w:cs="Calibri"/>
                <w:color w:val="000000"/>
                <w:sz w:val="18"/>
                <w:szCs w:val="24"/>
                <w:lang w:eastAsia="en-AU"/>
              </w:rPr>
            </w:pPr>
          </w:p>
        </w:tc>
      </w:tr>
    </w:tbl>
    <w:tbl>
      <w:tblPr>
        <w:tblStyle w:val="CDMRange20"/>
        <w:tblW w:w="9375" w:type="dxa"/>
        <w:tblLayout w:type="fixed"/>
        <w:tblLook w:val="0600" w:firstRow="0" w:lastRow="0" w:firstColumn="0" w:lastColumn="0" w:noHBand="1" w:noVBand="1"/>
      </w:tblPr>
      <w:tblGrid>
        <w:gridCol w:w="3225"/>
        <w:gridCol w:w="975"/>
        <w:gridCol w:w="975"/>
        <w:gridCol w:w="975"/>
        <w:gridCol w:w="975"/>
        <w:gridCol w:w="1125"/>
        <w:gridCol w:w="1125"/>
      </w:tblGrid>
      <w:tr w:rsidR="009832FC" w:rsidRPr="009832FC" w14:paraId="6346EE00" w14:textId="77777777" w:rsidTr="00EB585F">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3134638"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New Work</w:t>
            </w:r>
          </w:p>
        </w:tc>
        <w:tc>
          <w:tcPr>
            <w:tcW w:w="975" w:type="dxa"/>
            <w:tcBorders>
              <w:top w:val="nil"/>
              <w:left w:val="nil"/>
              <w:bottom w:val="nil"/>
              <w:right w:val="nil"/>
              <w:tl2br w:val="nil"/>
              <w:tr2bl w:val="nil"/>
            </w:tcBorders>
            <w:shd w:val="clear" w:color="auto" w:fill="auto"/>
            <w:noWrap/>
            <w:tcMar>
              <w:left w:w="0" w:type="dxa"/>
              <w:right w:w="0" w:type="dxa"/>
            </w:tcMar>
          </w:tcPr>
          <w:p w14:paraId="4579BB65"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6A16DEA4"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0A682853"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58DFBD76" w14:textId="77777777" w:rsidR="009832FC" w:rsidRPr="009832FC" w:rsidRDefault="009832FC" w:rsidP="009832FC">
            <w:pPr>
              <w:spacing w:before="0" w:after="0"/>
              <w:rPr>
                <w:rFonts w:eastAsia="Calibri" w:cs="Calibri"/>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1A743262" w14:textId="77777777" w:rsidR="009832FC" w:rsidRPr="009832FC" w:rsidRDefault="009832FC" w:rsidP="009832FC">
            <w:pPr>
              <w:spacing w:before="0" w:after="0"/>
              <w:rPr>
                <w:rFonts w:eastAsia="Calibri" w:cs="Calibri"/>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76BD9D42"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EDFF7F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33256E1C"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Improving Canberra's health infrastructure - Calvary critical infrastructure</w:t>
            </w:r>
          </w:p>
        </w:tc>
        <w:tc>
          <w:tcPr>
            <w:tcW w:w="975" w:type="dxa"/>
            <w:tcBorders>
              <w:top w:val="nil"/>
              <w:left w:val="nil"/>
              <w:bottom w:val="nil"/>
              <w:right w:val="nil"/>
              <w:tl2br w:val="nil"/>
              <w:tr2bl w:val="nil"/>
            </w:tcBorders>
            <w:shd w:val="clear" w:color="auto" w:fill="auto"/>
            <w:noWrap/>
            <w:tcMar>
              <w:left w:w="101" w:type="dxa"/>
              <w:right w:w="161" w:type="dxa"/>
            </w:tcMar>
          </w:tcPr>
          <w:p w14:paraId="3DFE088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1 200</w:t>
            </w:r>
          </w:p>
        </w:tc>
        <w:tc>
          <w:tcPr>
            <w:tcW w:w="975" w:type="dxa"/>
            <w:tcBorders>
              <w:top w:val="nil"/>
              <w:left w:val="nil"/>
              <w:bottom w:val="nil"/>
              <w:right w:val="nil"/>
              <w:tl2br w:val="nil"/>
              <w:tr2bl w:val="nil"/>
            </w:tcBorders>
            <w:shd w:val="clear" w:color="auto" w:fill="auto"/>
            <w:noWrap/>
            <w:tcMar>
              <w:left w:w="101" w:type="dxa"/>
              <w:right w:w="161" w:type="dxa"/>
            </w:tcMar>
          </w:tcPr>
          <w:p w14:paraId="559A138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4 590</w:t>
            </w:r>
          </w:p>
        </w:tc>
        <w:tc>
          <w:tcPr>
            <w:tcW w:w="975" w:type="dxa"/>
            <w:tcBorders>
              <w:top w:val="nil"/>
              <w:left w:val="nil"/>
              <w:bottom w:val="nil"/>
              <w:right w:val="nil"/>
              <w:tl2br w:val="nil"/>
              <w:tr2bl w:val="nil"/>
            </w:tcBorders>
            <w:shd w:val="clear" w:color="auto" w:fill="auto"/>
            <w:noWrap/>
            <w:tcMar>
              <w:left w:w="101" w:type="dxa"/>
              <w:right w:w="161" w:type="dxa"/>
            </w:tcMar>
          </w:tcPr>
          <w:p w14:paraId="12EB54B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4 700</w:t>
            </w:r>
          </w:p>
        </w:tc>
        <w:tc>
          <w:tcPr>
            <w:tcW w:w="975" w:type="dxa"/>
            <w:tcBorders>
              <w:top w:val="nil"/>
              <w:left w:val="nil"/>
              <w:bottom w:val="nil"/>
              <w:right w:val="nil"/>
              <w:tl2br w:val="nil"/>
              <w:tr2bl w:val="nil"/>
            </w:tcBorders>
            <w:shd w:val="clear" w:color="auto" w:fill="auto"/>
            <w:noWrap/>
            <w:tcMar>
              <w:left w:w="101" w:type="dxa"/>
              <w:right w:w="161" w:type="dxa"/>
            </w:tcMar>
          </w:tcPr>
          <w:p w14:paraId="691DDF4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3A0C594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10 490</w:t>
            </w:r>
          </w:p>
        </w:tc>
        <w:tc>
          <w:tcPr>
            <w:tcW w:w="1125" w:type="dxa"/>
            <w:tcBorders>
              <w:top w:val="nil"/>
              <w:left w:val="nil"/>
              <w:bottom w:val="nil"/>
              <w:right w:val="nil"/>
              <w:tl2br w:val="nil"/>
              <w:tr2bl w:val="nil"/>
            </w:tcBorders>
            <w:shd w:val="clear" w:color="auto" w:fill="auto"/>
            <w:noWrap/>
            <w:tcMar>
              <w:left w:w="101" w:type="dxa"/>
              <w:right w:w="101" w:type="dxa"/>
            </w:tcMar>
          </w:tcPr>
          <w:p w14:paraId="06C8C2A5" w14:textId="26A757B2"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Jun-2</w:t>
            </w:r>
            <w:r w:rsidR="00C6718C">
              <w:rPr>
                <w:rFonts w:eastAsia="Calibri" w:cs="Calibri"/>
                <w:color w:val="000000"/>
                <w:sz w:val="18"/>
                <w:szCs w:val="24"/>
                <w:lang w:eastAsia="en-AU"/>
              </w:rPr>
              <w:t>4</w:t>
            </w:r>
          </w:p>
        </w:tc>
      </w:tr>
      <w:tr w:rsidR="009832FC" w:rsidRPr="009832FC" w14:paraId="7582F80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513908F6"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Improving Canberra's health infrastructure - Canberra Health Services warehouse and logistics facility</w:t>
            </w:r>
          </w:p>
        </w:tc>
        <w:tc>
          <w:tcPr>
            <w:tcW w:w="975" w:type="dxa"/>
            <w:tcBorders>
              <w:top w:val="nil"/>
              <w:left w:val="nil"/>
              <w:bottom w:val="nil"/>
              <w:right w:val="nil"/>
              <w:tl2br w:val="nil"/>
              <w:tr2bl w:val="nil"/>
            </w:tcBorders>
            <w:shd w:val="clear" w:color="auto" w:fill="auto"/>
            <w:noWrap/>
            <w:tcMar>
              <w:left w:w="101" w:type="dxa"/>
              <w:right w:w="161" w:type="dxa"/>
            </w:tcMar>
          </w:tcPr>
          <w:p w14:paraId="1419A8B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767</w:t>
            </w:r>
          </w:p>
        </w:tc>
        <w:tc>
          <w:tcPr>
            <w:tcW w:w="975" w:type="dxa"/>
            <w:tcBorders>
              <w:top w:val="nil"/>
              <w:left w:val="nil"/>
              <w:bottom w:val="nil"/>
              <w:right w:val="nil"/>
              <w:tl2br w:val="nil"/>
              <w:tr2bl w:val="nil"/>
            </w:tcBorders>
            <w:shd w:val="clear" w:color="auto" w:fill="auto"/>
            <w:noWrap/>
            <w:tcMar>
              <w:left w:w="101" w:type="dxa"/>
              <w:right w:w="161" w:type="dxa"/>
            </w:tcMar>
          </w:tcPr>
          <w:p w14:paraId="376A958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500</w:t>
            </w:r>
          </w:p>
        </w:tc>
        <w:tc>
          <w:tcPr>
            <w:tcW w:w="975" w:type="dxa"/>
            <w:tcBorders>
              <w:top w:val="nil"/>
              <w:left w:val="nil"/>
              <w:bottom w:val="nil"/>
              <w:right w:val="nil"/>
              <w:tl2br w:val="nil"/>
              <w:tr2bl w:val="nil"/>
            </w:tcBorders>
            <w:shd w:val="clear" w:color="auto" w:fill="auto"/>
            <w:noWrap/>
            <w:tcMar>
              <w:left w:w="101" w:type="dxa"/>
              <w:right w:w="161" w:type="dxa"/>
            </w:tcMar>
          </w:tcPr>
          <w:p w14:paraId="0EF6369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699896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1B3873D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1 267</w:t>
            </w:r>
          </w:p>
        </w:tc>
        <w:tc>
          <w:tcPr>
            <w:tcW w:w="1125" w:type="dxa"/>
            <w:tcBorders>
              <w:top w:val="nil"/>
              <w:left w:val="nil"/>
              <w:bottom w:val="nil"/>
              <w:right w:val="nil"/>
              <w:tl2br w:val="nil"/>
              <w:tr2bl w:val="nil"/>
            </w:tcBorders>
            <w:shd w:val="clear" w:color="auto" w:fill="auto"/>
            <w:noWrap/>
            <w:tcMar>
              <w:left w:w="101" w:type="dxa"/>
              <w:right w:w="101" w:type="dxa"/>
            </w:tcMar>
          </w:tcPr>
          <w:p w14:paraId="5FC07630" w14:textId="0F284617" w:rsidR="009832FC" w:rsidRPr="009832FC" w:rsidRDefault="00C6718C" w:rsidP="009832FC">
            <w:pPr>
              <w:spacing w:before="0" w:after="0"/>
              <w:jc w:val="right"/>
              <w:rPr>
                <w:rFonts w:eastAsia="Calibri" w:cs="Calibri"/>
                <w:color w:val="000000"/>
                <w:sz w:val="18"/>
                <w:szCs w:val="24"/>
                <w:lang w:eastAsia="en-AU"/>
              </w:rPr>
            </w:pPr>
            <w:r>
              <w:rPr>
                <w:rFonts w:eastAsia="Calibri" w:cs="Calibri"/>
                <w:color w:val="000000"/>
                <w:sz w:val="18"/>
                <w:szCs w:val="24"/>
                <w:lang w:eastAsia="en-AU"/>
              </w:rPr>
              <w:t>Sep-22</w:t>
            </w:r>
          </w:p>
        </w:tc>
      </w:tr>
      <w:tr w:rsidR="009832FC" w:rsidRPr="009832FC" w14:paraId="3773F86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3C7260FD"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Improving Canberra's health infrastructure - Cancer Research Centre</w:t>
            </w:r>
          </w:p>
        </w:tc>
        <w:tc>
          <w:tcPr>
            <w:tcW w:w="975" w:type="dxa"/>
            <w:tcBorders>
              <w:top w:val="nil"/>
              <w:left w:val="nil"/>
              <w:bottom w:val="nil"/>
              <w:right w:val="nil"/>
              <w:tl2br w:val="nil"/>
              <w:tr2bl w:val="nil"/>
            </w:tcBorders>
            <w:shd w:val="clear" w:color="auto" w:fill="auto"/>
            <w:noWrap/>
            <w:tcMar>
              <w:left w:w="101" w:type="dxa"/>
              <w:right w:w="161" w:type="dxa"/>
            </w:tcMar>
          </w:tcPr>
          <w:p w14:paraId="0AFF9D2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760</w:t>
            </w:r>
          </w:p>
        </w:tc>
        <w:tc>
          <w:tcPr>
            <w:tcW w:w="975" w:type="dxa"/>
            <w:tcBorders>
              <w:top w:val="nil"/>
              <w:left w:val="nil"/>
              <w:bottom w:val="nil"/>
              <w:right w:val="nil"/>
              <w:tl2br w:val="nil"/>
              <w:tr2bl w:val="nil"/>
            </w:tcBorders>
            <w:shd w:val="clear" w:color="auto" w:fill="auto"/>
            <w:noWrap/>
            <w:tcMar>
              <w:left w:w="101" w:type="dxa"/>
              <w:right w:w="161" w:type="dxa"/>
            </w:tcMar>
          </w:tcPr>
          <w:p w14:paraId="0B3CD9C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6 285</w:t>
            </w:r>
          </w:p>
        </w:tc>
        <w:tc>
          <w:tcPr>
            <w:tcW w:w="975" w:type="dxa"/>
            <w:tcBorders>
              <w:top w:val="nil"/>
              <w:left w:val="nil"/>
              <w:bottom w:val="nil"/>
              <w:right w:val="nil"/>
              <w:tl2br w:val="nil"/>
              <w:tr2bl w:val="nil"/>
            </w:tcBorders>
            <w:shd w:val="clear" w:color="auto" w:fill="auto"/>
            <w:noWrap/>
            <w:tcMar>
              <w:left w:w="101" w:type="dxa"/>
              <w:right w:w="161" w:type="dxa"/>
            </w:tcMar>
          </w:tcPr>
          <w:p w14:paraId="387C783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1A1DDC8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6A135F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7 045</w:t>
            </w:r>
          </w:p>
        </w:tc>
        <w:tc>
          <w:tcPr>
            <w:tcW w:w="1125" w:type="dxa"/>
            <w:tcBorders>
              <w:top w:val="nil"/>
              <w:left w:val="nil"/>
              <w:bottom w:val="nil"/>
              <w:right w:val="nil"/>
              <w:tl2br w:val="nil"/>
              <w:tr2bl w:val="nil"/>
            </w:tcBorders>
            <w:shd w:val="clear" w:color="auto" w:fill="auto"/>
            <w:noWrap/>
            <w:tcMar>
              <w:left w:w="101" w:type="dxa"/>
              <w:right w:w="101" w:type="dxa"/>
            </w:tcMar>
          </w:tcPr>
          <w:p w14:paraId="71A08DFC" w14:textId="5A20DA4A" w:rsidR="009832FC" w:rsidRPr="009832FC" w:rsidRDefault="00C6718C" w:rsidP="009832FC">
            <w:pPr>
              <w:spacing w:before="0" w:after="0"/>
              <w:jc w:val="right"/>
              <w:rPr>
                <w:rFonts w:eastAsia="Calibri" w:cs="Calibri"/>
                <w:color w:val="000000"/>
                <w:sz w:val="18"/>
                <w:szCs w:val="24"/>
                <w:lang w:eastAsia="en-AU"/>
              </w:rPr>
            </w:pPr>
            <w:r>
              <w:rPr>
                <w:rFonts w:eastAsia="Calibri" w:cs="Calibri"/>
                <w:color w:val="000000"/>
                <w:sz w:val="18"/>
                <w:szCs w:val="24"/>
                <w:lang w:eastAsia="en-AU"/>
              </w:rPr>
              <w:t>Dec-22</w:t>
            </w:r>
          </w:p>
        </w:tc>
      </w:tr>
      <w:tr w:rsidR="009832FC" w:rsidRPr="009832FC" w14:paraId="100255D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770D6AFF" w14:textId="77777777" w:rsidR="009832FC" w:rsidRPr="009832FC" w:rsidRDefault="009832FC" w:rsidP="009832FC">
            <w:pPr>
              <w:spacing w:before="0" w:after="0"/>
              <w:ind w:left="179" w:hanging="179"/>
              <w:rPr>
                <w:rFonts w:eastAsia="Calibri" w:cs="Calibri"/>
                <w:color w:val="000000"/>
                <w:sz w:val="18"/>
                <w:szCs w:val="24"/>
                <w:lang w:eastAsia="en-AU"/>
              </w:rPr>
            </w:pPr>
            <w:r w:rsidRPr="009832FC">
              <w:rPr>
                <w:rFonts w:eastAsia="Calibri" w:cs="Calibri"/>
                <w:color w:val="000000"/>
                <w:sz w:val="18"/>
                <w:szCs w:val="24"/>
                <w:lang w:eastAsia="en-AU"/>
              </w:rPr>
              <w:t>Investing in public health care - Expanding endoscopy services</w:t>
            </w:r>
          </w:p>
        </w:tc>
        <w:tc>
          <w:tcPr>
            <w:tcW w:w="975" w:type="dxa"/>
            <w:tcBorders>
              <w:top w:val="nil"/>
              <w:left w:val="nil"/>
              <w:bottom w:val="nil"/>
              <w:right w:val="nil"/>
              <w:tl2br w:val="nil"/>
              <w:tr2bl w:val="nil"/>
            </w:tcBorders>
            <w:shd w:val="clear" w:color="auto" w:fill="auto"/>
            <w:noWrap/>
            <w:tcMar>
              <w:left w:w="101" w:type="dxa"/>
              <w:right w:w="161" w:type="dxa"/>
            </w:tcMar>
          </w:tcPr>
          <w:p w14:paraId="58CEA1D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175</w:t>
            </w:r>
          </w:p>
        </w:tc>
        <w:tc>
          <w:tcPr>
            <w:tcW w:w="975" w:type="dxa"/>
            <w:tcBorders>
              <w:top w:val="nil"/>
              <w:left w:val="nil"/>
              <w:bottom w:val="nil"/>
              <w:right w:val="nil"/>
              <w:tl2br w:val="nil"/>
              <w:tr2bl w:val="nil"/>
            </w:tcBorders>
            <w:shd w:val="clear" w:color="auto" w:fill="auto"/>
            <w:noWrap/>
            <w:tcMar>
              <w:left w:w="101" w:type="dxa"/>
              <w:right w:w="161" w:type="dxa"/>
            </w:tcMar>
          </w:tcPr>
          <w:p w14:paraId="0A23697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650</w:t>
            </w:r>
          </w:p>
        </w:tc>
        <w:tc>
          <w:tcPr>
            <w:tcW w:w="975" w:type="dxa"/>
            <w:tcBorders>
              <w:top w:val="nil"/>
              <w:left w:val="nil"/>
              <w:bottom w:val="nil"/>
              <w:right w:val="nil"/>
              <w:tl2br w:val="nil"/>
              <w:tr2bl w:val="nil"/>
            </w:tcBorders>
            <w:shd w:val="clear" w:color="auto" w:fill="auto"/>
            <w:noWrap/>
            <w:tcMar>
              <w:left w:w="101" w:type="dxa"/>
              <w:right w:w="161" w:type="dxa"/>
            </w:tcMar>
          </w:tcPr>
          <w:p w14:paraId="0B926C4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975" w:type="dxa"/>
            <w:tcBorders>
              <w:top w:val="nil"/>
              <w:left w:val="nil"/>
              <w:bottom w:val="nil"/>
              <w:right w:val="nil"/>
              <w:tl2br w:val="nil"/>
              <w:tr2bl w:val="nil"/>
            </w:tcBorders>
            <w:shd w:val="clear" w:color="auto" w:fill="auto"/>
            <w:noWrap/>
            <w:tcMar>
              <w:left w:w="101" w:type="dxa"/>
              <w:right w:w="161" w:type="dxa"/>
            </w:tcMar>
          </w:tcPr>
          <w:p w14:paraId="0B4FA18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w:t>
            </w:r>
          </w:p>
        </w:tc>
        <w:tc>
          <w:tcPr>
            <w:tcW w:w="1125" w:type="dxa"/>
            <w:tcBorders>
              <w:top w:val="nil"/>
              <w:left w:val="nil"/>
              <w:bottom w:val="nil"/>
              <w:right w:val="nil"/>
              <w:tl2br w:val="nil"/>
              <w:tr2bl w:val="nil"/>
            </w:tcBorders>
            <w:shd w:val="clear" w:color="auto" w:fill="auto"/>
            <w:noWrap/>
            <w:tcMar>
              <w:left w:w="101" w:type="dxa"/>
              <w:right w:w="161" w:type="dxa"/>
            </w:tcMar>
          </w:tcPr>
          <w:p w14:paraId="08F570F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825</w:t>
            </w:r>
          </w:p>
        </w:tc>
        <w:tc>
          <w:tcPr>
            <w:tcW w:w="1125" w:type="dxa"/>
            <w:tcBorders>
              <w:top w:val="nil"/>
              <w:left w:val="nil"/>
              <w:bottom w:val="nil"/>
              <w:right w:val="nil"/>
              <w:tl2br w:val="nil"/>
              <w:tr2bl w:val="nil"/>
            </w:tcBorders>
            <w:shd w:val="clear" w:color="auto" w:fill="auto"/>
            <w:noWrap/>
            <w:tcMar>
              <w:left w:w="101" w:type="dxa"/>
              <w:right w:w="101" w:type="dxa"/>
            </w:tcMar>
          </w:tcPr>
          <w:p w14:paraId="4AFABBC5" w14:textId="2F2107D5" w:rsidR="009832FC" w:rsidRPr="009832FC" w:rsidRDefault="00C6718C" w:rsidP="009832FC">
            <w:pPr>
              <w:spacing w:before="0" w:after="0"/>
              <w:jc w:val="right"/>
              <w:rPr>
                <w:rFonts w:eastAsia="Calibri" w:cs="Calibri"/>
                <w:color w:val="000000"/>
                <w:sz w:val="18"/>
                <w:szCs w:val="24"/>
                <w:lang w:eastAsia="en-AU"/>
              </w:rPr>
            </w:pPr>
            <w:r>
              <w:rPr>
                <w:rFonts w:eastAsia="Calibri" w:cs="Calibri"/>
                <w:color w:val="000000"/>
                <w:sz w:val="18"/>
                <w:szCs w:val="24"/>
                <w:lang w:eastAsia="en-AU"/>
              </w:rPr>
              <w:t>Dec-22</w:t>
            </w:r>
          </w:p>
        </w:tc>
      </w:tr>
      <w:tr w:rsidR="009832FC" w:rsidRPr="009832FC" w14:paraId="26011BB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44A350A6"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4859D7B5"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39B507B5"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70F57322" w14:textId="77777777" w:rsidR="009832FC" w:rsidRPr="009832FC" w:rsidRDefault="009832FC" w:rsidP="009832FC">
            <w:pPr>
              <w:spacing w:before="0" w:after="0"/>
              <w:rPr>
                <w:rFonts w:eastAsia="Calibri" w:cs="Calibri"/>
                <w:color w:val="000000"/>
                <w:sz w:val="18"/>
                <w:szCs w:val="24"/>
                <w:lang w:eastAsia="en-AU"/>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134ECB07" w14:textId="77777777" w:rsidR="009832FC" w:rsidRPr="009832FC" w:rsidRDefault="009832FC" w:rsidP="009832FC">
            <w:pPr>
              <w:spacing w:before="0" w:after="0"/>
              <w:rPr>
                <w:rFonts w:eastAsia="Calibri" w:cs="Calibri"/>
                <w:color w:val="000000"/>
                <w:sz w:val="18"/>
                <w:szCs w:val="24"/>
                <w:lang w:eastAsia="en-AU"/>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50CF7FC4" w14:textId="77777777" w:rsidR="009832FC" w:rsidRPr="009832FC" w:rsidRDefault="009832FC" w:rsidP="009832FC">
            <w:pPr>
              <w:spacing w:before="0" w:after="0"/>
              <w:rPr>
                <w:rFonts w:eastAsia="Calibri" w:cs="Calibri"/>
                <w:color w:val="000000"/>
                <w:sz w:val="18"/>
                <w:szCs w:val="24"/>
                <w:lang w:eastAsia="en-AU"/>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43657332"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EDC570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390C0BA"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New Capital</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333E6E7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2 902</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7D20D5B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12 025</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6FB3014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4 700</w:t>
            </w:r>
          </w:p>
        </w:tc>
        <w:tc>
          <w:tcPr>
            <w:tcW w:w="975" w:type="dxa"/>
            <w:tcBorders>
              <w:top w:val="single" w:sz="4" w:space="0" w:color="000000"/>
              <w:left w:val="nil"/>
              <w:bottom w:val="nil"/>
              <w:right w:val="nil"/>
              <w:tl2br w:val="nil"/>
              <w:tr2bl w:val="nil"/>
            </w:tcBorders>
            <w:shd w:val="clear" w:color="auto" w:fill="auto"/>
            <w:noWrap/>
            <w:tcMar>
              <w:left w:w="101" w:type="dxa"/>
              <w:right w:w="161" w:type="dxa"/>
            </w:tcMar>
          </w:tcPr>
          <w:p w14:paraId="4144E51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w:t>
            </w:r>
          </w:p>
        </w:tc>
        <w:tc>
          <w:tcPr>
            <w:tcW w:w="1125" w:type="dxa"/>
            <w:tcBorders>
              <w:top w:val="single" w:sz="4" w:space="0" w:color="000000"/>
              <w:left w:val="nil"/>
              <w:bottom w:val="nil"/>
              <w:right w:val="nil"/>
              <w:tl2br w:val="nil"/>
              <w:tr2bl w:val="nil"/>
            </w:tcBorders>
            <w:shd w:val="clear" w:color="auto" w:fill="auto"/>
            <w:noWrap/>
            <w:tcMar>
              <w:left w:w="101" w:type="dxa"/>
              <w:right w:w="161" w:type="dxa"/>
            </w:tcMar>
          </w:tcPr>
          <w:p w14:paraId="0B16B87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19 627</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01B098A3"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2F853C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160412D3" w14:textId="77777777" w:rsidR="009832FC" w:rsidRPr="009832FC" w:rsidRDefault="009832FC" w:rsidP="009832FC">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3552DA55" w14:textId="77777777" w:rsidR="009832FC" w:rsidRPr="009832FC" w:rsidRDefault="009832FC" w:rsidP="009832FC">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468EB2C4" w14:textId="77777777" w:rsidR="009832FC" w:rsidRPr="009832FC" w:rsidRDefault="009832FC" w:rsidP="009832FC">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6B6CD268" w14:textId="77777777" w:rsidR="009832FC" w:rsidRPr="009832FC" w:rsidRDefault="009832FC" w:rsidP="009832FC">
            <w:pPr>
              <w:spacing w:before="0" w:after="0"/>
              <w:rPr>
                <w:rFonts w:eastAsia="Calibri" w:cs="Calibri"/>
                <w:b/>
                <w:color w:val="000000"/>
                <w:sz w:val="18"/>
                <w:szCs w:val="24"/>
                <w:lang w:eastAsia="en-AU"/>
              </w:rPr>
            </w:pPr>
          </w:p>
        </w:tc>
        <w:tc>
          <w:tcPr>
            <w:tcW w:w="975" w:type="dxa"/>
            <w:tcBorders>
              <w:top w:val="nil"/>
              <w:left w:val="nil"/>
              <w:bottom w:val="nil"/>
              <w:right w:val="nil"/>
              <w:tl2br w:val="nil"/>
              <w:tr2bl w:val="nil"/>
            </w:tcBorders>
            <w:shd w:val="clear" w:color="auto" w:fill="auto"/>
            <w:noWrap/>
            <w:tcMar>
              <w:left w:w="0" w:type="dxa"/>
              <w:right w:w="0" w:type="dxa"/>
            </w:tcMar>
          </w:tcPr>
          <w:p w14:paraId="48D0CB61" w14:textId="77777777" w:rsidR="009832FC" w:rsidRPr="009832FC" w:rsidRDefault="009832FC" w:rsidP="009832FC">
            <w:pPr>
              <w:spacing w:before="0" w:after="0"/>
              <w:rPr>
                <w:rFonts w:eastAsia="Calibri" w:cs="Calibri"/>
                <w:b/>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0D171BC9" w14:textId="77777777" w:rsidR="009832FC" w:rsidRPr="009832FC" w:rsidRDefault="009832FC" w:rsidP="009832FC">
            <w:pPr>
              <w:spacing w:before="0" w:after="0"/>
              <w:rPr>
                <w:rFonts w:eastAsia="Calibri" w:cs="Calibri"/>
                <w:b/>
                <w:color w:val="000000"/>
                <w:sz w:val="18"/>
                <w:szCs w:val="24"/>
                <w:lang w:eastAsia="en-AU"/>
              </w:rPr>
            </w:pPr>
          </w:p>
        </w:tc>
        <w:tc>
          <w:tcPr>
            <w:tcW w:w="1125" w:type="dxa"/>
            <w:tcBorders>
              <w:top w:val="nil"/>
              <w:left w:val="nil"/>
              <w:bottom w:val="nil"/>
              <w:right w:val="nil"/>
              <w:tl2br w:val="nil"/>
              <w:tr2bl w:val="nil"/>
            </w:tcBorders>
            <w:shd w:val="clear" w:color="auto" w:fill="auto"/>
            <w:noWrap/>
            <w:tcMar>
              <w:left w:w="0" w:type="dxa"/>
              <w:right w:w="0" w:type="dxa"/>
            </w:tcMar>
          </w:tcPr>
          <w:p w14:paraId="4A91B5CD" w14:textId="77777777" w:rsidR="009832FC" w:rsidRPr="009832FC" w:rsidRDefault="009832FC" w:rsidP="009832FC">
            <w:pPr>
              <w:spacing w:before="0" w:after="0"/>
              <w:rPr>
                <w:rFonts w:eastAsia="Calibri" w:cs="Calibri"/>
                <w:color w:val="000000"/>
                <w:sz w:val="18"/>
                <w:szCs w:val="24"/>
                <w:lang w:eastAsia="en-AU"/>
              </w:rPr>
            </w:pPr>
          </w:p>
        </w:tc>
      </w:tr>
    </w:tbl>
    <w:tbl>
      <w:tblPr>
        <w:tblStyle w:val="CDMRange11"/>
        <w:tblW w:w="9375" w:type="dxa"/>
        <w:tblLayout w:type="fixed"/>
        <w:tblLook w:val="0600" w:firstRow="0" w:lastRow="0" w:firstColumn="0" w:lastColumn="0" w:noHBand="1" w:noVBand="1"/>
      </w:tblPr>
      <w:tblGrid>
        <w:gridCol w:w="3225"/>
        <w:gridCol w:w="975"/>
        <w:gridCol w:w="975"/>
        <w:gridCol w:w="975"/>
        <w:gridCol w:w="975"/>
        <w:gridCol w:w="1125"/>
        <w:gridCol w:w="1125"/>
      </w:tblGrid>
      <w:tr w:rsidR="009832FC" w:rsidRPr="009832FC" w14:paraId="60F443F8" w14:textId="77777777" w:rsidTr="00EB585F">
        <w:trPr>
          <w:trHeight w:val="495"/>
        </w:trPr>
        <w:tc>
          <w:tcPr>
            <w:tcW w:w="3225" w:type="dxa"/>
            <w:tcBorders>
              <w:top w:val="single" w:sz="8" w:space="0" w:color="000000"/>
              <w:left w:val="nil"/>
              <w:bottom w:val="single" w:sz="8" w:space="0" w:color="000000"/>
              <w:right w:val="nil"/>
              <w:tl2br w:val="nil"/>
              <w:tr2bl w:val="nil"/>
            </w:tcBorders>
            <w:shd w:val="clear" w:color="auto" w:fill="auto"/>
            <w:tcMar>
              <w:left w:w="101" w:type="dxa"/>
              <w:right w:w="101" w:type="dxa"/>
            </w:tcMar>
          </w:tcPr>
          <w:p w14:paraId="1BB234F6"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INFRASTRUCTURE INVESTMENT PROGRAM</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1EA6820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67 847</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74D73D6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73 045</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005A8F3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11 034</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2D35679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4 545</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74D38BD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156 066</w:t>
            </w:r>
          </w:p>
        </w:tc>
        <w:tc>
          <w:tcPr>
            <w:tcW w:w="112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72A938C8" w14:textId="77777777" w:rsidR="009832FC" w:rsidRPr="009832FC" w:rsidRDefault="009832FC" w:rsidP="009832FC">
            <w:pPr>
              <w:spacing w:before="0" w:after="0"/>
              <w:rPr>
                <w:rFonts w:eastAsia="Calibri" w:cs="Calibri"/>
                <w:color w:val="000000"/>
                <w:sz w:val="18"/>
                <w:szCs w:val="24"/>
                <w:lang w:eastAsia="en-AU"/>
              </w:rPr>
            </w:pPr>
          </w:p>
        </w:tc>
      </w:tr>
    </w:tbl>
    <w:p w14:paraId="15E06FEA" w14:textId="77777777" w:rsidR="009832FC" w:rsidRPr="009832FC" w:rsidRDefault="009832FC" w:rsidP="009832FC">
      <w:pPr>
        <w:keepNext/>
        <w:pageBreakBefore/>
        <w:pBdr>
          <w:top w:val="nil"/>
          <w:left w:val="nil"/>
          <w:bottom w:val="nil"/>
          <w:right w:val="nil"/>
          <w:between w:val="nil"/>
          <w:bar w:val="nil"/>
        </w:pBdr>
        <w:spacing w:before="360"/>
        <w:ind w:left="-426" w:firstLine="426"/>
        <w:outlineLvl w:val="1"/>
        <w:rPr>
          <w:b/>
          <w:snapToGrid w:val="0"/>
          <w:sz w:val="32"/>
          <w:bdr w:val="nil"/>
        </w:rPr>
      </w:pPr>
      <w:bookmarkStart w:id="76" w:name="_Toc83910755"/>
      <w:r w:rsidRPr="009832FC">
        <w:rPr>
          <w:b/>
          <w:snapToGrid w:val="0"/>
          <w:sz w:val="32"/>
          <w:bdr w:val="nil"/>
        </w:rPr>
        <w:lastRenderedPageBreak/>
        <w:t>Financial Statements – Controlled</w:t>
      </w:r>
      <w:bookmarkEnd w:id="76"/>
    </w:p>
    <w:p w14:paraId="5E323049" w14:textId="77777777" w:rsidR="009832FC" w:rsidRPr="009832FC" w:rsidRDefault="009832FC" w:rsidP="00374ABF">
      <w:pPr>
        <w:keepNext/>
        <w:pBdr>
          <w:top w:val="nil"/>
          <w:left w:val="nil"/>
          <w:bottom w:val="nil"/>
          <w:right w:val="nil"/>
          <w:between w:val="nil"/>
          <w:bar w:val="nil"/>
        </w:pBdr>
        <w:spacing w:before="240"/>
        <w:jc w:val="both"/>
        <w:rPr>
          <w:color w:val="000000"/>
          <w:sz w:val="22"/>
          <w:szCs w:val="18"/>
          <w:bdr w:val="nil"/>
        </w:rPr>
      </w:pPr>
      <w:r w:rsidRPr="009832FC">
        <w:rPr>
          <w:color w:val="000000"/>
          <w:sz w:val="22"/>
          <w:szCs w:val="18"/>
          <w:bdr w:val="nil"/>
        </w:rPr>
        <w:t>Due to the release of the 2021-22 Budget on 6 October 2021, the 2020-21 Interim Outcome column reflects the interim outcome included in the draft 2020-21 Financial Statements, which were unaudited at the time of preparing these budget statements.</w:t>
      </w:r>
    </w:p>
    <w:p w14:paraId="467336E9" w14:textId="77777777" w:rsidR="009832FC" w:rsidRPr="009832FC" w:rsidRDefault="009832FC" w:rsidP="009832FC">
      <w:pPr>
        <w:keepNext/>
        <w:pBdr>
          <w:top w:val="nil"/>
          <w:left w:val="nil"/>
          <w:bottom w:val="nil"/>
          <w:right w:val="nil"/>
          <w:between w:val="nil"/>
          <w:bar w:val="nil"/>
        </w:pBdr>
        <w:spacing w:before="240"/>
        <w:rPr>
          <w:b/>
          <w:bCs/>
          <w:color w:val="000000"/>
          <w:sz w:val="22"/>
          <w:szCs w:val="18"/>
          <w:bdr w:val="nil"/>
        </w:rPr>
      </w:pPr>
      <w:r w:rsidRPr="009832FC">
        <w:rPr>
          <w:b/>
          <w:bCs/>
          <w:color w:val="000000"/>
          <w:sz w:val="22"/>
          <w:szCs w:val="18"/>
          <w:bdr w:val="nil"/>
        </w:rPr>
        <w:t xml:space="preserve">Table 24: Canberra Health Services: Operating Statement </w:t>
      </w:r>
    </w:p>
    <w:tbl>
      <w:tblPr>
        <w:tblStyle w:val="CDMRange21"/>
        <w:tblW w:w="9195" w:type="dxa"/>
        <w:tblLayout w:type="fixed"/>
        <w:tblLook w:val="0620" w:firstRow="1" w:lastRow="0" w:firstColumn="0" w:lastColumn="0" w:noHBand="1" w:noVBand="1"/>
      </w:tblPr>
      <w:tblGrid>
        <w:gridCol w:w="1035"/>
        <w:gridCol w:w="2385"/>
        <w:gridCol w:w="1035"/>
        <w:gridCol w:w="1035"/>
        <w:gridCol w:w="600"/>
        <w:gridCol w:w="1035"/>
        <w:gridCol w:w="1035"/>
        <w:gridCol w:w="1035"/>
      </w:tblGrid>
      <w:tr w:rsidR="009832FC" w:rsidRPr="009832FC" w14:paraId="5A7BF9B1" w14:textId="77777777" w:rsidTr="00EB585F">
        <w:trPr>
          <w:trHeight w:val="1155"/>
          <w:tblHeader/>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D0E730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2020-21 Budget            </w:t>
            </w:r>
          </w:p>
          <w:p w14:paraId="3E604423" w14:textId="77777777" w:rsidR="009832FC" w:rsidRPr="009832FC" w:rsidRDefault="009832FC" w:rsidP="009832FC">
            <w:pPr>
              <w:spacing w:before="0" w:after="0"/>
              <w:jc w:val="right"/>
              <w:rPr>
                <w:rFonts w:eastAsia="Calibri" w:cs="Calibri"/>
                <w:b/>
                <w:color w:val="000000"/>
                <w:sz w:val="18"/>
                <w:szCs w:val="24"/>
                <w:lang w:eastAsia="en-AU"/>
              </w:rPr>
            </w:pPr>
          </w:p>
          <w:p w14:paraId="0E22D61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97B44D5"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90C867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08FF42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2021-22 Budget            </w:t>
            </w:r>
          </w:p>
          <w:p w14:paraId="1D95487E" w14:textId="77777777" w:rsidR="009832FC" w:rsidRPr="009832FC" w:rsidRDefault="009832FC" w:rsidP="009832FC">
            <w:pPr>
              <w:spacing w:before="0" w:after="0"/>
              <w:jc w:val="right"/>
              <w:rPr>
                <w:rFonts w:eastAsia="Calibri" w:cs="Calibri"/>
                <w:b/>
                <w:color w:val="000000"/>
                <w:sz w:val="18"/>
                <w:szCs w:val="24"/>
                <w:lang w:eastAsia="en-AU"/>
              </w:rPr>
            </w:pPr>
          </w:p>
          <w:p w14:paraId="030ACD9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07DB5B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Var</w:t>
            </w:r>
          </w:p>
          <w:p w14:paraId="01B1904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3F9510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2022-23 Estimate            </w:t>
            </w:r>
          </w:p>
          <w:p w14:paraId="5EA76EB0" w14:textId="77777777" w:rsidR="009832FC" w:rsidRPr="009832FC" w:rsidRDefault="009832FC" w:rsidP="009832FC">
            <w:pPr>
              <w:spacing w:before="0" w:after="0"/>
              <w:jc w:val="right"/>
              <w:rPr>
                <w:rFonts w:eastAsia="Calibri" w:cs="Calibri"/>
                <w:b/>
                <w:color w:val="000000"/>
                <w:sz w:val="18"/>
                <w:szCs w:val="24"/>
                <w:lang w:eastAsia="en-AU"/>
              </w:rPr>
            </w:pPr>
          </w:p>
          <w:p w14:paraId="584E364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B85CBB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2023-24 Estimate            </w:t>
            </w:r>
          </w:p>
          <w:p w14:paraId="66E4F79B" w14:textId="77777777" w:rsidR="009832FC" w:rsidRPr="009832FC" w:rsidRDefault="009832FC" w:rsidP="009832FC">
            <w:pPr>
              <w:spacing w:before="0" w:after="0"/>
              <w:jc w:val="right"/>
              <w:rPr>
                <w:rFonts w:eastAsia="Calibri" w:cs="Calibri"/>
                <w:b/>
                <w:color w:val="000000"/>
                <w:sz w:val="18"/>
                <w:szCs w:val="24"/>
                <w:lang w:eastAsia="en-AU"/>
              </w:rPr>
            </w:pPr>
          </w:p>
          <w:p w14:paraId="78FBE42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26B924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2024-25 Estimate            </w:t>
            </w:r>
          </w:p>
          <w:p w14:paraId="23D7113F" w14:textId="77777777" w:rsidR="009832FC" w:rsidRPr="009832FC" w:rsidRDefault="009832FC" w:rsidP="009832FC">
            <w:pPr>
              <w:spacing w:before="0" w:after="0"/>
              <w:jc w:val="right"/>
              <w:rPr>
                <w:rFonts w:eastAsia="Calibri" w:cs="Calibri"/>
                <w:b/>
                <w:color w:val="000000"/>
                <w:sz w:val="18"/>
                <w:szCs w:val="24"/>
                <w:lang w:eastAsia="en-AU"/>
              </w:rPr>
            </w:pPr>
          </w:p>
          <w:p w14:paraId="0CBD6FF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r>
      <w:tr w:rsidR="009832FC" w:rsidRPr="009832FC" w14:paraId="11DF1BB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126DB48" w14:textId="77777777" w:rsidR="009832FC" w:rsidRPr="009832FC" w:rsidRDefault="009832FC" w:rsidP="009832FC">
            <w:pPr>
              <w:spacing w:before="0" w:after="0"/>
              <w:jc w:val="right"/>
              <w:rPr>
                <w:rFonts w:eastAsia="Calibri" w:cs="Calibri"/>
                <w:b/>
                <w:i/>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2AB74D26"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517652C"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D9135ED"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6CEC959"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60F25BD"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E27854D"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D3192F2"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597EBD5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361D9C" w14:textId="77777777" w:rsidR="009832FC" w:rsidRPr="009832FC" w:rsidRDefault="009832FC" w:rsidP="009832FC">
            <w:pPr>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21AA803"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Income</w:t>
            </w:r>
          </w:p>
        </w:tc>
        <w:tc>
          <w:tcPr>
            <w:tcW w:w="1035" w:type="dxa"/>
            <w:tcBorders>
              <w:top w:val="nil"/>
              <w:left w:val="nil"/>
              <w:bottom w:val="nil"/>
              <w:right w:val="nil"/>
              <w:tl2br w:val="nil"/>
              <w:tr2bl w:val="nil"/>
            </w:tcBorders>
            <w:shd w:val="clear" w:color="FFFFFF" w:fill="FFFFFF"/>
            <w:tcMar>
              <w:left w:w="0" w:type="dxa"/>
              <w:right w:w="0" w:type="dxa"/>
            </w:tcMar>
          </w:tcPr>
          <w:p w14:paraId="43AC59B9"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5FAF7DB"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8036ABE"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622E13A"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3273E9E"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39A175A"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7FC44FD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33D201" w14:textId="77777777" w:rsidR="009832FC" w:rsidRPr="009832FC" w:rsidRDefault="009832FC" w:rsidP="009832FC">
            <w:pPr>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550C712A"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95E3B63"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F192AB9"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388A1F2"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BB9973B"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9EB95DD"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DE11A8C"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1C9F941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37C2EC"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B3DAD14"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6825ADD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88AAEDB"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B62BF4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651F29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0D39FB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1A2C655"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42062E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31009E0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1 264 981</w:t>
            </w:r>
          </w:p>
        </w:tc>
        <w:tc>
          <w:tcPr>
            <w:tcW w:w="2385" w:type="dxa"/>
            <w:tcBorders>
              <w:top w:val="nil"/>
              <w:left w:val="nil"/>
              <w:bottom w:val="nil"/>
              <w:right w:val="nil"/>
              <w:tl2br w:val="nil"/>
              <w:tr2bl w:val="nil"/>
            </w:tcBorders>
            <w:shd w:val="clear" w:color="auto" w:fill="auto"/>
            <w:noWrap/>
            <w:tcMar>
              <w:left w:w="101" w:type="dxa"/>
              <w:right w:w="101" w:type="dxa"/>
            </w:tcMar>
          </w:tcPr>
          <w:p w14:paraId="7FBA64ED"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61" w:type="dxa"/>
            </w:tcMar>
          </w:tcPr>
          <w:p w14:paraId="2CBECCC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124 658</w:t>
            </w:r>
          </w:p>
        </w:tc>
        <w:tc>
          <w:tcPr>
            <w:tcW w:w="1035" w:type="dxa"/>
            <w:tcBorders>
              <w:top w:val="nil"/>
              <w:left w:val="nil"/>
              <w:bottom w:val="nil"/>
              <w:right w:val="nil"/>
              <w:tl2br w:val="nil"/>
              <w:tr2bl w:val="nil"/>
            </w:tcBorders>
            <w:shd w:val="clear" w:color="FFFFFF" w:fill="FFFFFF"/>
            <w:tcMar>
              <w:left w:w="101" w:type="dxa"/>
              <w:right w:w="161" w:type="dxa"/>
            </w:tcMar>
          </w:tcPr>
          <w:p w14:paraId="2EC227A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118 555</w:t>
            </w:r>
          </w:p>
        </w:tc>
        <w:tc>
          <w:tcPr>
            <w:tcW w:w="600" w:type="dxa"/>
            <w:tcBorders>
              <w:top w:val="nil"/>
              <w:left w:val="nil"/>
              <w:bottom w:val="nil"/>
              <w:right w:val="nil"/>
              <w:tl2br w:val="nil"/>
              <w:tr2bl w:val="nil"/>
            </w:tcBorders>
            <w:shd w:val="clear" w:color="FFFFFF" w:fill="FFFFFF"/>
            <w:tcMar>
              <w:left w:w="101" w:type="dxa"/>
              <w:right w:w="101" w:type="dxa"/>
            </w:tcMar>
          </w:tcPr>
          <w:p w14:paraId="6977670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tcMar>
              <w:left w:w="101" w:type="dxa"/>
              <w:right w:w="161" w:type="dxa"/>
            </w:tcMar>
          </w:tcPr>
          <w:p w14:paraId="24B8C7C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123 988</w:t>
            </w:r>
          </w:p>
        </w:tc>
        <w:tc>
          <w:tcPr>
            <w:tcW w:w="1035" w:type="dxa"/>
            <w:tcBorders>
              <w:top w:val="nil"/>
              <w:left w:val="nil"/>
              <w:bottom w:val="nil"/>
              <w:right w:val="nil"/>
              <w:tl2br w:val="nil"/>
              <w:tr2bl w:val="nil"/>
            </w:tcBorders>
            <w:shd w:val="clear" w:color="FFFFFF" w:fill="FFFFFF"/>
            <w:tcMar>
              <w:left w:w="101" w:type="dxa"/>
              <w:right w:w="161" w:type="dxa"/>
            </w:tcMar>
          </w:tcPr>
          <w:p w14:paraId="5FD4A1F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127 179</w:t>
            </w:r>
          </w:p>
        </w:tc>
        <w:tc>
          <w:tcPr>
            <w:tcW w:w="1035" w:type="dxa"/>
            <w:tcBorders>
              <w:top w:val="nil"/>
              <w:left w:val="nil"/>
              <w:bottom w:val="nil"/>
              <w:right w:val="nil"/>
              <w:tl2br w:val="nil"/>
              <w:tr2bl w:val="nil"/>
            </w:tcBorders>
            <w:shd w:val="clear" w:color="FFFFFF" w:fill="FFFFFF"/>
            <w:tcMar>
              <w:left w:w="101" w:type="dxa"/>
              <w:right w:w="161" w:type="dxa"/>
            </w:tcMar>
          </w:tcPr>
          <w:p w14:paraId="7B55581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129 845</w:t>
            </w:r>
          </w:p>
        </w:tc>
      </w:tr>
      <w:tr w:rsidR="009832FC" w:rsidRPr="009832FC" w14:paraId="45B9878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397E68B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78 786</w:t>
            </w:r>
          </w:p>
        </w:tc>
        <w:tc>
          <w:tcPr>
            <w:tcW w:w="2385" w:type="dxa"/>
            <w:tcBorders>
              <w:top w:val="nil"/>
              <w:left w:val="nil"/>
              <w:bottom w:val="nil"/>
              <w:right w:val="nil"/>
              <w:tl2br w:val="nil"/>
              <w:tr2bl w:val="nil"/>
            </w:tcBorders>
            <w:shd w:val="clear" w:color="auto" w:fill="auto"/>
            <w:noWrap/>
            <w:tcMar>
              <w:left w:w="101" w:type="dxa"/>
              <w:right w:w="101" w:type="dxa"/>
            </w:tcMar>
          </w:tcPr>
          <w:p w14:paraId="418434E8"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Grants and Contributions</w:t>
            </w:r>
          </w:p>
        </w:tc>
        <w:tc>
          <w:tcPr>
            <w:tcW w:w="1035" w:type="dxa"/>
            <w:tcBorders>
              <w:top w:val="nil"/>
              <w:left w:val="nil"/>
              <w:bottom w:val="nil"/>
              <w:right w:val="nil"/>
              <w:tl2br w:val="nil"/>
              <w:tr2bl w:val="nil"/>
            </w:tcBorders>
            <w:shd w:val="clear" w:color="FFFFFF" w:fill="FFFFFF"/>
            <w:tcMar>
              <w:left w:w="101" w:type="dxa"/>
              <w:right w:w="161" w:type="dxa"/>
            </w:tcMar>
          </w:tcPr>
          <w:p w14:paraId="07EE8ED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1 294 575</w:t>
            </w:r>
          </w:p>
        </w:tc>
        <w:tc>
          <w:tcPr>
            <w:tcW w:w="1035" w:type="dxa"/>
            <w:tcBorders>
              <w:top w:val="nil"/>
              <w:left w:val="nil"/>
              <w:bottom w:val="nil"/>
              <w:right w:val="nil"/>
              <w:tl2br w:val="nil"/>
              <w:tr2bl w:val="nil"/>
            </w:tcBorders>
            <w:shd w:val="clear" w:color="FFFFFF" w:fill="FFFFFF"/>
            <w:tcMar>
              <w:left w:w="101" w:type="dxa"/>
              <w:right w:w="161" w:type="dxa"/>
            </w:tcMar>
          </w:tcPr>
          <w:p w14:paraId="65EB5AF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1 367 477</w:t>
            </w:r>
          </w:p>
        </w:tc>
        <w:tc>
          <w:tcPr>
            <w:tcW w:w="600" w:type="dxa"/>
            <w:tcBorders>
              <w:top w:val="nil"/>
              <w:left w:val="nil"/>
              <w:bottom w:val="nil"/>
              <w:right w:val="nil"/>
              <w:tl2br w:val="nil"/>
              <w:tr2bl w:val="nil"/>
            </w:tcBorders>
            <w:shd w:val="clear" w:color="FFFFFF" w:fill="FFFFFF"/>
            <w:tcMar>
              <w:left w:w="101" w:type="dxa"/>
              <w:right w:w="101" w:type="dxa"/>
            </w:tcMar>
          </w:tcPr>
          <w:p w14:paraId="110CEBA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6 </w:t>
            </w:r>
          </w:p>
        </w:tc>
        <w:tc>
          <w:tcPr>
            <w:tcW w:w="1035" w:type="dxa"/>
            <w:tcBorders>
              <w:top w:val="nil"/>
              <w:left w:val="nil"/>
              <w:bottom w:val="nil"/>
              <w:right w:val="nil"/>
              <w:tl2br w:val="nil"/>
              <w:tr2bl w:val="nil"/>
            </w:tcBorders>
            <w:shd w:val="clear" w:color="FFFFFF" w:fill="FFFFFF"/>
            <w:tcMar>
              <w:left w:w="101" w:type="dxa"/>
              <w:right w:w="161" w:type="dxa"/>
            </w:tcMar>
          </w:tcPr>
          <w:p w14:paraId="37B840A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1 346 981</w:t>
            </w:r>
          </w:p>
        </w:tc>
        <w:tc>
          <w:tcPr>
            <w:tcW w:w="1035" w:type="dxa"/>
            <w:tcBorders>
              <w:top w:val="nil"/>
              <w:left w:val="nil"/>
              <w:bottom w:val="nil"/>
              <w:right w:val="nil"/>
              <w:tl2br w:val="nil"/>
              <w:tr2bl w:val="nil"/>
            </w:tcBorders>
            <w:shd w:val="clear" w:color="FFFFFF" w:fill="FFFFFF"/>
            <w:tcMar>
              <w:left w:w="101" w:type="dxa"/>
              <w:right w:w="161" w:type="dxa"/>
            </w:tcMar>
          </w:tcPr>
          <w:p w14:paraId="329607B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1 380 466</w:t>
            </w:r>
          </w:p>
        </w:tc>
        <w:tc>
          <w:tcPr>
            <w:tcW w:w="1035" w:type="dxa"/>
            <w:tcBorders>
              <w:top w:val="nil"/>
              <w:left w:val="nil"/>
              <w:bottom w:val="nil"/>
              <w:right w:val="nil"/>
              <w:tl2br w:val="nil"/>
              <w:tr2bl w:val="nil"/>
            </w:tcBorders>
            <w:shd w:val="clear" w:color="FFFFFF" w:fill="FFFFFF"/>
            <w:tcMar>
              <w:left w:w="101" w:type="dxa"/>
              <w:right w:w="161" w:type="dxa"/>
            </w:tcMar>
          </w:tcPr>
          <w:p w14:paraId="40B39DC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1 397 158</w:t>
            </w:r>
          </w:p>
        </w:tc>
      </w:tr>
      <w:tr w:rsidR="009832FC" w:rsidRPr="009832FC" w14:paraId="6A1CDDA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9913FE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199</w:t>
            </w:r>
          </w:p>
        </w:tc>
        <w:tc>
          <w:tcPr>
            <w:tcW w:w="2385" w:type="dxa"/>
            <w:tcBorders>
              <w:top w:val="nil"/>
              <w:left w:val="nil"/>
              <w:bottom w:val="nil"/>
              <w:right w:val="nil"/>
              <w:tl2br w:val="nil"/>
              <w:tr2bl w:val="nil"/>
            </w:tcBorders>
            <w:shd w:val="clear" w:color="auto" w:fill="auto"/>
            <w:noWrap/>
            <w:tcMar>
              <w:left w:w="101" w:type="dxa"/>
              <w:right w:w="101" w:type="dxa"/>
            </w:tcMar>
          </w:tcPr>
          <w:p w14:paraId="544C5B8D"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Investment Revenue</w:t>
            </w:r>
          </w:p>
        </w:tc>
        <w:tc>
          <w:tcPr>
            <w:tcW w:w="1035" w:type="dxa"/>
            <w:tcBorders>
              <w:top w:val="nil"/>
              <w:left w:val="nil"/>
              <w:bottom w:val="nil"/>
              <w:right w:val="nil"/>
              <w:tl2br w:val="nil"/>
              <w:tr2bl w:val="nil"/>
            </w:tcBorders>
            <w:shd w:val="clear" w:color="FFFFFF" w:fill="FFFFFF"/>
            <w:tcMar>
              <w:left w:w="101" w:type="dxa"/>
              <w:right w:w="161" w:type="dxa"/>
            </w:tcMar>
          </w:tcPr>
          <w:p w14:paraId="10610EB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30</w:t>
            </w:r>
          </w:p>
        </w:tc>
        <w:tc>
          <w:tcPr>
            <w:tcW w:w="1035" w:type="dxa"/>
            <w:tcBorders>
              <w:top w:val="nil"/>
              <w:left w:val="nil"/>
              <w:bottom w:val="nil"/>
              <w:right w:val="nil"/>
              <w:tl2br w:val="nil"/>
              <w:tr2bl w:val="nil"/>
            </w:tcBorders>
            <w:shd w:val="clear" w:color="FFFFFF" w:fill="FFFFFF"/>
            <w:tcMar>
              <w:left w:w="101" w:type="dxa"/>
              <w:right w:w="161" w:type="dxa"/>
            </w:tcMar>
          </w:tcPr>
          <w:p w14:paraId="767E117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204</w:t>
            </w:r>
          </w:p>
        </w:tc>
        <w:tc>
          <w:tcPr>
            <w:tcW w:w="600" w:type="dxa"/>
            <w:tcBorders>
              <w:top w:val="nil"/>
              <w:left w:val="nil"/>
              <w:bottom w:val="nil"/>
              <w:right w:val="nil"/>
              <w:tl2br w:val="nil"/>
              <w:tr2bl w:val="nil"/>
            </w:tcBorders>
            <w:shd w:val="clear" w:color="FFFFFF" w:fill="FFFFFF"/>
            <w:tcMar>
              <w:left w:w="101" w:type="dxa"/>
              <w:right w:w="101" w:type="dxa"/>
            </w:tcMar>
          </w:tcPr>
          <w:p w14:paraId="5D70E8A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580 </w:t>
            </w:r>
          </w:p>
        </w:tc>
        <w:tc>
          <w:tcPr>
            <w:tcW w:w="1035" w:type="dxa"/>
            <w:tcBorders>
              <w:top w:val="nil"/>
              <w:left w:val="nil"/>
              <w:bottom w:val="nil"/>
              <w:right w:val="nil"/>
              <w:tl2br w:val="nil"/>
              <w:tr2bl w:val="nil"/>
            </w:tcBorders>
            <w:shd w:val="clear" w:color="FFFFFF" w:fill="FFFFFF"/>
            <w:tcMar>
              <w:left w:w="101" w:type="dxa"/>
              <w:right w:w="161" w:type="dxa"/>
            </w:tcMar>
          </w:tcPr>
          <w:p w14:paraId="4F9A5A8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207</w:t>
            </w:r>
          </w:p>
        </w:tc>
        <w:tc>
          <w:tcPr>
            <w:tcW w:w="1035" w:type="dxa"/>
            <w:tcBorders>
              <w:top w:val="nil"/>
              <w:left w:val="nil"/>
              <w:bottom w:val="nil"/>
              <w:right w:val="nil"/>
              <w:tl2br w:val="nil"/>
              <w:tr2bl w:val="nil"/>
            </w:tcBorders>
            <w:shd w:val="clear" w:color="FFFFFF" w:fill="FFFFFF"/>
            <w:tcMar>
              <w:left w:w="101" w:type="dxa"/>
              <w:right w:w="161" w:type="dxa"/>
            </w:tcMar>
          </w:tcPr>
          <w:p w14:paraId="6F90FE8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211</w:t>
            </w:r>
          </w:p>
        </w:tc>
        <w:tc>
          <w:tcPr>
            <w:tcW w:w="1035" w:type="dxa"/>
            <w:tcBorders>
              <w:top w:val="nil"/>
              <w:left w:val="nil"/>
              <w:bottom w:val="nil"/>
              <w:right w:val="nil"/>
              <w:tl2br w:val="nil"/>
              <w:tr2bl w:val="nil"/>
            </w:tcBorders>
            <w:shd w:val="clear" w:color="FFFFFF" w:fill="FFFFFF"/>
            <w:tcMar>
              <w:left w:w="101" w:type="dxa"/>
              <w:right w:w="161" w:type="dxa"/>
            </w:tcMar>
          </w:tcPr>
          <w:p w14:paraId="2880A3E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215</w:t>
            </w:r>
          </w:p>
        </w:tc>
      </w:tr>
      <w:tr w:rsidR="009832FC" w:rsidRPr="009832FC" w14:paraId="76479B5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070893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15 760</w:t>
            </w:r>
          </w:p>
        </w:tc>
        <w:tc>
          <w:tcPr>
            <w:tcW w:w="2385" w:type="dxa"/>
            <w:tcBorders>
              <w:top w:val="nil"/>
              <w:left w:val="nil"/>
              <w:bottom w:val="nil"/>
              <w:right w:val="nil"/>
              <w:tl2br w:val="nil"/>
              <w:tr2bl w:val="nil"/>
            </w:tcBorders>
            <w:shd w:val="clear" w:color="auto" w:fill="auto"/>
            <w:noWrap/>
            <w:tcMar>
              <w:left w:w="101" w:type="dxa"/>
              <w:right w:w="101" w:type="dxa"/>
            </w:tcMar>
          </w:tcPr>
          <w:p w14:paraId="284BECC0"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 Revenue</w:t>
            </w:r>
          </w:p>
        </w:tc>
        <w:tc>
          <w:tcPr>
            <w:tcW w:w="1035" w:type="dxa"/>
            <w:tcBorders>
              <w:top w:val="nil"/>
              <w:left w:val="nil"/>
              <w:bottom w:val="nil"/>
              <w:right w:val="nil"/>
              <w:tl2br w:val="nil"/>
              <w:tr2bl w:val="nil"/>
            </w:tcBorders>
            <w:shd w:val="clear" w:color="FFFFFF" w:fill="FFFFFF"/>
            <w:tcMar>
              <w:left w:w="101" w:type="dxa"/>
              <w:right w:w="161" w:type="dxa"/>
            </w:tcMar>
          </w:tcPr>
          <w:p w14:paraId="03C6546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7 358</w:t>
            </w:r>
          </w:p>
        </w:tc>
        <w:tc>
          <w:tcPr>
            <w:tcW w:w="1035" w:type="dxa"/>
            <w:tcBorders>
              <w:top w:val="nil"/>
              <w:left w:val="nil"/>
              <w:bottom w:val="nil"/>
              <w:right w:val="nil"/>
              <w:tl2br w:val="nil"/>
              <w:tr2bl w:val="nil"/>
            </w:tcBorders>
            <w:shd w:val="clear" w:color="FFFFFF" w:fill="FFFFFF"/>
            <w:tcMar>
              <w:left w:w="101" w:type="dxa"/>
              <w:right w:w="161" w:type="dxa"/>
            </w:tcMar>
          </w:tcPr>
          <w:p w14:paraId="6AA08DF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16 083</w:t>
            </w:r>
          </w:p>
        </w:tc>
        <w:tc>
          <w:tcPr>
            <w:tcW w:w="600" w:type="dxa"/>
            <w:tcBorders>
              <w:top w:val="nil"/>
              <w:left w:val="nil"/>
              <w:bottom w:val="nil"/>
              <w:right w:val="nil"/>
              <w:tl2br w:val="nil"/>
              <w:tr2bl w:val="nil"/>
            </w:tcBorders>
            <w:shd w:val="clear" w:color="FFFFFF" w:fill="FFFFFF"/>
            <w:tcMar>
              <w:left w:w="101" w:type="dxa"/>
              <w:right w:w="101" w:type="dxa"/>
            </w:tcMar>
          </w:tcPr>
          <w:p w14:paraId="2C723BE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119 </w:t>
            </w:r>
          </w:p>
        </w:tc>
        <w:tc>
          <w:tcPr>
            <w:tcW w:w="1035" w:type="dxa"/>
            <w:tcBorders>
              <w:top w:val="nil"/>
              <w:left w:val="nil"/>
              <w:bottom w:val="nil"/>
              <w:right w:val="nil"/>
              <w:tl2br w:val="nil"/>
              <w:tr2bl w:val="nil"/>
            </w:tcBorders>
            <w:shd w:val="clear" w:color="FFFFFF" w:fill="FFFFFF"/>
            <w:tcMar>
              <w:left w:w="101" w:type="dxa"/>
              <w:right w:w="161" w:type="dxa"/>
            </w:tcMar>
          </w:tcPr>
          <w:p w14:paraId="3571EA1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16 436</w:t>
            </w:r>
          </w:p>
        </w:tc>
        <w:tc>
          <w:tcPr>
            <w:tcW w:w="1035" w:type="dxa"/>
            <w:tcBorders>
              <w:top w:val="nil"/>
              <w:left w:val="nil"/>
              <w:bottom w:val="nil"/>
              <w:right w:val="nil"/>
              <w:tl2br w:val="nil"/>
              <w:tr2bl w:val="nil"/>
            </w:tcBorders>
            <w:shd w:val="clear" w:color="FFFFFF" w:fill="FFFFFF"/>
            <w:tcMar>
              <w:left w:w="101" w:type="dxa"/>
              <w:right w:w="161" w:type="dxa"/>
            </w:tcMar>
          </w:tcPr>
          <w:p w14:paraId="6E2E128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16 847</w:t>
            </w:r>
          </w:p>
        </w:tc>
        <w:tc>
          <w:tcPr>
            <w:tcW w:w="1035" w:type="dxa"/>
            <w:tcBorders>
              <w:top w:val="nil"/>
              <w:left w:val="nil"/>
              <w:bottom w:val="nil"/>
              <w:right w:val="nil"/>
              <w:tl2br w:val="nil"/>
              <w:tr2bl w:val="nil"/>
            </w:tcBorders>
            <w:shd w:val="clear" w:color="FFFFFF" w:fill="FFFFFF"/>
            <w:tcMar>
              <w:left w:w="101" w:type="dxa"/>
              <w:right w:w="161" w:type="dxa"/>
            </w:tcMar>
          </w:tcPr>
          <w:p w14:paraId="788A8CC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17 184</w:t>
            </w:r>
          </w:p>
        </w:tc>
      </w:tr>
      <w:tr w:rsidR="009832FC" w:rsidRPr="009832FC" w14:paraId="1A5573B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1E30FE"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054A4D87"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E8CF1F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02A3903"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EDA041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CDC356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6F8C5A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0C32B00"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005B111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5B462A9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1 359 726</w:t>
            </w:r>
          </w:p>
        </w:tc>
        <w:tc>
          <w:tcPr>
            <w:tcW w:w="2385" w:type="dxa"/>
            <w:tcBorders>
              <w:top w:val="nil"/>
              <w:left w:val="nil"/>
              <w:bottom w:val="nil"/>
              <w:right w:val="nil"/>
              <w:tl2br w:val="nil"/>
              <w:tr2bl w:val="nil"/>
            </w:tcBorders>
            <w:shd w:val="clear" w:color="FFFFFF" w:fill="FFFFFF"/>
            <w:noWrap/>
            <w:tcMar>
              <w:left w:w="101" w:type="dxa"/>
              <w:right w:w="101" w:type="dxa"/>
            </w:tcMar>
          </w:tcPr>
          <w:p w14:paraId="2DDC081E"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Revenue</w:t>
            </w:r>
          </w:p>
        </w:tc>
        <w:tc>
          <w:tcPr>
            <w:tcW w:w="1035" w:type="dxa"/>
            <w:tcBorders>
              <w:top w:val="nil"/>
              <w:left w:val="nil"/>
              <w:bottom w:val="nil"/>
              <w:right w:val="nil"/>
              <w:tl2br w:val="nil"/>
              <w:tr2bl w:val="nil"/>
            </w:tcBorders>
            <w:shd w:val="clear" w:color="FFFFFF" w:fill="FFFFFF"/>
            <w:tcMar>
              <w:left w:w="101" w:type="dxa"/>
              <w:right w:w="161" w:type="dxa"/>
            </w:tcMar>
          </w:tcPr>
          <w:p w14:paraId="6D30420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1 426 621</w:t>
            </w:r>
          </w:p>
        </w:tc>
        <w:tc>
          <w:tcPr>
            <w:tcW w:w="1035" w:type="dxa"/>
            <w:tcBorders>
              <w:top w:val="nil"/>
              <w:left w:val="nil"/>
              <w:bottom w:val="nil"/>
              <w:right w:val="nil"/>
              <w:tl2br w:val="nil"/>
              <w:tr2bl w:val="nil"/>
            </w:tcBorders>
            <w:shd w:val="clear" w:color="FFFFFF" w:fill="FFFFFF"/>
            <w:tcMar>
              <w:left w:w="101" w:type="dxa"/>
              <w:right w:w="161" w:type="dxa"/>
            </w:tcMar>
          </w:tcPr>
          <w:p w14:paraId="6F61422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1 502 319</w:t>
            </w:r>
          </w:p>
        </w:tc>
        <w:tc>
          <w:tcPr>
            <w:tcW w:w="600" w:type="dxa"/>
            <w:tcBorders>
              <w:top w:val="nil"/>
              <w:left w:val="nil"/>
              <w:bottom w:val="nil"/>
              <w:right w:val="nil"/>
              <w:tl2br w:val="nil"/>
              <w:tr2bl w:val="nil"/>
            </w:tcBorders>
            <w:shd w:val="clear" w:color="FFFFFF" w:fill="FFFFFF"/>
            <w:tcMar>
              <w:left w:w="101" w:type="dxa"/>
              <w:right w:w="101" w:type="dxa"/>
            </w:tcMar>
          </w:tcPr>
          <w:p w14:paraId="0132F27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tcMar>
              <w:left w:w="101" w:type="dxa"/>
              <w:right w:w="161" w:type="dxa"/>
            </w:tcMar>
          </w:tcPr>
          <w:p w14:paraId="1A8D5AB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1 487 612</w:t>
            </w:r>
          </w:p>
        </w:tc>
        <w:tc>
          <w:tcPr>
            <w:tcW w:w="1035" w:type="dxa"/>
            <w:tcBorders>
              <w:top w:val="nil"/>
              <w:left w:val="nil"/>
              <w:bottom w:val="nil"/>
              <w:right w:val="nil"/>
              <w:tl2br w:val="nil"/>
              <w:tr2bl w:val="nil"/>
            </w:tcBorders>
            <w:shd w:val="clear" w:color="FFFFFF" w:fill="FFFFFF"/>
            <w:tcMar>
              <w:left w:w="101" w:type="dxa"/>
              <w:right w:w="161" w:type="dxa"/>
            </w:tcMar>
          </w:tcPr>
          <w:p w14:paraId="3BDCCB0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1 524 703</w:t>
            </w:r>
          </w:p>
        </w:tc>
        <w:tc>
          <w:tcPr>
            <w:tcW w:w="1035" w:type="dxa"/>
            <w:tcBorders>
              <w:top w:val="nil"/>
              <w:left w:val="nil"/>
              <w:bottom w:val="nil"/>
              <w:right w:val="nil"/>
              <w:tl2br w:val="nil"/>
              <w:tr2bl w:val="nil"/>
            </w:tcBorders>
            <w:shd w:val="clear" w:color="FFFFFF" w:fill="FFFFFF"/>
            <w:tcMar>
              <w:left w:w="101" w:type="dxa"/>
              <w:right w:w="161" w:type="dxa"/>
            </w:tcMar>
          </w:tcPr>
          <w:p w14:paraId="2065E6F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1 544 402</w:t>
            </w:r>
          </w:p>
        </w:tc>
      </w:tr>
      <w:tr w:rsidR="009832FC" w:rsidRPr="009832FC" w14:paraId="141BEEA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AB5408"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07C384FD"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D183B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AB82C2C"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683828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E3265A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E71B85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BBAB0C3"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91EB0B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EA0216B"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02EACAF"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Gains</w:t>
            </w:r>
          </w:p>
        </w:tc>
        <w:tc>
          <w:tcPr>
            <w:tcW w:w="1035" w:type="dxa"/>
            <w:tcBorders>
              <w:top w:val="nil"/>
              <w:left w:val="nil"/>
              <w:bottom w:val="nil"/>
              <w:right w:val="nil"/>
              <w:tl2br w:val="nil"/>
              <w:tr2bl w:val="nil"/>
            </w:tcBorders>
            <w:shd w:val="clear" w:color="FFFFFF" w:fill="FFFFFF"/>
            <w:tcMar>
              <w:left w:w="0" w:type="dxa"/>
              <w:right w:w="0" w:type="dxa"/>
            </w:tcMar>
          </w:tcPr>
          <w:p w14:paraId="09A392D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345E13B"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ADE701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27E420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0B6BD3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D8597D5"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4C5F28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496DB99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174B0CB"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 Gains</w:t>
            </w:r>
          </w:p>
        </w:tc>
        <w:tc>
          <w:tcPr>
            <w:tcW w:w="1035" w:type="dxa"/>
            <w:tcBorders>
              <w:top w:val="nil"/>
              <w:left w:val="nil"/>
              <w:bottom w:val="nil"/>
              <w:right w:val="nil"/>
              <w:tl2br w:val="nil"/>
              <w:tr2bl w:val="nil"/>
            </w:tcBorders>
            <w:shd w:val="clear" w:color="FFFFFF" w:fill="FFFFFF"/>
            <w:tcMar>
              <w:left w:w="101" w:type="dxa"/>
              <w:right w:w="161" w:type="dxa"/>
            </w:tcMar>
          </w:tcPr>
          <w:p w14:paraId="44AF094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299</w:t>
            </w:r>
          </w:p>
        </w:tc>
        <w:tc>
          <w:tcPr>
            <w:tcW w:w="1035" w:type="dxa"/>
            <w:tcBorders>
              <w:top w:val="nil"/>
              <w:left w:val="nil"/>
              <w:bottom w:val="nil"/>
              <w:right w:val="nil"/>
              <w:tl2br w:val="nil"/>
              <w:tr2bl w:val="nil"/>
            </w:tcBorders>
            <w:shd w:val="clear" w:color="FFFFFF" w:fill="FFFFFF"/>
            <w:tcMar>
              <w:left w:w="101" w:type="dxa"/>
              <w:right w:w="161" w:type="dxa"/>
            </w:tcMar>
          </w:tcPr>
          <w:p w14:paraId="0A04B99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7250E84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61" w:type="dxa"/>
            </w:tcMar>
          </w:tcPr>
          <w:p w14:paraId="24EB4FB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725D352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7CCD230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6B09732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8F4F770"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08C53C7D"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1AE2EC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2443D16"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EE85DD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363F92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D5B6D6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780960F"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17826A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649441E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6B098AD"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Gains</w:t>
            </w:r>
          </w:p>
        </w:tc>
        <w:tc>
          <w:tcPr>
            <w:tcW w:w="1035" w:type="dxa"/>
            <w:tcBorders>
              <w:top w:val="nil"/>
              <w:left w:val="nil"/>
              <w:bottom w:val="nil"/>
              <w:right w:val="nil"/>
              <w:tl2br w:val="nil"/>
              <w:tr2bl w:val="nil"/>
            </w:tcBorders>
            <w:shd w:val="clear" w:color="FFFFFF" w:fill="FFFFFF"/>
            <w:tcMar>
              <w:left w:w="101" w:type="dxa"/>
              <w:right w:w="161" w:type="dxa"/>
            </w:tcMar>
          </w:tcPr>
          <w:p w14:paraId="5FDDFE4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299</w:t>
            </w:r>
          </w:p>
        </w:tc>
        <w:tc>
          <w:tcPr>
            <w:tcW w:w="1035" w:type="dxa"/>
            <w:tcBorders>
              <w:top w:val="nil"/>
              <w:left w:val="nil"/>
              <w:bottom w:val="nil"/>
              <w:right w:val="nil"/>
              <w:tl2br w:val="nil"/>
              <w:tr2bl w:val="nil"/>
            </w:tcBorders>
            <w:shd w:val="clear" w:color="FFFFFF" w:fill="FFFFFF"/>
            <w:tcMar>
              <w:left w:w="101" w:type="dxa"/>
              <w:right w:w="161" w:type="dxa"/>
            </w:tcMar>
          </w:tcPr>
          <w:p w14:paraId="6272184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4E19639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61" w:type="dxa"/>
            </w:tcMar>
          </w:tcPr>
          <w:p w14:paraId="3F0F240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42E5D78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068AAF6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525634F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70013A"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8EBF41F"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F01323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BF113FF"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A98DC3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544841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08B5D7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D8D572E"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3444FE8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503B870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1 359 726</w:t>
            </w:r>
          </w:p>
        </w:tc>
        <w:tc>
          <w:tcPr>
            <w:tcW w:w="2385" w:type="dxa"/>
            <w:tcBorders>
              <w:top w:val="nil"/>
              <w:left w:val="nil"/>
              <w:bottom w:val="nil"/>
              <w:right w:val="nil"/>
              <w:tl2br w:val="nil"/>
              <w:tr2bl w:val="nil"/>
            </w:tcBorders>
            <w:shd w:val="clear" w:color="FFFFFF" w:fill="FFFFFF"/>
            <w:noWrap/>
            <w:tcMar>
              <w:left w:w="101" w:type="dxa"/>
              <w:right w:w="101" w:type="dxa"/>
            </w:tcMar>
          </w:tcPr>
          <w:p w14:paraId="16B71AF1"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Income</w:t>
            </w:r>
          </w:p>
        </w:tc>
        <w:tc>
          <w:tcPr>
            <w:tcW w:w="1035" w:type="dxa"/>
            <w:tcBorders>
              <w:top w:val="nil"/>
              <w:left w:val="nil"/>
              <w:bottom w:val="nil"/>
              <w:right w:val="nil"/>
              <w:tl2br w:val="nil"/>
              <w:tr2bl w:val="nil"/>
            </w:tcBorders>
            <w:shd w:val="clear" w:color="FFFFFF" w:fill="FFFFFF"/>
            <w:tcMar>
              <w:left w:w="101" w:type="dxa"/>
              <w:right w:w="161" w:type="dxa"/>
            </w:tcMar>
          </w:tcPr>
          <w:p w14:paraId="0991406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1 426 920</w:t>
            </w:r>
          </w:p>
        </w:tc>
        <w:tc>
          <w:tcPr>
            <w:tcW w:w="1035" w:type="dxa"/>
            <w:tcBorders>
              <w:top w:val="nil"/>
              <w:left w:val="nil"/>
              <w:bottom w:val="nil"/>
              <w:right w:val="nil"/>
              <w:tl2br w:val="nil"/>
              <w:tr2bl w:val="nil"/>
            </w:tcBorders>
            <w:shd w:val="clear" w:color="FFFFFF" w:fill="FFFFFF"/>
            <w:tcMar>
              <w:left w:w="101" w:type="dxa"/>
              <w:right w:w="161" w:type="dxa"/>
            </w:tcMar>
          </w:tcPr>
          <w:p w14:paraId="246099B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1 502 319</w:t>
            </w:r>
          </w:p>
        </w:tc>
        <w:tc>
          <w:tcPr>
            <w:tcW w:w="600" w:type="dxa"/>
            <w:tcBorders>
              <w:top w:val="nil"/>
              <w:left w:val="nil"/>
              <w:bottom w:val="nil"/>
              <w:right w:val="nil"/>
              <w:tl2br w:val="nil"/>
              <w:tr2bl w:val="nil"/>
            </w:tcBorders>
            <w:shd w:val="clear" w:color="FFFFFF" w:fill="FFFFFF"/>
            <w:tcMar>
              <w:left w:w="101" w:type="dxa"/>
              <w:right w:w="101" w:type="dxa"/>
            </w:tcMar>
          </w:tcPr>
          <w:p w14:paraId="28F6DE3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tcMar>
              <w:left w:w="101" w:type="dxa"/>
              <w:right w:w="161" w:type="dxa"/>
            </w:tcMar>
          </w:tcPr>
          <w:p w14:paraId="21B70BA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1 487 612</w:t>
            </w:r>
          </w:p>
        </w:tc>
        <w:tc>
          <w:tcPr>
            <w:tcW w:w="1035" w:type="dxa"/>
            <w:tcBorders>
              <w:top w:val="nil"/>
              <w:left w:val="nil"/>
              <w:bottom w:val="nil"/>
              <w:right w:val="nil"/>
              <w:tl2br w:val="nil"/>
              <w:tr2bl w:val="nil"/>
            </w:tcBorders>
            <w:shd w:val="clear" w:color="FFFFFF" w:fill="FFFFFF"/>
            <w:tcMar>
              <w:left w:w="101" w:type="dxa"/>
              <w:right w:w="161" w:type="dxa"/>
            </w:tcMar>
          </w:tcPr>
          <w:p w14:paraId="0646668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1 524 703</w:t>
            </w:r>
          </w:p>
        </w:tc>
        <w:tc>
          <w:tcPr>
            <w:tcW w:w="1035" w:type="dxa"/>
            <w:tcBorders>
              <w:top w:val="nil"/>
              <w:left w:val="nil"/>
              <w:bottom w:val="nil"/>
              <w:right w:val="nil"/>
              <w:tl2br w:val="nil"/>
              <w:tr2bl w:val="nil"/>
            </w:tcBorders>
            <w:shd w:val="clear" w:color="FFFFFF" w:fill="FFFFFF"/>
            <w:tcMar>
              <w:left w:w="101" w:type="dxa"/>
              <w:right w:w="161" w:type="dxa"/>
            </w:tcMar>
          </w:tcPr>
          <w:p w14:paraId="55D700C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1 544 402</w:t>
            </w:r>
          </w:p>
        </w:tc>
      </w:tr>
      <w:tr w:rsidR="009832FC" w:rsidRPr="009832FC" w14:paraId="16F6C7A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E531AC"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54AF68E7"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858427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CFA427F"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7D5BA4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D5751B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9E5B35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C1EDC51"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3798F96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550172"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C252E5C"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59703EE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2295E89"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81C7FF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8660A8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DAF018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DD9CCF7"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BAF844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02A567F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813 133</w:t>
            </w:r>
          </w:p>
        </w:tc>
        <w:tc>
          <w:tcPr>
            <w:tcW w:w="2385" w:type="dxa"/>
            <w:tcBorders>
              <w:top w:val="nil"/>
              <w:left w:val="nil"/>
              <w:bottom w:val="nil"/>
              <w:right w:val="nil"/>
              <w:tl2br w:val="nil"/>
              <w:tr2bl w:val="nil"/>
            </w:tcBorders>
            <w:shd w:val="clear" w:color="FFFFFF" w:fill="FFFFFF"/>
            <w:noWrap/>
            <w:tcMar>
              <w:left w:w="101" w:type="dxa"/>
              <w:right w:w="101" w:type="dxa"/>
            </w:tcMar>
          </w:tcPr>
          <w:p w14:paraId="1E9276BA"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Employee Expenses</w:t>
            </w:r>
          </w:p>
        </w:tc>
        <w:tc>
          <w:tcPr>
            <w:tcW w:w="1035" w:type="dxa"/>
            <w:tcBorders>
              <w:top w:val="nil"/>
              <w:left w:val="nil"/>
              <w:bottom w:val="nil"/>
              <w:right w:val="nil"/>
              <w:tl2br w:val="nil"/>
              <w:tr2bl w:val="nil"/>
            </w:tcBorders>
            <w:shd w:val="clear" w:color="FFFFFF" w:fill="FFFFFF"/>
            <w:tcMar>
              <w:left w:w="101" w:type="dxa"/>
              <w:right w:w="161" w:type="dxa"/>
            </w:tcMar>
          </w:tcPr>
          <w:p w14:paraId="73E18B0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834 801</w:t>
            </w:r>
          </w:p>
        </w:tc>
        <w:tc>
          <w:tcPr>
            <w:tcW w:w="1035" w:type="dxa"/>
            <w:tcBorders>
              <w:top w:val="nil"/>
              <w:left w:val="nil"/>
              <w:bottom w:val="nil"/>
              <w:right w:val="nil"/>
              <w:tl2br w:val="nil"/>
              <w:tr2bl w:val="nil"/>
            </w:tcBorders>
            <w:shd w:val="clear" w:color="FFFFFF" w:fill="FFFFFF"/>
            <w:tcMar>
              <w:left w:w="101" w:type="dxa"/>
              <w:right w:w="161" w:type="dxa"/>
            </w:tcMar>
          </w:tcPr>
          <w:p w14:paraId="2EA0352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907 841</w:t>
            </w:r>
          </w:p>
        </w:tc>
        <w:tc>
          <w:tcPr>
            <w:tcW w:w="600" w:type="dxa"/>
            <w:tcBorders>
              <w:top w:val="nil"/>
              <w:left w:val="nil"/>
              <w:bottom w:val="nil"/>
              <w:right w:val="nil"/>
              <w:tl2br w:val="nil"/>
              <w:tr2bl w:val="nil"/>
            </w:tcBorders>
            <w:shd w:val="clear" w:color="FFFFFF" w:fill="FFFFFF"/>
            <w:tcMar>
              <w:left w:w="101" w:type="dxa"/>
              <w:right w:w="101" w:type="dxa"/>
            </w:tcMar>
          </w:tcPr>
          <w:p w14:paraId="53242BA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9 </w:t>
            </w:r>
          </w:p>
        </w:tc>
        <w:tc>
          <w:tcPr>
            <w:tcW w:w="1035" w:type="dxa"/>
            <w:tcBorders>
              <w:top w:val="nil"/>
              <w:left w:val="nil"/>
              <w:bottom w:val="nil"/>
              <w:right w:val="nil"/>
              <w:tl2br w:val="nil"/>
              <w:tr2bl w:val="nil"/>
            </w:tcBorders>
            <w:shd w:val="clear" w:color="FFFFFF" w:fill="FFFFFF"/>
            <w:tcMar>
              <w:left w:w="101" w:type="dxa"/>
              <w:right w:w="161" w:type="dxa"/>
            </w:tcMar>
          </w:tcPr>
          <w:p w14:paraId="2DAB83A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894 285</w:t>
            </w:r>
          </w:p>
        </w:tc>
        <w:tc>
          <w:tcPr>
            <w:tcW w:w="1035" w:type="dxa"/>
            <w:tcBorders>
              <w:top w:val="nil"/>
              <w:left w:val="nil"/>
              <w:bottom w:val="nil"/>
              <w:right w:val="nil"/>
              <w:tl2br w:val="nil"/>
              <w:tr2bl w:val="nil"/>
            </w:tcBorders>
            <w:shd w:val="clear" w:color="FFFFFF" w:fill="FFFFFF"/>
            <w:tcMar>
              <w:left w:w="101" w:type="dxa"/>
              <w:right w:w="161" w:type="dxa"/>
            </w:tcMar>
          </w:tcPr>
          <w:p w14:paraId="27E588C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914 414</w:t>
            </w:r>
          </w:p>
        </w:tc>
        <w:tc>
          <w:tcPr>
            <w:tcW w:w="1035" w:type="dxa"/>
            <w:tcBorders>
              <w:top w:val="nil"/>
              <w:left w:val="nil"/>
              <w:bottom w:val="nil"/>
              <w:right w:val="nil"/>
              <w:tl2br w:val="nil"/>
              <w:tr2bl w:val="nil"/>
            </w:tcBorders>
            <w:shd w:val="clear" w:color="FFFFFF" w:fill="FFFFFF"/>
            <w:tcMar>
              <w:left w:w="101" w:type="dxa"/>
              <w:right w:w="161" w:type="dxa"/>
            </w:tcMar>
          </w:tcPr>
          <w:p w14:paraId="2BBD63E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925 406</w:t>
            </w:r>
          </w:p>
        </w:tc>
      </w:tr>
      <w:tr w:rsidR="009832FC" w:rsidRPr="009832FC" w14:paraId="1E1A1A6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3772FB2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113 413</w:t>
            </w:r>
          </w:p>
        </w:tc>
        <w:tc>
          <w:tcPr>
            <w:tcW w:w="2385" w:type="dxa"/>
            <w:tcBorders>
              <w:top w:val="nil"/>
              <w:left w:val="nil"/>
              <w:bottom w:val="nil"/>
              <w:right w:val="nil"/>
              <w:tl2br w:val="nil"/>
              <w:tr2bl w:val="nil"/>
            </w:tcBorders>
            <w:shd w:val="clear" w:color="FFFFFF" w:fill="FFFFFF"/>
            <w:noWrap/>
            <w:tcMar>
              <w:left w:w="101" w:type="dxa"/>
              <w:right w:w="101" w:type="dxa"/>
            </w:tcMar>
          </w:tcPr>
          <w:p w14:paraId="5118D836"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Superannuation Expenses</w:t>
            </w:r>
          </w:p>
        </w:tc>
        <w:tc>
          <w:tcPr>
            <w:tcW w:w="1035" w:type="dxa"/>
            <w:tcBorders>
              <w:top w:val="nil"/>
              <w:left w:val="nil"/>
              <w:bottom w:val="nil"/>
              <w:right w:val="nil"/>
              <w:tl2br w:val="nil"/>
              <w:tr2bl w:val="nil"/>
            </w:tcBorders>
            <w:shd w:val="clear" w:color="FFFFFF" w:fill="FFFFFF"/>
            <w:tcMar>
              <w:left w:w="101" w:type="dxa"/>
              <w:right w:w="161" w:type="dxa"/>
            </w:tcMar>
          </w:tcPr>
          <w:p w14:paraId="412B647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117 456</w:t>
            </w:r>
          </w:p>
        </w:tc>
        <w:tc>
          <w:tcPr>
            <w:tcW w:w="1035" w:type="dxa"/>
            <w:tcBorders>
              <w:top w:val="nil"/>
              <w:left w:val="nil"/>
              <w:bottom w:val="nil"/>
              <w:right w:val="nil"/>
              <w:tl2br w:val="nil"/>
              <w:tr2bl w:val="nil"/>
            </w:tcBorders>
            <w:shd w:val="clear" w:color="FFFFFF" w:fill="FFFFFF"/>
            <w:tcMar>
              <w:left w:w="101" w:type="dxa"/>
              <w:right w:w="161" w:type="dxa"/>
            </w:tcMar>
          </w:tcPr>
          <w:p w14:paraId="38B8E7D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129 649</w:t>
            </w:r>
          </w:p>
        </w:tc>
        <w:tc>
          <w:tcPr>
            <w:tcW w:w="600" w:type="dxa"/>
            <w:tcBorders>
              <w:top w:val="nil"/>
              <w:left w:val="nil"/>
              <w:bottom w:val="nil"/>
              <w:right w:val="nil"/>
              <w:tl2br w:val="nil"/>
              <w:tr2bl w:val="nil"/>
            </w:tcBorders>
            <w:shd w:val="clear" w:color="FFFFFF" w:fill="FFFFFF"/>
            <w:tcMar>
              <w:left w:w="101" w:type="dxa"/>
              <w:right w:w="101" w:type="dxa"/>
            </w:tcMar>
          </w:tcPr>
          <w:p w14:paraId="28A3041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 </w:t>
            </w:r>
          </w:p>
        </w:tc>
        <w:tc>
          <w:tcPr>
            <w:tcW w:w="1035" w:type="dxa"/>
            <w:tcBorders>
              <w:top w:val="nil"/>
              <w:left w:val="nil"/>
              <w:bottom w:val="nil"/>
              <w:right w:val="nil"/>
              <w:tl2br w:val="nil"/>
              <w:tr2bl w:val="nil"/>
            </w:tcBorders>
            <w:shd w:val="clear" w:color="FFFFFF" w:fill="FFFFFF"/>
            <w:tcMar>
              <w:left w:w="101" w:type="dxa"/>
              <w:right w:w="161" w:type="dxa"/>
            </w:tcMar>
          </w:tcPr>
          <w:p w14:paraId="10DFB54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126 784</w:t>
            </w:r>
          </w:p>
        </w:tc>
        <w:tc>
          <w:tcPr>
            <w:tcW w:w="1035" w:type="dxa"/>
            <w:tcBorders>
              <w:top w:val="nil"/>
              <w:left w:val="nil"/>
              <w:bottom w:val="nil"/>
              <w:right w:val="nil"/>
              <w:tl2br w:val="nil"/>
              <w:tr2bl w:val="nil"/>
            </w:tcBorders>
            <w:shd w:val="clear" w:color="FFFFFF" w:fill="FFFFFF"/>
            <w:tcMar>
              <w:left w:w="101" w:type="dxa"/>
              <w:right w:w="161" w:type="dxa"/>
            </w:tcMar>
          </w:tcPr>
          <w:p w14:paraId="713B1C7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127 973</w:t>
            </w:r>
          </w:p>
        </w:tc>
        <w:tc>
          <w:tcPr>
            <w:tcW w:w="1035" w:type="dxa"/>
            <w:tcBorders>
              <w:top w:val="nil"/>
              <w:left w:val="nil"/>
              <w:bottom w:val="nil"/>
              <w:right w:val="nil"/>
              <w:tl2br w:val="nil"/>
              <w:tr2bl w:val="nil"/>
            </w:tcBorders>
            <w:shd w:val="clear" w:color="FFFFFF" w:fill="FFFFFF"/>
            <w:tcMar>
              <w:left w:w="101" w:type="dxa"/>
              <w:right w:w="161" w:type="dxa"/>
            </w:tcMar>
          </w:tcPr>
          <w:p w14:paraId="03C0FF9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129 207</w:t>
            </w:r>
          </w:p>
        </w:tc>
      </w:tr>
      <w:tr w:rsidR="009832FC" w:rsidRPr="009832FC" w14:paraId="66DF5FA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6A738D0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413 517</w:t>
            </w:r>
          </w:p>
        </w:tc>
        <w:tc>
          <w:tcPr>
            <w:tcW w:w="2385" w:type="dxa"/>
            <w:tcBorders>
              <w:top w:val="nil"/>
              <w:left w:val="nil"/>
              <w:bottom w:val="nil"/>
              <w:right w:val="nil"/>
              <w:tl2br w:val="nil"/>
              <w:tr2bl w:val="nil"/>
            </w:tcBorders>
            <w:shd w:val="clear" w:color="FFFFFF" w:fill="FFFFFF"/>
            <w:noWrap/>
            <w:tcMar>
              <w:left w:w="101" w:type="dxa"/>
              <w:right w:w="101" w:type="dxa"/>
            </w:tcMar>
          </w:tcPr>
          <w:p w14:paraId="6DF61471"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Supplies and Services</w:t>
            </w:r>
          </w:p>
        </w:tc>
        <w:tc>
          <w:tcPr>
            <w:tcW w:w="1035" w:type="dxa"/>
            <w:tcBorders>
              <w:top w:val="nil"/>
              <w:left w:val="nil"/>
              <w:bottom w:val="nil"/>
              <w:right w:val="nil"/>
              <w:tl2br w:val="nil"/>
              <w:tr2bl w:val="nil"/>
            </w:tcBorders>
            <w:shd w:val="clear" w:color="FFFFFF" w:fill="FFFFFF"/>
            <w:tcMar>
              <w:left w:w="101" w:type="dxa"/>
              <w:right w:w="161" w:type="dxa"/>
            </w:tcMar>
          </w:tcPr>
          <w:p w14:paraId="147B172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418 269</w:t>
            </w:r>
          </w:p>
        </w:tc>
        <w:tc>
          <w:tcPr>
            <w:tcW w:w="1035" w:type="dxa"/>
            <w:tcBorders>
              <w:top w:val="nil"/>
              <w:left w:val="nil"/>
              <w:bottom w:val="nil"/>
              <w:right w:val="nil"/>
              <w:tl2br w:val="nil"/>
              <w:tr2bl w:val="nil"/>
            </w:tcBorders>
            <w:shd w:val="clear" w:color="FFFFFF" w:fill="FFFFFF"/>
            <w:tcMar>
              <w:left w:w="101" w:type="dxa"/>
              <w:right w:w="161" w:type="dxa"/>
            </w:tcMar>
          </w:tcPr>
          <w:p w14:paraId="513426C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437 444</w:t>
            </w:r>
          </w:p>
        </w:tc>
        <w:tc>
          <w:tcPr>
            <w:tcW w:w="600" w:type="dxa"/>
            <w:tcBorders>
              <w:top w:val="nil"/>
              <w:left w:val="nil"/>
              <w:bottom w:val="nil"/>
              <w:right w:val="nil"/>
              <w:tl2br w:val="nil"/>
              <w:tr2bl w:val="nil"/>
            </w:tcBorders>
            <w:shd w:val="clear" w:color="FFFFFF" w:fill="FFFFFF"/>
            <w:tcMar>
              <w:left w:w="101" w:type="dxa"/>
              <w:right w:w="101" w:type="dxa"/>
            </w:tcMar>
          </w:tcPr>
          <w:p w14:paraId="58C0AAE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tcMar>
              <w:left w:w="101" w:type="dxa"/>
              <w:right w:w="161" w:type="dxa"/>
            </w:tcMar>
          </w:tcPr>
          <w:p w14:paraId="726987D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442 623</w:t>
            </w:r>
          </w:p>
        </w:tc>
        <w:tc>
          <w:tcPr>
            <w:tcW w:w="1035" w:type="dxa"/>
            <w:tcBorders>
              <w:top w:val="nil"/>
              <w:left w:val="nil"/>
              <w:bottom w:val="nil"/>
              <w:right w:val="nil"/>
              <w:tl2br w:val="nil"/>
              <w:tr2bl w:val="nil"/>
            </w:tcBorders>
            <w:shd w:val="clear" w:color="FFFFFF" w:fill="FFFFFF"/>
            <w:tcMar>
              <w:left w:w="101" w:type="dxa"/>
              <w:right w:w="161" w:type="dxa"/>
            </w:tcMar>
          </w:tcPr>
          <w:p w14:paraId="558CD26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458 004</w:t>
            </w:r>
          </w:p>
        </w:tc>
        <w:tc>
          <w:tcPr>
            <w:tcW w:w="1035" w:type="dxa"/>
            <w:tcBorders>
              <w:top w:val="nil"/>
              <w:left w:val="nil"/>
              <w:bottom w:val="nil"/>
              <w:right w:val="nil"/>
              <w:tl2br w:val="nil"/>
              <w:tr2bl w:val="nil"/>
            </w:tcBorders>
            <w:shd w:val="clear" w:color="FFFFFF" w:fill="FFFFFF"/>
            <w:tcMar>
              <w:left w:w="101" w:type="dxa"/>
              <w:right w:w="161" w:type="dxa"/>
            </w:tcMar>
          </w:tcPr>
          <w:p w14:paraId="1670224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465 312</w:t>
            </w:r>
          </w:p>
        </w:tc>
      </w:tr>
      <w:tr w:rsidR="009832FC" w:rsidRPr="009832FC" w14:paraId="2C93984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2266229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33 247</w:t>
            </w:r>
          </w:p>
        </w:tc>
        <w:tc>
          <w:tcPr>
            <w:tcW w:w="2385" w:type="dxa"/>
            <w:tcBorders>
              <w:top w:val="nil"/>
              <w:left w:val="nil"/>
              <w:bottom w:val="nil"/>
              <w:right w:val="nil"/>
              <w:tl2br w:val="nil"/>
              <w:tr2bl w:val="nil"/>
            </w:tcBorders>
            <w:shd w:val="clear" w:color="FFFFFF" w:fill="FFFFFF"/>
            <w:noWrap/>
            <w:tcMar>
              <w:left w:w="101" w:type="dxa"/>
              <w:right w:w="101" w:type="dxa"/>
            </w:tcMar>
          </w:tcPr>
          <w:p w14:paraId="43493A1E"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Depreciation and Amortisation</w:t>
            </w:r>
          </w:p>
        </w:tc>
        <w:tc>
          <w:tcPr>
            <w:tcW w:w="1035" w:type="dxa"/>
            <w:tcBorders>
              <w:top w:val="nil"/>
              <w:left w:val="nil"/>
              <w:bottom w:val="nil"/>
              <w:right w:val="nil"/>
              <w:tl2br w:val="nil"/>
              <w:tr2bl w:val="nil"/>
            </w:tcBorders>
            <w:shd w:val="clear" w:color="FFFFFF" w:fill="FFFFFF"/>
            <w:tcMar>
              <w:left w:w="101" w:type="dxa"/>
              <w:right w:w="161" w:type="dxa"/>
            </w:tcMar>
          </w:tcPr>
          <w:p w14:paraId="6B476D2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42 262</w:t>
            </w:r>
          </w:p>
        </w:tc>
        <w:tc>
          <w:tcPr>
            <w:tcW w:w="1035" w:type="dxa"/>
            <w:tcBorders>
              <w:top w:val="nil"/>
              <w:left w:val="nil"/>
              <w:bottom w:val="nil"/>
              <w:right w:val="nil"/>
              <w:tl2br w:val="nil"/>
              <w:tr2bl w:val="nil"/>
            </w:tcBorders>
            <w:shd w:val="clear" w:color="FFFFFF" w:fill="FFFFFF"/>
            <w:tcMar>
              <w:left w:w="101" w:type="dxa"/>
              <w:right w:w="161" w:type="dxa"/>
            </w:tcMar>
          </w:tcPr>
          <w:p w14:paraId="2E32A23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38 220</w:t>
            </w:r>
          </w:p>
        </w:tc>
        <w:tc>
          <w:tcPr>
            <w:tcW w:w="600" w:type="dxa"/>
            <w:tcBorders>
              <w:top w:val="nil"/>
              <w:left w:val="nil"/>
              <w:bottom w:val="nil"/>
              <w:right w:val="nil"/>
              <w:tl2br w:val="nil"/>
              <w:tr2bl w:val="nil"/>
            </w:tcBorders>
            <w:shd w:val="clear" w:color="FFFFFF" w:fill="FFFFFF"/>
            <w:tcMar>
              <w:left w:w="101" w:type="dxa"/>
              <w:right w:w="101" w:type="dxa"/>
            </w:tcMar>
          </w:tcPr>
          <w:p w14:paraId="678520E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 </w:t>
            </w:r>
          </w:p>
        </w:tc>
        <w:tc>
          <w:tcPr>
            <w:tcW w:w="1035" w:type="dxa"/>
            <w:tcBorders>
              <w:top w:val="nil"/>
              <w:left w:val="nil"/>
              <w:bottom w:val="nil"/>
              <w:right w:val="nil"/>
              <w:tl2br w:val="nil"/>
              <w:tr2bl w:val="nil"/>
            </w:tcBorders>
            <w:shd w:val="clear" w:color="FFFFFF" w:fill="FFFFFF"/>
            <w:tcMar>
              <w:left w:w="101" w:type="dxa"/>
              <w:right w:w="161" w:type="dxa"/>
            </w:tcMar>
          </w:tcPr>
          <w:p w14:paraId="794CBF8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40 203</w:t>
            </w:r>
          </w:p>
        </w:tc>
        <w:tc>
          <w:tcPr>
            <w:tcW w:w="1035" w:type="dxa"/>
            <w:tcBorders>
              <w:top w:val="nil"/>
              <w:left w:val="nil"/>
              <w:bottom w:val="nil"/>
              <w:right w:val="nil"/>
              <w:tl2br w:val="nil"/>
              <w:tr2bl w:val="nil"/>
            </w:tcBorders>
            <w:shd w:val="clear" w:color="FFFFFF" w:fill="FFFFFF"/>
            <w:tcMar>
              <w:left w:w="101" w:type="dxa"/>
              <w:right w:w="161" w:type="dxa"/>
            </w:tcMar>
          </w:tcPr>
          <w:p w14:paraId="105C3D9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40 849</w:t>
            </w:r>
          </w:p>
        </w:tc>
        <w:tc>
          <w:tcPr>
            <w:tcW w:w="1035" w:type="dxa"/>
            <w:tcBorders>
              <w:top w:val="nil"/>
              <w:left w:val="nil"/>
              <w:bottom w:val="nil"/>
              <w:right w:val="nil"/>
              <w:tl2br w:val="nil"/>
              <w:tr2bl w:val="nil"/>
            </w:tcBorders>
            <w:shd w:val="clear" w:color="FFFFFF" w:fill="FFFFFF"/>
            <w:tcMar>
              <w:left w:w="101" w:type="dxa"/>
              <w:right w:w="161" w:type="dxa"/>
            </w:tcMar>
          </w:tcPr>
          <w:p w14:paraId="3DB38F7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41 373</w:t>
            </w:r>
          </w:p>
        </w:tc>
      </w:tr>
      <w:tr w:rsidR="009832FC" w:rsidRPr="009832FC" w14:paraId="05AC81A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3544CF2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17 934</w:t>
            </w:r>
          </w:p>
        </w:tc>
        <w:tc>
          <w:tcPr>
            <w:tcW w:w="2385" w:type="dxa"/>
            <w:tcBorders>
              <w:top w:val="nil"/>
              <w:left w:val="nil"/>
              <w:bottom w:val="nil"/>
              <w:right w:val="nil"/>
              <w:tl2br w:val="nil"/>
              <w:tr2bl w:val="nil"/>
            </w:tcBorders>
            <w:shd w:val="clear" w:color="FFFFFF" w:fill="FFFFFF"/>
            <w:noWrap/>
            <w:tcMar>
              <w:left w:w="101" w:type="dxa"/>
              <w:right w:w="101" w:type="dxa"/>
            </w:tcMar>
          </w:tcPr>
          <w:p w14:paraId="2BCBE755"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Grants and Purchased Services</w:t>
            </w:r>
          </w:p>
        </w:tc>
        <w:tc>
          <w:tcPr>
            <w:tcW w:w="1035" w:type="dxa"/>
            <w:tcBorders>
              <w:top w:val="nil"/>
              <w:left w:val="nil"/>
              <w:bottom w:val="nil"/>
              <w:right w:val="nil"/>
              <w:tl2br w:val="nil"/>
              <w:tr2bl w:val="nil"/>
            </w:tcBorders>
            <w:shd w:val="clear" w:color="FFFFFF" w:fill="FFFFFF"/>
            <w:tcMar>
              <w:left w:w="101" w:type="dxa"/>
              <w:right w:w="161" w:type="dxa"/>
            </w:tcMar>
          </w:tcPr>
          <w:p w14:paraId="48766B6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33 152</w:t>
            </w:r>
          </w:p>
        </w:tc>
        <w:tc>
          <w:tcPr>
            <w:tcW w:w="1035" w:type="dxa"/>
            <w:tcBorders>
              <w:top w:val="nil"/>
              <w:left w:val="nil"/>
              <w:bottom w:val="nil"/>
              <w:right w:val="nil"/>
              <w:tl2br w:val="nil"/>
              <w:tr2bl w:val="nil"/>
            </w:tcBorders>
            <w:shd w:val="clear" w:color="FFFFFF" w:fill="FFFFFF"/>
            <w:tcMar>
              <w:left w:w="101" w:type="dxa"/>
              <w:right w:w="161" w:type="dxa"/>
            </w:tcMar>
          </w:tcPr>
          <w:p w14:paraId="0202A80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20 598</w:t>
            </w:r>
          </w:p>
        </w:tc>
        <w:tc>
          <w:tcPr>
            <w:tcW w:w="600" w:type="dxa"/>
            <w:tcBorders>
              <w:top w:val="nil"/>
              <w:left w:val="nil"/>
              <w:bottom w:val="nil"/>
              <w:right w:val="nil"/>
              <w:tl2br w:val="nil"/>
              <w:tr2bl w:val="nil"/>
            </w:tcBorders>
            <w:shd w:val="clear" w:color="FFFFFF" w:fill="FFFFFF"/>
            <w:tcMar>
              <w:left w:w="101" w:type="dxa"/>
              <w:right w:w="101" w:type="dxa"/>
            </w:tcMar>
          </w:tcPr>
          <w:p w14:paraId="3AF5FAE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-38 </w:t>
            </w:r>
          </w:p>
        </w:tc>
        <w:tc>
          <w:tcPr>
            <w:tcW w:w="1035" w:type="dxa"/>
            <w:tcBorders>
              <w:top w:val="nil"/>
              <w:left w:val="nil"/>
              <w:bottom w:val="nil"/>
              <w:right w:val="nil"/>
              <w:tl2br w:val="nil"/>
              <w:tr2bl w:val="nil"/>
            </w:tcBorders>
            <w:shd w:val="clear" w:color="FFFFFF" w:fill="FFFFFF"/>
            <w:tcMar>
              <w:left w:w="101" w:type="dxa"/>
              <w:right w:w="161" w:type="dxa"/>
            </w:tcMar>
          </w:tcPr>
          <w:p w14:paraId="09A827C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17 319</w:t>
            </w:r>
          </w:p>
        </w:tc>
        <w:tc>
          <w:tcPr>
            <w:tcW w:w="1035" w:type="dxa"/>
            <w:tcBorders>
              <w:top w:val="nil"/>
              <w:left w:val="nil"/>
              <w:bottom w:val="nil"/>
              <w:right w:val="nil"/>
              <w:tl2br w:val="nil"/>
              <w:tr2bl w:val="nil"/>
            </w:tcBorders>
            <w:shd w:val="clear" w:color="FFFFFF" w:fill="FFFFFF"/>
            <w:tcMar>
              <w:left w:w="101" w:type="dxa"/>
              <w:right w:w="161" w:type="dxa"/>
            </w:tcMar>
          </w:tcPr>
          <w:p w14:paraId="130AA0F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17 860</w:t>
            </w:r>
          </w:p>
        </w:tc>
        <w:tc>
          <w:tcPr>
            <w:tcW w:w="1035" w:type="dxa"/>
            <w:tcBorders>
              <w:top w:val="nil"/>
              <w:left w:val="nil"/>
              <w:bottom w:val="nil"/>
              <w:right w:val="nil"/>
              <w:tl2br w:val="nil"/>
              <w:tr2bl w:val="nil"/>
            </w:tcBorders>
            <w:shd w:val="clear" w:color="FFFFFF" w:fill="FFFFFF"/>
            <w:tcMar>
              <w:left w:w="101" w:type="dxa"/>
              <w:right w:w="161" w:type="dxa"/>
            </w:tcMar>
          </w:tcPr>
          <w:p w14:paraId="19CDC28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18 174</w:t>
            </w:r>
          </w:p>
        </w:tc>
      </w:tr>
      <w:tr w:rsidR="009832FC" w:rsidRPr="009832FC" w14:paraId="04DA2BC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45F57CA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10 125</w:t>
            </w:r>
          </w:p>
        </w:tc>
        <w:tc>
          <w:tcPr>
            <w:tcW w:w="2385" w:type="dxa"/>
            <w:tcBorders>
              <w:top w:val="nil"/>
              <w:left w:val="nil"/>
              <w:bottom w:val="nil"/>
              <w:right w:val="nil"/>
              <w:tl2br w:val="nil"/>
              <w:tr2bl w:val="nil"/>
            </w:tcBorders>
            <w:shd w:val="clear" w:color="FFFFFF" w:fill="FFFFFF"/>
            <w:noWrap/>
            <w:tcMar>
              <w:left w:w="101" w:type="dxa"/>
              <w:right w:w="101" w:type="dxa"/>
            </w:tcMar>
          </w:tcPr>
          <w:p w14:paraId="75BC5FAB"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Cost of Goods Sold</w:t>
            </w:r>
          </w:p>
        </w:tc>
        <w:tc>
          <w:tcPr>
            <w:tcW w:w="1035" w:type="dxa"/>
            <w:tcBorders>
              <w:top w:val="nil"/>
              <w:left w:val="nil"/>
              <w:bottom w:val="nil"/>
              <w:right w:val="nil"/>
              <w:tl2br w:val="nil"/>
              <w:tr2bl w:val="nil"/>
            </w:tcBorders>
            <w:shd w:val="clear" w:color="FFFFFF" w:fill="FFFFFF"/>
            <w:tcMar>
              <w:left w:w="101" w:type="dxa"/>
              <w:right w:w="161" w:type="dxa"/>
            </w:tcMar>
          </w:tcPr>
          <w:p w14:paraId="56AF222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10 244</w:t>
            </w:r>
          </w:p>
        </w:tc>
        <w:tc>
          <w:tcPr>
            <w:tcW w:w="1035" w:type="dxa"/>
            <w:tcBorders>
              <w:top w:val="nil"/>
              <w:left w:val="nil"/>
              <w:bottom w:val="nil"/>
              <w:right w:val="nil"/>
              <w:tl2br w:val="nil"/>
              <w:tr2bl w:val="nil"/>
            </w:tcBorders>
            <w:shd w:val="clear" w:color="FFFFFF" w:fill="FFFFFF"/>
            <w:tcMar>
              <w:left w:w="101" w:type="dxa"/>
              <w:right w:w="161" w:type="dxa"/>
            </w:tcMar>
          </w:tcPr>
          <w:p w14:paraId="17BCFAF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10 377</w:t>
            </w:r>
          </w:p>
        </w:tc>
        <w:tc>
          <w:tcPr>
            <w:tcW w:w="600" w:type="dxa"/>
            <w:tcBorders>
              <w:top w:val="nil"/>
              <w:left w:val="nil"/>
              <w:bottom w:val="nil"/>
              <w:right w:val="nil"/>
              <w:tl2br w:val="nil"/>
              <w:tr2bl w:val="nil"/>
            </w:tcBorders>
            <w:shd w:val="clear" w:color="FFFFFF" w:fill="FFFFFF"/>
            <w:tcMar>
              <w:left w:w="101" w:type="dxa"/>
              <w:right w:w="101" w:type="dxa"/>
            </w:tcMar>
          </w:tcPr>
          <w:p w14:paraId="47F4D1A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tcMar>
              <w:left w:w="101" w:type="dxa"/>
              <w:right w:w="161" w:type="dxa"/>
            </w:tcMar>
          </w:tcPr>
          <w:p w14:paraId="161C2AD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10 636</w:t>
            </w:r>
          </w:p>
        </w:tc>
        <w:tc>
          <w:tcPr>
            <w:tcW w:w="1035" w:type="dxa"/>
            <w:tcBorders>
              <w:top w:val="nil"/>
              <w:left w:val="nil"/>
              <w:bottom w:val="nil"/>
              <w:right w:val="nil"/>
              <w:tl2br w:val="nil"/>
              <w:tr2bl w:val="nil"/>
            </w:tcBorders>
            <w:shd w:val="clear" w:color="FFFFFF" w:fill="FFFFFF"/>
            <w:tcMar>
              <w:left w:w="101" w:type="dxa"/>
              <w:right w:w="161" w:type="dxa"/>
            </w:tcMar>
          </w:tcPr>
          <w:p w14:paraId="51A564C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10 902</w:t>
            </w:r>
          </w:p>
        </w:tc>
        <w:tc>
          <w:tcPr>
            <w:tcW w:w="1035" w:type="dxa"/>
            <w:tcBorders>
              <w:top w:val="nil"/>
              <w:left w:val="nil"/>
              <w:bottom w:val="nil"/>
              <w:right w:val="nil"/>
              <w:tl2br w:val="nil"/>
              <w:tr2bl w:val="nil"/>
            </w:tcBorders>
            <w:shd w:val="clear" w:color="FFFFFF" w:fill="FFFFFF"/>
            <w:tcMar>
              <w:left w:w="101" w:type="dxa"/>
              <w:right w:w="161" w:type="dxa"/>
            </w:tcMar>
          </w:tcPr>
          <w:p w14:paraId="511745B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11 175</w:t>
            </w:r>
          </w:p>
        </w:tc>
      </w:tr>
      <w:tr w:rsidR="009832FC" w:rsidRPr="009832FC" w14:paraId="4EC5775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40CEA19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479</w:t>
            </w:r>
          </w:p>
        </w:tc>
        <w:tc>
          <w:tcPr>
            <w:tcW w:w="2385" w:type="dxa"/>
            <w:tcBorders>
              <w:top w:val="nil"/>
              <w:left w:val="nil"/>
              <w:bottom w:val="nil"/>
              <w:right w:val="nil"/>
              <w:tl2br w:val="nil"/>
              <w:tr2bl w:val="nil"/>
            </w:tcBorders>
            <w:shd w:val="clear" w:color="FFFFFF" w:fill="FFFFFF"/>
            <w:noWrap/>
            <w:tcMar>
              <w:left w:w="101" w:type="dxa"/>
              <w:right w:w="101" w:type="dxa"/>
            </w:tcMar>
          </w:tcPr>
          <w:p w14:paraId="521A53C8"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Borrowing Costs</w:t>
            </w:r>
          </w:p>
        </w:tc>
        <w:tc>
          <w:tcPr>
            <w:tcW w:w="1035" w:type="dxa"/>
            <w:tcBorders>
              <w:top w:val="nil"/>
              <w:left w:val="nil"/>
              <w:bottom w:val="nil"/>
              <w:right w:val="nil"/>
              <w:tl2br w:val="nil"/>
              <w:tr2bl w:val="nil"/>
            </w:tcBorders>
            <w:shd w:val="clear" w:color="FFFFFF" w:fill="FFFFFF"/>
            <w:tcMar>
              <w:left w:w="101" w:type="dxa"/>
              <w:right w:w="161" w:type="dxa"/>
            </w:tcMar>
          </w:tcPr>
          <w:p w14:paraId="570CFA6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w:t>
            </w:r>
          </w:p>
        </w:tc>
        <w:tc>
          <w:tcPr>
            <w:tcW w:w="1035" w:type="dxa"/>
            <w:tcBorders>
              <w:top w:val="nil"/>
              <w:left w:val="nil"/>
              <w:bottom w:val="nil"/>
              <w:right w:val="nil"/>
              <w:tl2br w:val="nil"/>
              <w:tr2bl w:val="nil"/>
            </w:tcBorders>
            <w:shd w:val="clear" w:color="FFFFFF" w:fill="FFFFFF"/>
            <w:tcMar>
              <w:left w:w="101" w:type="dxa"/>
              <w:right w:w="161" w:type="dxa"/>
            </w:tcMar>
          </w:tcPr>
          <w:p w14:paraId="27EECD4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490</w:t>
            </w:r>
          </w:p>
        </w:tc>
        <w:tc>
          <w:tcPr>
            <w:tcW w:w="600" w:type="dxa"/>
            <w:tcBorders>
              <w:top w:val="nil"/>
              <w:left w:val="nil"/>
              <w:bottom w:val="nil"/>
              <w:right w:val="nil"/>
              <w:tl2br w:val="nil"/>
              <w:tr2bl w:val="nil"/>
            </w:tcBorders>
            <w:shd w:val="clear" w:color="FFFFFF" w:fill="FFFFFF"/>
            <w:tcMar>
              <w:left w:w="101" w:type="dxa"/>
              <w:right w:w="101" w:type="dxa"/>
            </w:tcMar>
          </w:tcPr>
          <w:p w14:paraId="0F452B4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444 </w:t>
            </w:r>
          </w:p>
        </w:tc>
        <w:tc>
          <w:tcPr>
            <w:tcW w:w="1035" w:type="dxa"/>
            <w:tcBorders>
              <w:top w:val="nil"/>
              <w:left w:val="nil"/>
              <w:bottom w:val="nil"/>
              <w:right w:val="nil"/>
              <w:tl2br w:val="nil"/>
              <w:tr2bl w:val="nil"/>
            </w:tcBorders>
            <w:shd w:val="clear" w:color="FFFFFF" w:fill="FFFFFF"/>
            <w:tcMar>
              <w:left w:w="101" w:type="dxa"/>
              <w:right w:w="161" w:type="dxa"/>
            </w:tcMar>
          </w:tcPr>
          <w:p w14:paraId="6B9A158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490</w:t>
            </w:r>
          </w:p>
        </w:tc>
        <w:tc>
          <w:tcPr>
            <w:tcW w:w="1035" w:type="dxa"/>
            <w:tcBorders>
              <w:top w:val="nil"/>
              <w:left w:val="nil"/>
              <w:bottom w:val="nil"/>
              <w:right w:val="nil"/>
              <w:tl2br w:val="nil"/>
              <w:tr2bl w:val="nil"/>
            </w:tcBorders>
            <w:shd w:val="clear" w:color="FFFFFF" w:fill="FFFFFF"/>
            <w:tcMar>
              <w:left w:w="101" w:type="dxa"/>
              <w:right w:w="161" w:type="dxa"/>
            </w:tcMar>
          </w:tcPr>
          <w:p w14:paraId="113830D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490</w:t>
            </w:r>
          </w:p>
        </w:tc>
        <w:tc>
          <w:tcPr>
            <w:tcW w:w="1035" w:type="dxa"/>
            <w:tcBorders>
              <w:top w:val="nil"/>
              <w:left w:val="nil"/>
              <w:bottom w:val="nil"/>
              <w:right w:val="nil"/>
              <w:tl2br w:val="nil"/>
              <w:tr2bl w:val="nil"/>
            </w:tcBorders>
            <w:shd w:val="clear" w:color="FFFFFF" w:fill="FFFFFF"/>
            <w:tcMar>
              <w:left w:w="101" w:type="dxa"/>
              <w:right w:w="161" w:type="dxa"/>
            </w:tcMar>
          </w:tcPr>
          <w:p w14:paraId="33B5568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490</w:t>
            </w:r>
          </w:p>
        </w:tc>
      </w:tr>
      <w:tr w:rsidR="009832FC" w:rsidRPr="009832FC" w14:paraId="135248C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08815AC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5 850</w:t>
            </w:r>
          </w:p>
        </w:tc>
        <w:tc>
          <w:tcPr>
            <w:tcW w:w="2385" w:type="dxa"/>
            <w:tcBorders>
              <w:top w:val="nil"/>
              <w:left w:val="nil"/>
              <w:bottom w:val="nil"/>
              <w:right w:val="nil"/>
              <w:tl2br w:val="nil"/>
              <w:tr2bl w:val="nil"/>
            </w:tcBorders>
            <w:shd w:val="clear" w:color="FFFFFF" w:fill="FFFFFF"/>
            <w:noWrap/>
            <w:tcMar>
              <w:left w:w="101" w:type="dxa"/>
              <w:right w:w="101" w:type="dxa"/>
            </w:tcMar>
          </w:tcPr>
          <w:p w14:paraId="6584EB12"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 Expenses</w:t>
            </w:r>
          </w:p>
        </w:tc>
        <w:tc>
          <w:tcPr>
            <w:tcW w:w="1035" w:type="dxa"/>
            <w:tcBorders>
              <w:top w:val="nil"/>
              <w:left w:val="nil"/>
              <w:bottom w:val="nil"/>
              <w:right w:val="nil"/>
              <w:tl2br w:val="nil"/>
              <w:tr2bl w:val="nil"/>
            </w:tcBorders>
            <w:shd w:val="clear" w:color="FFFFFF" w:fill="FFFFFF"/>
            <w:tcMar>
              <w:left w:w="101" w:type="dxa"/>
              <w:right w:w="161" w:type="dxa"/>
            </w:tcMar>
          </w:tcPr>
          <w:p w14:paraId="373AFCC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16 441</w:t>
            </w:r>
          </w:p>
        </w:tc>
        <w:tc>
          <w:tcPr>
            <w:tcW w:w="1035" w:type="dxa"/>
            <w:tcBorders>
              <w:top w:val="nil"/>
              <w:left w:val="nil"/>
              <w:bottom w:val="nil"/>
              <w:right w:val="nil"/>
              <w:tl2br w:val="nil"/>
              <w:tr2bl w:val="nil"/>
            </w:tcBorders>
            <w:shd w:val="clear" w:color="FFFFFF" w:fill="FFFFFF"/>
            <w:tcMar>
              <w:left w:w="101" w:type="dxa"/>
              <w:right w:w="161" w:type="dxa"/>
            </w:tcMar>
          </w:tcPr>
          <w:p w14:paraId="6CFF9BE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5 999</w:t>
            </w:r>
          </w:p>
        </w:tc>
        <w:tc>
          <w:tcPr>
            <w:tcW w:w="600" w:type="dxa"/>
            <w:tcBorders>
              <w:top w:val="nil"/>
              <w:left w:val="nil"/>
              <w:bottom w:val="nil"/>
              <w:right w:val="nil"/>
              <w:tl2br w:val="nil"/>
              <w:tr2bl w:val="nil"/>
            </w:tcBorders>
            <w:shd w:val="clear" w:color="FFFFFF" w:fill="FFFFFF"/>
            <w:tcMar>
              <w:left w:w="101" w:type="dxa"/>
              <w:right w:w="101" w:type="dxa"/>
            </w:tcMar>
          </w:tcPr>
          <w:p w14:paraId="250CEFA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-64 </w:t>
            </w:r>
          </w:p>
        </w:tc>
        <w:tc>
          <w:tcPr>
            <w:tcW w:w="1035" w:type="dxa"/>
            <w:tcBorders>
              <w:top w:val="nil"/>
              <w:left w:val="nil"/>
              <w:bottom w:val="nil"/>
              <w:right w:val="nil"/>
              <w:tl2br w:val="nil"/>
              <w:tr2bl w:val="nil"/>
            </w:tcBorders>
            <w:shd w:val="clear" w:color="FFFFFF" w:fill="FFFFFF"/>
            <w:tcMar>
              <w:left w:w="101" w:type="dxa"/>
              <w:right w:w="161" w:type="dxa"/>
            </w:tcMar>
          </w:tcPr>
          <w:p w14:paraId="7C534B9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6 045</w:t>
            </w:r>
          </w:p>
        </w:tc>
        <w:tc>
          <w:tcPr>
            <w:tcW w:w="1035" w:type="dxa"/>
            <w:tcBorders>
              <w:top w:val="nil"/>
              <w:left w:val="nil"/>
              <w:bottom w:val="nil"/>
              <w:right w:val="nil"/>
              <w:tl2br w:val="nil"/>
              <w:tr2bl w:val="nil"/>
            </w:tcBorders>
            <w:shd w:val="clear" w:color="FFFFFF" w:fill="FFFFFF"/>
            <w:tcMar>
              <w:left w:w="101" w:type="dxa"/>
              <w:right w:w="161" w:type="dxa"/>
            </w:tcMar>
          </w:tcPr>
          <w:p w14:paraId="22888D5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6 091</w:t>
            </w:r>
          </w:p>
        </w:tc>
        <w:tc>
          <w:tcPr>
            <w:tcW w:w="1035" w:type="dxa"/>
            <w:tcBorders>
              <w:top w:val="nil"/>
              <w:left w:val="nil"/>
              <w:bottom w:val="nil"/>
              <w:right w:val="nil"/>
              <w:tl2br w:val="nil"/>
              <w:tr2bl w:val="nil"/>
            </w:tcBorders>
            <w:shd w:val="clear" w:color="FFFFFF" w:fill="FFFFFF"/>
            <w:tcMar>
              <w:left w:w="101" w:type="dxa"/>
              <w:right w:w="161" w:type="dxa"/>
            </w:tcMar>
          </w:tcPr>
          <w:p w14:paraId="6BA425F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6 136</w:t>
            </w:r>
          </w:p>
        </w:tc>
      </w:tr>
      <w:tr w:rsidR="009832FC" w:rsidRPr="009832FC" w14:paraId="17CC24F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BDF90A"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5107E82C"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762BD4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203DF60"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99D418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0E71E0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D789BE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702F70B"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CD22C7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0DB29B2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1 407 698</w:t>
            </w:r>
          </w:p>
        </w:tc>
        <w:tc>
          <w:tcPr>
            <w:tcW w:w="2385" w:type="dxa"/>
            <w:tcBorders>
              <w:top w:val="nil"/>
              <w:left w:val="nil"/>
              <w:bottom w:val="nil"/>
              <w:right w:val="nil"/>
              <w:tl2br w:val="nil"/>
              <w:tr2bl w:val="nil"/>
            </w:tcBorders>
            <w:shd w:val="clear" w:color="FFFFFF" w:fill="FFFFFF"/>
            <w:noWrap/>
            <w:tcMar>
              <w:left w:w="101" w:type="dxa"/>
              <w:right w:w="101" w:type="dxa"/>
            </w:tcMar>
          </w:tcPr>
          <w:p w14:paraId="17F7F4D4"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Expenses</w:t>
            </w:r>
          </w:p>
        </w:tc>
        <w:tc>
          <w:tcPr>
            <w:tcW w:w="1035" w:type="dxa"/>
            <w:tcBorders>
              <w:top w:val="nil"/>
              <w:left w:val="nil"/>
              <w:bottom w:val="nil"/>
              <w:right w:val="nil"/>
              <w:tl2br w:val="nil"/>
              <w:tr2bl w:val="nil"/>
            </w:tcBorders>
            <w:shd w:val="clear" w:color="FFFFFF" w:fill="FFFFFF"/>
            <w:tcMar>
              <w:left w:w="101" w:type="dxa"/>
              <w:right w:w="161" w:type="dxa"/>
            </w:tcMar>
          </w:tcPr>
          <w:p w14:paraId="1E78169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1 472 715</w:t>
            </w:r>
          </w:p>
        </w:tc>
        <w:tc>
          <w:tcPr>
            <w:tcW w:w="1035" w:type="dxa"/>
            <w:tcBorders>
              <w:top w:val="nil"/>
              <w:left w:val="nil"/>
              <w:bottom w:val="nil"/>
              <w:right w:val="nil"/>
              <w:tl2br w:val="nil"/>
              <w:tr2bl w:val="nil"/>
            </w:tcBorders>
            <w:shd w:val="clear" w:color="FFFFFF" w:fill="FFFFFF"/>
            <w:tcMar>
              <w:left w:w="101" w:type="dxa"/>
              <w:right w:w="161" w:type="dxa"/>
            </w:tcMar>
          </w:tcPr>
          <w:p w14:paraId="0006C9A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1 550 618</w:t>
            </w:r>
          </w:p>
        </w:tc>
        <w:tc>
          <w:tcPr>
            <w:tcW w:w="600" w:type="dxa"/>
            <w:tcBorders>
              <w:top w:val="nil"/>
              <w:left w:val="nil"/>
              <w:bottom w:val="nil"/>
              <w:right w:val="nil"/>
              <w:tl2br w:val="nil"/>
              <w:tr2bl w:val="nil"/>
            </w:tcBorders>
            <w:shd w:val="clear" w:color="FFFFFF" w:fill="FFFFFF"/>
            <w:tcMar>
              <w:left w:w="101" w:type="dxa"/>
              <w:right w:w="101" w:type="dxa"/>
            </w:tcMar>
          </w:tcPr>
          <w:p w14:paraId="1F73447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tcMar>
              <w:left w:w="101" w:type="dxa"/>
              <w:right w:w="161" w:type="dxa"/>
            </w:tcMar>
          </w:tcPr>
          <w:p w14:paraId="24157A0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1 538 385</w:t>
            </w:r>
          </w:p>
        </w:tc>
        <w:tc>
          <w:tcPr>
            <w:tcW w:w="1035" w:type="dxa"/>
            <w:tcBorders>
              <w:top w:val="nil"/>
              <w:left w:val="nil"/>
              <w:bottom w:val="nil"/>
              <w:right w:val="nil"/>
              <w:tl2br w:val="nil"/>
              <w:tr2bl w:val="nil"/>
            </w:tcBorders>
            <w:shd w:val="clear" w:color="FFFFFF" w:fill="FFFFFF"/>
            <w:tcMar>
              <w:left w:w="101" w:type="dxa"/>
              <w:right w:w="161" w:type="dxa"/>
            </w:tcMar>
          </w:tcPr>
          <w:p w14:paraId="66F7DB0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1 576 583</w:t>
            </w:r>
          </w:p>
        </w:tc>
        <w:tc>
          <w:tcPr>
            <w:tcW w:w="1035" w:type="dxa"/>
            <w:tcBorders>
              <w:top w:val="nil"/>
              <w:left w:val="nil"/>
              <w:bottom w:val="nil"/>
              <w:right w:val="nil"/>
              <w:tl2br w:val="nil"/>
              <w:tr2bl w:val="nil"/>
            </w:tcBorders>
            <w:shd w:val="clear" w:color="FFFFFF" w:fill="FFFFFF"/>
            <w:tcMar>
              <w:left w:w="101" w:type="dxa"/>
              <w:right w:w="161" w:type="dxa"/>
            </w:tcMar>
          </w:tcPr>
          <w:p w14:paraId="4D9B608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1 597 273</w:t>
            </w:r>
          </w:p>
        </w:tc>
      </w:tr>
      <w:tr w:rsidR="009832FC" w:rsidRPr="009832FC" w14:paraId="12027B4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000DB9"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4B1B32C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D78859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3AAB924"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78D838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AFAB52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F0418A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B32415E"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011E41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441361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(47 972)</w:t>
            </w:r>
          </w:p>
        </w:tc>
        <w:tc>
          <w:tcPr>
            <w:tcW w:w="2385" w:type="dxa"/>
            <w:tcBorders>
              <w:top w:val="nil"/>
              <w:left w:val="nil"/>
              <w:bottom w:val="nil"/>
              <w:right w:val="nil"/>
              <w:tl2br w:val="nil"/>
              <w:tr2bl w:val="nil"/>
            </w:tcBorders>
            <w:shd w:val="clear" w:color="FFFFFF" w:fill="FFFFFF"/>
            <w:noWrap/>
            <w:tcMar>
              <w:left w:w="101" w:type="dxa"/>
              <w:right w:w="101" w:type="dxa"/>
            </w:tcMar>
          </w:tcPr>
          <w:p w14:paraId="54C56A52"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348CB4B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(45 795)</w:t>
            </w:r>
          </w:p>
        </w:tc>
        <w:tc>
          <w:tcPr>
            <w:tcW w:w="1035" w:type="dxa"/>
            <w:tcBorders>
              <w:top w:val="nil"/>
              <w:left w:val="nil"/>
              <w:bottom w:val="nil"/>
              <w:right w:val="nil"/>
              <w:tl2br w:val="nil"/>
              <w:tr2bl w:val="nil"/>
            </w:tcBorders>
            <w:shd w:val="clear" w:color="FFFFFF" w:fill="FFFFFF"/>
            <w:tcMar>
              <w:left w:w="101" w:type="dxa"/>
              <w:right w:w="101" w:type="dxa"/>
            </w:tcMar>
          </w:tcPr>
          <w:p w14:paraId="14FCA92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(48 299)</w:t>
            </w:r>
          </w:p>
        </w:tc>
        <w:tc>
          <w:tcPr>
            <w:tcW w:w="600" w:type="dxa"/>
            <w:tcBorders>
              <w:top w:val="nil"/>
              <w:left w:val="nil"/>
              <w:bottom w:val="nil"/>
              <w:right w:val="nil"/>
              <w:tl2br w:val="nil"/>
              <w:tr2bl w:val="nil"/>
            </w:tcBorders>
            <w:shd w:val="clear" w:color="FFFFFF" w:fill="FFFFFF"/>
            <w:tcMar>
              <w:left w:w="101" w:type="dxa"/>
              <w:right w:w="101" w:type="dxa"/>
            </w:tcMar>
          </w:tcPr>
          <w:p w14:paraId="3BF2994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w:t>
            </w:r>
          </w:p>
        </w:tc>
        <w:tc>
          <w:tcPr>
            <w:tcW w:w="1035" w:type="dxa"/>
            <w:tcBorders>
              <w:top w:val="nil"/>
              <w:left w:val="nil"/>
              <w:bottom w:val="nil"/>
              <w:right w:val="nil"/>
              <w:tl2br w:val="nil"/>
              <w:tr2bl w:val="nil"/>
            </w:tcBorders>
            <w:shd w:val="clear" w:color="FFFFFF" w:fill="FFFFFF"/>
            <w:tcMar>
              <w:left w:w="101" w:type="dxa"/>
              <w:right w:w="101" w:type="dxa"/>
            </w:tcMar>
          </w:tcPr>
          <w:p w14:paraId="64F0388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(50 773)</w:t>
            </w:r>
          </w:p>
        </w:tc>
        <w:tc>
          <w:tcPr>
            <w:tcW w:w="1035" w:type="dxa"/>
            <w:tcBorders>
              <w:top w:val="nil"/>
              <w:left w:val="nil"/>
              <w:bottom w:val="nil"/>
              <w:right w:val="nil"/>
              <w:tl2br w:val="nil"/>
              <w:tr2bl w:val="nil"/>
            </w:tcBorders>
            <w:shd w:val="clear" w:color="FFFFFF" w:fill="FFFFFF"/>
            <w:tcMar>
              <w:left w:w="101" w:type="dxa"/>
              <w:right w:w="101" w:type="dxa"/>
            </w:tcMar>
          </w:tcPr>
          <w:p w14:paraId="6EB4674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(51 880)</w:t>
            </w:r>
          </w:p>
        </w:tc>
        <w:tc>
          <w:tcPr>
            <w:tcW w:w="1035" w:type="dxa"/>
            <w:tcBorders>
              <w:top w:val="nil"/>
              <w:left w:val="nil"/>
              <w:bottom w:val="nil"/>
              <w:right w:val="nil"/>
              <w:tl2br w:val="nil"/>
              <w:tr2bl w:val="nil"/>
            </w:tcBorders>
            <w:shd w:val="clear" w:color="FFFFFF" w:fill="FFFFFF"/>
            <w:tcMar>
              <w:left w:w="101" w:type="dxa"/>
              <w:right w:w="101" w:type="dxa"/>
            </w:tcMar>
          </w:tcPr>
          <w:p w14:paraId="19EC0F4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(52 871)</w:t>
            </w:r>
          </w:p>
        </w:tc>
      </w:tr>
      <w:tr w:rsidR="009832FC" w:rsidRPr="009832FC" w14:paraId="23855BF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auto" w:fill="auto"/>
            <w:tcMar>
              <w:left w:w="101" w:type="dxa"/>
              <w:right w:w="161" w:type="dxa"/>
            </w:tcMar>
          </w:tcPr>
          <w:p w14:paraId="19681808" w14:textId="77777777" w:rsidR="009832FC" w:rsidRPr="009832FC" w:rsidRDefault="009832FC" w:rsidP="009832FC">
            <w:pPr>
              <w:spacing w:before="0" w:after="0"/>
              <w:jc w:val="right"/>
              <w:rPr>
                <w:rFonts w:eastAsia="Calibri" w:cs="Calibri"/>
                <w:color w:val="FFFFFF"/>
                <w:sz w:val="18"/>
                <w:szCs w:val="24"/>
                <w:lang w:eastAsia="en-AU"/>
              </w:rPr>
            </w:pPr>
            <w:r w:rsidRPr="009832FC">
              <w:rPr>
                <w:rFonts w:eastAsia="Calibri" w:cs="Calibri"/>
                <w:color w:val="FFFFFF"/>
                <w:sz w:val="18"/>
                <w:szCs w:val="24"/>
                <w:lang w:eastAsia="en-AU"/>
              </w:rPr>
              <w:t>-</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496E9DEF"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Other Comprehensive Income</w:t>
            </w:r>
          </w:p>
        </w:tc>
        <w:tc>
          <w:tcPr>
            <w:tcW w:w="1035" w:type="dxa"/>
            <w:tcBorders>
              <w:top w:val="nil"/>
              <w:left w:val="nil"/>
              <w:bottom w:val="nil"/>
              <w:right w:val="nil"/>
              <w:tl2br w:val="nil"/>
              <w:tr2bl w:val="nil"/>
            </w:tcBorders>
            <w:shd w:val="clear" w:color="auto" w:fill="auto"/>
            <w:tcMar>
              <w:left w:w="101" w:type="dxa"/>
              <w:right w:w="101" w:type="dxa"/>
            </w:tcMar>
          </w:tcPr>
          <w:p w14:paraId="33ADA80D" w14:textId="77777777" w:rsidR="009832FC" w:rsidRPr="009832FC" w:rsidRDefault="009832FC" w:rsidP="009832FC">
            <w:pPr>
              <w:spacing w:before="0" w:after="0"/>
              <w:jc w:val="right"/>
              <w:rPr>
                <w:rFonts w:eastAsia="Calibri" w:cs="Calibri"/>
                <w:color w:val="FFFFFF"/>
                <w:sz w:val="18"/>
                <w:szCs w:val="24"/>
                <w:lang w:eastAsia="en-AU"/>
              </w:rPr>
            </w:pPr>
            <w:r w:rsidRPr="009832FC">
              <w:rPr>
                <w:rFonts w:eastAsia="Calibri" w:cs="Calibri"/>
                <w:color w:val="FFFFFF"/>
                <w:sz w:val="18"/>
                <w:szCs w:val="24"/>
                <w:lang w:eastAsia="en-AU"/>
              </w:rPr>
              <w:t>908</w:t>
            </w:r>
          </w:p>
        </w:tc>
        <w:tc>
          <w:tcPr>
            <w:tcW w:w="1035" w:type="dxa"/>
            <w:tcBorders>
              <w:top w:val="nil"/>
              <w:left w:val="nil"/>
              <w:bottom w:val="nil"/>
              <w:right w:val="nil"/>
              <w:tl2br w:val="nil"/>
              <w:tr2bl w:val="nil"/>
            </w:tcBorders>
            <w:shd w:val="clear" w:color="auto" w:fill="auto"/>
            <w:tcMar>
              <w:left w:w="101" w:type="dxa"/>
              <w:right w:w="101" w:type="dxa"/>
            </w:tcMar>
          </w:tcPr>
          <w:p w14:paraId="2814C67A" w14:textId="77777777" w:rsidR="009832FC" w:rsidRPr="009832FC" w:rsidRDefault="009832FC" w:rsidP="009832FC">
            <w:pPr>
              <w:spacing w:before="0" w:after="0"/>
              <w:jc w:val="right"/>
              <w:rPr>
                <w:rFonts w:eastAsia="Calibri" w:cs="Calibri"/>
                <w:color w:val="FFFFFF"/>
                <w:sz w:val="18"/>
                <w:szCs w:val="24"/>
                <w:lang w:eastAsia="en-AU"/>
              </w:rPr>
            </w:pPr>
            <w:r w:rsidRPr="009832FC">
              <w:rPr>
                <w:rFonts w:eastAsia="Calibri" w:cs="Calibri"/>
                <w:color w:val="FFFFFF"/>
                <w:sz w:val="18"/>
                <w:szCs w:val="24"/>
                <w:lang w:eastAsia="en-AU"/>
              </w:rPr>
              <w:t>0</w:t>
            </w:r>
          </w:p>
        </w:tc>
        <w:tc>
          <w:tcPr>
            <w:tcW w:w="600" w:type="dxa"/>
            <w:tcBorders>
              <w:top w:val="nil"/>
              <w:left w:val="nil"/>
              <w:bottom w:val="nil"/>
              <w:right w:val="nil"/>
              <w:tl2br w:val="nil"/>
              <w:tr2bl w:val="nil"/>
            </w:tcBorders>
            <w:shd w:val="clear" w:color="auto" w:fill="auto"/>
            <w:tcMar>
              <w:left w:w="0" w:type="dxa"/>
              <w:right w:w="0" w:type="dxa"/>
            </w:tcMar>
          </w:tcPr>
          <w:p w14:paraId="400F024C" w14:textId="77777777" w:rsidR="009832FC" w:rsidRPr="009832FC" w:rsidRDefault="009832FC" w:rsidP="009832FC">
            <w:pPr>
              <w:spacing w:before="0" w:after="0"/>
              <w:rPr>
                <w:rFonts w:eastAsia="Calibri" w:cs="Calibri"/>
                <w:color w:val="FFFFFF"/>
                <w:sz w:val="18"/>
                <w:szCs w:val="24"/>
                <w:lang w:eastAsia="en-AU"/>
              </w:rPr>
            </w:pPr>
          </w:p>
        </w:tc>
        <w:tc>
          <w:tcPr>
            <w:tcW w:w="1035" w:type="dxa"/>
            <w:tcBorders>
              <w:top w:val="nil"/>
              <w:left w:val="nil"/>
              <w:bottom w:val="nil"/>
              <w:right w:val="nil"/>
              <w:tl2br w:val="nil"/>
              <w:tr2bl w:val="nil"/>
            </w:tcBorders>
            <w:shd w:val="clear" w:color="auto" w:fill="auto"/>
            <w:tcMar>
              <w:left w:w="101" w:type="dxa"/>
              <w:right w:w="101" w:type="dxa"/>
            </w:tcMar>
          </w:tcPr>
          <w:p w14:paraId="1AD7FE7F" w14:textId="77777777" w:rsidR="009832FC" w:rsidRPr="009832FC" w:rsidRDefault="009832FC" w:rsidP="009832FC">
            <w:pPr>
              <w:spacing w:before="0" w:after="0"/>
              <w:jc w:val="right"/>
              <w:rPr>
                <w:rFonts w:eastAsia="Calibri" w:cs="Calibri"/>
                <w:color w:val="FFFFFF"/>
                <w:sz w:val="18"/>
                <w:szCs w:val="24"/>
                <w:lang w:eastAsia="en-AU"/>
              </w:rPr>
            </w:pPr>
            <w:r w:rsidRPr="009832FC">
              <w:rPr>
                <w:rFonts w:eastAsia="Calibri" w:cs="Calibri"/>
                <w:color w:val="FFFFFF"/>
                <w:sz w:val="18"/>
                <w:szCs w:val="24"/>
                <w:lang w:eastAsia="en-AU"/>
              </w:rPr>
              <w:t>0</w:t>
            </w:r>
          </w:p>
        </w:tc>
        <w:tc>
          <w:tcPr>
            <w:tcW w:w="1035" w:type="dxa"/>
            <w:tcBorders>
              <w:top w:val="nil"/>
              <w:left w:val="nil"/>
              <w:bottom w:val="nil"/>
              <w:right w:val="nil"/>
              <w:tl2br w:val="nil"/>
              <w:tr2bl w:val="nil"/>
            </w:tcBorders>
            <w:shd w:val="clear" w:color="auto" w:fill="auto"/>
            <w:tcMar>
              <w:left w:w="101" w:type="dxa"/>
              <w:right w:w="101" w:type="dxa"/>
            </w:tcMar>
          </w:tcPr>
          <w:p w14:paraId="6B4AFC4A" w14:textId="77777777" w:rsidR="009832FC" w:rsidRPr="009832FC" w:rsidRDefault="009832FC" w:rsidP="009832FC">
            <w:pPr>
              <w:spacing w:before="0" w:after="0"/>
              <w:jc w:val="right"/>
              <w:rPr>
                <w:rFonts w:eastAsia="Calibri" w:cs="Calibri"/>
                <w:color w:val="FFFFFF"/>
                <w:sz w:val="18"/>
                <w:szCs w:val="24"/>
                <w:lang w:eastAsia="en-AU"/>
              </w:rPr>
            </w:pPr>
            <w:r w:rsidRPr="009832FC">
              <w:rPr>
                <w:rFonts w:eastAsia="Calibri" w:cs="Calibri"/>
                <w:color w:val="FFFFFF"/>
                <w:sz w:val="18"/>
                <w:szCs w:val="24"/>
                <w:lang w:eastAsia="en-AU"/>
              </w:rPr>
              <w:t>0</w:t>
            </w:r>
          </w:p>
        </w:tc>
        <w:tc>
          <w:tcPr>
            <w:tcW w:w="1035" w:type="dxa"/>
            <w:tcBorders>
              <w:top w:val="nil"/>
              <w:left w:val="nil"/>
              <w:bottom w:val="nil"/>
              <w:right w:val="nil"/>
              <w:tl2br w:val="nil"/>
              <w:tr2bl w:val="nil"/>
            </w:tcBorders>
            <w:shd w:val="clear" w:color="auto" w:fill="auto"/>
            <w:tcMar>
              <w:left w:w="101" w:type="dxa"/>
              <w:right w:w="101" w:type="dxa"/>
            </w:tcMar>
          </w:tcPr>
          <w:p w14:paraId="36BD9EE4" w14:textId="77777777" w:rsidR="009832FC" w:rsidRPr="009832FC" w:rsidRDefault="009832FC" w:rsidP="009832FC">
            <w:pPr>
              <w:spacing w:before="0" w:after="0"/>
              <w:jc w:val="right"/>
              <w:rPr>
                <w:rFonts w:eastAsia="Calibri" w:cs="Calibri"/>
                <w:color w:val="FFFFFF"/>
                <w:sz w:val="18"/>
                <w:szCs w:val="24"/>
                <w:lang w:eastAsia="en-AU"/>
              </w:rPr>
            </w:pPr>
            <w:r w:rsidRPr="009832FC">
              <w:rPr>
                <w:rFonts w:eastAsia="Calibri" w:cs="Calibri"/>
                <w:color w:val="FFFFFF"/>
                <w:sz w:val="18"/>
                <w:szCs w:val="24"/>
                <w:lang w:eastAsia="en-AU"/>
              </w:rPr>
              <w:t>0</w:t>
            </w:r>
          </w:p>
        </w:tc>
      </w:tr>
      <w:tr w:rsidR="009832FC" w:rsidRPr="009832FC" w14:paraId="7887C52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4E268D2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8017991"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 Movements</w:t>
            </w:r>
          </w:p>
        </w:tc>
        <w:tc>
          <w:tcPr>
            <w:tcW w:w="1035" w:type="dxa"/>
            <w:tcBorders>
              <w:top w:val="nil"/>
              <w:left w:val="nil"/>
              <w:bottom w:val="nil"/>
              <w:right w:val="nil"/>
              <w:tl2br w:val="nil"/>
              <w:tr2bl w:val="nil"/>
            </w:tcBorders>
            <w:shd w:val="clear" w:color="FFFFFF" w:fill="FFFFFF"/>
            <w:tcMar>
              <w:left w:w="101" w:type="dxa"/>
              <w:right w:w="161" w:type="dxa"/>
            </w:tcMar>
          </w:tcPr>
          <w:p w14:paraId="2BA1813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1 289</w:t>
            </w:r>
          </w:p>
        </w:tc>
        <w:tc>
          <w:tcPr>
            <w:tcW w:w="1035" w:type="dxa"/>
            <w:tcBorders>
              <w:top w:val="nil"/>
              <w:left w:val="nil"/>
              <w:bottom w:val="nil"/>
              <w:right w:val="nil"/>
              <w:tl2br w:val="nil"/>
              <w:tr2bl w:val="nil"/>
            </w:tcBorders>
            <w:shd w:val="clear" w:color="FFFFFF" w:fill="FFFFFF"/>
            <w:tcMar>
              <w:left w:w="101" w:type="dxa"/>
              <w:right w:w="161" w:type="dxa"/>
            </w:tcMar>
          </w:tcPr>
          <w:p w14:paraId="6DE64CF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37240FA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61" w:type="dxa"/>
            </w:tcMar>
          </w:tcPr>
          <w:p w14:paraId="7D7944D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30520D3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56D3058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6A09654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0BA2B94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CAB232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Increase/(Decrease) in 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4C71404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(381)</w:t>
            </w:r>
          </w:p>
        </w:tc>
        <w:tc>
          <w:tcPr>
            <w:tcW w:w="1035" w:type="dxa"/>
            <w:tcBorders>
              <w:top w:val="nil"/>
              <w:left w:val="nil"/>
              <w:bottom w:val="nil"/>
              <w:right w:val="nil"/>
              <w:tl2br w:val="nil"/>
              <w:tr2bl w:val="nil"/>
            </w:tcBorders>
            <w:shd w:val="clear" w:color="FFFFFF" w:fill="FFFFFF"/>
            <w:tcMar>
              <w:left w:w="101" w:type="dxa"/>
              <w:right w:w="161" w:type="dxa"/>
            </w:tcMar>
          </w:tcPr>
          <w:p w14:paraId="2FBBAFD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4E55D95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61" w:type="dxa"/>
            </w:tcMar>
          </w:tcPr>
          <w:p w14:paraId="4E7EEF3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76AADA7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138B821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21DDA1E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057EF08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71DDD9BB"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Other Comprehensive Income</w:t>
            </w:r>
          </w:p>
        </w:tc>
        <w:tc>
          <w:tcPr>
            <w:tcW w:w="1035" w:type="dxa"/>
            <w:tcBorders>
              <w:top w:val="nil"/>
              <w:left w:val="nil"/>
              <w:bottom w:val="nil"/>
              <w:right w:val="nil"/>
              <w:tl2br w:val="nil"/>
              <w:tr2bl w:val="nil"/>
            </w:tcBorders>
            <w:shd w:val="clear" w:color="FFFFFF" w:fill="FFFFFF"/>
            <w:tcMar>
              <w:left w:w="101" w:type="dxa"/>
              <w:right w:w="161" w:type="dxa"/>
            </w:tcMar>
          </w:tcPr>
          <w:p w14:paraId="66F6DCB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908</w:t>
            </w:r>
          </w:p>
        </w:tc>
        <w:tc>
          <w:tcPr>
            <w:tcW w:w="1035" w:type="dxa"/>
            <w:tcBorders>
              <w:top w:val="nil"/>
              <w:left w:val="nil"/>
              <w:bottom w:val="nil"/>
              <w:right w:val="nil"/>
              <w:tl2br w:val="nil"/>
              <w:tr2bl w:val="nil"/>
            </w:tcBorders>
            <w:shd w:val="clear" w:color="FFFFFF" w:fill="FFFFFF"/>
            <w:tcMar>
              <w:left w:w="101" w:type="dxa"/>
              <w:right w:w="161" w:type="dxa"/>
            </w:tcMar>
          </w:tcPr>
          <w:p w14:paraId="277DFCA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2753220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-100</w:t>
            </w:r>
          </w:p>
        </w:tc>
        <w:tc>
          <w:tcPr>
            <w:tcW w:w="1035" w:type="dxa"/>
            <w:tcBorders>
              <w:top w:val="nil"/>
              <w:left w:val="nil"/>
              <w:bottom w:val="nil"/>
              <w:right w:val="nil"/>
              <w:tl2br w:val="nil"/>
              <w:tr2bl w:val="nil"/>
            </w:tcBorders>
            <w:shd w:val="clear" w:color="FFFFFF" w:fill="FFFFFF"/>
            <w:tcMar>
              <w:left w:w="101" w:type="dxa"/>
              <w:right w:w="161" w:type="dxa"/>
            </w:tcMar>
          </w:tcPr>
          <w:p w14:paraId="3B4E6F8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4B19F60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3E00057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135C4FE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E9923A9" w14:textId="77777777" w:rsidR="009832FC" w:rsidRPr="009832FC" w:rsidRDefault="009832FC" w:rsidP="009832FC">
            <w:pPr>
              <w:spacing w:before="0" w:after="0"/>
              <w:rPr>
                <w:rFonts w:eastAsia="Calibri" w:cs="Calibri"/>
                <w:b/>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3F9F730"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78CE2C1"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2E3B252" w14:textId="77777777" w:rsidR="009832FC" w:rsidRPr="009832FC" w:rsidRDefault="009832FC" w:rsidP="009832FC">
            <w:pPr>
              <w:spacing w:before="0" w:after="0"/>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43CD413"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CA0A00A"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9286FE1"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F58F92E" w14:textId="77777777" w:rsidR="009832FC" w:rsidRPr="009832FC" w:rsidRDefault="009832FC" w:rsidP="009832FC">
            <w:pPr>
              <w:spacing w:before="0" w:after="0"/>
              <w:rPr>
                <w:rFonts w:eastAsia="Calibri" w:cs="Calibri"/>
                <w:b/>
                <w:color w:val="000000"/>
                <w:sz w:val="18"/>
                <w:szCs w:val="24"/>
                <w:lang w:eastAsia="en-AU"/>
              </w:rPr>
            </w:pPr>
          </w:p>
        </w:tc>
      </w:tr>
      <w:tr w:rsidR="009832FC" w:rsidRPr="009832FC" w14:paraId="31770A0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71091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(47 972)</w:t>
            </w:r>
          </w:p>
        </w:tc>
        <w:tc>
          <w:tcPr>
            <w:tcW w:w="2385" w:type="dxa"/>
            <w:tcBorders>
              <w:top w:val="nil"/>
              <w:left w:val="nil"/>
              <w:bottom w:val="nil"/>
              <w:right w:val="nil"/>
              <w:tl2br w:val="nil"/>
              <w:tr2bl w:val="nil"/>
            </w:tcBorders>
            <w:shd w:val="clear" w:color="FFFFFF" w:fill="FFFFFF"/>
            <w:noWrap/>
            <w:tcMar>
              <w:left w:w="101" w:type="dxa"/>
              <w:right w:w="101" w:type="dxa"/>
            </w:tcMar>
          </w:tcPr>
          <w:p w14:paraId="26765A20"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256C3BE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(44 887)</w:t>
            </w:r>
          </w:p>
        </w:tc>
        <w:tc>
          <w:tcPr>
            <w:tcW w:w="1035" w:type="dxa"/>
            <w:tcBorders>
              <w:top w:val="nil"/>
              <w:left w:val="nil"/>
              <w:bottom w:val="nil"/>
              <w:right w:val="nil"/>
              <w:tl2br w:val="nil"/>
              <w:tr2bl w:val="nil"/>
            </w:tcBorders>
            <w:shd w:val="clear" w:color="FFFFFF" w:fill="FFFFFF"/>
            <w:tcMar>
              <w:left w:w="101" w:type="dxa"/>
              <w:right w:w="101" w:type="dxa"/>
            </w:tcMar>
          </w:tcPr>
          <w:p w14:paraId="4442717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(48 299)</w:t>
            </w:r>
          </w:p>
        </w:tc>
        <w:tc>
          <w:tcPr>
            <w:tcW w:w="600" w:type="dxa"/>
            <w:tcBorders>
              <w:top w:val="nil"/>
              <w:left w:val="nil"/>
              <w:bottom w:val="nil"/>
              <w:right w:val="nil"/>
              <w:tl2br w:val="nil"/>
              <w:tr2bl w:val="nil"/>
            </w:tcBorders>
            <w:shd w:val="clear" w:color="FFFFFF" w:fill="FFFFFF"/>
            <w:tcMar>
              <w:left w:w="101" w:type="dxa"/>
              <w:right w:w="101" w:type="dxa"/>
            </w:tcMar>
          </w:tcPr>
          <w:p w14:paraId="4408DC8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23019E4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(50 773)</w:t>
            </w:r>
          </w:p>
        </w:tc>
        <w:tc>
          <w:tcPr>
            <w:tcW w:w="1035" w:type="dxa"/>
            <w:tcBorders>
              <w:top w:val="nil"/>
              <w:left w:val="nil"/>
              <w:bottom w:val="nil"/>
              <w:right w:val="nil"/>
              <w:tl2br w:val="nil"/>
              <w:tr2bl w:val="nil"/>
            </w:tcBorders>
            <w:shd w:val="clear" w:color="FFFFFF" w:fill="FFFFFF"/>
            <w:tcMar>
              <w:left w:w="101" w:type="dxa"/>
              <w:right w:w="101" w:type="dxa"/>
            </w:tcMar>
          </w:tcPr>
          <w:p w14:paraId="1023001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(51 880)</w:t>
            </w:r>
          </w:p>
        </w:tc>
        <w:tc>
          <w:tcPr>
            <w:tcW w:w="1035" w:type="dxa"/>
            <w:tcBorders>
              <w:top w:val="nil"/>
              <w:left w:val="nil"/>
              <w:bottom w:val="nil"/>
              <w:right w:val="nil"/>
              <w:tl2br w:val="nil"/>
              <w:tr2bl w:val="nil"/>
            </w:tcBorders>
            <w:shd w:val="clear" w:color="FFFFFF" w:fill="FFFFFF"/>
            <w:tcMar>
              <w:left w:w="101" w:type="dxa"/>
              <w:right w:w="101" w:type="dxa"/>
            </w:tcMar>
          </w:tcPr>
          <w:p w14:paraId="29C6249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(52 871)</w:t>
            </w:r>
          </w:p>
        </w:tc>
      </w:tr>
      <w:tr w:rsidR="009832FC" w:rsidRPr="009832FC" w14:paraId="121E683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EC87F77"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CCED8A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65AC2D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2F12D63"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966F7C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E3D15D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87CA76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1303998" w14:textId="77777777" w:rsidR="009832FC" w:rsidRPr="009832FC" w:rsidRDefault="009832FC" w:rsidP="009832FC">
            <w:pPr>
              <w:spacing w:before="0" w:after="0"/>
              <w:rPr>
                <w:rFonts w:eastAsia="Calibri" w:cs="Calibri"/>
                <w:color w:val="000000"/>
                <w:sz w:val="18"/>
                <w:szCs w:val="24"/>
                <w:lang w:eastAsia="en-AU"/>
              </w:rPr>
            </w:pPr>
          </w:p>
        </w:tc>
      </w:tr>
    </w:tbl>
    <w:p w14:paraId="338FEFD3" w14:textId="77777777" w:rsidR="009832FC" w:rsidRPr="009832FC" w:rsidRDefault="009832FC" w:rsidP="00B51DBE">
      <w:pPr>
        <w:pStyle w:val="Caption"/>
        <w:rPr>
          <w:bdr w:val="nil"/>
        </w:rPr>
      </w:pPr>
      <w:r w:rsidRPr="009832FC">
        <w:rPr>
          <w:bdr w:val="nil"/>
        </w:rPr>
        <w:lastRenderedPageBreak/>
        <w:t xml:space="preserve">Table 25: Canberra Health Services: Balance Sheet </w:t>
      </w:r>
    </w:p>
    <w:tbl>
      <w:tblPr>
        <w:tblStyle w:val="CDMRange1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9832FC" w:rsidRPr="009832FC" w14:paraId="2517A8AA" w14:textId="77777777" w:rsidTr="00EB585F">
        <w:trPr>
          <w:trHeight w:val="945"/>
        </w:trPr>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33F04B3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Budget</w:t>
            </w:r>
          </w:p>
          <w:p w14:paraId="248172F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1524313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30/6/21 </w:t>
            </w:r>
          </w:p>
          <w:p w14:paraId="2881E44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A1E4517"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164D550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Interim</w:t>
            </w:r>
          </w:p>
          <w:p w14:paraId="2FC3C6E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Outcome at</w:t>
            </w:r>
          </w:p>
          <w:p w14:paraId="04B38D0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30/06/21</w:t>
            </w:r>
          </w:p>
          <w:p w14:paraId="7736F77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12C0CF4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Budget</w:t>
            </w:r>
          </w:p>
          <w:p w14:paraId="09DD77A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1043B10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30/6/22 </w:t>
            </w:r>
          </w:p>
          <w:p w14:paraId="0FEB73A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600"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56C1595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Var</w:t>
            </w:r>
          </w:p>
          <w:p w14:paraId="528C250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65749A7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4557824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492EBC7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30/6/23 </w:t>
            </w:r>
          </w:p>
          <w:p w14:paraId="2100B15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32A0327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46BCF39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59D9EB6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30/6/24 </w:t>
            </w:r>
          </w:p>
          <w:p w14:paraId="1829B34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40" w:type="dxa"/>
              <w:right w:w="40" w:type="dxa"/>
            </w:tcMar>
          </w:tcPr>
          <w:p w14:paraId="12D070B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6181950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433EA78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30/6/25 </w:t>
            </w:r>
          </w:p>
          <w:p w14:paraId="55AE91A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r>
      <w:tr w:rsidR="009832FC" w:rsidRPr="009832FC" w14:paraId="2F24560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7AE3D2E" w14:textId="77777777" w:rsidR="009832FC" w:rsidRPr="009832FC" w:rsidRDefault="009832FC" w:rsidP="009832FC">
            <w:pPr>
              <w:spacing w:before="0" w:after="0"/>
              <w:jc w:val="right"/>
              <w:rPr>
                <w:rFonts w:eastAsia="Calibri" w:cs="Calibri"/>
                <w:b/>
                <w:i/>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26DC2C3"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7D57D65"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4385B43"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311215CC"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DDB01B6"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5DD6B58"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A6C1311"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740C929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04549C"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40" w:type="dxa"/>
              <w:right w:w="40" w:type="dxa"/>
            </w:tcMar>
          </w:tcPr>
          <w:p w14:paraId="612E9BE4"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541F750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5D8BF3E"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72D8E7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9BFE02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107C99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2CD2B8C"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4CBD971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215FB66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41 778</w:t>
            </w:r>
          </w:p>
        </w:tc>
        <w:tc>
          <w:tcPr>
            <w:tcW w:w="2385" w:type="dxa"/>
            <w:tcBorders>
              <w:top w:val="nil"/>
              <w:left w:val="nil"/>
              <w:bottom w:val="nil"/>
              <w:right w:val="nil"/>
              <w:tl2br w:val="nil"/>
              <w:tr2bl w:val="nil"/>
            </w:tcBorders>
            <w:shd w:val="clear" w:color="auto" w:fill="auto"/>
            <w:noWrap/>
            <w:tcMar>
              <w:left w:w="40" w:type="dxa"/>
              <w:right w:w="40" w:type="dxa"/>
            </w:tcMar>
          </w:tcPr>
          <w:p w14:paraId="6FE5F684"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Cash and Cash Equivalents</w:t>
            </w:r>
          </w:p>
        </w:tc>
        <w:tc>
          <w:tcPr>
            <w:tcW w:w="1035" w:type="dxa"/>
            <w:tcBorders>
              <w:top w:val="nil"/>
              <w:left w:val="nil"/>
              <w:bottom w:val="nil"/>
              <w:right w:val="nil"/>
              <w:tl2br w:val="nil"/>
              <w:tr2bl w:val="nil"/>
            </w:tcBorders>
            <w:shd w:val="clear" w:color="FFFFFF" w:fill="FFFFFF"/>
            <w:tcMar>
              <w:left w:w="40" w:type="dxa"/>
              <w:right w:w="100" w:type="dxa"/>
            </w:tcMar>
          </w:tcPr>
          <w:p w14:paraId="642F296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34 511</w:t>
            </w:r>
          </w:p>
        </w:tc>
        <w:tc>
          <w:tcPr>
            <w:tcW w:w="1035" w:type="dxa"/>
            <w:tcBorders>
              <w:top w:val="nil"/>
              <w:left w:val="nil"/>
              <w:bottom w:val="nil"/>
              <w:right w:val="nil"/>
              <w:tl2br w:val="nil"/>
              <w:tr2bl w:val="nil"/>
            </w:tcBorders>
            <w:shd w:val="clear" w:color="FFFFFF" w:fill="FFFFFF"/>
            <w:tcMar>
              <w:left w:w="40" w:type="dxa"/>
              <w:right w:w="100" w:type="dxa"/>
            </w:tcMar>
          </w:tcPr>
          <w:p w14:paraId="005338C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35 929</w:t>
            </w:r>
          </w:p>
        </w:tc>
        <w:tc>
          <w:tcPr>
            <w:tcW w:w="600" w:type="dxa"/>
            <w:tcBorders>
              <w:top w:val="nil"/>
              <w:left w:val="nil"/>
              <w:bottom w:val="nil"/>
              <w:right w:val="nil"/>
              <w:tl2br w:val="nil"/>
              <w:tr2bl w:val="nil"/>
            </w:tcBorders>
            <w:shd w:val="clear" w:color="FFFFFF" w:fill="FFFFFF"/>
            <w:tcMar>
              <w:left w:w="40" w:type="dxa"/>
              <w:right w:w="40" w:type="dxa"/>
            </w:tcMar>
          </w:tcPr>
          <w:p w14:paraId="13B6935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4 </w:t>
            </w:r>
          </w:p>
        </w:tc>
        <w:tc>
          <w:tcPr>
            <w:tcW w:w="1035" w:type="dxa"/>
            <w:tcBorders>
              <w:top w:val="nil"/>
              <w:left w:val="nil"/>
              <w:bottom w:val="nil"/>
              <w:right w:val="nil"/>
              <w:tl2br w:val="nil"/>
              <w:tr2bl w:val="nil"/>
            </w:tcBorders>
            <w:shd w:val="clear" w:color="FFFFFF" w:fill="FFFFFF"/>
            <w:tcMar>
              <w:left w:w="40" w:type="dxa"/>
              <w:right w:w="100" w:type="dxa"/>
            </w:tcMar>
          </w:tcPr>
          <w:p w14:paraId="5E3E86E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37 351</w:t>
            </w:r>
          </w:p>
        </w:tc>
        <w:tc>
          <w:tcPr>
            <w:tcW w:w="1035" w:type="dxa"/>
            <w:tcBorders>
              <w:top w:val="nil"/>
              <w:left w:val="nil"/>
              <w:bottom w:val="nil"/>
              <w:right w:val="nil"/>
              <w:tl2br w:val="nil"/>
              <w:tr2bl w:val="nil"/>
            </w:tcBorders>
            <w:shd w:val="clear" w:color="FFFFFF" w:fill="FFFFFF"/>
            <w:tcMar>
              <w:left w:w="40" w:type="dxa"/>
              <w:right w:w="100" w:type="dxa"/>
            </w:tcMar>
          </w:tcPr>
          <w:p w14:paraId="1FC968F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38 773</w:t>
            </w:r>
          </w:p>
        </w:tc>
        <w:tc>
          <w:tcPr>
            <w:tcW w:w="1035" w:type="dxa"/>
            <w:tcBorders>
              <w:top w:val="nil"/>
              <w:left w:val="nil"/>
              <w:bottom w:val="nil"/>
              <w:right w:val="nil"/>
              <w:tl2br w:val="nil"/>
              <w:tr2bl w:val="nil"/>
            </w:tcBorders>
            <w:shd w:val="clear" w:color="FFFFFF" w:fill="FFFFFF"/>
            <w:tcMar>
              <w:left w:w="40" w:type="dxa"/>
              <w:right w:w="100" w:type="dxa"/>
            </w:tcMar>
          </w:tcPr>
          <w:p w14:paraId="0CCDC2F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40 195</w:t>
            </w:r>
          </w:p>
        </w:tc>
      </w:tr>
      <w:tr w:rsidR="009832FC" w:rsidRPr="009832FC" w14:paraId="4D6C1A1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205AE00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28 644</w:t>
            </w:r>
          </w:p>
        </w:tc>
        <w:tc>
          <w:tcPr>
            <w:tcW w:w="2385" w:type="dxa"/>
            <w:tcBorders>
              <w:top w:val="nil"/>
              <w:left w:val="nil"/>
              <w:bottom w:val="nil"/>
              <w:right w:val="nil"/>
              <w:tl2br w:val="nil"/>
              <w:tr2bl w:val="nil"/>
            </w:tcBorders>
            <w:shd w:val="clear" w:color="auto" w:fill="auto"/>
            <w:noWrap/>
            <w:tcMar>
              <w:left w:w="40" w:type="dxa"/>
              <w:right w:w="40" w:type="dxa"/>
            </w:tcMar>
          </w:tcPr>
          <w:p w14:paraId="5951DBCA"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Receivables</w:t>
            </w:r>
          </w:p>
        </w:tc>
        <w:tc>
          <w:tcPr>
            <w:tcW w:w="1035" w:type="dxa"/>
            <w:tcBorders>
              <w:top w:val="nil"/>
              <w:left w:val="nil"/>
              <w:bottom w:val="nil"/>
              <w:right w:val="nil"/>
              <w:tl2br w:val="nil"/>
              <w:tr2bl w:val="nil"/>
            </w:tcBorders>
            <w:shd w:val="clear" w:color="FFFFFF" w:fill="FFFFFF"/>
            <w:tcMar>
              <w:left w:w="40" w:type="dxa"/>
              <w:right w:w="100" w:type="dxa"/>
            </w:tcMar>
          </w:tcPr>
          <w:p w14:paraId="3469AD6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31 798</w:t>
            </w:r>
          </w:p>
        </w:tc>
        <w:tc>
          <w:tcPr>
            <w:tcW w:w="1035" w:type="dxa"/>
            <w:tcBorders>
              <w:top w:val="nil"/>
              <w:left w:val="nil"/>
              <w:bottom w:val="nil"/>
              <w:right w:val="nil"/>
              <w:tl2br w:val="nil"/>
              <w:tr2bl w:val="nil"/>
            </w:tcBorders>
            <w:shd w:val="clear" w:color="FFFFFF" w:fill="FFFFFF"/>
            <w:tcMar>
              <w:left w:w="40" w:type="dxa"/>
              <w:right w:w="100" w:type="dxa"/>
            </w:tcMar>
          </w:tcPr>
          <w:p w14:paraId="552DF3C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32 806</w:t>
            </w:r>
          </w:p>
        </w:tc>
        <w:tc>
          <w:tcPr>
            <w:tcW w:w="600" w:type="dxa"/>
            <w:tcBorders>
              <w:top w:val="nil"/>
              <w:left w:val="nil"/>
              <w:bottom w:val="nil"/>
              <w:right w:val="nil"/>
              <w:tl2br w:val="nil"/>
              <w:tr2bl w:val="nil"/>
            </w:tcBorders>
            <w:shd w:val="clear" w:color="FFFFFF" w:fill="FFFFFF"/>
            <w:tcMar>
              <w:left w:w="40" w:type="dxa"/>
              <w:right w:w="40" w:type="dxa"/>
            </w:tcMar>
          </w:tcPr>
          <w:p w14:paraId="5EEEDFD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3 </w:t>
            </w:r>
          </w:p>
        </w:tc>
        <w:tc>
          <w:tcPr>
            <w:tcW w:w="1035" w:type="dxa"/>
            <w:tcBorders>
              <w:top w:val="nil"/>
              <w:left w:val="nil"/>
              <w:bottom w:val="nil"/>
              <w:right w:val="nil"/>
              <w:tl2br w:val="nil"/>
              <w:tr2bl w:val="nil"/>
            </w:tcBorders>
            <w:shd w:val="clear" w:color="FFFFFF" w:fill="FFFFFF"/>
            <w:tcMar>
              <w:left w:w="40" w:type="dxa"/>
              <w:right w:w="100" w:type="dxa"/>
            </w:tcMar>
          </w:tcPr>
          <w:p w14:paraId="0D0DB87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33 812</w:t>
            </w:r>
          </w:p>
        </w:tc>
        <w:tc>
          <w:tcPr>
            <w:tcW w:w="1035" w:type="dxa"/>
            <w:tcBorders>
              <w:top w:val="nil"/>
              <w:left w:val="nil"/>
              <w:bottom w:val="nil"/>
              <w:right w:val="nil"/>
              <w:tl2br w:val="nil"/>
              <w:tr2bl w:val="nil"/>
            </w:tcBorders>
            <w:shd w:val="clear" w:color="FFFFFF" w:fill="FFFFFF"/>
            <w:tcMar>
              <w:left w:w="40" w:type="dxa"/>
              <w:right w:w="100" w:type="dxa"/>
            </w:tcMar>
          </w:tcPr>
          <w:p w14:paraId="626B392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34 818</w:t>
            </w:r>
          </w:p>
        </w:tc>
        <w:tc>
          <w:tcPr>
            <w:tcW w:w="1035" w:type="dxa"/>
            <w:tcBorders>
              <w:top w:val="nil"/>
              <w:left w:val="nil"/>
              <w:bottom w:val="nil"/>
              <w:right w:val="nil"/>
              <w:tl2br w:val="nil"/>
              <w:tr2bl w:val="nil"/>
            </w:tcBorders>
            <w:shd w:val="clear" w:color="FFFFFF" w:fill="FFFFFF"/>
            <w:tcMar>
              <w:left w:w="40" w:type="dxa"/>
              <w:right w:w="100" w:type="dxa"/>
            </w:tcMar>
          </w:tcPr>
          <w:p w14:paraId="467D3BC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35 824</w:t>
            </w:r>
          </w:p>
        </w:tc>
      </w:tr>
      <w:tr w:rsidR="009832FC" w:rsidRPr="009832FC" w14:paraId="1CAA1D0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4732A0E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10 874</w:t>
            </w:r>
          </w:p>
        </w:tc>
        <w:tc>
          <w:tcPr>
            <w:tcW w:w="2385" w:type="dxa"/>
            <w:tcBorders>
              <w:top w:val="nil"/>
              <w:left w:val="nil"/>
              <w:bottom w:val="nil"/>
              <w:right w:val="nil"/>
              <w:tl2br w:val="nil"/>
              <w:tr2bl w:val="nil"/>
            </w:tcBorders>
            <w:shd w:val="clear" w:color="auto" w:fill="auto"/>
            <w:noWrap/>
            <w:tcMar>
              <w:left w:w="40" w:type="dxa"/>
              <w:right w:w="40" w:type="dxa"/>
            </w:tcMar>
          </w:tcPr>
          <w:p w14:paraId="7C548E7E"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Inventories</w:t>
            </w:r>
          </w:p>
        </w:tc>
        <w:tc>
          <w:tcPr>
            <w:tcW w:w="1035" w:type="dxa"/>
            <w:tcBorders>
              <w:top w:val="nil"/>
              <w:left w:val="nil"/>
              <w:bottom w:val="nil"/>
              <w:right w:val="nil"/>
              <w:tl2br w:val="nil"/>
              <w:tr2bl w:val="nil"/>
            </w:tcBorders>
            <w:shd w:val="clear" w:color="FFFFFF" w:fill="FFFFFF"/>
            <w:tcMar>
              <w:left w:w="40" w:type="dxa"/>
              <w:right w:w="100" w:type="dxa"/>
            </w:tcMar>
          </w:tcPr>
          <w:p w14:paraId="52EB754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16 552</w:t>
            </w:r>
          </w:p>
        </w:tc>
        <w:tc>
          <w:tcPr>
            <w:tcW w:w="1035" w:type="dxa"/>
            <w:tcBorders>
              <w:top w:val="nil"/>
              <w:left w:val="nil"/>
              <w:bottom w:val="nil"/>
              <w:right w:val="nil"/>
              <w:tl2br w:val="nil"/>
              <w:tr2bl w:val="nil"/>
            </w:tcBorders>
            <w:shd w:val="clear" w:color="FFFFFF" w:fill="FFFFFF"/>
            <w:tcMar>
              <w:left w:w="40" w:type="dxa"/>
              <w:right w:w="100" w:type="dxa"/>
            </w:tcMar>
          </w:tcPr>
          <w:p w14:paraId="2DFF083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16 752</w:t>
            </w:r>
          </w:p>
        </w:tc>
        <w:tc>
          <w:tcPr>
            <w:tcW w:w="600" w:type="dxa"/>
            <w:tcBorders>
              <w:top w:val="nil"/>
              <w:left w:val="nil"/>
              <w:bottom w:val="nil"/>
              <w:right w:val="nil"/>
              <w:tl2br w:val="nil"/>
              <w:tr2bl w:val="nil"/>
            </w:tcBorders>
            <w:shd w:val="clear" w:color="FFFFFF" w:fill="FFFFFF"/>
            <w:tcMar>
              <w:left w:w="40" w:type="dxa"/>
              <w:right w:w="40" w:type="dxa"/>
            </w:tcMar>
          </w:tcPr>
          <w:p w14:paraId="2BEB4DF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tcMar>
              <w:left w:w="40" w:type="dxa"/>
              <w:right w:w="100" w:type="dxa"/>
            </w:tcMar>
          </w:tcPr>
          <w:p w14:paraId="7D1B061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16 952</w:t>
            </w:r>
          </w:p>
        </w:tc>
        <w:tc>
          <w:tcPr>
            <w:tcW w:w="1035" w:type="dxa"/>
            <w:tcBorders>
              <w:top w:val="nil"/>
              <w:left w:val="nil"/>
              <w:bottom w:val="nil"/>
              <w:right w:val="nil"/>
              <w:tl2br w:val="nil"/>
              <w:tr2bl w:val="nil"/>
            </w:tcBorders>
            <w:shd w:val="clear" w:color="FFFFFF" w:fill="FFFFFF"/>
            <w:tcMar>
              <w:left w:w="40" w:type="dxa"/>
              <w:right w:w="100" w:type="dxa"/>
            </w:tcMar>
          </w:tcPr>
          <w:p w14:paraId="10C4DEB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17 152</w:t>
            </w:r>
          </w:p>
        </w:tc>
        <w:tc>
          <w:tcPr>
            <w:tcW w:w="1035" w:type="dxa"/>
            <w:tcBorders>
              <w:top w:val="nil"/>
              <w:left w:val="nil"/>
              <w:bottom w:val="nil"/>
              <w:right w:val="nil"/>
              <w:tl2br w:val="nil"/>
              <w:tr2bl w:val="nil"/>
            </w:tcBorders>
            <w:shd w:val="clear" w:color="FFFFFF" w:fill="FFFFFF"/>
            <w:tcMar>
              <w:left w:w="40" w:type="dxa"/>
              <w:right w:w="100" w:type="dxa"/>
            </w:tcMar>
          </w:tcPr>
          <w:p w14:paraId="6BA10E2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17 352</w:t>
            </w:r>
          </w:p>
        </w:tc>
      </w:tr>
      <w:tr w:rsidR="009832FC" w:rsidRPr="009832FC" w14:paraId="099BBB1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452799F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1 091</w:t>
            </w:r>
          </w:p>
        </w:tc>
        <w:tc>
          <w:tcPr>
            <w:tcW w:w="2385" w:type="dxa"/>
            <w:tcBorders>
              <w:top w:val="nil"/>
              <w:left w:val="nil"/>
              <w:bottom w:val="nil"/>
              <w:right w:val="nil"/>
              <w:tl2br w:val="nil"/>
              <w:tr2bl w:val="nil"/>
            </w:tcBorders>
            <w:shd w:val="clear" w:color="auto" w:fill="auto"/>
            <w:noWrap/>
            <w:tcMar>
              <w:left w:w="40" w:type="dxa"/>
              <w:right w:w="40" w:type="dxa"/>
            </w:tcMar>
          </w:tcPr>
          <w:p w14:paraId="1B4B4499"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 Assets</w:t>
            </w:r>
          </w:p>
        </w:tc>
        <w:tc>
          <w:tcPr>
            <w:tcW w:w="1035" w:type="dxa"/>
            <w:tcBorders>
              <w:top w:val="nil"/>
              <w:left w:val="nil"/>
              <w:bottom w:val="nil"/>
              <w:right w:val="nil"/>
              <w:tl2br w:val="nil"/>
              <w:tr2bl w:val="nil"/>
            </w:tcBorders>
            <w:shd w:val="clear" w:color="FFFFFF" w:fill="FFFFFF"/>
            <w:tcMar>
              <w:left w:w="40" w:type="dxa"/>
              <w:right w:w="100" w:type="dxa"/>
            </w:tcMar>
          </w:tcPr>
          <w:p w14:paraId="3193523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2 627</w:t>
            </w:r>
          </w:p>
        </w:tc>
        <w:tc>
          <w:tcPr>
            <w:tcW w:w="1035" w:type="dxa"/>
            <w:tcBorders>
              <w:top w:val="nil"/>
              <w:left w:val="nil"/>
              <w:bottom w:val="nil"/>
              <w:right w:val="nil"/>
              <w:tl2br w:val="nil"/>
              <w:tr2bl w:val="nil"/>
            </w:tcBorders>
            <w:shd w:val="clear" w:color="FFFFFF" w:fill="FFFFFF"/>
            <w:tcMar>
              <w:left w:w="40" w:type="dxa"/>
              <w:right w:w="100" w:type="dxa"/>
            </w:tcMar>
          </w:tcPr>
          <w:p w14:paraId="7BC5B70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2 692</w:t>
            </w:r>
          </w:p>
        </w:tc>
        <w:tc>
          <w:tcPr>
            <w:tcW w:w="600" w:type="dxa"/>
            <w:tcBorders>
              <w:top w:val="nil"/>
              <w:left w:val="nil"/>
              <w:bottom w:val="nil"/>
              <w:right w:val="nil"/>
              <w:tl2br w:val="nil"/>
              <w:tr2bl w:val="nil"/>
            </w:tcBorders>
            <w:shd w:val="clear" w:color="FFFFFF" w:fill="FFFFFF"/>
            <w:tcMar>
              <w:left w:w="40" w:type="dxa"/>
              <w:right w:w="40" w:type="dxa"/>
            </w:tcMar>
          </w:tcPr>
          <w:p w14:paraId="6B0BB0C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2 </w:t>
            </w:r>
          </w:p>
        </w:tc>
        <w:tc>
          <w:tcPr>
            <w:tcW w:w="1035" w:type="dxa"/>
            <w:tcBorders>
              <w:top w:val="nil"/>
              <w:left w:val="nil"/>
              <w:bottom w:val="nil"/>
              <w:right w:val="nil"/>
              <w:tl2br w:val="nil"/>
              <w:tr2bl w:val="nil"/>
            </w:tcBorders>
            <w:shd w:val="clear" w:color="FFFFFF" w:fill="FFFFFF"/>
            <w:tcMar>
              <w:left w:w="40" w:type="dxa"/>
              <w:right w:w="100" w:type="dxa"/>
            </w:tcMar>
          </w:tcPr>
          <w:p w14:paraId="3A8AB54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2 757</w:t>
            </w:r>
          </w:p>
        </w:tc>
        <w:tc>
          <w:tcPr>
            <w:tcW w:w="1035" w:type="dxa"/>
            <w:tcBorders>
              <w:top w:val="nil"/>
              <w:left w:val="nil"/>
              <w:bottom w:val="nil"/>
              <w:right w:val="nil"/>
              <w:tl2br w:val="nil"/>
              <w:tr2bl w:val="nil"/>
            </w:tcBorders>
            <w:shd w:val="clear" w:color="FFFFFF" w:fill="FFFFFF"/>
            <w:tcMar>
              <w:left w:w="40" w:type="dxa"/>
              <w:right w:w="100" w:type="dxa"/>
            </w:tcMar>
          </w:tcPr>
          <w:p w14:paraId="7658B0D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2 822</w:t>
            </w:r>
          </w:p>
        </w:tc>
        <w:tc>
          <w:tcPr>
            <w:tcW w:w="1035" w:type="dxa"/>
            <w:tcBorders>
              <w:top w:val="nil"/>
              <w:left w:val="nil"/>
              <w:bottom w:val="nil"/>
              <w:right w:val="nil"/>
              <w:tl2br w:val="nil"/>
              <w:tr2bl w:val="nil"/>
            </w:tcBorders>
            <w:shd w:val="clear" w:color="FFFFFF" w:fill="FFFFFF"/>
            <w:tcMar>
              <w:left w:w="40" w:type="dxa"/>
              <w:right w:w="100" w:type="dxa"/>
            </w:tcMar>
          </w:tcPr>
          <w:p w14:paraId="4386133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2 887</w:t>
            </w:r>
          </w:p>
        </w:tc>
      </w:tr>
      <w:tr w:rsidR="009832FC" w:rsidRPr="009832FC" w14:paraId="30F2637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6504DF"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5C78BC99"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EE80E6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77D5092"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D88D1F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4ECFF1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304402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51DBD43"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449EAF5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5DDDD76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82 387</w:t>
            </w:r>
          </w:p>
        </w:tc>
        <w:tc>
          <w:tcPr>
            <w:tcW w:w="2385" w:type="dxa"/>
            <w:tcBorders>
              <w:top w:val="nil"/>
              <w:left w:val="nil"/>
              <w:bottom w:val="nil"/>
              <w:right w:val="nil"/>
              <w:tl2br w:val="nil"/>
              <w:tr2bl w:val="nil"/>
            </w:tcBorders>
            <w:shd w:val="clear" w:color="FFFFFF" w:fill="FFFFFF"/>
            <w:tcMar>
              <w:left w:w="40" w:type="dxa"/>
              <w:right w:w="40" w:type="dxa"/>
            </w:tcMar>
          </w:tcPr>
          <w:p w14:paraId="229DF6E5"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Current Assets</w:t>
            </w:r>
          </w:p>
        </w:tc>
        <w:tc>
          <w:tcPr>
            <w:tcW w:w="1035" w:type="dxa"/>
            <w:tcBorders>
              <w:top w:val="nil"/>
              <w:left w:val="nil"/>
              <w:bottom w:val="nil"/>
              <w:right w:val="nil"/>
              <w:tl2br w:val="nil"/>
              <w:tr2bl w:val="nil"/>
            </w:tcBorders>
            <w:shd w:val="clear" w:color="FFFFFF" w:fill="FFFFFF"/>
            <w:tcMar>
              <w:left w:w="40" w:type="dxa"/>
              <w:right w:w="100" w:type="dxa"/>
            </w:tcMar>
          </w:tcPr>
          <w:p w14:paraId="21156C8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85 488</w:t>
            </w:r>
          </w:p>
        </w:tc>
        <w:tc>
          <w:tcPr>
            <w:tcW w:w="1035" w:type="dxa"/>
            <w:tcBorders>
              <w:top w:val="nil"/>
              <w:left w:val="nil"/>
              <w:bottom w:val="nil"/>
              <w:right w:val="nil"/>
              <w:tl2br w:val="nil"/>
              <w:tr2bl w:val="nil"/>
            </w:tcBorders>
            <w:shd w:val="clear" w:color="FFFFFF" w:fill="FFFFFF"/>
            <w:tcMar>
              <w:left w:w="40" w:type="dxa"/>
              <w:right w:w="100" w:type="dxa"/>
            </w:tcMar>
          </w:tcPr>
          <w:p w14:paraId="4DF27AB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88 179</w:t>
            </w:r>
          </w:p>
        </w:tc>
        <w:tc>
          <w:tcPr>
            <w:tcW w:w="600" w:type="dxa"/>
            <w:tcBorders>
              <w:top w:val="nil"/>
              <w:left w:val="nil"/>
              <w:bottom w:val="nil"/>
              <w:right w:val="nil"/>
              <w:tl2br w:val="nil"/>
              <w:tr2bl w:val="nil"/>
            </w:tcBorders>
            <w:shd w:val="clear" w:color="FFFFFF" w:fill="FFFFFF"/>
            <w:tcMar>
              <w:left w:w="40" w:type="dxa"/>
              <w:right w:w="40" w:type="dxa"/>
            </w:tcMar>
          </w:tcPr>
          <w:p w14:paraId="6A5ADDB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 </w:t>
            </w:r>
          </w:p>
        </w:tc>
        <w:tc>
          <w:tcPr>
            <w:tcW w:w="1035" w:type="dxa"/>
            <w:tcBorders>
              <w:top w:val="nil"/>
              <w:left w:val="nil"/>
              <w:bottom w:val="nil"/>
              <w:right w:val="nil"/>
              <w:tl2br w:val="nil"/>
              <w:tr2bl w:val="nil"/>
            </w:tcBorders>
            <w:shd w:val="clear" w:color="FFFFFF" w:fill="FFFFFF"/>
            <w:tcMar>
              <w:left w:w="40" w:type="dxa"/>
              <w:right w:w="100" w:type="dxa"/>
            </w:tcMar>
          </w:tcPr>
          <w:p w14:paraId="3AF81BB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90 872</w:t>
            </w:r>
          </w:p>
        </w:tc>
        <w:tc>
          <w:tcPr>
            <w:tcW w:w="1035" w:type="dxa"/>
            <w:tcBorders>
              <w:top w:val="nil"/>
              <w:left w:val="nil"/>
              <w:bottom w:val="nil"/>
              <w:right w:val="nil"/>
              <w:tl2br w:val="nil"/>
              <w:tr2bl w:val="nil"/>
            </w:tcBorders>
            <w:shd w:val="clear" w:color="FFFFFF" w:fill="FFFFFF"/>
            <w:tcMar>
              <w:left w:w="40" w:type="dxa"/>
              <w:right w:w="100" w:type="dxa"/>
            </w:tcMar>
          </w:tcPr>
          <w:p w14:paraId="5B4BB60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93 565</w:t>
            </w:r>
          </w:p>
        </w:tc>
        <w:tc>
          <w:tcPr>
            <w:tcW w:w="1035" w:type="dxa"/>
            <w:tcBorders>
              <w:top w:val="nil"/>
              <w:left w:val="nil"/>
              <w:bottom w:val="nil"/>
              <w:right w:val="nil"/>
              <w:tl2br w:val="nil"/>
              <w:tr2bl w:val="nil"/>
            </w:tcBorders>
            <w:shd w:val="clear" w:color="FFFFFF" w:fill="FFFFFF"/>
            <w:tcMar>
              <w:left w:w="40" w:type="dxa"/>
              <w:right w:w="100" w:type="dxa"/>
            </w:tcMar>
          </w:tcPr>
          <w:p w14:paraId="029260F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96 258</w:t>
            </w:r>
          </w:p>
        </w:tc>
      </w:tr>
      <w:tr w:rsidR="009832FC" w:rsidRPr="009832FC" w14:paraId="6A112E7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B9344A"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5A17AE48"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985F13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283F539"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B63333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7AFD47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F75C44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3F78760"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734250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3054BD"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40" w:type="dxa"/>
              <w:right w:w="40" w:type="dxa"/>
            </w:tcMar>
          </w:tcPr>
          <w:p w14:paraId="492F9167"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40EA05D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CEEF8BF"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6C9A9F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189C52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D5CC53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B062E8A"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47F954D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167D163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1 229 267</w:t>
            </w:r>
          </w:p>
        </w:tc>
        <w:tc>
          <w:tcPr>
            <w:tcW w:w="2385" w:type="dxa"/>
            <w:tcBorders>
              <w:top w:val="nil"/>
              <w:left w:val="nil"/>
              <w:bottom w:val="nil"/>
              <w:right w:val="nil"/>
              <w:tl2br w:val="nil"/>
              <w:tr2bl w:val="nil"/>
            </w:tcBorders>
            <w:shd w:val="clear" w:color="FFFFFF" w:fill="FFFFFF"/>
            <w:noWrap/>
            <w:tcMar>
              <w:left w:w="40" w:type="dxa"/>
              <w:right w:w="40" w:type="dxa"/>
            </w:tcMar>
          </w:tcPr>
          <w:p w14:paraId="57C94CC9"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Property, Plant and Equipment</w:t>
            </w:r>
          </w:p>
        </w:tc>
        <w:tc>
          <w:tcPr>
            <w:tcW w:w="1035" w:type="dxa"/>
            <w:tcBorders>
              <w:top w:val="nil"/>
              <w:left w:val="nil"/>
              <w:bottom w:val="nil"/>
              <w:right w:val="nil"/>
              <w:tl2br w:val="nil"/>
              <w:tr2bl w:val="nil"/>
            </w:tcBorders>
            <w:shd w:val="clear" w:color="FFFFFF" w:fill="FFFFFF"/>
            <w:tcMar>
              <w:left w:w="40" w:type="dxa"/>
              <w:right w:w="100" w:type="dxa"/>
            </w:tcMar>
          </w:tcPr>
          <w:p w14:paraId="6093A5F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1 152 163</w:t>
            </w:r>
          </w:p>
        </w:tc>
        <w:tc>
          <w:tcPr>
            <w:tcW w:w="1035" w:type="dxa"/>
            <w:tcBorders>
              <w:top w:val="nil"/>
              <w:left w:val="nil"/>
              <w:bottom w:val="nil"/>
              <w:right w:val="nil"/>
              <w:tl2br w:val="nil"/>
              <w:tr2bl w:val="nil"/>
            </w:tcBorders>
            <w:shd w:val="clear" w:color="FFFFFF" w:fill="FFFFFF"/>
            <w:tcMar>
              <w:left w:w="40" w:type="dxa"/>
              <w:right w:w="100" w:type="dxa"/>
            </w:tcMar>
          </w:tcPr>
          <w:p w14:paraId="1B51F01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1 208 874</w:t>
            </w:r>
          </w:p>
        </w:tc>
        <w:tc>
          <w:tcPr>
            <w:tcW w:w="600" w:type="dxa"/>
            <w:tcBorders>
              <w:top w:val="nil"/>
              <w:left w:val="nil"/>
              <w:bottom w:val="nil"/>
              <w:right w:val="nil"/>
              <w:tl2br w:val="nil"/>
              <w:tr2bl w:val="nil"/>
            </w:tcBorders>
            <w:shd w:val="clear" w:color="FFFFFF" w:fill="FFFFFF"/>
            <w:tcMar>
              <w:left w:w="40" w:type="dxa"/>
              <w:right w:w="40" w:type="dxa"/>
            </w:tcMar>
          </w:tcPr>
          <w:p w14:paraId="317528A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tcMar>
              <w:left w:w="40" w:type="dxa"/>
              <w:right w:w="100" w:type="dxa"/>
            </w:tcMar>
          </w:tcPr>
          <w:p w14:paraId="76A6722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1 196 649</w:t>
            </w:r>
          </w:p>
        </w:tc>
        <w:tc>
          <w:tcPr>
            <w:tcW w:w="1035" w:type="dxa"/>
            <w:tcBorders>
              <w:top w:val="nil"/>
              <w:left w:val="nil"/>
              <w:bottom w:val="nil"/>
              <w:right w:val="nil"/>
              <w:tl2br w:val="nil"/>
              <w:tr2bl w:val="nil"/>
            </w:tcBorders>
            <w:shd w:val="clear" w:color="FFFFFF" w:fill="FFFFFF"/>
            <w:tcMar>
              <w:left w:w="40" w:type="dxa"/>
              <w:right w:w="100" w:type="dxa"/>
            </w:tcMar>
          </w:tcPr>
          <w:p w14:paraId="6A752A7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1 188 157</w:t>
            </w:r>
          </w:p>
        </w:tc>
        <w:tc>
          <w:tcPr>
            <w:tcW w:w="1035" w:type="dxa"/>
            <w:tcBorders>
              <w:top w:val="nil"/>
              <w:left w:val="nil"/>
              <w:bottom w:val="nil"/>
              <w:right w:val="nil"/>
              <w:tl2br w:val="nil"/>
              <w:tr2bl w:val="nil"/>
            </w:tcBorders>
            <w:shd w:val="clear" w:color="FFFFFF" w:fill="FFFFFF"/>
            <w:tcMar>
              <w:left w:w="40" w:type="dxa"/>
              <w:right w:w="100" w:type="dxa"/>
            </w:tcMar>
          </w:tcPr>
          <w:p w14:paraId="2BE9EB6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1 180 797</w:t>
            </w:r>
          </w:p>
        </w:tc>
      </w:tr>
      <w:tr w:rsidR="009832FC" w:rsidRPr="009832FC" w14:paraId="385EB66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4337B3D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43 352</w:t>
            </w:r>
          </w:p>
        </w:tc>
        <w:tc>
          <w:tcPr>
            <w:tcW w:w="2385" w:type="dxa"/>
            <w:tcBorders>
              <w:top w:val="nil"/>
              <w:left w:val="nil"/>
              <w:bottom w:val="nil"/>
              <w:right w:val="nil"/>
              <w:tl2br w:val="nil"/>
              <w:tr2bl w:val="nil"/>
            </w:tcBorders>
            <w:shd w:val="clear" w:color="FFFFFF" w:fill="FFFFFF"/>
            <w:noWrap/>
            <w:tcMar>
              <w:left w:w="40" w:type="dxa"/>
              <w:right w:w="40" w:type="dxa"/>
            </w:tcMar>
          </w:tcPr>
          <w:p w14:paraId="4AF9FCE4"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Capital Works in Progress</w:t>
            </w:r>
          </w:p>
        </w:tc>
        <w:tc>
          <w:tcPr>
            <w:tcW w:w="1035" w:type="dxa"/>
            <w:tcBorders>
              <w:top w:val="nil"/>
              <w:left w:val="nil"/>
              <w:bottom w:val="nil"/>
              <w:right w:val="nil"/>
              <w:tl2br w:val="nil"/>
              <w:tr2bl w:val="nil"/>
            </w:tcBorders>
            <w:shd w:val="clear" w:color="FFFFFF" w:fill="FFFFFF"/>
            <w:tcMar>
              <w:left w:w="40" w:type="dxa"/>
              <w:right w:w="100" w:type="dxa"/>
            </w:tcMar>
          </w:tcPr>
          <w:p w14:paraId="736797D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116 177</w:t>
            </w:r>
          </w:p>
        </w:tc>
        <w:tc>
          <w:tcPr>
            <w:tcW w:w="1035" w:type="dxa"/>
            <w:tcBorders>
              <w:top w:val="nil"/>
              <w:left w:val="nil"/>
              <w:bottom w:val="nil"/>
              <w:right w:val="nil"/>
              <w:tl2br w:val="nil"/>
              <w:tr2bl w:val="nil"/>
            </w:tcBorders>
            <w:shd w:val="clear" w:color="FFFFFF" w:fill="FFFFFF"/>
            <w:tcMar>
              <w:left w:w="40" w:type="dxa"/>
              <w:right w:w="100" w:type="dxa"/>
            </w:tcMar>
          </w:tcPr>
          <w:p w14:paraId="6839B56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92 494</w:t>
            </w:r>
          </w:p>
        </w:tc>
        <w:tc>
          <w:tcPr>
            <w:tcW w:w="600" w:type="dxa"/>
            <w:tcBorders>
              <w:top w:val="nil"/>
              <w:left w:val="nil"/>
              <w:bottom w:val="nil"/>
              <w:right w:val="nil"/>
              <w:tl2br w:val="nil"/>
              <w:tr2bl w:val="nil"/>
            </w:tcBorders>
            <w:shd w:val="clear" w:color="FFFFFF" w:fill="FFFFFF"/>
            <w:tcMar>
              <w:left w:w="40" w:type="dxa"/>
              <w:right w:w="40" w:type="dxa"/>
            </w:tcMar>
          </w:tcPr>
          <w:p w14:paraId="08F017C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-21 </w:t>
            </w:r>
          </w:p>
        </w:tc>
        <w:tc>
          <w:tcPr>
            <w:tcW w:w="1035" w:type="dxa"/>
            <w:tcBorders>
              <w:top w:val="nil"/>
              <w:left w:val="nil"/>
              <w:bottom w:val="nil"/>
              <w:right w:val="nil"/>
              <w:tl2br w:val="nil"/>
              <w:tr2bl w:val="nil"/>
            </w:tcBorders>
            <w:shd w:val="clear" w:color="FFFFFF" w:fill="FFFFFF"/>
            <w:tcMar>
              <w:left w:w="40" w:type="dxa"/>
              <w:right w:w="100" w:type="dxa"/>
            </w:tcMar>
          </w:tcPr>
          <w:p w14:paraId="7DCD7A2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147 639</w:t>
            </w:r>
          </w:p>
        </w:tc>
        <w:tc>
          <w:tcPr>
            <w:tcW w:w="1035" w:type="dxa"/>
            <w:tcBorders>
              <w:top w:val="nil"/>
              <w:left w:val="nil"/>
              <w:bottom w:val="nil"/>
              <w:right w:val="nil"/>
              <w:tl2br w:val="nil"/>
              <w:tr2bl w:val="nil"/>
            </w:tcBorders>
            <w:shd w:val="clear" w:color="FFFFFF" w:fill="FFFFFF"/>
            <w:tcMar>
              <w:left w:w="40" w:type="dxa"/>
              <w:right w:w="100" w:type="dxa"/>
            </w:tcMar>
          </w:tcPr>
          <w:p w14:paraId="4ED3CE8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136 394</w:t>
            </w:r>
          </w:p>
        </w:tc>
        <w:tc>
          <w:tcPr>
            <w:tcW w:w="1035" w:type="dxa"/>
            <w:tcBorders>
              <w:top w:val="nil"/>
              <w:left w:val="nil"/>
              <w:bottom w:val="nil"/>
              <w:right w:val="nil"/>
              <w:tl2br w:val="nil"/>
              <w:tr2bl w:val="nil"/>
            </w:tcBorders>
            <w:shd w:val="clear" w:color="FFFFFF" w:fill="FFFFFF"/>
            <w:tcMar>
              <w:left w:w="40" w:type="dxa"/>
              <w:right w:w="100" w:type="dxa"/>
            </w:tcMar>
          </w:tcPr>
          <w:p w14:paraId="2EA62ED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117 004</w:t>
            </w:r>
          </w:p>
        </w:tc>
      </w:tr>
      <w:tr w:rsidR="009832FC" w:rsidRPr="009832FC" w14:paraId="10EC319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48798C2"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00FC0513"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F5B5F0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F596111"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2EDA01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123872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B055D4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7D852C6"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C153C3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50369E5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1 272 619</w:t>
            </w:r>
          </w:p>
        </w:tc>
        <w:tc>
          <w:tcPr>
            <w:tcW w:w="2385" w:type="dxa"/>
            <w:tcBorders>
              <w:top w:val="nil"/>
              <w:left w:val="nil"/>
              <w:bottom w:val="nil"/>
              <w:right w:val="nil"/>
              <w:tl2br w:val="nil"/>
              <w:tr2bl w:val="nil"/>
            </w:tcBorders>
            <w:shd w:val="clear" w:color="FFFFFF" w:fill="FFFFFF"/>
            <w:tcMar>
              <w:left w:w="40" w:type="dxa"/>
              <w:right w:w="40" w:type="dxa"/>
            </w:tcMar>
          </w:tcPr>
          <w:p w14:paraId="5A65ED9C" w14:textId="1B6AD960"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 xml:space="preserve">Total </w:t>
            </w:r>
            <w:r w:rsidR="00F54F3E" w:rsidRPr="009832FC">
              <w:rPr>
                <w:rFonts w:eastAsia="Calibri" w:cs="Calibri"/>
                <w:b/>
                <w:color w:val="000000"/>
                <w:sz w:val="18"/>
                <w:szCs w:val="24"/>
                <w:lang w:eastAsia="en-AU"/>
              </w:rPr>
              <w:t>Non-Current</w:t>
            </w:r>
            <w:r w:rsidRPr="009832FC">
              <w:rPr>
                <w:rFonts w:eastAsia="Calibri" w:cs="Calibri"/>
                <w:b/>
                <w:color w:val="000000"/>
                <w:sz w:val="18"/>
                <w:szCs w:val="24"/>
                <w:lang w:eastAsia="en-AU"/>
              </w:rPr>
              <w:t xml:space="preserve"> Assets</w:t>
            </w:r>
          </w:p>
        </w:tc>
        <w:tc>
          <w:tcPr>
            <w:tcW w:w="1035" w:type="dxa"/>
            <w:tcBorders>
              <w:top w:val="nil"/>
              <w:left w:val="nil"/>
              <w:bottom w:val="nil"/>
              <w:right w:val="nil"/>
              <w:tl2br w:val="nil"/>
              <w:tr2bl w:val="nil"/>
            </w:tcBorders>
            <w:shd w:val="clear" w:color="FFFFFF" w:fill="FFFFFF"/>
            <w:tcMar>
              <w:left w:w="40" w:type="dxa"/>
              <w:right w:w="100" w:type="dxa"/>
            </w:tcMar>
          </w:tcPr>
          <w:p w14:paraId="135970B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1 268 340</w:t>
            </w:r>
          </w:p>
        </w:tc>
        <w:tc>
          <w:tcPr>
            <w:tcW w:w="1035" w:type="dxa"/>
            <w:tcBorders>
              <w:top w:val="nil"/>
              <w:left w:val="nil"/>
              <w:bottom w:val="nil"/>
              <w:right w:val="nil"/>
              <w:tl2br w:val="nil"/>
              <w:tr2bl w:val="nil"/>
            </w:tcBorders>
            <w:shd w:val="clear" w:color="FFFFFF" w:fill="FFFFFF"/>
            <w:tcMar>
              <w:left w:w="40" w:type="dxa"/>
              <w:right w:w="100" w:type="dxa"/>
            </w:tcMar>
          </w:tcPr>
          <w:p w14:paraId="6946A7D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1 301 368</w:t>
            </w:r>
          </w:p>
        </w:tc>
        <w:tc>
          <w:tcPr>
            <w:tcW w:w="600" w:type="dxa"/>
            <w:tcBorders>
              <w:top w:val="nil"/>
              <w:left w:val="nil"/>
              <w:bottom w:val="nil"/>
              <w:right w:val="nil"/>
              <w:tl2br w:val="nil"/>
              <w:tr2bl w:val="nil"/>
            </w:tcBorders>
            <w:shd w:val="clear" w:color="FFFFFF" w:fill="FFFFFF"/>
            <w:tcMar>
              <w:left w:w="40" w:type="dxa"/>
              <w:right w:w="40" w:type="dxa"/>
            </w:tcMar>
          </w:tcPr>
          <w:p w14:paraId="56A1271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 </w:t>
            </w:r>
          </w:p>
        </w:tc>
        <w:tc>
          <w:tcPr>
            <w:tcW w:w="1035" w:type="dxa"/>
            <w:tcBorders>
              <w:top w:val="nil"/>
              <w:left w:val="nil"/>
              <w:bottom w:val="nil"/>
              <w:right w:val="nil"/>
              <w:tl2br w:val="nil"/>
              <w:tr2bl w:val="nil"/>
            </w:tcBorders>
            <w:shd w:val="clear" w:color="FFFFFF" w:fill="FFFFFF"/>
            <w:tcMar>
              <w:left w:w="40" w:type="dxa"/>
              <w:right w:w="100" w:type="dxa"/>
            </w:tcMar>
          </w:tcPr>
          <w:p w14:paraId="7F65643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1 344 288</w:t>
            </w:r>
          </w:p>
        </w:tc>
        <w:tc>
          <w:tcPr>
            <w:tcW w:w="1035" w:type="dxa"/>
            <w:tcBorders>
              <w:top w:val="nil"/>
              <w:left w:val="nil"/>
              <w:bottom w:val="nil"/>
              <w:right w:val="nil"/>
              <w:tl2br w:val="nil"/>
              <w:tr2bl w:val="nil"/>
            </w:tcBorders>
            <w:shd w:val="clear" w:color="FFFFFF" w:fill="FFFFFF"/>
            <w:tcMar>
              <w:left w:w="40" w:type="dxa"/>
              <w:right w:w="100" w:type="dxa"/>
            </w:tcMar>
          </w:tcPr>
          <w:p w14:paraId="6FC34B8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1 324 551</w:t>
            </w:r>
          </w:p>
        </w:tc>
        <w:tc>
          <w:tcPr>
            <w:tcW w:w="1035" w:type="dxa"/>
            <w:tcBorders>
              <w:top w:val="nil"/>
              <w:left w:val="nil"/>
              <w:bottom w:val="nil"/>
              <w:right w:val="nil"/>
              <w:tl2br w:val="nil"/>
              <w:tr2bl w:val="nil"/>
            </w:tcBorders>
            <w:shd w:val="clear" w:color="FFFFFF" w:fill="FFFFFF"/>
            <w:tcMar>
              <w:left w:w="40" w:type="dxa"/>
              <w:right w:w="100" w:type="dxa"/>
            </w:tcMar>
          </w:tcPr>
          <w:p w14:paraId="323666D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1 297 801</w:t>
            </w:r>
          </w:p>
        </w:tc>
      </w:tr>
      <w:tr w:rsidR="009832FC" w:rsidRPr="009832FC" w14:paraId="1E18875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5B42DED"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C52A10E"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8F98CA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8949763"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78092D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A8D64A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D5BE0E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8D06751"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E6FC5E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2E0DB4B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1 355 006</w:t>
            </w:r>
          </w:p>
        </w:tc>
        <w:tc>
          <w:tcPr>
            <w:tcW w:w="2385" w:type="dxa"/>
            <w:tcBorders>
              <w:top w:val="nil"/>
              <w:left w:val="nil"/>
              <w:bottom w:val="nil"/>
              <w:right w:val="nil"/>
              <w:tl2br w:val="nil"/>
              <w:tr2bl w:val="nil"/>
            </w:tcBorders>
            <w:shd w:val="clear" w:color="FFFFFF" w:fill="FFFFFF"/>
            <w:tcMar>
              <w:left w:w="40" w:type="dxa"/>
              <w:right w:w="40" w:type="dxa"/>
            </w:tcMar>
          </w:tcPr>
          <w:p w14:paraId="5EDA46E3"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ASSETS</w:t>
            </w:r>
          </w:p>
        </w:tc>
        <w:tc>
          <w:tcPr>
            <w:tcW w:w="1035" w:type="dxa"/>
            <w:tcBorders>
              <w:top w:val="nil"/>
              <w:left w:val="nil"/>
              <w:bottom w:val="nil"/>
              <w:right w:val="nil"/>
              <w:tl2br w:val="nil"/>
              <w:tr2bl w:val="nil"/>
            </w:tcBorders>
            <w:shd w:val="clear" w:color="FFFFFF" w:fill="FFFFFF"/>
            <w:tcMar>
              <w:left w:w="40" w:type="dxa"/>
              <w:right w:w="100" w:type="dxa"/>
            </w:tcMar>
          </w:tcPr>
          <w:p w14:paraId="76DE691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1 353 828</w:t>
            </w:r>
          </w:p>
        </w:tc>
        <w:tc>
          <w:tcPr>
            <w:tcW w:w="1035" w:type="dxa"/>
            <w:tcBorders>
              <w:top w:val="nil"/>
              <w:left w:val="nil"/>
              <w:bottom w:val="nil"/>
              <w:right w:val="nil"/>
              <w:tl2br w:val="nil"/>
              <w:tr2bl w:val="nil"/>
            </w:tcBorders>
            <w:shd w:val="clear" w:color="FFFFFF" w:fill="FFFFFF"/>
            <w:tcMar>
              <w:left w:w="40" w:type="dxa"/>
              <w:right w:w="100" w:type="dxa"/>
            </w:tcMar>
          </w:tcPr>
          <w:p w14:paraId="4D71EC5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1 389 547</w:t>
            </w:r>
          </w:p>
        </w:tc>
        <w:tc>
          <w:tcPr>
            <w:tcW w:w="600" w:type="dxa"/>
            <w:tcBorders>
              <w:top w:val="nil"/>
              <w:left w:val="nil"/>
              <w:bottom w:val="nil"/>
              <w:right w:val="nil"/>
              <w:tl2br w:val="nil"/>
              <w:tr2bl w:val="nil"/>
            </w:tcBorders>
            <w:shd w:val="clear" w:color="FFFFFF" w:fill="FFFFFF"/>
            <w:tcMar>
              <w:left w:w="40" w:type="dxa"/>
              <w:right w:w="40" w:type="dxa"/>
            </w:tcMar>
          </w:tcPr>
          <w:p w14:paraId="2684E24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 </w:t>
            </w:r>
          </w:p>
        </w:tc>
        <w:tc>
          <w:tcPr>
            <w:tcW w:w="1035" w:type="dxa"/>
            <w:tcBorders>
              <w:top w:val="nil"/>
              <w:left w:val="nil"/>
              <w:bottom w:val="nil"/>
              <w:right w:val="nil"/>
              <w:tl2br w:val="nil"/>
              <w:tr2bl w:val="nil"/>
            </w:tcBorders>
            <w:shd w:val="clear" w:color="FFFFFF" w:fill="FFFFFF"/>
            <w:tcMar>
              <w:left w:w="40" w:type="dxa"/>
              <w:right w:w="100" w:type="dxa"/>
            </w:tcMar>
          </w:tcPr>
          <w:p w14:paraId="52E9B6B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1 435 160</w:t>
            </w:r>
          </w:p>
        </w:tc>
        <w:tc>
          <w:tcPr>
            <w:tcW w:w="1035" w:type="dxa"/>
            <w:tcBorders>
              <w:top w:val="nil"/>
              <w:left w:val="nil"/>
              <w:bottom w:val="nil"/>
              <w:right w:val="nil"/>
              <w:tl2br w:val="nil"/>
              <w:tr2bl w:val="nil"/>
            </w:tcBorders>
            <w:shd w:val="clear" w:color="FFFFFF" w:fill="FFFFFF"/>
            <w:tcMar>
              <w:left w:w="40" w:type="dxa"/>
              <w:right w:w="100" w:type="dxa"/>
            </w:tcMar>
          </w:tcPr>
          <w:p w14:paraId="6B13DDD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1 418 116</w:t>
            </w:r>
          </w:p>
        </w:tc>
        <w:tc>
          <w:tcPr>
            <w:tcW w:w="1035" w:type="dxa"/>
            <w:tcBorders>
              <w:top w:val="nil"/>
              <w:left w:val="nil"/>
              <w:bottom w:val="nil"/>
              <w:right w:val="nil"/>
              <w:tl2br w:val="nil"/>
              <w:tr2bl w:val="nil"/>
            </w:tcBorders>
            <w:shd w:val="clear" w:color="FFFFFF" w:fill="FFFFFF"/>
            <w:tcMar>
              <w:left w:w="40" w:type="dxa"/>
              <w:right w:w="100" w:type="dxa"/>
            </w:tcMar>
          </w:tcPr>
          <w:p w14:paraId="7432DDB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1 394 059</w:t>
            </w:r>
          </w:p>
        </w:tc>
      </w:tr>
      <w:tr w:rsidR="009832FC" w:rsidRPr="009832FC" w14:paraId="61D0A41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086A2B"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3ADDA407"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3EA610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19A4A73"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726FAF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D77943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7F3B0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F079AF5"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17CE0E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34B0CC"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40" w:type="dxa"/>
              <w:right w:w="40" w:type="dxa"/>
            </w:tcMar>
          </w:tcPr>
          <w:p w14:paraId="2C6F47CB"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44220DB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975E114"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A4898C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1AD6D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6B03B2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1D98981"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40EB83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0ECC928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54 949</w:t>
            </w:r>
          </w:p>
        </w:tc>
        <w:tc>
          <w:tcPr>
            <w:tcW w:w="2385" w:type="dxa"/>
            <w:tcBorders>
              <w:top w:val="nil"/>
              <w:left w:val="nil"/>
              <w:bottom w:val="nil"/>
              <w:right w:val="nil"/>
              <w:tl2br w:val="nil"/>
              <w:tr2bl w:val="nil"/>
            </w:tcBorders>
            <w:shd w:val="clear" w:color="FFFFFF" w:fill="FFFFFF"/>
            <w:noWrap/>
            <w:tcMar>
              <w:left w:w="40" w:type="dxa"/>
              <w:right w:w="40" w:type="dxa"/>
            </w:tcMar>
          </w:tcPr>
          <w:p w14:paraId="591DF6A5"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Payables</w:t>
            </w:r>
          </w:p>
        </w:tc>
        <w:tc>
          <w:tcPr>
            <w:tcW w:w="1035" w:type="dxa"/>
            <w:tcBorders>
              <w:top w:val="nil"/>
              <w:left w:val="nil"/>
              <w:bottom w:val="nil"/>
              <w:right w:val="nil"/>
              <w:tl2br w:val="nil"/>
              <w:tr2bl w:val="nil"/>
            </w:tcBorders>
            <w:shd w:val="clear" w:color="FFFFFF" w:fill="FFFFFF"/>
            <w:tcMar>
              <w:left w:w="40" w:type="dxa"/>
              <w:right w:w="100" w:type="dxa"/>
            </w:tcMar>
          </w:tcPr>
          <w:p w14:paraId="6D8BFB3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56 706</w:t>
            </w:r>
          </w:p>
        </w:tc>
        <w:tc>
          <w:tcPr>
            <w:tcW w:w="1035" w:type="dxa"/>
            <w:tcBorders>
              <w:top w:val="nil"/>
              <w:left w:val="nil"/>
              <w:bottom w:val="nil"/>
              <w:right w:val="nil"/>
              <w:tl2br w:val="nil"/>
              <w:tr2bl w:val="nil"/>
            </w:tcBorders>
            <w:shd w:val="clear" w:color="FFFFFF" w:fill="FFFFFF"/>
            <w:tcMar>
              <w:left w:w="40" w:type="dxa"/>
              <w:right w:w="100" w:type="dxa"/>
            </w:tcMar>
          </w:tcPr>
          <w:p w14:paraId="2E31870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58 536</w:t>
            </w:r>
          </w:p>
        </w:tc>
        <w:tc>
          <w:tcPr>
            <w:tcW w:w="600" w:type="dxa"/>
            <w:tcBorders>
              <w:top w:val="nil"/>
              <w:left w:val="nil"/>
              <w:bottom w:val="nil"/>
              <w:right w:val="nil"/>
              <w:tl2br w:val="nil"/>
              <w:tr2bl w:val="nil"/>
            </w:tcBorders>
            <w:shd w:val="clear" w:color="FFFFFF" w:fill="FFFFFF"/>
            <w:tcMar>
              <w:left w:w="40" w:type="dxa"/>
              <w:right w:w="40" w:type="dxa"/>
            </w:tcMar>
          </w:tcPr>
          <w:p w14:paraId="3D16292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3 </w:t>
            </w:r>
          </w:p>
        </w:tc>
        <w:tc>
          <w:tcPr>
            <w:tcW w:w="1035" w:type="dxa"/>
            <w:tcBorders>
              <w:top w:val="nil"/>
              <w:left w:val="nil"/>
              <w:bottom w:val="nil"/>
              <w:right w:val="nil"/>
              <w:tl2br w:val="nil"/>
              <w:tr2bl w:val="nil"/>
            </w:tcBorders>
            <w:shd w:val="clear" w:color="FFFFFF" w:fill="FFFFFF"/>
            <w:tcMar>
              <w:left w:w="40" w:type="dxa"/>
              <w:right w:w="100" w:type="dxa"/>
            </w:tcMar>
          </w:tcPr>
          <w:p w14:paraId="1634AE0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60 377</w:t>
            </w:r>
          </w:p>
        </w:tc>
        <w:tc>
          <w:tcPr>
            <w:tcW w:w="1035" w:type="dxa"/>
            <w:tcBorders>
              <w:top w:val="nil"/>
              <w:left w:val="nil"/>
              <w:bottom w:val="nil"/>
              <w:right w:val="nil"/>
              <w:tl2br w:val="nil"/>
              <w:tr2bl w:val="nil"/>
            </w:tcBorders>
            <w:shd w:val="clear" w:color="FFFFFF" w:fill="FFFFFF"/>
            <w:tcMar>
              <w:left w:w="40" w:type="dxa"/>
              <w:right w:w="100" w:type="dxa"/>
            </w:tcMar>
          </w:tcPr>
          <w:p w14:paraId="7E062B7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62 218</w:t>
            </w:r>
          </w:p>
        </w:tc>
        <w:tc>
          <w:tcPr>
            <w:tcW w:w="1035" w:type="dxa"/>
            <w:tcBorders>
              <w:top w:val="nil"/>
              <w:left w:val="nil"/>
              <w:bottom w:val="nil"/>
              <w:right w:val="nil"/>
              <w:tl2br w:val="nil"/>
              <w:tr2bl w:val="nil"/>
            </w:tcBorders>
            <w:shd w:val="clear" w:color="FFFFFF" w:fill="FFFFFF"/>
            <w:tcMar>
              <w:left w:w="40" w:type="dxa"/>
              <w:right w:w="100" w:type="dxa"/>
            </w:tcMar>
          </w:tcPr>
          <w:p w14:paraId="4DBE995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64 059</w:t>
            </w:r>
          </w:p>
        </w:tc>
      </w:tr>
      <w:tr w:rsidR="009832FC" w:rsidRPr="009832FC" w14:paraId="75EFDBA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63BED71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40" w:type="dxa"/>
              <w:right w:w="40" w:type="dxa"/>
            </w:tcMar>
          </w:tcPr>
          <w:p w14:paraId="2B4FADB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Interest-Bearing Liabilities</w:t>
            </w:r>
          </w:p>
        </w:tc>
        <w:tc>
          <w:tcPr>
            <w:tcW w:w="1035" w:type="dxa"/>
            <w:tcBorders>
              <w:top w:val="nil"/>
              <w:left w:val="nil"/>
              <w:bottom w:val="nil"/>
              <w:right w:val="nil"/>
              <w:tl2br w:val="nil"/>
              <w:tr2bl w:val="nil"/>
            </w:tcBorders>
            <w:shd w:val="clear" w:color="FFFFFF" w:fill="FFFFFF"/>
            <w:tcMar>
              <w:left w:w="40" w:type="dxa"/>
              <w:right w:w="100" w:type="dxa"/>
            </w:tcMar>
          </w:tcPr>
          <w:p w14:paraId="2AC8C73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407</w:t>
            </w:r>
          </w:p>
        </w:tc>
        <w:tc>
          <w:tcPr>
            <w:tcW w:w="1035" w:type="dxa"/>
            <w:tcBorders>
              <w:top w:val="nil"/>
              <w:left w:val="nil"/>
              <w:bottom w:val="nil"/>
              <w:right w:val="nil"/>
              <w:tl2br w:val="nil"/>
              <w:tr2bl w:val="nil"/>
            </w:tcBorders>
            <w:shd w:val="clear" w:color="FFFFFF" w:fill="FFFFFF"/>
            <w:tcMar>
              <w:left w:w="40" w:type="dxa"/>
              <w:right w:w="100" w:type="dxa"/>
            </w:tcMar>
          </w:tcPr>
          <w:p w14:paraId="73901CA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407</w:t>
            </w:r>
          </w:p>
        </w:tc>
        <w:tc>
          <w:tcPr>
            <w:tcW w:w="600" w:type="dxa"/>
            <w:tcBorders>
              <w:top w:val="nil"/>
              <w:left w:val="nil"/>
              <w:bottom w:val="nil"/>
              <w:right w:val="nil"/>
              <w:tl2br w:val="nil"/>
              <w:tr2bl w:val="nil"/>
            </w:tcBorders>
            <w:shd w:val="clear" w:color="FFFFFF" w:fill="FFFFFF"/>
            <w:tcMar>
              <w:left w:w="40" w:type="dxa"/>
              <w:right w:w="40" w:type="dxa"/>
            </w:tcMar>
          </w:tcPr>
          <w:p w14:paraId="7AA7A33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40" w:type="dxa"/>
              <w:right w:w="100" w:type="dxa"/>
            </w:tcMar>
          </w:tcPr>
          <w:p w14:paraId="0C2DFEC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407</w:t>
            </w:r>
          </w:p>
        </w:tc>
        <w:tc>
          <w:tcPr>
            <w:tcW w:w="1035" w:type="dxa"/>
            <w:tcBorders>
              <w:top w:val="nil"/>
              <w:left w:val="nil"/>
              <w:bottom w:val="nil"/>
              <w:right w:val="nil"/>
              <w:tl2br w:val="nil"/>
              <w:tr2bl w:val="nil"/>
            </w:tcBorders>
            <w:shd w:val="clear" w:color="FFFFFF" w:fill="FFFFFF"/>
            <w:tcMar>
              <w:left w:w="40" w:type="dxa"/>
              <w:right w:w="100" w:type="dxa"/>
            </w:tcMar>
          </w:tcPr>
          <w:p w14:paraId="5B92F06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407</w:t>
            </w:r>
          </w:p>
        </w:tc>
        <w:tc>
          <w:tcPr>
            <w:tcW w:w="1035" w:type="dxa"/>
            <w:tcBorders>
              <w:top w:val="nil"/>
              <w:left w:val="nil"/>
              <w:bottom w:val="nil"/>
              <w:right w:val="nil"/>
              <w:tl2br w:val="nil"/>
              <w:tr2bl w:val="nil"/>
            </w:tcBorders>
            <w:shd w:val="clear" w:color="FFFFFF" w:fill="FFFFFF"/>
            <w:tcMar>
              <w:left w:w="40" w:type="dxa"/>
              <w:right w:w="100" w:type="dxa"/>
            </w:tcMar>
          </w:tcPr>
          <w:p w14:paraId="2F1C90E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407</w:t>
            </w:r>
          </w:p>
        </w:tc>
      </w:tr>
      <w:tr w:rsidR="009832FC" w:rsidRPr="009832FC" w14:paraId="7E0684E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0DCBCCC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2 590</w:t>
            </w:r>
          </w:p>
        </w:tc>
        <w:tc>
          <w:tcPr>
            <w:tcW w:w="2385" w:type="dxa"/>
            <w:tcBorders>
              <w:top w:val="nil"/>
              <w:left w:val="nil"/>
              <w:bottom w:val="nil"/>
              <w:right w:val="nil"/>
              <w:tl2br w:val="nil"/>
              <w:tr2bl w:val="nil"/>
            </w:tcBorders>
            <w:shd w:val="clear" w:color="FFFFFF" w:fill="FFFFFF"/>
            <w:noWrap/>
            <w:tcMar>
              <w:left w:w="40" w:type="dxa"/>
              <w:right w:w="40" w:type="dxa"/>
            </w:tcMar>
          </w:tcPr>
          <w:p w14:paraId="5E7AA51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Lease Liabilities</w:t>
            </w:r>
          </w:p>
        </w:tc>
        <w:tc>
          <w:tcPr>
            <w:tcW w:w="1035" w:type="dxa"/>
            <w:tcBorders>
              <w:top w:val="nil"/>
              <w:left w:val="nil"/>
              <w:bottom w:val="nil"/>
              <w:right w:val="nil"/>
              <w:tl2br w:val="nil"/>
              <w:tr2bl w:val="nil"/>
            </w:tcBorders>
            <w:shd w:val="clear" w:color="FFFFFF" w:fill="FFFFFF"/>
            <w:tcMar>
              <w:left w:w="40" w:type="dxa"/>
              <w:right w:w="100" w:type="dxa"/>
            </w:tcMar>
          </w:tcPr>
          <w:p w14:paraId="221D085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1 579</w:t>
            </w:r>
          </w:p>
        </w:tc>
        <w:tc>
          <w:tcPr>
            <w:tcW w:w="1035" w:type="dxa"/>
            <w:tcBorders>
              <w:top w:val="nil"/>
              <w:left w:val="nil"/>
              <w:bottom w:val="nil"/>
              <w:right w:val="nil"/>
              <w:tl2br w:val="nil"/>
              <w:tr2bl w:val="nil"/>
            </w:tcBorders>
            <w:shd w:val="clear" w:color="FFFFFF" w:fill="FFFFFF"/>
            <w:tcMar>
              <w:left w:w="40" w:type="dxa"/>
              <w:right w:w="100" w:type="dxa"/>
            </w:tcMar>
          </w:tcPr>
          <w:p w14:paraId="4ED53A3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2 265</w:t>
            </w:r>
          </w:p>
        </w:tc>
        <w:tc>
          <w:tcPr>
            <w:tcW w:w="600" w:type="dxa"/>
            <w:tcBorders>
              <w:top w:val="nil"/>
              <w:left w:val="nil"/>
              <w:bottom w:val="nil"/>
              <w:right w:val="nil"/>
              <w:tl2br w:val="nil"/>
              <w:tr2bl w:val="nil"/>
            </w:tcBorders>
            <w:shd w:val="clear" w:color="FFFFFF" w:fill="FFFFFF"/>
            <w:tcMar>
              <w:left w:w="40" w:type="dxa"/>
              <w:right w:w="40" w:type="dxa"/>
            </w:tcMar>
          </w:tcPr>
          <w:p w14:paraId="6527E0B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43 </w:t>
            </w:r>
          </w:p>
        </w:tc>
        <w:tc>
          <w:tcPr>
            <w:tcW w:w="1035" w:type="dxa"/>
            <w:tcBorders>
              <w:top w:val="nil"/>
              <w:left w:val="nil"/>
              <w:bottom w:val="nil"/>
              <w:right w:val="nil"/>
              <w:tl2br w:val="nil"/>
              <w:tr2bl w:val="nil"/>
            </w:tcBorders>
            <w:shd w:val="clear" w:color="FFFFFF" w:fill="FFFFFF"/>
            <w:tcMar>
              <w:left w:w="40" w:type="dxa"/>
              <w:right w:w="100" w:type="dxa"/>
            </w:tcMar>
          </w:tcPr>
          <w:p w14:paraId="45E4D34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2 951</w:t>
            </w:r>
          </w:p>
        </w:tc>
        <w:tc>
          <w:tcPr>
            <w:tcW w:w="1035" w:type="dxa"/>
            <w:tcBorders>
              <w:top w:val="nil"/>
              <w:left w:val="nil"/>
              <w:bottom w:val="nil"/>
              <w:right w:val="nil"/>
              <w:tl2br w:val="nil"/>
              <w:tr2bl w:val="nil"/>
            </w:tcBorders>
            <w:shd w:val="clear" w:color="FFFFFF" w:fill="FFFFFF"/>
            <w:tcMar>
              <w:left w:w="40" w:type="dxa"/>
              <w:right w:w="100" w:type="dxa"/>
            </w:tcMar>
          </w:tcPr>
          <w:p w14:paraId="768A1BD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3 637</w:t>
            </w:r>
          </w:p>
        </w:tc>
        <w:tc>
          <w:tcPr>
            <w:tcW w:w="1035" w:type="dxa"/>
            <w:tcBorders>
              <w:top w:val="nil"/>
              <w:left w:val="nil"/>
              <w:bottom w:val="nil"/>
              <w:right w:val="nil"/>
              <w:tl2br w:val="nil"/>
              <w:tr2bl w:val="nil"/>
            </w:tcBorders>
            <w:shd w:val="clear" w:color="FFFFFF" w:fill="FFFFFF"/>
            <w:tcMar>
              <w:left w:w="40" w:type="dxa"/>
              <w:right w:w="100" w:type="dxa"/>
            </w:tcMar>
          </w:tcPr>
          <w:p w14:paraId="2B5BDBA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4 323</w:t>
            </w:r>
          </w:p>
        </w:tc>
      </w:tr>
      <w:tr w:rsidR="009832FC" w:rsidRPr="009832FC" w14:paraId="7C6D1B2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5B26BAE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302 241</w:t>
            </w:r>
          </w:p>
        </w:tc>
        <w:tc>
          <w:tcPr>
            <w:tcW w:w="2385" w:type="dxa"/>
            <w:tcBorders>
              <w:top w:val="nil"/>
              <w:left w:val="nil"/>
              <w:bottom w:val="nil"/>
              <w:right w:val="nil"/>
              <w:tl2br w:val="nil"/>
              <w:tr2bl w:val="nil"/>
            </w:tcBorders>
            <w:shd w:val="clear" w:color="FFFFFF" w:fill="FFFFFF"/>
            <w:noWrap/>
            <w:tcMar>
              <w:left w:w="40" w:type="dxa"/>
              <w:right w:w="40" w:type="dxa"/>
            </w:tcMar>
          </w:tcPr>
          <w:p w14:paraId="77DD60A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Employee Benefits</w:t>
            </w:r>
          </w:p>
        </w:tc>
        <w:tc>
          <w:tcPr>
            <w:tcW w:w="1035" w:type="dxa"/>
            <w:tcBorders>
              <w:top w:val="nil"/>
              <w:left w:val="nil"/>
              <w:bottom w:val="nil"/>
              <w:right w:val="nil"/>
              <w:tl2br w:val="nil"/>
              <w:tr2bl w:val="nil"/>
            </w:tcBorders>
            <w:shd w:val="clear" w:color="FFFFFF" w:fill="FFFFFF"/>
            <w:tcMar>
              <w:left w:w="40" w:type="dxa"/>
              <w:right w:w="100" w:type="dxa"/>
            </w:tcMar>
          </w:tcPr>
          <w:p w14:paraId="02D2932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302 448</w:t>
            </w:r>
          </w:p>
        </w:tc>
        <w:tc>
          <w:tcPr>
            <w:tcW w:w="1035" w:type="dxa"/>
            <w:tcBorders>
              <w:top w:val="nil"/>
              <w:left w:val="nil"/>
              <w:bottom w:val="nil"/>
              <w:right w:val="nil"/>
              <w:tl2br w:val="nil"/>
              <w:tr2bl w:val="nil"/>
            </w:tcBorders>
            <w:shd w:val="clear" w:color="FFFFFF" w:fill="FFFFFF"/>
            <w:tcMar>
              <w:left w:w="40" w:type="dxa"/>
              <w:right w:w="100" w:type="dxa"/>
            </w:tcMar>
          </w:tcPr>
          <w:p w14:paraId="6363418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320 249</w:t>
            </w:r>
          </w:p>
        </w:tc>
        <w:tc>
          <w:tcPr>
            <w:tcW w:w="600" w:type="dxa"/>
            <w:tcBorders>
              <w:top w:val="nil"/>
              <w:left w:val="nil"/>
              <w:bottom w:val="nil"/>
              <w:right w:val="nil"/>
              <w:tl2br w:val="nil"/>
              <w:tr2bl w:val="nil"/>
            </w:tcBorders>
            <w:shd w:val="clear" w:color="FFFFFF" w:fill="FFFFFF"/>
            <w:tcMar>
              <w:left w:w="40" w:type="dxa"/>
              <w:right w:w="40" w:type="dxa"/>
            </w:tcMar>
          </w:tcPr>
          <w:p w14:paraId="71D5275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6 </w:t>
            </w:r>
          </w:p>
        </w:tc>
        <w:tc>
          <w:tcPr>
            <w:tcW w:w="1035" w:type="dxa"/>
            <w:tcBorders>
              <w:top w:val="nil"/>
              <w:left w:val="nil"/>
              <w:bottom w:val="nil"/>
              <w:right w:val="nil"/>
              <w:tl2br w:val="nil"/>
              <w:tr2bl w:val="nil"/>
            </w:tcBorders>
            <w:shd w:val="clear" w:color="FFFFFF" w:fill="FFFFFF"/>
            <w:tcMar>
              <w:left w:w="40" w:type="dxa"/>
              <w:right w:w="100" w:type="dxa"/>
            </w:tcMar>
          </w:tcPr>
          <w:p w14:paraId="195322E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338 533</w:t>
            </w:r>
          </w:p>
        </w:tc>
        <w:tc>
          <w:tcPr>
            <w:tcW w:w="1035" w:type="dxa"/>
            <w:tcBorders>
              <w:top w:val="nil"/>
              <w:left w:val="nil"/>
              <w:bottom w:val="nil"/>
              <w:right w:val="nil"/>
              <w:tl2br w:val="nil"/>
              <w:tr2bl w:val="nil"/>
            </w:tcBorders>
            <w:shd w:val="clear" w:color="FFFFFF" w:fill="FFFFFF"/>
            <w:tcMar>
              <w:left w:w="40" w:type="dxa"/>
              <w:right w:w="100" w:type="dxa"/>
            </w:tcMar>
          </w:tcPr>
          <w:p w14:paraId="256EB9C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357 278</w:t>
            </w:r>
          </w:p>
        </w:tc>
        <w:tc>
          <w:tcPr>
            <w:tcW w:w="1035" w:type="dxa"/>
            <w:tcBorders>
              <w:top w:val="nil"/>
              <w:left w:val="nil"/>
              <w:bottom w:val="nil"/>
              <w:right w:val="nil"/>
              <w:tl2br w:val="nil"/>
              <w:tr2bl w:val="nil"/>
            </w:tcBorders>
            <w:shd w:val="clear" w:color="FFFFFF" w:fill="FFFFFF"/>
            <w:tcMar>
              <w:left w:w="40" w:type="dxa"/>
              <w:right w:w="100" w:type="dxa"/>
            </w:tcMar>
          </w:tcPr>
          <w:p w14:paraId="23D9FA8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376 490</w:t>
            </w:r>
          </w:p>
        </w:tc>
      </w:tr>
      <w:tr w:rsidR="009832FC" w:rsidRPr="009832FC" w14:paraId="0A00C1B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00B8A38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40" w:type="dxa"/>
              <w:right w:w="40" w:type="dxa"/>
            </w:tcMar>
          </w:tcPr>
          <w:p w14:paraId="46656600"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 Provisions</w:t>
            </w:r>
          </w:p>
        </w:tc>
        <w:tc>
          <w:tcPr>
            <w:tcW w:w="1035" w:type="dxa"/>
            <w:tcBorders>
              <w:top w:val="nil"/>
              <w:left w:val="nil"/>
              <w:bottom w:val="nil"/>
              <w:right w:val="nil"/>
              <w:tl2br w:val="nil"/>
              <w:tr2bl w:val="nil"/>
            </w:tcBorders>
            <w:shd w:val="clear" w:color="FFFFFF" w:fill="FFFFFF"/>
            <w:tcMar>
              <w:left w:w="40" w:type="dxa"/>
              <w:right w:w="100" w:type="dxa"/>
            </w:tcMar>
          </w:tcPr>
          <w:p w14:paraId="3B06FB8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13 400</w:t>
            </w:r>
          </w:p>
        </w:tc>
        <w:tc>
          <w:tcPr>
            <w:tcW w:w="1035" w:type="dxa"/>
            <w:tcBorders>
              <w:top w:val="nil"/>
              <w:left w:val="nil"/>
              <w:bottom w:val="nil"/>
              <w:right w:val="nil"/>
              <w:tl2br w:val="nil"/>
              <w:tr2bl w:val="nil"/>
            </w:tcBorders>
            <w:shd w:val="clear" w:color="FFFFFF" w:fill="FFFFFF"/>
            <w:tcMar>
              <w:left w:w="40" w:type="dxa"/>
              <w:right w:w="100" w:type="dxa"/>
            </w:tcMar>
          </w:tcPr>
          <w:p w14:paraId="15ECFE3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13 400</w:t>
            </w:r>
          </w:p>
        </w:tc>
        <w:tc>
          <w:tcPr>
            <w:tcW w:w="600" w:type="dxa"/>
            <w:tcBorders>
              <w:top w:val="nil"/>
              <w:left w:val="nil"/>
              <w:bottom w:val="nil"/>
              <w:right w:val="nil"/>
              <w:tl2br w:val="nil"/>
              <w:tr2bl w:val="nil"/>
            </w:tcBorders>
            <w:shd w:val="clear" w:color="FFFFFF" w:fill="FFFFFF"/>
            <w:tcMar>
              <w:left w:w="40" w:type="dxa"/>
              <w:right w:w="40" w:type="dxa"/>
            </w:tcMar>
          </w:tcPr>
          <w:p w14:paraId="3FE1E52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40" w:type="dxa"/>
              <w:right w:w="100" w:type="dxa"/>
            </w:tcMar>
          </w:tcPr>
          <w:p w14:paraId="5820696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13 400</w:t>
            </w:r>
          </w:p>
        </w:tc>
        <w:tc>
          <w:tcPr>
            <w:tcW w:w="1035" w:type="dxa"/>
            <w:tcBorders>
              <w:top w:val="nil"/>
              <w:left w:val="nil"/>
              <w:bottom w:val="nil"/>
              <w:right w:val="nil"/>
              <w:tl2br w:val="nil"/>
              <w:tr2bl w:val="nil"/>
            </w:tcBorders>
            <w:shd w:val="clear" w:color="FFFFFF" w:fill="FFFFFF"/>
            <w:tcMar>
              <w:left w:w="40" w:type="dxa"/>
              <w:right w:w="100" w:type="dxa"/>
            </w:tcMar>
          </w:tcPr>
          <w:p w14:paraId="6E78474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13 400</w:t>
            </w:r>
          </w:p>
        </w:tc>
        <w:tc>
          <w:tcPr>
            <w:tcW w:w="1035" w:type="dxa"/>
            <w:tcBorders>
              <w:top w:val="nil"/>
              <w:left w:val="nil"/>
              <w:bottom w:val="nil"/>
              <w:right w:val="nil"/>
              <w:tl2br w:val="nil"/>
              <w:tr2bl w:val="nil"/>
            </w:tcBorders>
            <w:shd w:val="clear" w:color="FFFFFF" w:fill="FFFFFF"/>
            <w:tcMar>
              <w:left w:w="40" w:type="dxa"/>
              <w:right w:w="100" w:type="dxa"/>
            </w:tcMar>
          </w:tcPr>
          <w:p w14:paraId="1753EEE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13 400</w:t>
            </w:r>
          </w:p>
        </w:tc>
      </w:tr>
      <w:tr w:rsidR="009832FC" w:rsidRPr="009832FC" w14:paraId="7BB9F4D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5A13C93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28 777</w:t>
            </w:r>
          </w:p>
        </w:tc>
        <w:tc>
          <w:tcPr>
            <w:tcW w:w="2385" w:type="dxa"/>
            <w:tcBorders>
              <w:top w:val="nil"/>
              <w:left w:val="nil"/>
              <w:bottom w:val="nil"/>
              <w:right w:val="nil"/>
              <w:tl2br w:val="nil"/>
              <w:tr2bl w:val="nil"/>
            </w:tcBorders>
            <w:shd w:val="clear" w:color="FFFFFF" w:fill="FFFFFF"/>
            <w:noWrap/>
            <w:tcMar>
              <w:left w:w="40" w:type="dxa"/>
              <w:right w:w="40" w:type="dxa"/>
            </w:tcMar>
          </w:tcPr>
          <w:p w14:paraId="441A3C7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 Liabilities</w:t>
            </w:r>
          </w:p>
        </w:tc>
        <w:tc>
          <w:tcPr>
            <w:tcW w:w="1035" w:type="dxa"/>
            <w:tcBorders>
              <w:top w:val="nil"/>
              <w:left w:val="nil"/>
              <w:bottom w:val="nil"/>
              <w:right w:val="nil"/>
              <w:tl2br w:val="nil"/>
              <w:tr2bl w:val="nil"/>
            </w:tcBorders>
            <w:shd w:val="clear" w:color="FFFFFF" w:fill="FFFFFF"/>
            <w:tcMar>
              <w:left w:w="40" w:type="dxa"/>
              <w:right w:w="100" w:type="dxa"/>
            </w:tcMar>
          </w:tcPr>
          <w:p w14:paraId="3D8F392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603</w:t>
            </w:r>
          </w:p>
        </w:tc>
        <w:tc>
          <w:tcPr>
            <w:tcW w:w="1035" w:type="dxa"/>
            <w:tcBorders>
              <w:top w:val="nil"/>
              <w:left w:val="nil"/>
              <w:bottom w:val="nil"/>
              <w:right w:val="nil"/>
              <w:tl2br w:val="nil"/>
              <w:tr2bl w:val="nil"/>
            </w:tcBorders>
            <w:shd w:val="clear" w:color="FFFFFF" w:fill="FFFFFF"/>
            <w:tcMar>
              <w:left w:w="40" w:type="dxa"/>
              <w:right w:w="100" w:type="dxa"/>
            </w:tcMar>
          </w:tcPr>
          <w:p w14:paraId="3A90CB1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803</w:t>
            </w:r>
          </w:p>
        </w:tc>
        <w:tc>
          <w:tcPr>
            <w:tcW w:w="600" w:type="dxa"/>
            <w:tcBorders>
              <w:top w:val="nil"/>
              <w:left w:val="nil"/>
              <w:bottom w:val="nil"/>
              <w:right w:val="nil"/>
              <w:tl2br w:val="nil"/>
              <w:tr2bl w:val="nil"/>
            </w:tcBorders>
            <w:shd w:val="clear" w:color="FFFFFF" w:fill="FFFFFF"/>
            <w:tcMar>
              <w:left w:w="40" w:type="dxa"/>
              <w:right w:w="40" w:type="dxa"/>
            </w:tcMar>
          </w:tcPr>
          <w:p w14:paraId="5FCCDC9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33 </w:t>
            </w:r>
          </w:p>
        </w:tc>
        <w:tc>
          <w:tcPr>
            <w:tcW w:w="1035" w:type="dxa"/>
            <w:tcBorders>
              <w:top w:val="nil"/>
              <w:left w:val="nil"/>
              <w:bottom w:val="nil"/>
              <w:right w:val="nil"/>
              <w:tl2br w:val="nil"/>
              <w:tr2bl w:val="nil"/>
            </w:tcBorders>
            <w:shd w:val="clear" w:color="FFFFFF" w:fill="FFFFFF"/>
            <w:tcMar>
              <w:left w:w="40" w:type="dxa"/>
              <w:right w:w="100" w:type="dxa"/>
            </w:tcMar>
          </w:tcPr>
          <w:p w14:paraId="5138855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1 003</w:t>
            </w:r>
          </w:p>
        </w:tc>
        <w:tc>
          <w:tcPr>
            <w:tcW w:w="1035" w:type="dxa"/>
            <w:tcBorders>
              <w:top w:val="nil"/>
              <w:left w:val="nil"/>
              <w:bottom w:val="nil"/>
              <w:right w:val="nil"/>
              <w:tl2br w:val="nil"/>
              <w:tr2bl w:val="nil"/>
            </w:tcBorders>
            <w:shd w:val="clear" w:color="FFFFFF" w:fill="FFFFFF"/>
            <w:tcMar>
              <w:left w:w="40" w:type="dxa"/>
              <w:right w:w="100" w:type="dxa"/>
            </w:tcMar>
          </w:tcPr>
          <w:p w14:paraId="00615D8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1 203</w:t>
            </w:r>
          </w:p>
        </w:tc>
        <w:tc>
          <w:tcPr>
            <w:tcW w:w="1035" w:type="dxa"/>
            <w:tcBorders>
              <w:top w:val="nil"/>
              <w:left w:val="nil"/>
              <w:bottom w:val="nil"/>
              <w:right w:val="nil"/>
              <w:tl2br w:val="nil"/>
              <w:tr2bl w:val="nil"/>
            </w:tcBorders>
            <w:shd w:val="clear" w:color="FFFFFF" w:fill="FFFFFF"/>
            <w:tcMar>
              <w:left w:w="40" w:type="dxa"/>
              <w:right w:w="100" w:type="dxa"/>
            </w:tcMar>
          </w:tcPr>
          <w:p w14:paraId="324E2A4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1 403</w:t>
            </w:r>
          </w:p>
        </w:tc>
      </w:tr>
      <w:tr w:rsidR="009832FC" w:rsidRPr="009832FC" w14:paraId="2FF5922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7F3942F"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688971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118C97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EF57CA0"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ABAC7EA"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A942D6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19F360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3E9808F"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28FFE5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100" w:type="dxa"/>
            </w:tcMar>
          </w:tcPr>
          <w:p w14:paraId="7AF43EA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388 557</w:t>
            </w:r>
          </w:p>
        </w:tc>
        <w:tc>
          <w:tcPr>
            <w:tcW w:w="2385" w:type="dxa"/>
            <w:tcBorders>
              <w:top w:val="nil"/>
              <w:left w:val="nil"/>
              <w:bottom w:val="nil"/>
              <w:right w:val="nil"/>
              <w:tl2br w:val="nil"/>
              <w:tr2bl w:val="nil"/>
            </w:tcBorders>
            <w:shd w:val="clear" w:color="FFFFFF" w:fill="FFFFFF"/>
            <w:tcMar>
              <w:left w:w="40" w:type="dxa"/>
              <w:right w:w="40" w:type="dxa"/>
            </w:tcMar>
          </w:tcPr>
          <w:p w14:paraId="071462C4"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Current Liabilities</w:t>
            </w:r>
          </w:p>
        </w:tc>
        <w:tc>
          <w:tcPr>
            <w:tcW w:w="1035" w:type="dxa"/>
            <w:tcBorders>
              <w:top w:val="nil"/>
              <w:left w:val="nil"/>
              <w:bottom w:val="nil"/>
              <w:right w:val="nil"/>
              <w:tl2br w:val="nil"/>
              <w:tr2bl w:val="nil"/>
            </w:tcBorders>
            <w:shd w:val="clear" w:color="FFFFFF" w:fill="FFFFFF"/>
            <w:noWrap/>
            <w:tcMar>
              <w:left w:w="40" w:type="dxa"/>
              <w:right w:w="100" w:type="dxa"/>
            </w:tcMar>
          </w:tcPr>
          <w:p w14:paraId="341DA17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375 143</w:t>
            </w:r>
          </w:p>
        </w:tc>
        <w:tc>
          <w:tcPr>
            <w:tcW w:w="1035" w:type="dxa"/>
            <w:tcBorders>
              <w:top w:val="nil"/>
              <w:left w:val="nil"/>
              <w:bottom w:val="nil"/>
              <w:right w:val="nil"/>
              <w:tl2br w:val="nil"/>
              <w:tr2bl w:val="nil"/>
            </w:tcBorders>
            <w:shd w:val="clear" w:color="FFFFFF" w:fill="FFFFFF"/>
            <w:noWrap/>
            <w:tcMar>
              <w:left w:w="40" w:type="dxa"/>
              <w:right w:w="100" w:type="dxa"/>
            </w:tcMar>
          </w:tcPr>
          <w:p w14:paraId="6FC7344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395 660</w:t>
            </w:r>
          </w:p>
        </w:tc>
        <w:tc>
          <w:tcPr>
            <w:tcW w:w="600" w:type="dxa"/>
            <w:tcBorders>
              <w:top w:val="nil"/>
              <w:left w:val="nil"/>
              <w:bottom w:val="nil"/>
              <w:right w:val="nil"/>
              <w:tl2br w:val="nil"/>
              <w:tr2bl w:val="nil"/>
            </w:tcBorders>
            <w:shd w:val="clear" w:color="FFFFFF" w:fill="FFFFFF"/>
            <w:tcMar>
              <w:left w:w="40" w:type="dxa"/>
              <w:right w:w="40" w:type="dxa"/>
            </w:tcMar>
          </w:tcPr>
          <w:p w14:paraId="482D8BE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noWrap/>
            <w:tcMar>
              <w:left w:w="40" w:type="dxa"/>
              <w:right w:w="100" w:type="dxa"/>
            </w:tcMar>
          </w:tcPr>
          <w:p w14:paraId="165C8CA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416 671</w:t>
            </w:r>
          </w:p>
        </w:tc>
        <w:tc>
          <w:tcPr>
            <w:tcW w:w="1035" w:type="dxa"/>
            <w:tcBorders>
              <w:top w:val="nil"/>
              <w:left w:val="nil"/>
              <w:bottom w:val="nil"/>
              <w:right w:val="nil"/>
              <w:tl2br w:val="nil"/>
              <w:tr2bl w:val="nil"/>
            </w:tcBorders>
            <w:shd w:val="clear" w:color="FFFFFF" w:fill="FFFFFF"/>
            <w:noWrap/>
            <w:tcMar>
              <w:left w:w="40" w:type="dxa"/>
              <w:right w:w="100" w:type="dxa"/>
            </w:tcMar>
          </w:tcPr>
          <w:p w14:paraId="778CF94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438 143</w:t>
            </w:r>
          </w:p>
        </w:tc>
        <w:tc>
          <w:tcPr>
            <w:tcW w:w="1035" w:type="dxa"/>
            <w:tcBorders>
              <w:top w:val="nil"/>
              <w:left w:val="nil"/>
              <w:bottom w:val="nil"/>
              <w:right w:val="nil"/>
              <w:tl2br w:val="nil"/>
              <w:tr2bl w:val="nil"/>
            </w:tcBorders>
            <w:shd w:val="clear" w:color="FFFFFF" w:fill="FFFFFF"/>
            <w:noWrap/>
            <w:tcMar>
              <w:left w:w="40" w:type="dxa"/>
              <w:right w:w="100" w:type="dxa"/>
            </w:tcMar>
          </w:tcPr>
          <w:p w14:paraId="7643D00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460 082</w:t>
            </w:r>
          </w:p>
        </w:tc>
      </w:tr>
      <w:tr w:rsidR="009832FC" w:rsidRPr="009832FC" w14:paraId="398FA6B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91D6E88"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92614D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4FAA09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DEEF5C7"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357ACFB"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594034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A4EC2C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A938CDB"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25DEBD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FBAFAB"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40" w:type="dxa"/>
              <w:right w:w="40" w:type="dxa"/>
            </w:tcMar>
          </w:tcPr>
          <w:p w14:paraId="108F1043"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5B6F855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05B8B36"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2F87554"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0B9E1C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6171CA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B23310"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B818DD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082C864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40" w:type="dxa"/>
              <w:right w:w="40" w:type="dxa"/>
            </w:tcMar>
          </w:tcPr>
          <w:p w14:paraId="2F27DAA3"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Interest-Bearing Liabilities</w:t>
            </w:r>
          </w:p>
        </w:tc>
        <w:tc>
          <w:tcPr>
            <w:tcW w:w="1035" w:type="dxa"/>
            <w:tcBorders>
              <w:top w:val="nil"/>
              <w:left w:val="nil"/>
              <w:bottom w:val="nil"/>
              <w:right w:val="nil"/>
              <w:tl2br w:val="nil"/>
              <w:tr2bl w:val="nil"/>
            </w:tcBorders>
            <w:shd w:val="clear" w:color="FFFFFF" w:fill="FFFFFF"/>
            <w:tcMar>
              <w:left w:w="40" w:type="dxa"/>
              <w:right w:w="100" w:type="dxa"/>
            </w:tcMar>
          </w:tcPr>
          <w:p w14:paraId="26FB635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445</w:t>
            </w:r>
          </w:p>
        </w:tc>
        <w:tc>
          <w:tcPr>
            <w:tcW w:w="1035" w:type="dxa"/>
            <w:tcBorders>
              <w:top w:val="nil"/>
              <w:left w:val="nil"/>
              <w:bottom w:val="nil"/>
              <w:right w:val="nil"/>
              <w:tl2br w:val="nil"/>
              <w:tr2bl w:val="nil"/>
            </w:tcBorders>
            <w:shd w:val="clear" w:color="FFFFFF" w:fill="FFFFFF"/>
            <w:tcMar>
              <w:left w:w="40" w:type="dxa"/>
              <w:right w:w="100" w:type="dxa"/>
            </w:tcMar>
          </w:tcPr>
          <w:p w14:paraId="151E454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445</w:t>
            </w:r>
          </w:p>
        </w:tc>
        <w:tc>
          <w:tcPr>
            <w:tcW w:w="600" w:type="dxa"/>
            <w:tcBorders>
              <w:top w:val="nil"/>
              <w:left w:val="nil"/>
              <w:bottom w:val="nil"/>
              <w:right w:val="nil"/>
              <w:tl2br w:val="nil"/>
              <w:tr2bl w:val="nil"/>
            </w:tcBorders>
            <w:shd w:val="clear" w:color="FFFFFF" w:fill="FFFFFF"/>
            <w:tcMar>
              <w:left w:w="40" w:type="dxa"/>
              <w:right w:w="40" w:type="dxa"/>
            </w:tcMar>
          </w:tcPr>
          <w:p w14:paraId="4553FA9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40" w:type="dxa"/>
              <w:right w:w="100" w:type="dxa"/>
            </w:tcMar>
          </w:tcPr>
          <w:p w14:paraId="41C0AE1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445</w:t>
            </w:r>
          </w:p>
        </w:tc>
        <w:tc>
          <w:tcPr>
            <w:tcW w:w="1035" w:type="dxa"/>
            <w:tcBorders>
              <w:top w:val="nil"/>
              <w:left w:val="nil"/>
              <w:bottom w:val="nil"/>
              <w:right w:val="nil"/>
              <w:tl2br w:val="nil"/>
              <w:tr2bl w:val="nil"/>
            </w:tcBorders>
            <w:shd w:val="clear" w:color="FFFFFF" w:fill="FFFFFF"/>
            <w:tcMar>
              <w:left w:w="40" w:type="dxa"/>
              <w:right w:w="100" w:type="dxa"/>
            </w:tcMar>
          </w:tcPr>
          <w:p w14:paraId="17E2CC1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445</w:t>
            </w:r>
          </w:p>
        </w:tc>
        <w:tc>
          <w:tcPr>
            <w:tcW w:w="1035" w:type="dxa"/>
            <w:tcBorders>
              <w:top w:val="nil"/>
              <w:left w:val="nil"/>
              <w:bottom w:val="nil"/>
              <w:right w:val="nil"/>
              <w:tl2br w:val="nil"/>
              <w:tr2bl w:val="nil"/>
            </w:tcBorders>
            <w:shd w:val="clear" w:color="FFFFFF" w:fill="FFFFFF"/>
            <w:tcMar>
              <w:left w:w="40" w:type="dxa"/>
              <w:right w:w="100" w:type="dxa"/>
            </w:tcMar>
          </w:tcPr>
          <w:p w14:paraId="72BD841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445</w:t>
            </w:r>
          </w:p>
        </w:tc>
      </w:tr>
      <w:tr w:rsidR="009832FC" w:rsidRPr="009832FC" w14:paraId="7ED793E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642A89E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2 200</w:t>
            </w:r>
          </w:p>
        </w:tc>
        <w:tc>
          <w:tcPr>
            <w:tcW w:w="2385" w:type="dxa"/>
            <w:tcBorders>
              <w:top w:val="nil"/>
              <w:left w:val="nil"/>
              <w:bottom w:val="nil"/>
              <w:right w:val="nil"/>
              <w:tl2br w:val="nil"/>
              <w:tr2bl w:val="nil"/>
            </w:tcBorders>
            <w:shd w:val="clear" w:color="FFFFFF" w:fill="FFFFFF"/>
            <w:noWrap/>
            <w:tcMar>
              <w:left w:w="40" w:type="dxa"/>
              <w:right w:w="40" w:type="dxa"/>
            </w:tcMar>
          </w:tcPr>
          <w:p w14:paraId="4EFA44CE"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Lease Liabilities</w:t>
            </w:r>
          </w:p>
        </w:tc>
        <w:tc>
          <w:tcPr>
            <w:tcW w:w="1035" w:type="dxa"/>
            <w:tcBorders>
              <w:top w:val="nil"/>
              <w:left w:val="nil"/>
              <w:bottom w:val="nil"/>
              <w:right w:val="nil"/>
              <w:tl2br w:val="nil"/>
              <w:tr2bl w:val="nil"/>
            </w:tcBorders>
            <w:shd w:val="clear" w:color="FFFFFF" w:fill="FFFFFF"/>
            <w:tcMar>
              <w:left w:w="40" w:type="dxa"/>
              <w:right w:w="100" w:type="dxa"/>
            </w:tcMar>
          </w:tcPr>
          <w:p w14:paraId="722E686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1 648</w:t>
            </w:r>
          </w:p>
        </w:tc>
        <w:tc>
          <w:tcPr>
            <w:tcW w:w="1035" w:type="dxa"/>
            <w:tcBorders>
              <w:top w:val="nil"/>
              <w:left w:val="nil"/>
              <w:bottom w:val="nil"/>
              <w:right w:val="nil"/>
              <w:tl2br w:val="nil"/>
              <w:tr2bl w:val="nil"/>
            </w:tcBorders>
            <w:shd w:val="clear" w:color="FFFFFF" w:fill="FFFFFF"/>
            <w:tcMar>
              <w:left w:w="40" w:type="dxa"/>
              <w:right w:w="100" w:type="dxa"/>
            </w:tcMar>
          </w:tcPr>
          <w:p w14:paraId="796821E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2 013</w:t>
            </w:r>
          </w:p>
        </w:tc>
        <w:tc>
          <w:tcPr>
            <w:tcW w:w="600" w:type="dxa"/>
            <w:tcBorders>
              <w:top w:val="nil"/>
              <w:left w:val="nil"/>
              <w:bottom w:val="nil"/>
              <w:right w:val="nil"/>
              <w:tl2br w:val="nil"/>
              <w:tr2bl w:val="nil"/>
            </w:tcBorders>
            <w:shd w:val="clear" w:color="FFFFFF" w:fill="FFFFFF"/>
            <w:tcMar>
              <w:left w:w="40" w:type="dxa"/>
              <w:right w:w="40" w:type="dxa"/>
            </w:tcMar>
          </w:tcPr>
          <w:p w14:paraId="2AE9060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22 </w:t>
            </w:r>
          </w:p>
        </w:tc>
        <w:tc>
          <w:tcPr>
            <w:tcW w:w="1035" w:type="dxa"/>
            <w:tcBorders>
              <w:top w:val="nil"/>
              <w:left w:val="nil"/>
              <w:bottom w:val="nil"/>
              <w:right w:val="nil"/>
              <w:tl2br w:val="nil"/>
              <w:tr2bl w:val="nil"/>
            </w:tcBorders>
            <w:shd w:val="clear" w:color="FFFFFF" w:fill="FFFFFF"/>
            <w:tcMar>
              <w:left w:w="40" w:type="dxa"/>
              <w:right w:w="100" w:type="dxa"/>
            </w:tcMar>
          </w:tcPr>
          <w:p w14:paraId="4898875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2 378</w:t>
            </w:r>
          </w:p>
        </w:tc>
        <w:tc>
          <w:tcPr>
            <w:tcW w:w="1035" w:type="dxa"/>
            <w:tcBorders>
              <w:top w:val="nil"/>
              <w:left w:val="nil"/>
              <w:bottom w:val="nil"/>
              <w:right w:val="nil"/>
              <w:tl2br w:val="nil"/>
              <w:tr2bl w:val="nil"/>
            </w:tcBorders>
            <w:shd w:val="clear" w:color="FFFFFF" w:fill="FFFFFF"/>
            <w:tcMar>
              <w:left w:w="40" w:type="dxa"/>
              <w:right w:w="100" w:type="dxa"/>
            </w:tcMar>
          </w:tcPr>
          <w:p w14:paraId="1E8DF8A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2 743</w:t>
            </w:r>
          </w:p>
        </w:tc>
        <w:tc>
          <w:tcPr>
            <w:tcW w:w="1035" w:type="dxa"/>
            <w:tcBorders>
              <w:top w:val="nil"/>
              <w:left w:val="nil"/>
              <w:bottom w:val="nil"/>
              <w:right w:val="nil"/>
              <w:tl2br w:val="nil"/>
              <w:tr2bl w:val="nil"/>
            </w:tcBorders>
            <w:shd w:val="clear" w:color="FFFFFF" w:fill="FFFFFF"/>
            <w:tcMar>
              <w:left w:w="40" w:type="dxa"/>
              <w:right w:w="100" w:type="dxa"/>
            </w:tcMar>
          </w:tcPr>
          <w:p w14:paraId="4789719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3 108</w:t>
            </w:r>
          </w:p>
        </w:tc>
      </w:tr>
      <w:tr w:rsidR="009832FC" w:rsidRPr="009832FC" w14:paraId="78B6FC5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2F52144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18 629</w:t>
            </w:r>
          </w:p>
        </w:tc>
        <w:tc>
          <w:tcPr>
            <w:tcW w:w="2385" w:type="dxa"/>
            <w:tcBorders>
              <w:top w:val="nil"/>
              <w:left w:val="nil"/>
              <w:bottom w:val="nil"/>
              <w:right w:val="nil"/>
              <w:tl2br w:val="nil"/>
              <w:tr2bl w:val="nil"/>
            </w:tcBorders>
            <w:shd w:val="clear" w:color="FFFFFF" w:fill="FFFFFF"/>
            <w:noWrap/>
            <w:tcMar>
              <w:left w:w="40" w:type="dxa"/>
              <w:right w:w="40" w:type="dxa"/>
            </w:tcMar>
          </w:tcPr>
          <w:p w14:paraId="7ADFEDE2"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Employee Benefits</w:t>
            </w:r>
          </w:p>
        </w:tc>
        <w:tc>
          <w:tcPr>
            <w:tcW w:w="1035" w:type="dxa"/>
            <w:tcBorders>
              <w:top w:val="nil"/>
              <w:left w:val="nil"/>
              <w:bottom w:val="nil"/>
              <w:right w:val="nil"/>
              <w:tl2br w:val="nil"/>
              <w:tr2bl w:val="nil"/>
            </w:tcBorders>
            <w:shd w:val="clear" w:color="FFFFFF" w:fill="FFFFFF"/>
            <w:tcMar>
              <w:left w:w="40" w:type="dxa"/>
              <w:right w:w="100" w:type="dxa"/>
            </w:tcMar>
          </w:tcPr>
          <w:p w14:paraId="7BB5E2F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16 679</w:t>
            </w:r>
          </w:p>
        </w:tc>
        <w:tc>
          <w:tcPr>
            <w:tcW w:w="1035" w:type="dxa"/>
            <w:tcBorders>
              <w:top w:val="nil"/>
              <w:left w:val="nil"/>
              <w:bottom w:val="nil"/>
              <w:right w:val="nil"/>
              <w:tl2br w:val="nil"/>
              <w:tr2bl w:val="nil"/>
            </w:tcBorders>
            <w:shd w:val="clear" w:color="FFFFFF" w:fill="FFFFFF"/>
            <w:tcMar>
              <w:left w:w="40" w:type="dxa"/>
              <w:right w:w="100" w:type="dxa"/>
            </w:tcMar>
          </w:tcPr>
          <w:p w14:paraId="0BD2400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18 645</w:t>
            </w:r>
          </w:p>
        </w:tc>
        <w:tc>
          <w:tcPr>
            <w:tcW w:w="600" w:type="dxa"/>
            <w:tcBorders>
              <w:top w:val="nil"/>
              <w:left w:val="nil"/>
              <w:bottom w:val="nil"/>
              <w:right w:val="nil"/>
              <w:tl2br w:val="nil"/>
              <w:tr2bl w:val="nil"/>
            </w:tcBorders>
            <w:shd w:val="clear" w:color="FFFFFF" w:fill="FFFFFF"/>
            <w:tcMar>
              <w:left w:w="40" w:type="dxa"/>
              <w:right w:w="40" w:type="dxa"/>
            </w:tcMar>
          </w:tcPr>
          <w:p w14:paraId="1BF036D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12 </w:t>
            </w:r>
          </w:p>
        </w:tc>
        <w:tc>
          <w:tcPr>
            <w:tcW w:w="1035" w:type="dxa"/>
            <w:tcBorders>
              <w:top w:val="nil"/>
              <w:left w:val="nil"/>
              <w:bottom w:val="nil"/>
              <w:right w:val="nil"/>
              <w:tl2br w:val="nil"/>
              <w:tr2bl w:val="nil"/>
            </w:tcBorders>
            <w:shd w:val="clear" w:color="FFFFFF" w:fill="FFFFFF"/>
            <w:tcMar>
              <w:left w:w="40" w:type="dxa"/>
              <w:right w:w="100" w:type="dxa"/>
            </w:tcMar>
          </w:tcPr>
          <w:p w14:paraId="6973F90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20 610</w:t>
            </w:r>
          </w:p>
        </w:tc>
        <w:tc>
          <w:tcPr>
            <w:tcW w:w="1035" w:type="dxa"/>
            <w:tcBorders>
              <w:top w:val="nil"/>
              <w:left w:val="nil"/>
              <w:bottom w:val="nil"/>
              <w:right w:val="nil"/>
              <w:tl2br w:val="nil"/>
              <w:tr2bl w:val="nil"/>
            </w:tcBorders>
            <w:shd w:val="clear" w:color="FFFFFF" w:fill="FFFFFF"/>
            <w:tcMar>
              <w:left w:w="40" w:type="dxa"/>
              <w:right w:w="100" w:type="dxa"/>
            </w:tcMar>
          </w:tcPr>
          <w:p w14:paraId="2126044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22 575</w:t>
            </w:r>
          </w:p>
        </w:tc>
        <w:tc>
          <w:tcPr>
            <w:tcW w:w="1035" w:type="dxa"/>
            <w:tcBorders>
              <w:top w:val="nil"/>
              <w:left w:val="nil"/>
              <w:bottom w:val="nil"/>
              <w:right w:val="nil"/>
              <w:tl2br w:val="nil"/>
              <w:tr2bl w:val="nil"/>
            </w:tcBorders>
            <w:shd w:val="clear" w:color="FFFFFF" w:fill="FFFFFF"/>
            <w:tcMar>
              <w:left w:w="40" w:type="dxa"/>
              <w:right w:w="100" w:type="dxa"/>
            </w:tcMar>
          </w:tcPr>
          <w:p w14:paraId="4A7EACC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24 540</w:t>
            </w:r>
          </w:p>
        </w:tc>
      </w:tr>
      <w:tr w:rsidR="009832FC" w:rsidRPr="009832FC" w14:paraId="13AFB8B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1EFCBD8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40" w:type="dxa"/>
              <w:right w:w="40" w:type="dxa"/>
            </w:tcMar>
          </w:tcPr>
          <w:p w14:paraId="61009992"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 Provisions</w:t>
            </w:r>
          </w:p>
        </w:tc>
        <w:tc>
          <w:tcPr>
            <w:tcW w:w="1035" w:type="dxa"/>
            <w:tcBorders>
              <w:top w:val="nil"/>
              <w:left w:val="nil"/>
              <w:bottom w:val="nil"/>
              <w:right w:val="nil"/>
              <w:tl2br w:val="nil"/>
              <w:tr2bl w:val="nil"/>
            </w:tcBorders>
            <w:shd w:val="clear" w:color="FFFFFF" w:fill="FFFFFF"/>
            <w:tcMar>
              <w:left w:w="40" w:type="dxa"/>
              <w:right w:w="100" w:type="dxa"/>
            </w:tcMar>
          </w:tcPr>
          <w:p w14:paraId="6F105D9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1 986</w:t>
            </w:r>
          </w:p>
        </w:tc>
        <w:tc>
          <w:tcPr>
            <w:tcW w:w="1035" w:type="dxa"/>
            <w:tcBorders>
              <w:top w:val="nil"/>
              <w:left w:val="nil"/>
              <w:bottom w:val="nil"/>
              <w:right w:val="nil"/>
              <w:tl2br w:val="nil"/>
              <w:tr2bl w:val="nil"/>
            </w:tcBorders>
            <w:shd w:val="clear" w:color="FFFFFF" w:fill="FFFFFF"/>
            <w:tcMar>
              <w:left w:w="40" w:type="dxa"/>
              <w:right w:w="100" w:type="dxa"/>
            </w:tcMar>
          </w:tcPr>
          <w:p w14:paraId="61E344B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1 986</w:t>
            </w:r>
          </w:p>
        </w:tc>
        <w:tc>
          <w:tcPr>
            <w:tcW w:w="600" w:type="dxa"/>
            <w:tcBorders>
              <w:top w:val="nil"/>
              <w:left w:val="nil"/>
              <w:bottom w:val="nil"/>
              <w:right w:val="nil"/>
              <w:tl2br w:val="nil"/>
              <w:tr2bl w:val="nil"/>
            </w:tcBorders>
            <w:shd w:val="clear" w:color="FFFFFF" w:fill="FFFFFF"/>
            <w:tcMar>
              <w:left w:w="40" w:type="dxa"/>
              <w:right w:w="40" w:type="dxa"/>
            </w:tcMar>
          </w:tcPr>
          <w:p w14:paraId="66D1139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40" w:type="dxa"/>
              <w:right w:w="100" w:type="dxa"/>
            </w:tcMar>
          </w:tcPr>
          <w:p w14:paraId="7DE9C7F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1 986</w:t>
            </w:r>
          </w:p>
        </w:tc>
        <w:tc>
          <w:tcPr>
            <w:tcW w:w="1035" w:type="dxa"/>
            <w:tcBorders>
              <w:top w:val="nil"/>
              <w:left w:val="nil"/>
              <w:bottom w:val="nil"/>
              <w:right w:val="nil"/>
              <w:tl2br w:val="nil"/>
              <w:tr2bl w:val="nil"/>
            </w:tcBorders>
            <w:shd w:val="clear" w:color="FFFFFF" w:fill="FFFFFF"/>
            <w:tcMar>
              <w:left w:w="40" w:type="dxa"/>
              <w:right w:w="100" w:type="dxa"/>
            </w:tcMar>
          </w:tcPr>
          <w:p w14:paraId="0CA96AC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1 986</w:t>
            </w:r>
          </w:p>
        </w:tc>
        <w:tc>
          <w:tcPr>
            <w:tcW w:w="1035" w:type="dxa"/>
            <w:tcBorders>
              <w:top w:val="nil"/>
              <w:left w:val="nil"/>
              <w:bottom w:val="nil"/>
              <w:right w:val="nil"/>
              <w:tl2br w:val="nil"/>
              <w:tr2bl w:val="nil"/>
            </w:tcBorders>
            <w:shd w:val="clear" w:color="FFFFFF" w:fill="FFFFFF"/>
            <w:tcMar>
              <w:left w:w="40" w:type="dxa"/>
              <w:right w:w="100" w:type="dxa"/>
            </w:tcMar>
          </w:tcPr>
          <w:p w14:paraId="5A73487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1 986</w:t>
            </w:r>
          </w:p>
        </w:tc>
      </w:tr>
      <w:tr w:rsidR="009832FC" w:rsidRPr="009832FC" w14:paraId="30CC79F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574E739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1 177</w:t>
            </w:r>
          </w:p>
        </w:tc>
        <w:tc>
          <w:tcPr>
            <w:tcW w:w="2385" w:type="dxa"/>
            <w:tcBorders>
              <w:top w:val="nil"/>
              <w:left w:val="nil"/>
              <w:bottom w:val="nil"/>
              <w:right w:val="nil"/>
              <w:tl2br w:val="nil"/>
              <w:tr2bl w:val="nil"/>
            </w:tcBorders>
            <w:shd w:val="clear" w:color="FFFFFF" w:fill="FFFFFF"/>
            <w:noWrap/>
            <w:tcMar>
              <w:left w:w="40" w:type="dxa"/>
              <w:right w:w="40" w:type="dxa"/>
            </w:tcMar>
          </w:tcPr>
          <w:p w14:paraId="77B52E49"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 Liabilities</w:t>
            </w:r>
          </w:p>
        </w:tc>
        <w:tc>
          <w:tcPr>
            <w:tcW w:w="1035" w:type="dxa"/>
            <w:tcBorders>
              <w:top w:val="nil"/>
              <w:left w:val="nil"/>
              <w:bottom w:val="nil"/>
              <w:right w:val="nil"/>
              <w:tl2br w:val="nil"/>
              <w:tr2bl w:val="nil"/>
            </w:tcBorders>
            <w:shd w:val="clear" w:color="FFFFFF" w:fill="FFFFFF"/>
            <w:tcMar>
              <w:left w:w="40" w:type="dxa"/>
              <w:right w:w="100" w:type="dxa"/>
            </w:tcMar>
          </w:tcPr>
          <w:p w14:paraId="7CBD9CD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40" w:type="dxa"/>
              <w:right w:w="100" w:type="dxa"/>
            </w:tcMar>
          </w:tcPr>
          <w:p w14:paraId="11366A0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40" w:type="dxa"/>
              <w:right w:w="40" w:type="dxa"/>
            </w:tcMar>
          </w:tcPr>
          <w:p w14:paraId="6F8E4F8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40" w:type="dxa"/>
              <w:right w:w="100" w:type="dxa"/>
            </w:tcMar>
          </w:tcPr>
          <w:p w14:paraId="418CF43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40" w:type="dxa"/>
              <w:right w:w="100" w:type="dxa"/>
            </w:tcMar>
          </w:tcPr>
          <w:p w14:paraId="5781884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40" w:type="dxa"/>
              <w:right w:w="100" w:type="dxa"/>
            </w:tcMar>
          </w:tcPr>
          <w:p w14:paraId="1F5591F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5AFBE46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706B33"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06CD5547"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E4D3EC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46E957D"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169A88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D737E9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2CC332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ED275BF"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4ADE84A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100" w:type="dxa"/>
            </w:tcMar>
          </w:tcPr>
          <w:p w14:paraId="0C76DA6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22 006</w:t>
            </w:r>
          </w:p>
        </w:tc>
        <w:tc>
          <w:tcPr>
            <w:tcW w:w="2385" w:type="dxa"/>
            <w:tcBorders>
              <w:top w:val="nil"/>
              <w:left w:val="nil"/>
              <w:bottom w:val="nil"/>
              <w:right w:val="nil"/>
              <w:tl2br w:val="nil"/>
              <w:tr2bl w:val="nil"/>
            </w:tcBorders>
            <w:shd w:val="clear" w:color="FFFFFF" w:fill="FFFFFF"/>
            <w:tcMar>
              <w:left w:w="40" w:type="dxa"/>
              <w:right w:w="40" w:type="dxa"/>
            </w:tcMar>
          </w:tcPr>
          <w:p w14:paraId="46A4783B"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Non-Current Liabilities</w:t>
            </w:r>
          </w:p>
        </w:tc>
        <w:tc>
          <w:tcPr>
            <w:tcW w:w="1035" w:type="dxa"/>
            <w:tcBorders>
              <w:top w:val="nil"/>
              <w:left w:val="nil"/>
              <w:bottom w:val="nil"/>
              <w:right w:val="nil"/>
              <w:tl2br w:val="nil"/>
              <w:tr2bl w:val="nil"/>
            </w:tcBorders>
            <w:shd w:val="clear" w:color="FFFFFF" w:fill="FFFFFF"/>
            <w:noWrap/>
            <w:tcMar>
              <w:left w:w="40" w:type="dxa"/>
              <w:right w:w="100" w:type="dxa"/>
            </w:tcMar>
          </w:tcPr>
          <w:p w14:paraId="2EA543B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20 758</w:t>
            </w:r>
          </w:p>
        </w:tc>
        <w:tc>
          <w:tcPr>
            <w:tcW w:w="1035" w:type="dxa"/>
            <w:tcBorders>
              <w:top w:val="nil"/>
              <w:left w:val="nil"/>
              <w:bottom w:val="nil"/>
              <w:right w:val="nil"/>
              <w:tl2br w:val="nil"/>
              <w:tr2bl w:val="nil"/>
            </w:tcBorders>
            <w:shd w:val="clear" w:color="FFFFFF" w:fill="FFFFFF"/>
            <w:noWrap/>
            <w:tcMar>
              <w:left w:w="40" w:type="dxa"/>
              <w:right w:w="100" w:type="dxa"/>
            </w:tcMar>
          </w:tcPr>
          <w:p w14:paraId="15241DA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23 089</w:t>
            </w:r>
          </w:p>
        </w:tc>
        <w:tc>
          <w:tcPr>
            <w:tcW w:w="600" w:type="dxa"/>
            <w:tcBorders>
              <w:top w:val="nil"/>
              <w:left w:val="nil"/>
              <w:bottom w:val="nil"/>
              <w:right w:val="nil"/>
              <w:tl2br w:val="nil"/>
              <w:tr2bl w:val="nil"/>
            </w:tcBorders>
            <w:shd w:val="clear" w:color="FFFFFF" w:fill="FFFFFF"/>
            <w:tcMar>
              <w:left w:w="40" w:type="dxa"/>
              <w:right w:w="40" w:type="dxa"/>
            </w:tcMar>
          </w:tcPr>
          <w:p w14:paraId="259326E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11 </w:t>
            </w:r>
          </w:p>
        </w:tc>
        <w:tc>
          <w:tcPr>
            <w:tcW w:w="1035" w:type="dxa"/>
            <w:tcBorders>
              <w:top w:val="nil"/>
              <w:left w:val="nil"/>
              <w:bottom w:val="nil"/>
              <w:right w:val="nil"/>
              <w:tl2br w:val="nil"/>
              <w:tr2bl w:val="nil"/>
            </w:tcBorders>
            <w:shd w:val="clear" w:color="FFFFFF" w:fill="FFFFFF"/>
            <w:noWrap/>
            <w:tcMar>
              <w:left w:w="40" w:type="dxa"/>
              <w:right w:w="100" w:type="dxa"/>
            </w:tcMar>
          </w:tcPr>
          <w:p w14:paraId="19492AF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25 419</w:t>
            </w:r>
          </w:p>
        </w:tc>
        <w:tc>
          <w:tcPr>
            <w:tcW w:w="1035" w:type="dxa"/>
            <w:tcBorders>
              <w:top w:val="nil"/>
              <w:left w:val="nil"/>
              <w:bottom w:val="nil"/>
              <w:right w:val="nil"/>
              <w:tl2br w:val="nil"/>
              <w:tr2bl w:val="nil"/>
            </w:tcBorders>
            <w:shd w:val="clear" w:color="FFFFFF" w:fill="FFFFFF"/>
            <w:noWrap/>
            <w:tcMar>
              <w:left w:w="40" w:type="dxa"/>
              <w:right w:w="100" w:type="dxa"/>
            </w:tcMar>
          </w:tcPr>
          <w:p w14:paraId="2702098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27 749</w:t>
            </w:r>
          </w:p>
        </w:tc>
        <w:tc>
          <w:tcPr>
            <w:tcW w:w="1035" w:type="dxa"/>
            <w:tcBorders>
              <w:top w:val="nil"/>
              <w:left w:val="nil"/>
              <w:bottom w:val="nil"/>
              <w:right w:val="nil"/>
              <w:tl2br w:val="nil"/>
              <w:tr2bl w:val="nil"/>
            </w:tcBorders>
            <w:shd w:val="clear" w:color="FFFFFF" w:fill="FFFFFF"/>
            <w:noWrap/>
            <w:tcMar>
              <w:left w:w="40" w:type="dxa"/>
              <w:right w:w="100" w:type="dxa"/>
            </w:tcMar>
          </w:tcPr>
          <w:p w14:paraId="1434DBB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30 079</w:t>
            </w:r>
          </w:p>
        </w:tc>
      </w:tr>
      <w:tr w:rsidR="009832FC" w:rsidRPr="009832FC" w14:paraId="28DAED6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93CDD6"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24C7C6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B4D90A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9B41018"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BDA3B1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E18C68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786051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B7DEC30"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DBFD8A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100" w:type="dxa"/>
            </w:tcMar>
          </w:tcPr>
          <w:p w14:paraId="71D2DEA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410 563</w:t>
            </w:r>
          </w:p>
        </w:tc>
        <w:tc>
          <w:tcPr>
            <w:tcW w:w="2385" w:type="dxa"/>
            <w:tcBorders>
              <w:top w:val="nil"/>
              <w:left w:val="nil"/>
              <w:bottom w:val="nil"/>
              <w:right w:val="nil"/>
              <w:tl2br w:val="nil"/>
              <w:tr2bl w:val="nil"/>
            </w:tcBorders>
            <w:shd w:val="clear" w:color="FFFFFF" w:fill="FFFFFF"/>
            <w:tcMar>
              <w:left w:w="40" w:type="dxa"/>
              <w:right w:w="40" w:type="dxa"/>
            </w:tcMar>
          </w:tcPr>
          <w:p w14:paraId="41B3F8F8"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LIABILITIES</w:t>
            </w:r>
          </w:p>
        </w:tc>
        <w:tc>
          <w:tcPr>
            <w:tcW w:w="1035" w:type="dxa"/>
            <w:tcBorders>
              <w:top w:val="nil"/>
              <w:left w:val="nil"/>
              <w:bottom w:val="nil"/>
              <w:right w:val="nil"/>
              <w:tl2br w:val="nil"/>
              <w:tr2bl w:val="nil"/>
            </w:tcBorders>
            <w:shd w:val="clear" w:color="FFFFFF" w:fill="FFFFFF"/>
            <w:noWrap/>
            <w:tcMar>
              <w:left w:w="40" w:type="dxa"/>
              <w:right w:w="100" w:type="dxa"/>
            </w:tcMar>
          </w:tcPr>
          <w:p w14:paraId="30630F5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395 901</w:t>
            </w:r>
          </w:p>
        </w:tc>
        <w:tc>
          <w:tcPr>
            <w:tcW w:w="1035" w:type="dxa"/>
            <w:tcBorders>
              <w:top w:val="nil"/>
              <w:left w:val="nil"/>
              <w:bottom w:val="nil"/>
              <w:right w:val="nil"/>
              <w:tl2br w:val="nil"/>
              <w:tr2bl w:val="nil"/>
            </w:tcBorders>
            <w:shd w:val="clear" w:color="FFFFFF" w:fill="FFFFFF"/>
            <w:noWrap/>
            <w:tcMar>
              <w:left w:w="40" w:type="dxa"/>
              <w:right w:w="100" w:type="dxa"/>
            </w:tcMar>
          </w:tcPr>
          <w:p w14:paraId="6350873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418 749</w:t>
            </w:r>
          </w:p>
        </w:tc>
        <w:tc>
          <w:tcPr>
            <w:tcW w:w="600" w:type="dxa"/>
            <w:tcBorders>
              <w:top w:val="nil"/>
              <w:left w:val="nil"/>
              <w:bottom w:val="nil"/>
              <w:right w:val="nil"/>
              <w:tl2br w:val="nil"/>
              <w:tr2bl w:val="nil"/>
            </w:tcBorders>
            <w:shd w:val="clear" w:color="FFFFFF" w:fill="FFFFFF"/>
            <w:tcMar>
              <w:left w:w="40" w:type="dxa"/>
              <w:right w:w="40" w:type="dxa"/>
            </w:tcMar>
          </w:tcPr>
          <w:p w14:paraId="236070E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6 </w:t>
            </w:r>
          </w:p>
        </w:tc>
        <w:tc>
          <w:tcPr>
            <w:tcW w:w="1035" w:type="dxa"/>
            <w:tcBorders>
              <w:top w:val="nil"/>
              <w:left w:val="nil"/>
              <w:bottom w:val="nil"/>
              <w:right w:val="nil"/>
              <w:tl2br w:val="nil"/>
              <w:tr2bl w:val="nil"/>
            </w:tcBorders>
            <w:shd w:val="clear" w:color="FFFFFF" w:fill="FFFFFF"/>
            <w:noWrap/>
            <w:tcMar>
              <w:left w:w="40" w:type="dxa"/>
              <w:right w:w="100" w:type="dxa"/>
            </w:tcMar>
          </w:tcPr>
          <w:p w14:paraId="45D7DD3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442 090</w:t>
            </w:r>
          </w:p>
        </w:tc>
        <w:tc>
          <w:tcPr>
            <w:tcW w:w="1035" w:type="dxa"/>
            <w:tcBorders>
              <w:top w:val="nil"/>
              <w:left w:val="nil"/>
              <w:bottom w:val="nil"/>
              <w:right w:val="nil"/>
              <w:tl2br w:val="nil"/>
              <w:tr2bl w:val="nil"/>
            </w:tcBorders>
            <w:shd w:val="clear" w:color="FFFFFF" w:fill="FFFFFF"/>
            <w:noWrap/>
            <w:tcMar>
              <w:left w:w="40" w:type="dxa"/>
              <w:right w:w="100" w:type="dxa"/>
            </w:tcMar>
          </w:tcPr>
          <w:p w14:paraId="054DEFD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465 892</w:t>
            </w:r>
          </w:p>
        </w:tc>
        <w:tc>
          <w:tcPr>
            <w:tcW w:w="1035" w:type="dxa"/>
            <w:tcBorders>
              <w:top w:val="nil"/>
              <w:left w:val="nil"/>
              <w:bottom w:val="nil"/>
              <w:right w:val="nil"/>
              <w:tl2br w:val="nil"/>
              <w:tr2bl w:val="nil"/>
            </w:tcBorders>
            <w:shd w:val="clear" w:color="FFFFFF" w:fill="FFFFFF"/>
            <w:noWrap/>
            <w:tcMar>
              <w:left w:w="40" w:type="dxa"/>
              <w:right w:w="100" w:type="dxa"/>
            </w:tcMar>
          </w:tcPr>
          <w:p w14:paraId="19F66CF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490 161</w:t>
            </w:r>
          </w:p>
        </w:tc>
      </w:tr>
      <w:tr w:rsidR="009832FC" w:rsidRPr="009832FC" w14:paraId="2DB66CD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3E6BDEE"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6112FB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C5FB08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0333D4"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BE84CA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9D2115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AEF181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17AC3CE"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3681CB1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100" w:type="dxa"/>
            </w:tcMar>
          </w:tcPr>
          <w:p w14:paraId="4A7A0DA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944 443</w:t>
            </w:r>
          </w:p>
        </w:tc>
        <w:tc>
          <w:tcPr>
            <w:tcW w:w="2385" w:type="dxa"/>
            <w:tcBorders>
              <w:top w:val="nil"/>
              <w:left w:val="nil"/>
              <w:bottom w:val="nil"/>
              <w:right w:val="nil"/>
              <w:tl2br w:val="nil"/>
              <w:tr2bl w:val="nil"/>
            </w:tcBorders>
            <w:shd w:val="clear" w:color="FFFFFF" w:fill="FFFFFF"/>
            <w:tcMar>
              <w:left w:w="40" w:type="dxa"/>
              <w:right w:w="40" w:type="dxa"/>
            </w:tcMar>
          </w:tcPr>
          <w:p w14:paraId="476ABD8C"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NET ASSETS</w:t>
            </w:r>
          </w:p>
        </w:tc>
        <w:tc>
          <w:tcPr>
            <w:tcW w:w="1035" w:type="dxa"/>
            <w:tcBorders>
              <w:top w:val="nil"/>
              <w:left w:val="nil"/>
              <w:bottom w:val="nil"/>
              <w:right w:val="nil"/>
              <w:tl2br w:val="nil"/>
              <w:tr2bl w:val="nil"/>
            </w:tcBorders>
            <w:shd w:val="clear" w:color="FFFFFF" w:fill="FFFFFF"/>
            <w:noWrap/>
            <w:tcMar>
              <w:left w:w="40" w:type="dxa"/>
              <w:right w:w="100" w:type="dxa"/>
            </w:tcMar>
          </w:tcPr>
          <w:p w14:paraId="64F683B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957 927</w:t>
            </w:r>
          </w:p>
        </w:tc>
        <w:tc>
          <w:tcPr>
            <w:tcW w:w="1035" w:type="dxa"/>
            <w:tcBorders>
              <w:top w:val="nil"/>
              <w:left w:val="nil"/>
              <w:bottom w:val="nil"/>
              <w:right w:val="nil"/>
              <w:tl2br w:val="nil"/>
              <w:tr2bl w:val="nil"/>
            </w:tcBorders>
            <w:shd w:val="clear" w:color="FFFFFF" w:fill="FFFFFF"/>
            <w:noWrap/>
            <w:tcMar>
              <w:left w:w="40" w:type="dxa"/>
              <w:right w:w="100" w:type="dxa"/>
            </w:tcMar>
          </w:tcPr>
          <w:p w14:paraId="6027035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970 798</w:t>
            </w:r>
          </w:p>
        </w:tc>
        <w:tc>
          <w:tcPr>
            <w:tcW w:w="600" w:type="dxa"/>
            <w:tcBorders>
              <w:top w:val="nil"/>
              <w:left w:val="nil"/>
              <w:bottom w:val="nil"/>
              <w:right w:val="nil"/>
              <w:tl2br w:val="nil"/>
              <w:tr2bl w:val="nil"/>
            </w:tcBorders>
            <w:shd w:val="clear" w:color="FFFFFF" w:fill="FFFFFF"/>
            <w:tcMar>
              <w:left w:w="40" w:type="dxa"/>
              <w:right w:w="40" w:type="dxa"/>
            </w:tcMar>
          </w:tcPr>
          <w:p w14:paraId="53B87CA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noWrap/>
            <w:tcMar>
              <w:left w:w="40" w:type="dxa"/>
              <w:right w:w="100" w:type="dxa"/>
            </w:tcMar>
          </w:tcPr>
          <w:p w14:paraId="6793985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993 070</w:t>
            </w:r>
          </w:p>
        </w:tc>
        <w:tc>
          <w:tcPr>
            <w:tcW w:w="1035" w:type="dxa"/>
            <w:tcBorders>
              <w:top w:val="nil"/>
              <w:left w:val="nil"/>
              <w:bottom w:val="nil"/>
              <w:right w:val="nil"/>
              <w:tl2br w:val="nil"/>
              <w:tr2bl w:val="nil"/>
            </w:tcBorders>
            <w:shd w:val="clear" w:color="FFFFFF" w:fill="FFFFFF"/>
            <w:noWrap/>
            <w:tcMar>
              <w:left w:w="40" w:type="dxa"/>
              <w:right w:w="100" w:type="dxa"/>
            </w:tcMar>
          </w:tcPr>
          <w:p w14:paraId="2447405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952 224</w:t>
            </w:r>
          </w:p>
        </w:tc>
        <w:tc>
          <w:tcPr>
            <w:tcW w:w="1035" w:type="dxa"/>
            <w:tcBorders>
              <w:top w:val="nil"/>
              <w:left w:val="nil"/>
              <w:bottom w:val="nil"/>
              <w:right w:val="nil"/>
              <w:tl2br w:val="nil"/>
              <w:tr2bl w:val="nil"/>
            </w:tcBorders>
            <w:shd w:val="clear" w:color="FFFFFF" w:fill="FFFFFF"/>
            <w:noWrap/>
            <w:tcMar>
              <w:left w:w="40" w:type="dxa"/>
              <w:right w:w="100" w:type="dxa"/>
            </w:tcMar>
          </w:tcPr>
          <w:p w14:paraId="5C7CB03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903 898</w:t>
            </w:r>
          </w:p>
        </w:tc>
      </w:tr>
      <w:tr w:rsidR="009832FC" w:rsidRPr="009832FC" w14:paraId="64C5552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58C3F0"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461A9D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1BCE31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66192C0"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847809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A1D7E4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881ED3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B7724A3"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6EFFDA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015FE3F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878 526</w:t>
            </w:r>
          </w:p>
        </w:tc>
        <w:tc>
          <w:tcPr>
            <w:tcW w:w="2385" w:type="dxa"/>
            <w:tcBorders>
              <w:top w:val="nil"/>
              <w:left w:val="nil"/>
              <w:bottom w:val="nil"/>
              <w:right w:val="nil"/>
              <w:tl2br w:val="nil"/>
              <w:tr2bl w:val="nil"/>
            </w:tcBorders>
            <w:shd w:val="clear" w:color="FFFFFF" w:fill="FFFFFF"/>
            <w:noWrap/>
            <w:tcMar>
              <w:left w:w="40" w:type="dxa"/>
              <w:right w:w="40" w:type="dxa"/>
            </w:tcMar>
          </w:tcPr>
          <w:p w14:paraId="56B9B381"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Accumulated Funds</w:t>
            </w:r>
          </w:p>
        </w:tc>
        <w:tc>
          <w:tcPr>
            <w:tcW w:w="1035" w:type="dxa"/>
            <w:tcBorders>
              <w:top w:val="nil"/>
              <w:left w:val="nil"/>
              <w:bottom w:val="nil"/>
              <w:right w:val="nil"/>
              <w:tl2br w:val="nil"/>
              <w:tr2bl w:val="nil"/>
            </w:tcBorders>
            <w:shd w:val="clear" w:color="FFFFFF" w:fill="FFFFFF"/>
            <w:tcMar>
              <w:left w:w="40" w:type="dxa"/>
              <w:right w:w="100" w:type="dxa"/>
            </w:tcMar>
          </w:tcPr>
          <w:p w14:paraId="2D2832D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892 391</w:t>
            </w:r>
          </w:p>
        </w:tc>
        <w:tc>
          <w:tcPr>
            <w:tcW w:w="1035" w:type="dxa"/>
            <w:tcBorders>
              <w:top w:val="nil"/>
              <w:left w:val="nil"/>
              <w:bottom w:val="nil"/>
              <w:right w:val="nil"/>
              <w:tl2br w:val="nil"/>
              <w:tr2bl w:val="nil"/>
            </w:tcBorders>
            <w:shd w:val="clear" w:color="FFFFFF" w:fill="FFFFFF"/>
            <w:tcMar>
              <w:left w:w="40" w:type="dxa"/>
              <w:right w:w="100" w:type="dxa"/>
            </w:tcMar>
          </w:tcPr>
          <w:p w14:paraId="7A33DC7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905 262</w:t>
            </w:r>
          </w:p>
        </w:tc>
        <w:tc>
          <w:tcPr>
            <w:tcW w:w="600" w:type="dxa"/>
            <w:tcBorders>
              <w:top w:val="nil"/>
              <w:left w:val="nil"/>
              <w:bottom w:val="nil"/>
              <w:right w:val="nil"/>
              <w:tl2br w:val="nil"/>
              <w:tr2bl w:val="nil"/>
            </w:tcBorders>
            <w:shd w:val="clear" w:color="FFFFFF" w:fill="FFFFFF"/>
            <w:tcMar>
              <w:left w:w="40" w:type="dxa"/>
              <w:right w:w="40" w:type="dxa"/>
            </w:tcMar>
          </w:tcPr>
          <w:p w14:paraId="329CAF9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tcMar>
              <w:left w:w="40" w:type="dxa"/>
              <w:right w:w="100" w:type="dxa"/>
            </w:tcMar>
          </w:tcPr>
          <w:p w14:paraId="400849A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927 534</w:t>
            </w:r>
          </w:p>
        </w:tc>
        <w:tc>
          <w:tcPr>
            <w:tcW w:w="1035" w:type="dxa"/>
            <w:tcBorders>
              <w:top w:val="nil"/>
              <w:left w:val="nil"/>
              <w:bottom w:val="nil"/>
              <w:right w:val="nil"/>
              <w:tl2br w:val="nil"/>
              <w:tr2bl w:val="nil"/>
            </w:tcBorders>
            <w:shd w:val="clear" w:color="FFFFFF" w:fill="FFFFFF"/>
            <w:tcMar>
              <w:left w:w="40" w:type="dxa"/>
              <w:right w:w="100" w:type="dxa"/>
            </w:tcMar>
          </w:tcPr>
          <w:p w14:paraId="18FF89A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886 688</w:t>
            </w:r>
          </w:p>
        </w:tc>
        <w:tc>
          <w:tcPr>
            <w:tcW w:w="1035" w:type="dxa"/>
            <w:tcBorders>
              <w:top w:val="nil"/>
              <w:left w:val="nil"/>
              <w:bottom w:val="nil"/>
              <w:right w:val="nil"/>
              <w:tl2br w:val="nil"/>
              <w:tr2bl w:val="nil"/>
            </w:tcBorders>
            <w:shd w:val="clear" w:color="FFFFFF" w:fill="FFFFFF"/>
            <w:tcMar>
              <w:left w:w="40" w:type="dxa"/>
              <w:right w:w="100" w:type="dxa"/>
            </w:tcMar>
          </w:tcPr>
          <w:p w14:paraId="1E50A5A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838 362</w:t>
            </w:r>
          </w:p>
        </w:tc>
      </w:tr>
      <w:tr w:rsidR="009832FC" w:rsidRPr="009832FC" w14:paraId="1B6A771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100" w:type="dxa"/>
            </w:tcMar>
          </w:tcPr>
          <w:p w14:paraId="0FE24DB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65 917</w:t>
            </w:r>
          </w:p>
        </w:tc>
        <w:tc>
          <w:tcPr>
            <w:tcW w:w="2385" w:type="dxa"/>
            <w:tcBorders>
              <w:top w:val="nil"/>
              <w:left w:val="nil"/>
              <w:bottom w:val="nil"/>
              <w:right w:val="nil"/>
              <w:tl2br w:val="nil"/>
              <w:tr2bl w:val="nil"/>
            </w:tcBorders>
            <w:shd w:val="clear" w:color="FFFFFF" w:fill="FFFFFF"/>
            <w:noWrap/>
            <w:tcMar>
              <w:left w:w="40" w:type="dxa"/>
              <w:right w:w="40" w:type="dxa"/>
            </w:tcMar>
          </w:tcPr>
          <w:p w14:paraId="77CCA78B"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Asset Revaluation Surplus</w:t>
            </w:r>
          </w:p>
        </w:tc>
        <w:tc>
          <w:tcPr>
            <w:tcW w:w="1035" w:type="dxa"/>
            <w:tcBorders>
              <w:top w:val="nil"/>
              <w:left w:val="nil"/>
              <w:bottom w:val="nil"/>
              <w:right w:val="nil"/>
              <w:tl2br w:val="nil"/>
              <w:tr2bl w:val="nil"/>
            </w:tcBorders>
            <w:shd w:val="clear" w:color="FFFFFF" w:fill="FFFFFF"/>
            <w:tcMar>
              <w:left w:w="40" w:type="dxa"/>
              <w:right w:w="100" w:type="dxa"/>
            </w:tcMar>
          </w:tcPr>
          <w:p w14:paraId="01446A9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c>
          <w:tcPr>
            <w:tcW w:w="1035" w:type="dxa"/>
            <w:tcBorders>
              <w:top w:val="nil"/>
              <w:left w:val="nil"/>
              <w:bottom w:val="nil"/>
              <w:right w:val="nil"/>
              <w:tl2br w:val="nil"/>
              <w:tr2bl w:val="nil"/>
            </w:tcBorders>
            <w:shd w:val="clear" w:color="FFFFFF" w:fill="FFFFFF"/>
            <w:tcMar>
              <w:left w:w="40" w:type="dxa"/>
              <w:right w:w="100" w:type="dxa"/>
            </w:tcMar>
          </w:tcPr>
          <w:p w14:paraId="38B92C3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c>
          <w:tcPr>
            <w:tcW w:w="600" w:type="dxa"/>
            <w:tcBorders>
              <w:top w:val="nil"/>
              <w:left w:val="nil"/>
              <w:bottom w:val="nil"/>
              <w:right w:val="nil"/>
              <w:tl2br w:val="nil"/>
              <w:tr2bl w:val="nil"/>
            </w:tcBorders>
            <w:shd w:val="clear" w:color="FFFFFF" w:fill="FFFFFF"/>
            <w:tcMar>
              <w:left w:w="40" w:type="dxa"/>
              <w:right w:w="40" w:type="dxa"/>
            </w:tcMar>
          </w:tcPr>
          <w:p w14:paraId="32E3321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40" w:type="dxa"/>
              <w:right w:w="100" w:type="dxa"/>
            </w:tcMar>
          </w:tcPr>
          <w:p w14:paraId="5106AE4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c>
          <w:tcPr>
            <w:tcW w:w="1035" w:type="dxa"/>
            <w:tcBorders>
              <w:top w:val="nil"/>
              <w:left w:val="nil"/>
              <w:bottom w:val="nil"/>
              <w:right w:val="nil"/>
              <w:tl2br w:val="nil"/>
              <w:tr2bl w:val="nil"/>
            </w:tcBorders>
            <w:shd w:val="clear" w:color="FFFFFF" w:fill="FFFFFF"/>
            <w:tcMar>
              <w:left w:w="40" w:type="dxa"/>
              <w:right w:w="100" w:type="dxa"/>
            </w:tcMar>
          </w:tcPr>
          <w:p w14:paraId="0858733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c>
          <w:tcPr>
            <w:tcW w:w="1035" w:type="dxa"/>
            <w:tcBorders>
              <w:top w:val="nil"/>
              <w:left w:val="nil"/>
              <w:bottom w:val="nil"/>
              <w:right w:val="nil"/>
              <w:tl2br w:val="nil"/>
              <w:tr2bl w:val="nil"/>
            </w:tcBorders>
            <w:shd w:val="clear" w:color="FFFFFF" w:fill="FFFFFF"/>
            <w:tcMar>
              <w:left w:w="40" w:type="dxa"/>
              <w:right w:w="100" w:type="dxa"/>
            </w:tcMar>
          </w:tcPr>
          <w:p w14:paraId="44480EB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r>
      <w:tr w:rsidR="009832FC" w:rsidRPr="009832FC" w14:paraId="3C29FB3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67DF62" w14:textId="77777777" w:rsidR="009832FC" w:rsidRPr="009832FC" w:rsidRDefault="009832FC" w:rsidP="009832FC">
            <w:pPr>
              <w:spacing w:before="0" w:after="0"/>
              <w:rPr>
                <w:rFonts w:eastAsia="Calibri" w:cs="Calibri"/>
                <w:b/>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51F1A29E"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DF87671"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FE4AE3B" w14:textId="77777777" w:rsidR="009832FC" w:rsidRPr="009832FC" w:rsidRDefault="009832FC" w:rsidP="009832FC">
            <w:pPr>
              <w:spacing w:before="0" w:after="0"/>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2FCFDD5"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EA2732D"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92951EC"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138D401" w14:textId="77777777" w:rsidR="009832FC" w:rsidRPr="009832FC" w:rsidRDefault="009832FC" w:rsidP="009832FC">
            <w:pPr>
              <w:spacing w:before="0" w:after="0"/>
              <w:rPr>
                <w:rFonts w:eastAsia="Calibri" w:cs="Calibri"/>
                <w:b/>
                <w:color w:val="000000"/>
                <w:sz w:val="18"/>
                <w:szCs w:val="24"/>
                <w:lang w:eastAsia="en-AU"/>
              </w:rPr>
            </w:pPr>
          </w:p>
        </w:tc>
      </w:tr>
      <w:tr w:rsidR="009832FC" w:rsidRPr="009832FC" w14:paraId="1B55691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40" w:type="dxa"/>
              <w:right w:w="100" w:type="dxa"/>
            </w:tcMar>
          </w:tcPr>
          <w:p w14:paraId="3197201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944 443</w:t>
            </w:r>
          </w:p>
        </w:tc>
        <w:tc>
          <w:tcPr>
            <w:tcW w:w="2385" w:type="dxa"/>
            <w:tcBorders>
              <w:top w:val="nil"/>
              <w:left w:val="nil"/>
              <w:bottom w:val="nil"/>
              <w:right w:val="nil"/>
              <w:tl2br w:val="nil"/>
              <w:tr2bl w:val="nil"/>
            </w:tcBorders>
            <w:shd w:val="clear" w:color="FFFFFF" w:fill="FFFFFF"/>
            <w:tcMar>
              <w:left w:w="40" w:type="dxa"/>
              <w:right w:w="40" w:type="dxa"/>
            </w:tcMar>
          </w:tcPr>
          <w:p w14:paraId="0DB69AD3"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FUNDS EMPLOYED</w:t>
            </w:r>
          </w:p>
        </w:tc>
        <w:tc>
          <w:tcPr>
            <w:tcW w:w="1035" w:type="dxa"/>
            <w:tcBorders>
              <w:top w:val="nil"/>
              <w:left w:val="nil"/>
              <w:bottom w:val="nil"/>
              <w:right w:val="nil"/>
              <w:tl2br w:val="nil"/>
              <w:tr2bl w:val="nil"/>
            </w:tcBorders>
            <w:shd w:val="clear" w:color="FFFFFF" w:fill="FFFFFF"/>
            <w:noWrap/>
            <w:tcMar>
              <w:left w:w="40" w:type="dxa"/>
              <w:right w:w="100" w:type="dxa"/>
            </w:tcMar>
          </w:tcPr>
          <w:p w14:paraId="315E584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957 927</w:t>
            </w:r>
          </w:p>
        </w:tc>
        <w:tc>
          <w:tcPr>
            <w:tcW w:w="1035" w:type="dxa"/>
            <w:tcBorders>
              <w:top w:val="nil"/>
              <w:left w:val="nil"/>
              <w:bottom w:val="nil"/>
              <w:right w:val="nil"/>
              <w:tl2br w:val="nil"/>
              <w:tr2bl w:val="nil"/>
            </w:tcBorders>
            <w:shd w:val="clear" w:color="FFFFFF" w:fill="FFFFFF"/>
            <w:noWrap/>
            <w:tcMar>
              <w:left w:w="40" w:type="dxa"/>
              <w:right w:w="100" w:type="dxa"/>
            </w:tcMar>
          </w:tcPr>
          <w:p w14:paraId="0B6DB4E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970 798</w:t>
            </w:r>
          </w:p>
        </w:tc>
        <w:tc>
          <w:tcPr>
            <w:tcW w:w="600" w:type="dxa"/>
            <w:tcBorders>
              <w:top w:val="nil"/>
              <w:left w:val="nil"/>
              <w:bottom w:val="nil"/>
              <w:right w:val="nil"/>
              <w:tl2br w:val="nil"/>
              <w:tr2bl w:val="nil"/>
            </w:tcBorders>
            <w:shd w:val="clear" w:color="FFFFFF" w:fill="FFFFFF"/>
            <w:tcMar>
              <w:left w:w="40" w:type="dxa"/>
              <w:right w:w="40" w:type="dxa"/>
            </w:tcMar>
          </w:tcPr>
          <w:p w14:paraId="0AC0AC6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w:t>
            </w:r>
          </w:p>
        </w:tc>
        <w:tc>
          <w:tcPr>
            <w:tcW w:w="1035" w:type="dxa"/>
            <w:tcBorders>
              <w:top w:val="nil"/>
              <w:left w:val="nil"/>
              <w:bottom w:val="nil"/>
              <w:right w:val="nil"/>
              <w:tl2br w:val="nil"/>
              <w:tr2bl w:val="nil"/>
            </w:tcBorders>
            <w:shd w:val="clear" w:color="FFFFFF" w:fill="FFFFFF"/>
            <w:noWrap/>
            <w:tcMar>
              <w:left w:w="40" w:type="dxa"/>
              <w:right w:w="100" w:type="dxa"/>
            </w:tcMar>
          </w:tcPr>
          <w:p w14:paraId="1CA19EC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993 070</w:t>
            </w:r>
          </w:p>
        </w:tc>
        <w:tc>
          <w:tcPr>
            <w:tcW w:w="1035" w:type="dxa"/>
            <w:tcBorders>
              <w:top w:val="nil"/>
              <w:left w:val="nil"/>
              <w:bottom w:val="nil"/>
              <w:right w:val="nil"/>
              <w:tl2br w:val="nil"/>
              <w:tr2bl w:val="nil"/>
            </w:tcBorders>
            <w:shd w:val="clear" w:color="FFFFFF" w:fill="FFFFFF"/>
            <w:noWrap/>
            <w:tcMar>
              <w:left w:w="40" w:type="dxa"/>
              <w:right w:w="100" w:type="dxa"/>
            </w:tcMar>
          </w:tcPr>
          <w:p w14:paraId="7F5582E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952 224</w:t>
            </w:r>
          </w:p>
        </w:tc>
        <w:tc>
          <w:tcPr>
            <w:tcW w:w="1035" w:type="dxa"/>
            <w:tcBorders>
              <w:top w:val="nil"/>
              <w:left w:val="nil"/>
              <w:bottom w:val="nil"/>
              <w:right w:val="nil"/>
              <w:tl2br w:val="nil"/>
              <w:tr2bl w:val="nil"/>
            </w:tcBorders>
            <w:shd w:val="clear" w:color="FFFFFF" w:fill="FFFFFF"/>
            <w:noWrap/>
            <w:tcMar>
              <w:left w:w="40" w:type="dxa"/>
              <w:right w:w="100" w:type="dxa"/>
            </w:tcMar>
          </w:tcPr>
          <w:p w14:paraId="0E8B916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903 898</w:t>
            </w:r>
          </w:p>
        </w:tc>
      </w:tr>
      <w:tr w:rsidR="009832FC" w:rsidRPr="009832FC" w14:paraId="240FF33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6AD874D"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A2C56A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2065CE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925ED64"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F11046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AE191B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A9F23B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62928D2" w14:textId="77777777" w:rsidR="009832FC" w:rsidRPr="009832FC" w:rsidRDefault="009832FC" w:rsidP="009832FC">
            <w:pPr>
              <w:spacing w:before="0" w:after="0"/>
              <w:rPr>
                <w:rFonts w:eastAsia="Calibri" w:cs="Calibri"/>
                <w:color w:val="000000"/>
                <w:sz w:val="18"/>
                <w:szCs w:val="24"/>
                <w:lang w:eastAsia="en-AU"/>
              </w:rPr>
            </w:pPr>
          </w:p>
        </w:tc>
      </w:tr>
    </w:tbl>
    <w:p w14:paraId="07FCE987" w14:textId="77777777" w:rsidR="00B51DBE" w:rsidRDefault="00B51DBE" w:rsidP="00B51DBE">
      <w:pPr>
        <w:pStyle w:val="Caption"/>
        <w:rPr>
          <w:bdr w:val="nil"/>
        </w:rPr>
      </w:pPr>
    </w:p>
    <w:p w14:paraId="2E5C42FB" w14:textId="77777777" w:rsidR="00B51DBE" w:rsidRDefault="00B51DBE">
      <w:pPr>
        <w:spacing w:before="0" w:after="0"/>
        <w:rPr>
          <w:b/>
          <w:bCs/>
          <w:color w:val="000000"/>
          <w:sz w:val="22"/>
          <w:szCs w:val="18"/>
          <w:bdr w:val="nil"/>
        </w:rPr>
      </w:pPr>
      <w:r>
        <w:rPr>
          <w:bdr w:val="nil"/>
        </w:rPr>
        <w:br w:type="page"/>
      </w:r>
    </w:p>
    <w:p w14:paraId="12F2EA7D" w14:textId="0C9795D8" w:rsidR="009832FC" w:rsidRPr="009832FC" w:rsidRDefault="009832FC" w:rsidP="00B51DBE">
      <w:pPr>
        <w:pStyle w:val="Caption"/>
        <w:rPr>
          <w:bdr w:val="nil"/>
        </w:rPr>
      </w:pPr>
      <w:r w:rsidRPr="009832FC">
        <w:rPr>
          <w:bdr w:val="nil"/>
        </w:rPr>
        <w:lastRenderedPageBreak/>
        <w:t xml:space="preserve">Table 26: Canberra Health Services: Statement of Changes in Equity </w:t>
      </w:r>
    </w:p>
    <w:tbl>
      <w:tblPr>
        <w:tblStyle w:val="CDMRange22"/>
        <w:tblW w:w="9465" w:type="dxa"/>
        <w:tblLayout w:type="fixed"/>
        <w:tblLook w:val="0600" w:firstRow="0" w:lastRow="0" w:firstColumn="0" w:lastColumn="0" w:noHBand="1" w:noVBand="1"/>
      </w:tblPr>
      <w:tblGrid>
        <w:gridCol w:w="1035"/>
        <w:gridCol w:w="2651"/>
        <w:gridCol w:w="1035"/>
        <w:gridCol w:w="1035"/>
        <w:gridCol w:w="600"/>
        <w:gridCol w:w="1035"/>
        <w:gridCol w:w="1035"/>
        <w:gridCol w:w="1039"/>
      </w:tblGrid>
      <w:tr w:rsidR="009832FC" w:rsidRPr="009832FC" w14:paraId="1984331D" w14:textId="77777777" w:rsidTr="00EB585F">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C1A7EE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Budget</w:t>
            </w:r>
          </w:p>
          <w:p w14:paraId="6F830DF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11BB1FA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30/6/21 </w:t>
            </w:r>
          </w:p>
          <w:p w14:paraId="52BA5DF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2651"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2B31F06"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CBA0AA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Interim</w:t>
            </w:r>
          </w:p>
          <w:p w14:paraId="4837DB4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Outcome at</w:t>
            </w:r>
          </w:p>
          <w:p w14:paraId="21E4CDA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30/06/21</w:t>
            </w:r>
          </w:p>
          <w:p w14:paraId="61B2276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A9D986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Budget</w:t>
            </w:r>
          </w:p>
          <w:p w14:paraId="5AED151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544EF37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30/6/22 </w:t>
            </w:r>
          </w:p>
          <w:p w14:paraId="73DFDDF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5371F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Var</w:t>
            </w:r>
          </w:p>
          <w:p w14:paraId="12473EB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23C9D7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7A71823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6F9C993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30/6/23 </w:t>
            </w:r>
          </w:p>
          <w:p w14:paraId="65ADF5B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DB7821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64073AD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0469660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30/6/24 </w:t>
            </w:r>
          </w:p>
          <w:p w14:paraId="5A7C1A8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9"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612437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65B2522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050708B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30/6/25 </w:t>
            </w:r>
          </w:p>
          <w:p w14:paraId="79E6778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r>
      <w:tr w:rsidR="009832FC" w:rsidRPr="009832FC" w14:paraId="2234157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FA99482" w14:textId="77777777" w:rsidR="009832FC" w:rsidRPr="009832FC" w:rsidRDefault="009832FC" w:rsidP="009832FC">
            <w:pPr>
              <w:spacing w:before="0" w:after="0"/>
              <w:jc w:val="right"/>
              <w:rPr>
                <w:rFonts w:eastAsia="Calibri" w:cs="Calibri"/>
                <w:b/>
                <w:i/>
                <w:color w:val="000000"/>
                <w:sz w:val="18"/>
                <w:szCs w:val="24"/>
                <w:lang w:eastAsia="en-AU"/>
              </w:rPr>
            </w:pPr>
          </w:p>
        </w:tc>
        <w:tc>
          <w:tcPr>
            <w:tcW w:w="2651" w:type="dxa"/>
            <w:tcBorders>
              <w:top w:val="single" w:sz="4" w:space="0" w:color="000000"/>
              <w:left w:val="nil"/>
              <w:bottom w:val="nil"/>
              <w:right w:val="nil"/>
              <w:tl2br w:val="nil"/>
              <w:tr2bl w:val="nil"/>
            </w:tcBorders>
            <w:shd w:val="clear" w:color="FFFFFF" w:fill="FFFFFF"/>
            <w:tcMar>
              <w:left w:w="0" w:type="dxa"/>
              <w:right w:w="0" w:type="dxa"/>
            </w:tcMar>
          </w:tcPr>
          <w:p w14:paraId="27B3292D"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F3F7732"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0CC7674"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EE93050"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2EF1D50"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A44855D" w14:textId="77777777" w:rsidR="009832FC" w:rsidRPr="009832FC" w:rsidRDefault="009832FC" w:rsidP="009832FC">
            <w:pPr>
              <w:spacing w:before="0" w:after="0"/>
              <w:jc w:val="right"/>
              <w:rPr>
                <w:rFonts w:eastAsia="Calibri" w:cs="Calibri"/>
                <w:b/>
                <w:i/>
                <w:color w:val="000000"/>
                <w:sz w:val="18"/>
                <w:szCs w:val="24"/>
                <w:lang w:eastAsia="en-AU"/>
              </w:rPr>
            </w:pPr>
          </w:p>
        </w:tc>
        <w:tc>
          <w:tcPr>
            <w:tcW w:w="1039" w:type="dxa"/>
            <w:tcBorders>
              <w:top w:val="single" w:sz="4" w:space="0" w:color="000000"/>
              <w:left w:val="nil"/>
              <w:bottom w:val="nil"/>
              <w:right w:val="nil"/>
              <w:tl2br w:val="nil"/>
              <w:tr2bl w:val="nil"/>
            </w:tcBorders>
            <w:shd w:val="clear" w:color="FFFFFF" w:fill="FFFFFF"/>
            <w:tcMar>
              <w:left w:w="0" w:type="dxa"/>
              <w:right w:w="0" w:type="dxa"/>
            </w:tcMar>
          </w:tcPr>
          <w:p w14:paraId="11BD3201"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190D908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327A263" w14:textId="77777777" w:rsidR="009832FC" w:rsidRPr="009832FC" w:rsidRDefault="009832FC" w:rsidP="009832FC">
            <w:pPr>
              <w:spacing w:before="0" w:after="0"/>
              <w:jc w:val="right"/>
              <w:rPr>
                <w:rFonts w:eastAsia="Calibri" w:cs="Calibri"/>
                <w:b/>
                <w:i/>
                <w:color w:val="000000"/>
                <w:sz w:val="18"/>
                <w:szCs w:val="24"/>
                <w:lang w:eastAsia="en-AU"/>
              </w:rPr>
            </w:pPr>
          </w:p>
        </w:tc>
        <w:tc>
          <w:tcPr>
            <w:tcW w:w="2651" w:type="dxa"/>
            <w:tcBorders>
              <w:top w:val="nil"/>
              <w:left w:val="nil"/>
              <w:bottom w:val="nil"/>
              <w:right w:val="nil"/>
              <w:tl2br w:val="nil"/>
              <w:tr2bl w:val="nil"/>
            </w:tcBorders>
            <w:shd w:val="clear" w:color="auto" w:fill="auto"/>
            <w:tcMar>
              <w:left w:w="101" w:type="dxa"/>
              <w:right w:w="101" w:type="dxa"/>
            </w:tcMar>
          </w:tcPr>
          <w:p w14:paraId="628D7FFD"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6973E672"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5CA5F1"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6356D20F"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4C57C8B"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4793F8" w14:textId="77777777" w:rsidR="009832FC" w:rsidRPr="009832FC" w:rsidRDefault="009832FC" w:rsidP="009832FC">
            <w:pPr>
              <w:spacing w:before="0" w:after="0"/>
              <w:jc w:val="right"/>
              <w:rPr>
                <w:rFonts w:eastAsia="Calibri" w:cs="Calibri"/>
                <w:b/>
                <w:i/>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10048922"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7468BA4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386E673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842 767</w:t>
            </w:r>
          </w:p>
        </w:tc>
        <w:tc>
          <w:tcPr>
            <w:tcW w:w="2651" w:type="dxa"/>
            <w:tcBorders>
              <w:top w:val="nil"/>
              <w:left w:val="nil"/>
              <w:bottom w:val="nil"/>
              <w:right w:val="nil"/>
              <w:tl2br w:val="nil"/>
              <w:tr2bl w:val="nil"/>
            </w:tcBorders>
            <w:shd w:val="clear" w:color="auto" w:fill="auto"/>
            <w:noWrap/>
            <w:tcMar>
              <w:left w:w="101" w:type="dxa"/>
              <w:right w:w="101" w:type="dxa"/>
            </w:tcMar>
          </w:tcPr>
          <w:p w14:paraId="7E7A1FC3"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Opening Accumulated Funds</w:t>
            </w:r>
          </w:p>
        </w:tc>
        <w:tc>
          <w:tcPr>
            <w:tcW w:w="1035" w:type="dxa"/>
            <w:tcBorders>
              <w:top w:val="nil"/>
              <w:left w:val="nil"/>
              <w:bottom w:val="nil"/>
              <w:right w:val="nil"/>
              <w:tl2br w:val="nil"/>
              <w:tr2bl w:val="nil"/>
            </w:tcBorders>
            <w:shd w:val="clear" w:color="FFFFFF" w:fill="FFFFFF"/>
            <w:noWrap/>
            <w:tcMar>
              <w:left w:w="101" w:type="dxa"/>
              <w:right w:w="161" w:type="dxa"/>
            </w:tcMar>
          </w:tcPr>
          <w:p w14:paraId="2E216EE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842 767</w:t>
            </w:r>
          </w:p>
        </w:tc>
        <w:tc>
          <w:tcPr>
            <w:tcW w:w="1035" w:type="dxa"/>
            <w:tcBorders>
              <w:top w:val="nil"/>
              <w:left w:val="nil"/>
              <w:bottom w:val="nil"/>
              <w:right w:val="nil"/>
              <w:tl2br w:val="nil"/>
              <w:tr2bl w:val="nil"/>
            </w:tcBorders>
            <w:shd w:val="clear" w:color="FFFFFF" w:fill="FFFFFF"/>
            <w:noWrap/>
            <w:tcMar>
              <w:left w:w="101" w:type="dxa"/>
              <w:right w:w="161" w:type="dxa"/>
            </w:tcMar>
          </w:tcPr>
          <w:p w14:paraId="53A97A4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885 714</w:t>
            </w:r>
          </w:p>
        </w:tc>
        <w:tc>
          <w:tcPr>
            <w:tcW w:w="600" w:type="dxa"/>
            <w:tcBorders>
              <w:top w:val="nil"/>
              <w:left w:val="nil"/>
              <w:bottom w:val="nil"/>
              <w:right w:val="nil"/>
              <w:tl2br w:val="nil"/>
              <w:tr2bl w:val="nil"/>
            </w:tcBorders>
            <w:shd w:val="clear" w:color="FFFFFF" w:fill="FFFFFF"/>
            <w:noWrap/>
            <w:tcMar>
              <w:left w:w="101" w:type="dxa"/>
              <w:right w:w="101" w:type="dxa"/>
            </w:tcMar>
          </w:tcPr>
          <w:p w14:paraId="27C5ADA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noWrap/>
            <w:tcMar>
              <w:left w:w="101" w:type="dxa"/>
              <w:right w:w="161" w:type="dxa"/>
            </w:tcMar>
          </w:tcPr>
          <w:p w14:paraId="65A36C5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905 262</w:t>
            </w:r>
          </w:p>
        </w:tc>
        <w:tc>
          <w:tcPr>
            <w:tcW w:w="1035" w:type="dxa"/>
            <w:tcBorders>
              <w:top w:val="nil"/>
              <w:left w:val="nil"/>
              <w:bottom w:val="nil"/>
              <w:right w:val="nil"/>
              <w:tl2br w:val="nil"/>
              <w:tr2bl w:val="nil"/>
            </w:tcBorders>
            <w:shd w:val="clear" w:color="FFFFFF" w:fill="FFFFFF"/>
            <w:noWrap/>
            <w:tcMar>
              <w:left w:w="101" w:type="dxa"/>
              <w:right w:w="161" w:type="dxa"/>
            </w:tcMar>
          </w:tcPr>
          <w:p w14:paraId="497FC71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927 534</w:t>
            </w:r>
          </w:p>
        </w:tc>
        <w:tc>
          <w:tcPr>
            <w:tcW w:w="1039" w:type="dxa"/>
            <w:tcBorders>
              <w:top w:val="nil"/>
              <w:left w:val="nil"/>
              <w:bottom w:val="nil"/>
              <w:right w:val="nil"/>
              <w:tl2br w:val="nil"/>
              <w:tr2bl w:val="nil"/>
            </w:tcBorders>
            <w:shd w:val="clear" w:color="FFFFFF" w:fill="FFFFFF"/>
            <w:noWrap/>
            <w:tcMar>
              <w:left w:w="101" w:type="dxa"/>
              <w:right w:w="161" w:type="dxa"/>
            </w:tcMar>
          </w:tcPr>
          <w:p w14:paraId="4606229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886 688</w:t>
            </w:r>
          </w:p>
        </w:tc>
      </w:tr>
      <w:tr w:rsidR="009832FC" w:rsidRPr="009832FC" w14:paraId="46C023C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70BF89C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65 917</w:t>
            </w:r>
          </w:p>
        </w:tc>
        <w:tc>
          <w:tcPr>
            <w:tcW w:w="2651" w:type="dxa"/>
            <w:tcBorders>
              <w:top w:val="nil"/>
              <w:left w:val="nil"/>
              <w:bottom w:val="nil"/>
              <w:right w:val="nil"/>
              <w:tl2br w:val="nil"/>
              <w:tr2bl w:val="nil"/>
            </w:tcBorders>
            <w:shd w:val="clear" w:color="auto" w:fill="auto"/>
            <w:tcMar>
              <w:left w:w="101" w:type="dxa"/>
              <w:right w:w="101" w:type="dxa"/>
            </w:tcMar>
          </w:tcPr>
          <w:p w14:paraId="7F14F8CB"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61" w:type="dxa"/>
            </w:tcMar>
          </w:tcPr>
          <w:p w14:paraId="629986C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65 917</w:t>
            </w:r>
          </w:p>
        </w:tc>
        <w:tc>
          <w:tcPr>
            <w:tcW w:w="1035" w:type="dxa"/>
            <w:tcBorders>
              <w:top w:val="nil"/>
              <w:left w:val="nil"/>
              <w:bottom w:val="nil"/>
              <w:right w:val="nil"/>
              <w:tl2br w:val="nil"/>
              <w:tr2bl w:val="nil"/>
            </w:tcBorders>
            <w:shd w:val="clear" w:color="FFFFFF" w:fill="FFFFFF"/>
            <w:noWrap/>
            <w:tcMar>
              <w:left w:w="101" w:type="dxa"/>
              <w:right w:w="161" w:type="dxa"/>
            </w:tcMar>
          </w:tcPr>
          <w:p w14:paraId="36D50E1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c>
          <w:tcPr>
            <w:tcW w:w="600" w:type="dxa"/>
            <w:tcBorders>
              <w:top w:val="nil"/>
              <w:left w:val="nil"/>
              <w:bottom w:val="nil"/>
              <w:right w:val="nil"/>
              <w:tl2br w:val="nil"/>
              <w:tr2bl w:val="nil"/>
            </w:tcBorders>
            <w:shd w:val="clear" w:color="FFFFFF" w:fill="FFFFFF"/>
            <w:noWrap/>
            <w:tcMar>
              <w:left w:w="101" w:type="dxa"/>
              <w:right w:w="101" w:type="dxa"/>
            </w:tcMar>
          </w:tcPr>
          <w:p w14:paraId="268B256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noWrap/>
            <w:tcMar>
              <w:left w:w="101" w:type="dxa"/>
              <w:right w:w="161" w:type="dxa"/>
            </w:tcMar>
          </w:tcPr>
          <w:p w14:paraId="4325F8F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c>
          <w:tcPr>
            <w:tcW w:w="1035" w:type="dxa"/>
            <w:tcBorders>
              <w:top w:val="nil"/>
              <w:left w:val="nil"/>
              <w:bottom w:val="nil"/>
              <w:right w:val="nil"/>
              <w:tl2br w:val="nil"/>
              <w:tr2bl w:val="nil"/>
            </w:tcBorders>
            <w:shd w:val="clear" w:color="FFFFFF" w:fill="FFFFFF"/>
            <w:noWrap/>
            <w:tcMar>
              <w:left w:w="101" w:type="dxa"/>
              <w:right w:w="161" w:type="dxa"/>
            </w:tcMar>
          </w:tcPr>
          <w:p w14:paraId="22CC155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c>
          <w:tcPr>
            <w:tcW w:w="1039" w:type="dxa"/>
            <w:tcBorders>
              <w:top w:val="nil"/>
              <w:left w:val="nil"/>
              <w:bottom w:val="nil"/>
              <w:right w:val="nil"/>
              <w:tl2br w:val="nil"/>
              <w:tr2bl w:val="nil"/>
            </w:tcBorders>
            <w:shd w:val="clear" w:color="FFFFFF" w:fill="FFFFFF"/>
            <w:noWrap/>
            <w:tcMar>
              <w:left w:w="101" w:type="dxa"/>
              <w:right w:w="161" w:type="dxa"/>
            </w:tcMar>
          </w:tcPr>
          <w:p w14:paraId="0A5A56C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r>
      <w:tr w:rsidR="009832FC" w:rsidRPr="009832FC" w14:paraId="1F11F0B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4286892" w14:textId="77777777" w:rsidR="009832FC" w:rsidRPr="009832FC" w:rsidRDefault="009832FC" w:rsidP="009832FC">
            <w:pPr>
              <w:spacing w:before="0" w:after="0"/>
              <w:jc w:val="right"/>
              <w:rPr>
                <w:rFonts w:eastAsia="Calibri" w:cs="Calibri"/>
                <w:b/>
                <w:color w:val="000000"/>
                <w:sz w:val="18"/>
                <w:szCs w:val="24"/>
                <w:lang w:eastAsia="en-AU"/>
              </w:rPr>
            </w:pPr>
          </w:p>
        </w:tc>
        <w:tc>
          <w:tcPr>
            <w:tcW w:w="2651" w:type="dxa"/>
            <w:tcBorders>
              <w:top w:val="nil"/>
              <w:left w:val="nil"/>
              <w:bottom w:val="nil"/>
              <w:right w:val="nil"/>
              <w:tl2br w:val="nil"/>
              <w:tr2bl w:val="nil"/>
            </w:tcBorders>
            <w:shd w:val="clear" w:color="auto" w:fill="auto"/>
            <w:tcMar>
              <w:left w:w="0" w:type="dxa"/>
              <w:right w:w="0" w:type="dxa"/>
            </w:tcMar>
          </w:tcPr>
          <w:p w14:paraId="2D40917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1A4A32" w14:textId="77777777" w:rsidR="009832FC" w:rsidRPr="009832FC" w:rsidRDefault="009832FC" w:rsidP="009832FC">
            <w:pPr>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89D1538" w14:textId="77777777" w:rsidR="009832FC" w:rsidRPr="009832FC" w:rsidRDefault="009832FC" w:rsidP="009832FC">
            <w:pPr>
              <w:spacing w:before="0" w:after="0"/>
              <w:jc w:val="right"/>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0D43A98A"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CBBC57" w14:textId="77777777" w:rsidR="009832FC" w:rsidRPr="009832FC" w:rsidRDefault="009832FC" w:rsidP="009832FC">
            <w:pPr>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05520F" w14:textId="77777777" w:rsidR="009832FC" w:rsidRPr="009832FC" w:rsidRDefault="009832FC" w:rsidP="009832FC">
            <w:pPr>
              <w:spacing w:before="0" w:after="0"/>
              <w:jc w:val="right"/>
              <w:rPr>
                <w:rFonts w:eastAsia="Calibri" w:cs="Calibri"/>
                <w:b/>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0D29FE6A" w14:textId="77777777" w:rsidR="009832FC" w:rsidRPr="009832FC" w:rsidRDefault="009832FC" w:rsidP="009832FC">
            <w:pPr>
              <w:spacing w:before="0" w:after="0"/>
              <w:jc w:val="right"/>
              <w:rPr>
                <w:rFonts w:eastAsia="Calibri" w:cs="Calibri"/>
                <w:b/>
                <w:color w:val="000000"/>
                <w:sz w:val="18"/>
                <w:szCs w:val="24"/>
                <w:lang w:eastAsia="en-AU"/>
              </w:rPr>
            </w:pPr>
          </w:p>
        </w:tc>
      </w:tr>
      <w:tr w:rsidR="009832FC" w:rsidRPr="009832FC" w14:paraId="516EAE6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61" w:type="dxa"/>
            </w:tcMar>
          </w:tcPr>
          <w:p w14:paraId="0E4D606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908 684</w:t>
            </w:r>
          </w:p>
        </w:tc>
        <w:tc>
          <w:tcPr>
            <w:tcW w:w="2651" w:type="dxa"/>
            <w:tcBorders>
              <w:top w:val="nil"/>
              <w:left w:val="nil"/>
              <w:bottom w:val="nil"/>
              <w:right w:val="nil"/>
              <w:tl2br w:val="nil"/>
              <w:tr2bl w:val="nil"/>
            </w:tcBorders>
            <w:shd w:val="clear" w:color="auto" w:fill="auto"/>
            <w:tcMar>
              <w:left w:w="101" w:type="dxa"/>
              <w:right w:w="101" w:type="dxa"/>
            </w:tcMar>
          </w:tcPr>
          <w:p w14:paraId="4977E572"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61" w:type="dxa"/>
            </w:tcMar>
          </w:tcPr>
          <w:p w14:paraId="17AA2FB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908 684</w:t>
            </w:r>
          </w:p>
        </w:tc>
        <w:tc>
          <w:tcPr>
            <w:tcW w:w="1035" w:type="dxa"/>
            <w:tcBorders>
              <w:top w:val="nil"/>
              <w:left w:val="nil"/>
              <w:bottom w:val="nil"/>
              <w:right w:val="nil"/>
              <w:tl2br w:val="nil"/>
              <w:tr2bl w:val="nil"/>
            </w:tcBorders>
            <w:shd w:val="clear" w:color="FFFFFF" w:fill="FFFFFF"/>
            <w:noWrap/>
            <w:tcMar>
              <w:left w:w="101" w:type="dxa"/>
              <w:right w:w="161" w:type="dxa"/>
            </w:tcMar>
          </w:tcPr>
          <w:p w14:paraId="76F454A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951 250</w:t>
            </w:r>
          </w:p>
        </w:tc>
        <w:tc>
          <w:tcPr>
            <w:tcW w:w="600" w:type="dxa"/>
            <w:tcBorders>
              <w:top w:val="nil"/>
              <w:left w:val="nil"/>
              <w:bottom w:val="nil"/>
              <w:right w:val="nil"/>
              <w:tl2br w:val="nil"/>
              <w:tr2bl w:val="nil"/>
            </w:tcBorders>
            <w:shd w:val="clear" w:color="FFFFFF" w:fill="FFFFFF"/>
            <w:noWrap/>
            <w:tcMar>
              <w:left w:w="101" w:type="dxa"/>
              <w:right w:w="101" w:type="dxa"/>
            </w:tcMar>
          </w:tcPr>
          <w:p w14:paraId="1660126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noWrap/>
            <w:tcMar>
              <w:left w:w="101" w:type="dxa"/>
              <w:right w:w="161" w:type="dxa"/>
            </w:tcMar>
          </w:tcPr>
          <w:p w14:paraId="7EAE2EB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970 798</w:t>
            </w:r>
          </w:p>
        </w:tc>
        <w:tc>
          <w:tcPr>
            <w:tcW w:w="1035" w:type="dxa"/>
            <w:tcBorders>
              <w:top w:val="nil"/>
              <w:left w:val="nil"/>
              <w:bottom w:val="nil"/>
              <w:right w:val="nil"/>
              <w:tl2br w:val="nil"/>
              <w:tr2bl w:val="nil"/>
            </w:tcBorders>
            <w:shd w:val="clear" w:color="FFFFFF" w:fill="FFFFFF"/>
            <w:noWrap/>
            <w:tcMar>
              <w:left w:w="101" w:type="dxa"/>
              <w:right w:w="161" w:type="dxa"/>
            </w:tcMar>
          </w:tcPr>
          <w:p w14:paraId="7B42F8A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993 070</w:t>
            </w:r>
          </w:p>
        </w:tc>
        <w:tc>
          <w:tcPr>
            <w:tcW w:w="1039" w:type="dxa"/>
            <w:tcBorders>
              <w:top w:val="nil"/>
              <w:left w:val="nil"/>
              <w:bottom w:val="nil"/>
              <w:right w:val="nil"/>
              <w:tl2br w:val="nil"/>
              <w:tr2bl w:val="nil"/>
            </w:tcBorders>
            <w:shd w:val="clear" w:color="FFFFFF" w:fill="FFFFFF"/>
            <w:noWrap/>
            <w:tcMar>
              <w:left w:w="101" w:type="dxa"/>
              <w:right w:w="161" w:type="dxa"/>
            </w:tcMar>
          </w:tcPr>
          <w:p w14:paraId="5349CDF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952 224</w:t>
            </w:r>
          </w:p>
        </w:tc>
      </w:tr>
      <w:tr w:rsidR="009832FC" w:rsidRPr="009832FC" w14:paraId="61FBEF2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E2692EC" w14:textId="77777777" w:rsidR="009832FC" w:rsidRPr="009832FC" w:rsidRDefault="009832FC" w:rsidP="009832FC">
            <w:pPr>
              <w:spacing w:before="0" w:after="0"/>
              <w:jc w:val="right"/>
              <w:rPr>
                <w:rFonts w:eastAsia="Calibri" w:cs="Calibri"/>
                <w:b/>
                <w:i/>
                <w:color w:val="000000"/>
                <w:sz w:val="18"/>
                <w:szCs w:val="24"/>
                <w:lang w:eastAsia="en-AU"/>
              </w:rPr>
            </w:pPr>
          </w:p>
        </w:tc>
        <w:tc>
          <w:tcPr>
            <w:tcW w:w="2651" w:type="dxa"/>
            <w:tcBorders>
              <w:top w:val="nil"/>
              <w:left w:val="nil"/>
              <w:bottom w:val="nil"/>
              <w:right w:val="nil"/>
              <w:tl2br w:val="nil"/>
              <w:tr2bl w:val="nil"/>
            </w:tcBorders>
            <w:shd w:val="clear" w:color="FFFFFF" w:fill="FFFFFF"/>
            <w:tcMar>
              <w:left w:w="0" w:type="dxa"/>
              <w:right w:w="0" w:type="dxa"/>
            </w:tcMar>
          </w:tcPr>
          <w:p w14:paraId="48DF1CDC"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62F572"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96EE1DF"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4DDBD81D"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FEC1E8"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9618DF1" w14:textId="77777777" w:rsidR="009832FC" w:rsidRPr="009832FC" w:rsidRDefault="009832FC" w:rsidP="009832FC">
            <w:pPr>
              <w:spacing w:before="0" w:after="0"/>
              <w:jc w:val="right"/>
              <w:rPr>
                <w:rFonts w:eastAsia="Calibri" w:cs="Calibri"/>
                <w:b/>
                <w:i/>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4E8F13EB"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0774F1A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91230F1" w14:textId="77777777" w:rsidR="009832FC" w:rsidRPr="009832FC" w:rsidRDefault="009832FC" w:rsidP="009832FC">
            <w:pPr>
              <w:spacing w:before="0" w:after="0"/>
              <w:rPr>
                <w:rFonts w:eastAsia="Calibri" w:cs="Calibri"/>
                <w:color w:val="000000"/>
                <w:sz w:val="18"/>
                <w:szCs w:val="24"/>
                <w:lang w:eastAsia="en-AU"/>
              </w:rPr>
            </w:pPr>
          </w:p>
        </w:tc>
        <w:tc>
          <w:tcPr>
            <w:tcW w:w="2651" w:type="dxa"/>
            <w:tcBorders>
              <w:top w:val="nil"/>
              <w:left w:val="nil"/>
              <w:bottom w:val="nil"/>
              <w:right w:val="nil"/>
              <w:tl2br w:val="nil"/>
              <w:tr2bl w:val="nil"/>
            </w:tcBorders>
            <w:shd w:val="clear" w:color="FFFFFF" w:fill="FFFFFF"/>
            <w:tcMar>
              <w:left w:w="101" w:type="dxa"/>
              <w:right w:w="101" w:type="dxa"/>
            </w:tcMar>
          </w:tcPr>
          <w:p w14:paraId="69EC4080"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27735C1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A1E123"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5046C75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5952D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BCB7823" w14:textId="77777777" w:rsidR="009832FC" w:rsidRPr="009832FC" w:rsidRDefault="009832FC" w:rsidP="009832FC">
            <w:pPr>
              <w:spacing w:before="0" w:after="0"/>
              <w:rPr>
                <w:rFonts w:eastAsia="Calibri" w:cs="Calibri"/>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77CCD0D8"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0108B75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2C68090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651" w:type="dxa"/>
            <w:tcBorders>
              <w:top w:val="nil"/>
              <w:left w:val="nil"/>
              <w:bottom w:val="nil"/>
              <w:right w:val="nil"/>
              <w:tl2br w:val="nil"/>
              <w:tr2bl w:val="nil"/>
            </w:tcBorders>
            <w:shd w:val="clear" w:color="auto" w:fill="auto"/>
            <w:tcMar>
              <w:left w:w="101" w:type="dxa"/>
              <w:right w:w="101" w:type="dxa"/>
            </w:tcMar>
          </w:tcPr>
          <w:p w14:paraId="2E30596B"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Net Effect of Correction of an Error</w:t>
            </w:r>
          </w:p>
        </w:tc>
        <w:tc>
          <w:tcPr>
            <w:tcW w:w="1035" w:type="dxa"/>
            <w:tcBorders>
              <w:top w:val="nil"/>
              <w:left w:val="nil"/>
              <w:bottom w:val="nil"/>
              <w:right w:val="nil"/>
              <w:tl2br w:val="nil"/>
              <w:tr2bl w:val="nil"/>
            </w:tcBorders>
            <w:shd w:val="clear" w:color="FFFFFF" w:fill="FFFFFF"/>
            <w:noWrap/>
            <w:tcMar>
              <w:left w:w="101" w:type="dxa"/>
              <w:right w:w="161" w:type="dxa"/>
            </w:tcMar>
          </w:tcPr>
          <w:p w14:paraId="0FE336F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1 289</w:t>
            </w:r>
          </w:p>
        </w:tc>
        <w:tc>
          <w:tcPr>
            <w:tcW w:w="1035" w:type="dxa"/>
            <w:tcBorders>
              <w:top w:val="nil"/>
              <w:left w:val="nil"/>
              <w:bottom w:val="nil"/>
              <w:right w:val="nil"/>
              <w:tl2br w:val="nil"/>
              <w:tr2bl w:val="nil"/>
            </w:tcBorders>
            <w:shd w:val="clear" w:color="FFFFFF" w:fill="FFFFFF"/>
            <w:noWrap/>
            <w:tcMar>
              <w:left w:w="101" w:type="dxa"/>
              <w:right w:w="161" w:type="dxa"/>
            </w:tcMar>
          </w:tcPr>
          <w:p w14:paraId="1AC0541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5F6685D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noWrap/>
            <w:tcMar>
              <w:left w:w="101" w:type="dxa"/>
              <w:right w:w="161" w:type="dxa"/>
            </w:tcMar>
          </w:tcPr>
          <w:p w14:paraId="7B2A602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61" w:type="dxa"/>
            </w:tcMar>
          </w:tcPr>
          <w:p w14:paraId="23B69A9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9" w:type="dxa"/>
            <w:tcBorders>
              <w:top w:val="nil"/>
              <w:left w:val="nil"/>
              <w:bottom w:val="nil"/>
              <w:right w:val="nil"/>
              <w:tl2br w:val="nil"/>
              <w:tr2bl w:val="nil"/>
            </w:tcBorders>
            <w:shd w:val="clear" w:color="FFFFFF" w:fill="FFFFFF"/>
            <w:noWrap/>
            <w:tcMar>
              <w:left w:w="101" w:type="dxa"/>
              <w:right w:w="161" w:type="dxa"/>
            </w:tcMar>
          </w:tcPr>
          <w:p w14:paraId="2F55938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741D308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66E91F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(47 972)</w:t>
            </w:r>
          </w:p>
        </w:tc>
        <w:tc>
          <w:tcPr>
            <w:tcW w:w="2651" w:type="dxa"/>
            <w:tcBorders>
              <w:top w:val="nil"/>
              <w:left w:val="nil"/>
              <w:bottom w:val="nil"/>
              <w:right w:val="nil"/>
              <w:tl2br w:val="nil"/>
              <w:tr2bl w:val="nil"/>
            </w:tcBorders>
            <w:shd w:val="clear" w:color="auto" w:fill="auto"/>
            <w:tcMar>
              <w:left w:w="101" w:type="dxa"/>
              <w:right w:w="101" w:type="dxa"/>
            </w:tcMar>
          </w:tcPr>
          <w:p w14:paraId="1AE3B41D"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2C817EA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(45 795)</w:t>
            </w:r>
          </w:p>
        </w:tc>
        <w:tc>
          <w:tcPr>
            <w:tcW w:w="1035" w:type="dxa"/>
            <w:tcBorders>
              <w:top w:val="nil"/>
              <w:left w:val="nil"/>
              <w:bottom w:val="nil"/>
              <w:right w:val="nil"/>
              <w:tl2br w:val="nil"/>
              <w:tr2bl w:val="nil"/>
            </w:tcBorders>
            <w:shd w:val="clear" w:color="FFFFFF" w:fill="FFFFFF"/>
            <w:noWrap/>
            <w:tcMar>
              <w:left w:w="101" w:type="dxa"/>
              <w:right w:w="101" w:type="dxa"/>
            </w:tcMar>
          </w:tcPr>
          <w:p w14:paraId="7EE37B8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(48 299)</w:t>
            </w:r>
          </w:p>
        </w:tc>
        <w:tc>
          <w:tcPr>
            <w:tcW w:w="600" w:type="dxa"/>
            <w:tcBorders>
              <w:top w:val="nil"/>
              <w:left w:val="nil"/>
              <w:bottom w:val="nil"/>
              <w:right w:val="nil"/>
              <w:tl2br w:val="nil"/>
              <w:tr2bl w:val="nil"/>
            </w:tcBorders>
            <w:shd w:val="clear" w:color="FFFFFF" w:fill="FFFFFF"/>
            <w:noWrap/>
            <w:tcMar>
              <w:left w:w="101" w:type="dxa"/>
              <w:right w:w="101" w:type="dxa"/>
            </w:tcMar>
          </w:tcPr>
          <w:p w14:paraId="78075EE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-5 </w:t>
            </w:r>
          </w:p>
        </w:tc>
        <w:tc>
          <w:tcPr>
            <w:tcW w:w="1035" w:type="dxa"/>
            <w:tcBorders>
              <w:top w:val="nil"/>
              <w:left w:val="nil"/>
              <w:bottom w:val="nil"/>
              <w:right w:val="nil"/>
              <w:tl2br w:val="nil"/>
              <w:tr2bl w:val="nil"/>
            </w:tcBorders>
            <w:shd w:val="clear" w:color="FFFFFF" w:fill="FFFFFF"/>
            <w:noWrap/>
            <w:tcMar>
              <w:left w:w="101" w:type="dxa"/>
              <w:right w:w="101" w:type="dxa"/>
            </w:tcMar>
          </w:tcPr>
          <w:p w14:paraId="4DD0DB3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(50 773)</w:t>
            </w:r>
          </w:p>
        </w:tc>
        <w:tc>
          <w:tcPr>
            <w:tcW w:w="1035" w:type="dxa"/>
            <w:tcBorders>
              <w:top w:val="nil"/>
              <w:left w:val="nil"/>
              <w:bottom w:val="nil"/>
              <w:right w:val="nil"/>
              <w:tl2br w:val="nil"/>
              <w:tr2bl w:val="nil"/>
            </w:tcBorders>
            <w:shd w:val="clear" w:color="FFFFFF" w:fill="FFFFFF"/>
            <w:noWrap/>
            <w:tcMar>
              <w:left w:w="101" w:type="dxa"/>
              <w:right w:w="101" w:type="dxa"/>
            </w:tcMar>
          </w:tcPr>
          <w:p w14:paraId="6076032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(51 880)</w:t>
            </w:r>
          </w:p>
        </w:tc>
        <w:tc>
          <w:tcPr>
            <w:tcW w:w="1039" w:type="dxa"/>
            <w:tcBorders>
              <w:top w:val="nil"/>
              <w:left w:val="nil"/>
              <w:bottom w:val="nil"/>
              <w:right w:val="nil"/>
              <w:tl2br w:val="nil"/>
              <w:tr2bl w:val="nil"/>
            </w:tcBorders>
            <w:shd w:val="clear" w:color="FFFFFF" w:fill="FFFFFF"/>
            <w:noWrap/>
            <w:tcMar>
              <w:left w:w="101" w:type="dxa"/>
              <w:right w:w="101" w:type="dxa"/>
            </w:tcMar>
          </w:tcPr>
          <w:p w14:paraId="2A64B26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(52 871)</w:t>
            </w:r>
          </w:p>
        </w:tc>
      </w:tr>
      <w:tr w:rsidR="009832FC" w:rsidRPr="009832FC" w14:paraId="3C59A8C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61" w:type="dxa"/>
            </w:tcMar>
          </w:tcPr>
          <w:p w14:paraId="1EDC52D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651" w:type="dxa"/>
            <w:tcBorders>
              <w:top w:val="nil"/>
              <w:left w:val="nil"/>
              <w:bottom w:val="nil"/>
              <w:right w:val="nil"/>
              <w:tl2br w:val="nil"/>
              <w:tr2bl w:val="nil"/>
            </w:tcBorders>
            <w:shd w:val="clear" w:color="auto" w:fill="auto"/>
            <w:tcMar>
              <w:left w:w="101" w:type="dxa"/>
              <w:right w:w="101" w:type="dxa"/>
            </w:tcMar>
          </w:tcPr>
          <w:p w14:paraId="0563A043"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Inc/Dec in Asset Revaluation Reserve Surpluses</w:t>
            </w:r>
          </w:p>
        </w:tc>
        <w:tc>
          <w:tcPr>
            <w:tcW w:w="1035" w:type="dxa"/>
            <w:tcBorders>
              <w:top w:val="nil"/>
              <w:left w:val="nil"/>
              <w:bottom w:val="nil"/>
              <w:right w:val="nil"/>
              <w:tl2br w:val="nil"/>
              <w:tr2bl w:val="nil"/>
            </w:tcBorders>
            <w:shd w:val="clear" w:color="FFFFFF" w:fill="FFFFFF"/>
            <w:noWrap/>
            <w:tcMar>
              <w:left w:w="101" w:type="dxa"/>
              <w:right w:w="101" w:type="dxa"/>
            </w:tcMar>
          </w:tcPr>
          <w:p w14:paraId="5A07D1C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(381)</w:t>
            </w:r>
          </w:p>
        </w:tc>
        <w:tc>
          <w:tcPr>
            <w:tcW w:w="1035" w:type="dxa"/>
            <w:tcBorders>
              <w:top w:val="nil"/>
              <w:left w:val="nil"/>
              <w:bottom w:val="nil"/>
              <w:right w:val="nil"/>
              <w:tl2br w:val="nil"/>
              <w:tr2bl w:val="nil"/>
            </w:tcBorders>
            <w:shd w:val="clear" w:color="FFFFFF" w:fill="FFFFFF"/>
            <w:noWrap/>
            <w:tcMar>
              <w:left w:w="101" w:type="dxa"/>
              <w:right w:w="161" w:type="dxa"/>
            </w:tcMar>
          </w:tcPr>
          <w:p w14:paraId="7906A16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auto" w:fill="auto"/>
            <w:noWrap/>
            <w:tcMar>
              <w:left w:w="101" w:type="dxa"/>
              <w:right w:w="101" w:type="dxa"/>
            </w:tcMar>
          </w:tcPr>
          <w:p w14:paraId="0E6B6A9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noWrap/>
            <w:tcMar>
              <w:left w:w="101" w:type="dxa"/>
              <w:right w:w="161" w:type="dxa"/>
            </w:tcMar>
          </w:tcPr>
          <w:p w14:paraId="49E4680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61" w:type="dxa"/>
            </w:tcMar>
          </w:tcPr>
          <w:p w14:paraId="5A780AE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9" w:type="dxa"/>
            <w:tcBorders>
              <w:top w:val="nil"/>
              <w:left w:val="nil"/>
              <w:bottom w:val="nil"/>
              <w:right w:val="nil"/>
              <w:tl2br w:val="nil"/>
              <w:tr2bl w:val="nil"/>
            </w:tcBorders>
            <w:shd w:val="clear" w:color="FFFFFF" w:fill="FFFFFF"/>
            <w:noWrap/>
            <w:tcMar>
              <w:left w:w="101" w:type="dxa"/>
              <w:right w:w="161" w:type="dxa"/>
            </w:tcMar>
          </w:tcPr>
          <w:p w14:paraId="4A47B78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46DA385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6AD1DEE" w14:textId="77777777" w:rsidR="009832FC" w:rsidRPr="009832FC" w:rsidRDefault="009832FC" w:rsidP="009832FC">
            <w:pPr>
              <w:spacing w:before="0" w:after="0"/>
              <w:rPr>
                <w:rFonts w:eastAsia="Calibri" w:cs="Calibri"/>
                <w:color w:val="000000"/>
                <w:sz w:val="18"/>
                <w:szCs w:val="24"/>
                <w:lang w:eastAsia="en-AU"/>
              </w:rPr>
            </w:pPr>
          </w:p>
        </w:tc>
        <w:tc>
          <w:tcPr>
            <w:tcW w:w="2651" w:type="dxa"/>
            <w:tcBorders>
              <w:top w:val="nil"/>
              <w:left w:val="nil"/>
              <w:bottom w:val="nil"/>
              <w:right w:val="nil"/>
              <w:tl2br w:val="nil"/>
              <w:tr2bl w:val="nil"/>
            </w:tcBorders>
            <w:shd w:val="clear" w:color="FFFFFF" w:fill="FFFFFF"/>
            <w:tcMar>
              <w:left w:w="0" w:type="dxa"/>
              <w:right w:w="0" w:type="dxa"/>
            </w:tcMar>
          </w:tcPr>
          <w:p w14:paraId="4A62176A"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029233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37AE92"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3430F17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4ACB86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12A19AA" w14:textId="77777777" w:rsidR="009832FC" w:rsidRPr="009832FC" w:rsidRDefault="009832FC" w:rsidP="009832FC">
            <w:pPr>
              <w:spacing w:before="0" w:after="0"/>
              <w:rPr>
                <w:rFonts w:eastAsia="Calibri" w:cs="Calibri"/>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4727399E"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7AB0C4C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CB0540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(47 972)</w:t>
            </w:r>
          </w:p>
        </w:tc>
        <w:tc>
          <w:tcPr>
            <w:tcW w:w="2651" w:type="dxa"/>
            <w:tcBorders>
              <w:top w:val="nil"/>
              <w:left w:val="nil"/>
              <w:bottom w:val="nil"/>
              <w:right w:val="nil"/>
              <w:tl2br w:val="nil"/>
              <w:tr2bl w:val="nil"/>
            </w:tcBorders>
            <w:shd w:val="clear" w:color="FFFFFF" w:fill="FFFFFF"/>
            <w:tcMar>
              <w:left w:w="101" w:type="dxa"/>
              <w:right w:w="101" w:type="dxa"/>
            </w:tcMar>
          </w:tcPr>
          <w:p w14:paraId="53942BAB"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765C0F8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(44 887)</w:t>
            </w:r>
          </w:p>
        </w:tc>
        <w:tc>
          <w:tcPr>
            <w:tcW w:w="1035" w:type="dxa"/>
            <w:tcBorders>
              <w:top w:val="nil"/>
              <w:left w:val="nil"/>
              <w:bottom w:val="nil"/>
              <w:right w:val="nil"/>
              <w:tl2br w:val="nil"/>
              <w:tr2bl w:val="nil"/>
            </w:tcBorders>
            <w:shd w:val="clear" w:color="FFFFFF" w:fill="FFFFFF"/>
            <w:noWrap/>
            <w:tcMar>
              <w:left w:w="101" w:type="dxa"/>
              <w:right w:w="101" w:type="dxa"/>
            </w:tcMar>
          </w:tcPr>
          <w:p w14:paraId="44CC375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(48 299)</w:t>
            </w:r>
          </w:p>
        </w:tc>
        <w:tc>
          <w:tcPr>
            <w:tcW w:w="600" w:type="dxa"/>
            <w:tcBorders>
              <w:top w:val="nil"/>
              <w:left w:val="nil"/>
              <w:bottom w:val="nil"/>
              <w:right w:val="nil"/>
              <w:tl2br w:val="nil"/>
              <w:tr2bl w:val="nil"/>
            </w:tcBorders>
            <w:shd w:val="clear" w:color="FFFFFF" w:fill="FFFFFF"/>
            <w:noWrap/>
            <w:tcMar>
              <w:left w:w="101" w:type="dxa"/>
              <w:right w:w="101" w:type="dxa"/>
            </w:tcMar>
          </w:tcPr>
          <w:p w14:paraId="6973A5C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noWrap/>
            <w:tcMar>
              <w:left w:w="101" w:type="dxa"/>
              <w:right w:w="101" w:type="dxa"/>
            </w:tcMar>
          </w:tcPr>
          <w:p w14:paraId="14AC6ED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(50 773)</w:t>
            </w:r>
          </w:p>
        </w:tc>
        <w:tc>
          <w:tcPr>
            <w:tcW w:w="1035" w:type="dxa"/>
            <w:tcBorders>
              <w:top w:val="nil"/>
              <w:left w:val="nil"/>
              <w:bottom w:val="nil"/>
              <w:right w:val="nil"/>
              <w:tl2br w:val="nil"/>
              <w:tr2bl w:val="nil"/>
            </w:tcBorders>
            <w:shd w:val="clear" w:color="FFFFFF" w:fill="FFFFFF"/>
            <w:noWrap/>
            <w:tcMar>
              <w:left w:w="101" w:type="dxa"/>
              <w:right w:w="101" w:type="dxa"/>
            </w:tcMar>
          </w:tcPr>
          <w:p w14:paraId="3625A90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(51 880)</w:t>
            </w:r>
          </w:p>
        </w:tc>
        <w:tc>
          <w:tcPr>
            <w:tcW w:w="1039" w:type="dxa"/>
            <w:tcBorders>
              <w:top w:val="nil"/>
              <w:left w:val="nil"/>
              <w:bottom w:val="nil"/>
              <w:right w:val="nil"/>
              <w:tl2br w:val="nil"/>
              <w:tr2bl w:val="nil"/>
            </w:tcBorders>
            <w:shd w:val="clear" w:color="FFFFFF" w:fill="FFFFFF"/>
            <w:noWrap/>
            <w:tcMar>
              <w:left w:w="101" w:type="dxa"/>
              <w:right w:w="101" w:type="dxa"/>
            </w:tcMar>
          </w:tcPr>
          <w:p w14:paraId="5DD2CA8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(52 871)</w:t>
            </w:r>
          </w:p>
        </w:tc>
      </w:tr>
      <w:tr w:rsidR="009832FC" w:rsidRPr="009832FC" w14:paraId="3728590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A7B0746" w14:textId="77777777" w:rsidR="009832FC" w:rsidRPr="009832FC" w:rsidRDefault="009832FC" w:rsidP="009832FC">
            <w:pPr>
              <w:spacing w:before="0" w:after="0"/>
              <w:rPr>
                <w:rFonts w:eastAsia="Calibri" w:cs="Calibri"/>
                <w:color w:val="000000"/>
                <w:sz w:val="18"/>
                <w:szCs w:val="24"/>
                <w:lang w:eastAsia="en-AU"/>
              </w:rPr>
            </w:pPr>
          </w:p>
        </w:tc>
        <w:tc>
          <w:tcPr>
            <w:tcW w:w="2651" w:type="dxa"/>
            <w:tcBorders>
              <w:top w:val="nil"/>
              <w:left w:val="nil"/>
              <w:bottom w:val="nil"/>
              <w:right w:val="nil"/>
              <w:tl2br w:val="nil"/>
              <w:tr2bl w:val="nil"/>
            </w:tcBorders>
            <w:shd w:val="clear" w:color="FFFFFF" w:fill="FFFFFF"/>
            <w:tcMar>
              <w:left w:w="0" w:type="dxa"/>
              <w:right w:w="0" w:type="dxa"/>
            </w:tcMar>
          </w:tcPr>
          <w:p w14:paraId="0CD2ECC3"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D1B0A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1720EBF"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5FAC6B5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49E93B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94B1CA" w14:textId="77777777" w:rsidR="009832FC" w:rsidRPr="009832FC" w:rsidRDefault="009832FC" w:rsidP="009832FC">
            <w:pPr>
              <w:spacing w:before="0" w:after="0"/>
              <w:rPr>
                <w:rFonts w:eastAsia="Calibri" w:cs="Calibri"/>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1D7546C3"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0F8245D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1ECE04D" w14:textId="77777777" w:rsidR="009832FC" w:rsidRPr="009832FC" w:rsidRDefault="009832FC" w:rsidP="009832FC">
            <w:pPr>
              <w:spacing w:before="0" w:after="0"/>
              <w:rPr>
                <w:rFonts w:eastAsia="Calibri" w:cs="Calibri"/>
                <w:color w:val="000000"/>
                <w:sz w:val="18"/>
                <w:szCs w:val="24"/>
                <w:lang w:eastAsia="en-AU"/>
              </w:rPr>
            </w:pPr>
          </w:p>
        </w:tc>
        <w:tc>
          <w:tcPr>
            <w:tcW w:w="2651" w:type="dxa"/>
            <w:tcBorders>
              <w:top w:val="nil"/>
              <w:left w:val="nil"/>
              <w:bottom w:val="nil"/>
              <w:right w:val="nil"/>
              <w:tl2br w:val="nil"/>
              <w:tr2bl w:val="nil"/>
            </w:tcBorders>
            <w:shd w:val="clear" w:color="FFFFFF" w:fill="FFFFFF"/>
            <w:tcMar>
              <w:left w:w="0" w:type="dxa"/>
              <w:right w:w="0" w:type="dxa"/>
            </w:tcMar>
          </w:tcPr>
          <w:p w14:paraId="1765B3A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3A8F02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1282CD"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2830E2DE"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7C23C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7688C7" w14:textId="77777777" w:rsidR="009832FC" w:rsidRPr="009832FC" w:rsidRDefault="009832FC" w:rsidP="009832FC">
            <w:pPr>
              <w:spacing w:before="0" w:after="0"/>
              <w:rPr>
                <w:rFonts w:eastAsia="Calibri" w:cs="Calibri"/>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456A0658"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8CB886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13BD59B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2651" w:type="dxa"/>
            <w:tcBorders>
              <w:top w:val="nil"/>
              <w:left w:val="nil"/>
              <w:bottom w:val="nil"/>
              <w:right w:val="nil"/>
              <w:tl2br w:val="nil"/>
              <w:tr2bl w:val="nil"/>
            </w:tcBorders>
            <w:shd w:val="clear" w:color="auto" w:fill="auto"/>
            <w:tcMar>
              <w:left w:w="101" w:type="dxa"/>
              <w:right w:w="101" w:type="dxa"/>
            </w:tcMar>
          </w:tcPr>
          <w:p w14:paraId="62268AF4"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Movement in Reserves</w:t>
            </w:r>
          </w:p>
        </w:tc>
        <w:tc>
          <w:tcPr>
            <w:tcW w:w="1035" w:type="dxa"/>
            <w:tcBorders>
              <w:top w:val="nil"/>
              <w:left w:val="nil"/>
              <w:bottom w:val="nil"/>
              <w:right w:val="nil"/>
              <w:tl2br w:val="nil"/>
              <w:tr2bl w:val="nil"/>
            </w:tcBorders>
            <w:shd w:val="clear" w:color="FFFFFF" w:fill="FFFFFF"/>
            <w:noWrap/>
            <w:tcMar>
              <w:left w:w="101" w:type="dxa"/>
              <w:right w:w="161" w:type="dxa"/>
            </w:tcMar>
          </w:tcPr>
          <w:p w14:paraId="7BADA08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61" w:type="dxa"/>
            </w:tcMar>
          </w:tcPr>
          <w:p w14:paraId="4EF579B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3A4A834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noWrap/>
            <w:tcMar>
              <w:left w:w="101" w:type="dxa"/>
              <w:right w:w="161" w:type="dxa"/>
            </w:tcMar>
          </w:tcPr>
          <w:p w14:paraId="579BC81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61" w:type="dxa"/>
            </w:tcMar>
          </w:tcPr>
          <w:p w14:paraId="0E57C6C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9" w:type="dxa"/>
            <w:tcBorders>
              <w:top w:val="nil"/>
              <w:left w:val="nil"/>
              <w:bottom w:val="nil"/>
              <w:right w:val="nil"/>
              <w:tl2br w:val="nil"/>
              <w:tr2bl w:val="nil"/>
            </w:tcBorders>
            <w:shd w:val="clear" w:color="FFFFFF" w:fill="FFFFFF"/>
            <w:noWrap/>
            <w:tcMar>
              <w:left w:w="101" w:type="dxa"/>
              <w:right w:w="161" w:type="dxa"/>
            </w:tcMar>
          </w:tcPr>
          <w:p w14:paraId="5872023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7C53B64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33C35B4" w14:textId="77777777" w:rsidR="009832FC" w:rsidRPr="009832FC" w:rsidRDefault="009832FC" w:rsidP="009832FC">
            <w:pPr>
              <w:spacing w:before="0" w:after="0"/>
              <w:rPr>
                <w:rFonts w:eastAsia="Calibri" w:cs="Calibri"/>
                <w:color w:val="000000"/>
                <w:sz w:val="18"/>
                <w:szCs w:val="24"/>
                <w:lang w:eastAsia="en-AU"/>
              </w:rPr>
            </w:pPr>
          </w:p>
        </w:tc>
        <w:tc>
          <w:tcPr>
            <w:tcW w:w="2651" w:type="dxa"/>
            <w:tcBorders>
              <w:top w:val="nil"/>
              <w:left w:val="nil"/>
              <w:bottom w:val="nil"/>
              <w:right w:val="nil"/>
              <w:tl2br w:val="nil"/>
              <w:tr2bl w:val="nil"/>
            </w:tcBorders>
            <w:shd w:val="clear" w:color="FFFFFF" w:fill="FFFFFF"/>
            <w:tcMar>
              <w:left w:w="0" w:type="dxa"/>
              <w:right w:w="0" w:type="dxa"/>
            </w:tcMar>
          </w:tcPr>
          <w:p w14:paraId="57E4F7E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075DF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ADA387"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17674C1C"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0DF8E6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6638FE" w14:textId="77777777" w:rsidR="009832FC" w:rsidRPr="009832FC" w:rsidRDefault="009832FC" w:rsidP="009832FC">
            <w:pPr>
              <w:spacing w:before="0" w:after="0"/>
              <w:rPr>
                <w:rFonts w:eastAsia="Calibri" w:cs="Calibri"/>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2BA537A0"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A060B9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285F5F4" w14:textId="77777777" w:rsidR="009832FC" w:rsidRPr="009832FC" w:rsidRDefault="009832FC" w:rsidP="009832FC">
            <w:pPr>
              <w:spacing w:before="0" w:after="0"/>
              <w:rPr>
                <w:rFonts w:eastAsia="Calibri" w:cs="Calibri"/>
                <w:color w:val="000000"/>
                <w:sz w:val="18"/>
                <w:szCs w:val="24"/>
                <w:lang w:eastAsia="en-AU"/>
              </w:rPr>
            </w:pPr>
          </w:p>
        </w:tc>
        <w:tc>
          <w:tcPr>
            <w:tcW w:w="8430" w:type="dxa"/>
            <w:gridSpan w:val="7"/>
            <w:tcBorders>
              <w:top w:val="nil"/>
              <w:left w:val="nil"/>
              <w:bottom w:val="nil"/>
              <w:right w:val="nil"/>
              <w:tl2br w:val="nil"/>
              <w:tr2bl w:val="nil"/>
            </w:tcBorders>
            <w:shd w:val="clear" w:color="auto" w:fill="auto"/>
            <w:tcMar>
              <w:left w:w="101" w:type="dxa"/>
              <w:right w:w="101" w:type="dxa"/>
            </w:tcMar>
          </w:tcPr>
          <w:p w14:paraId="583951DA"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Transactions Involving Owners Affecting Accumulated Funds</w:t>
            </w:r>
          </w:p>
        </w:tc>
      </w:tr>
      <w:tr w:rsidR="009832FC" w:rsidRPr="009832FC" w14:paraId="6CA8190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44F748D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83 731</w:t>
            </w:r>
          </w:p>
        </w:tc>
        <w:tc>
          <w:tcPr>
            <w:tcW w:w="2651" w:type="dxa"/>
            <w:tcBorders>
              <w:top w:val="nil"/>
              <w:left w:val="nil"/>
              <w:bottom w:val="nil"/>
              <w:right w:val="nil"/>
              <w:tl2br w:val="nil"/>
              <w:tr2bl w:val="nil"/>
            </w:tcBorders>
            <w:shd w:val="clear" w:color="FFFFFF" w:fill="FFFFFF"/>
            <w:tcMar>
              <w:left w:w="101" w:type="dxa"/>
              <w:right w:w="101" w:type="dxa"/>
            </w:tcMar>
          </w:tcPr>
          <w:p w14:paraId="5DB247A8"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Capital Injections</w:t>
            </w:r>
          </w:p>
        </w:tc>
        <w:tc>
          <w:tcPr>
            <w:tcW w:w="1035" w:type="dxa"/>
            <w:tcBorders>
              <w:top w:val="nil"/>
              <w:left w:val="nil"/>
              <w:bottom w:val="nil"/>
              <w:right w:val="nil"/>
              <w:tl2br w:val="nil"/>
              <w:tr2bl w:val="nil"/>
            </w:tcBorders>
            <w:shd w:val="clear" w:color="FFFFFF" w:fill="FFFFFF"/>
            <w:noWrap/>
            <w:tcMar>
              <w:left w:w="101" w:type="dxa"/>
              <w:right w:w="161" w:type="dxa"/>
            </w:tcMar>
          </w:tcPr>
          <w:p w14:paraId="1B73D2E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53 120</w:t>
            </w:r>
          </w:p>
        </w:tc>
        <w:tc>
          <w:tcPr>
            <w:tcW w:w="1035" w:type="dxa"/>
            <w:tcBorders>
              <w:top w:val="nil"/>
              <w:left w:val="nil"/>
              <w:bottom w:val="nil"/>
              <w:right w:val="nil"/>
              <w:tl2br w:val="nil"/>
              <w:tr2bl w:val="nil"/>
            </w:tcBorders>
            <w:shd w:val="clear" w:color="FFFFFF" w:fill="FFFFFF"/>
            <w:noWrap/>
            <w:tcMar>
              <w:left w:w="101" w:type="dxa"/>
              <w:right w:w="161" w:type="dxa"/>
            </w:tcMar>
          </w:tcPr>
          <w:p w14:paraId="456F67D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67 847</w:t>
            </w:r>
          </w:p>
        </w:tc>
        <w:tc>
          <w:tcPr>
            <w:tcW w:w="600" w:type="dxa"/>
            <w:tcBorders>
              <w:top w:val="nil"/>
              <w:left w:val="nil"/>
              <w:bottom w:val="nil"/>
              <w:right w:val="nil"/>
              <w:tl2br w:val="nil"/>
              <w:tr2bl w:val="nil"/>
            </w:tcBorders>
            <w:shd w:val="clear" w:color="FFFFFF" w:fill="FFFFFF"/>
            <w:noWrap/>
            <w:tcMar>
              <w:left w:w="101" w:type="dxa"/>
              <w:right w:w="101" w:type="dxa"/>
            </w:tcMar>
          </w:tcPr>
          <w:p w14:paraId="5DF0C26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28 </w:t>
            </w:r>
          </w:p>
        </w:tc>
        <w:tc>
          <w:tcPr>
            <w:tcW w:w="1035" w:type="dxa"/>
            <w:tcBorders>
              <w:top w:val="nil"/>
              <w:left w:val="nil"/>
              <w:bottom w:val="nil"/>
              <w:right w:val="nil"/>
              <w:tl2br w:val="nil"/>
              <w:tr2bl w:val="nil"/>
            </w:tcBorders>
            <w:shd w:val="clear" w:color="FFFFFF" w:fill="FFFFFF"/>
            <w:noWrap/>
            <w:tcMar>
              <w:left w:w="101" w:type="dxa"/>
              <w:right w:w="161" w:type="dxa"/>
            </w:tcMar>
          </w:tcPr>
          <w:p w14:paraId="785FEFC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73 045</w:t>
            </w:r>
          </w:p>
        </w:tc>
        <w:tc>
          <w:tcPr>
            <w:tcW w:w="1035" w:type="dxa"/>
            <w:tcBorders>
              <w:top w:val="nil"/>
              <w:left w:val="nil"/>
              <w:bottom w:val="nil"/>
              <w:right w:val="nil"/>
              <w:tl2br w:val="nil"/>
              <w:tr2bl w:val="nil"/>
            </w:tcBorders>
            <w:shd w:val="clear" w:color="FFFFFF" w:fill="FFFFFF"/>
            <w:noWrap/>
            <w:tcMar>
              <w:left w:w="101" w:type="dxa"/>
              <w:right w:w="161" w:type="dxa"/>
            </w:tcMar>
          </w:tcPr>
          <w:p w14:paraId="137F25E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11 034</w:t>
            </w:r>
          </w:p>
        </w:tc>
        <w:tc>
          <w:tcPr>
            <w:tcW w:w="1039" w:type="dxa"/>
            <w:tcBorders>
              <w:top w:val="nil"/>
              <w:left w:val="nil"/>
              <w:bottom w:val="nil"/>
              <w:right w:val="nil"/>
              <w:tl2br w:val="nil"/>
              <w:tr2bl w:val="nil"/>
            </w:tcBorders>
            <w:shd w:val="clear" w:color="FFFFFF" w:fill="FFFFFF"/>
            <w:noWrap/>
            <w:tcMar>
              <w:left w:w="101" w:type="dxa"/>
              <w:right w:w="161" w:type="dxa"/>
            </w:tcMar>
          </w:tcPr>
          <w:p w14:paraId="0FDEAD3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4 545</w:t>
            </w:r>
          </w:p>
        </w:tc>
      </w:tr>
      <w:tr w:rsidR="009832FC" w:rsidRPr="009832FC" w14:paraId="2EC1336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61" w:type="dxa"/>
            </w:tcMar>
          </w:tcPr>
          <w:p w14:paraId="07D6148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651" w:type="dxa"/>
            <w:tcBorders>
              <w:top w:val="nil"/>
              <w:left w:val="nil"/>
              <w:bottom w:val="nil"/>
              <w:right w:val="nil"/>
              <w:tl2br w:val="nil"/>
              <w:tr2bl w:val="nil"/>
            </w:tcBorders>
            <w:shd w:val="clear" w:color="auto" w:fill="auto"/>
            <w:tcMar>
              <w:left w:w="101" w:type="dxa"/>
              <w:right w:w="101" w:type="dxa"/>
            </w:tcMar>
          </w:tcPr>
          <w:p w14:paraId="3ADDCB1E"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Inc/Dec in Net Assets due to Admin Restructure</w:t>
            </w:r>
          </w:p>
        </w:tc>
        <w:tc>
          <w:tcPr>
            <w:tcW w:w="1035" w:type="dxa"/>
            <w:tcBorders>
              <w:top w:val="nil"/>
              <w:left w:val="nil"/>
              <w:bottom w:val="nil"/>
              <w:right w:val="nil"/>
              <w:tl2br w:val="nil"/>
              <w:tr2bl w:val="nil"/>
            </w:tcBorders>
            <w:shd w:val="clear" w:color="FFFFFF" w:fill="FFFFFF"/>
            <w:noWrap/>
            <w:tcMar>
              <w:left w:w="101" w:type="dxa"/>
              <w:right w:w="161" w:type="dxa"/>
            </w:tcMar>
          </w:tcPr>
          <w:p w14:paraId="69C61C7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41 010</w:t>
            </w:r>
          </w:p>
        </w:tc>
        <w:tc>
          <w:tcPr>
            <w:tcW w:w="1035" w:type="dxa"/>
            <w:tcBorders>
              <w:top w:val="nil"/>
              <w:left w:val="nil"/>
              <w:bottom w:val="nil"/>
              <w:right w:val="nil"/>
              <w:tl2br w:val="nil"/>
              <w:tr2bl w:val="nil"/>
            </w:tcBorders>
            <w:shd w:val="clear" w:color="FFFFFF" w:fill="FFFFFF"/>
            <w:noWrap/>
            <w:tcMar>
              <w:left w:w="101" w:type="dxa"/>
              <w:right w:w="161" w:type="dxa"/>
            </w:tcMar>
          </w:tcPr>
          <w:p w14:paraId="703E972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2C3AC86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noWrap/>
            <w:tcMar>
              <w:left w:w="101" w:type="dxa"/>
              <w:right w:w="161" w:type="dxa"/>
            </w:tcMar>
          </w:tcPr>
          <w:p w14:paraId="6626171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61" w:type="dxa"/>
            </w:tcMar>
          </w:tcPr>
          <w:p w14:paraId="5E4FBB3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9" w:type="dxa"/>
            <w:tcBorders>
              <w:top w:val="nil"/>
              <w:left w:val="nil"/>
              <w:bottom w:val="nil"/>
              <w:right w:val="nil"/>
              <w:tl2br w:val="nil"/>
              <w:tr2bl w:val="nil"/>
            </w:tcBorders>
            <w:shd w:val="clear" w:color="FFFFFF" w:fill="FFFFFF"/>
            <w:noWrap/>
            <w:tcMar>
              <w:left w:w="101" w:type="dxa"/>
              <w:right w:w="161" w:type="dxa"/>
            </w:tcMar>
          </w:tcPr>
          <w:p w14:paraId="33CF321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6E680F7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4DF0111" w14:textId="77777777" w:rsidR="009832FC" w:rsidRPr="009832FC" w:rsidRDefault="009832FC" w:rsidP="009832FC">
            <w:pPr>
              <w:spacing w:before="0" w:after="0"/>
              <w:rPr>
                <w:rFonts w:eastAsia="Calibri" w:cs="Calibri"/>
                <w:color w:val="000000"/>
                <w:sz w:val="18"/>
                <w:szCs w:val="24"/>
                <w:lang w:eastAsia="en-AU"/>
              </w:rPr>
            </w:pPr>
          </w:p>
        </w:tc>
        <w:tc>
          <w:tcPr>
            <w:tcW w:w="2651" w:type="dxa"/>
            <w:tcBorders>
              <w:top w:val="nil"/>
              <w:left w:val="nil"/>
              <w:bottom w:val="nil"/>
              <w:right w:val="nil"/>
              <w:tl2br w:val="nil"/>
              <w:tr2bl w:val="nil"/>
            </w:tcBorders>
            <w:shd w:val="clear" w:color="FFFFFF" w:fill="FFFFFF"/>
            <w:tcMar>
              <w:left w:w="0" w:type="dxa"/>
              <w:right w:w="0" w:type="dxa"/>
            </w:tcMar>
          </w:tcPr>
          <w:p w14:paraId="3A38B78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E675E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4655BF"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45543BA8"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81698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EB97306" w14:textId="77777777" w:rsidR="009832FC" w:rsidRPr="009832FC" w:rsidRDefault="009832FC" w:rsidP="009832FC">
            <w:pPr>
              <w:spacing w:before="0" w:after="0"/>
              <w:rPr>
                <w:rFonts w:eastAsia="Calibri" w:cs="Calibri"/>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6B7E7C00"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AE14B9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61" w:type="dxa"/>
            </w:tcMar>
          </w:tcPr>
          <w:p w14:paraId="292772F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83 731</w:t>
            </w:r>
          </w:p>
        </w:tc>
        <w:tc>
          <w:tcPr>
            <w:tcW w:w="2651" w:type="dxa"/>
            <w:tcBorders>
              <w:top w:val="nil"/>
              <w:left w:val="nil"/>
              <w:bottom w:val="nil"/>
              <w:right w:val="nil"/>
              <w:tl2br w:val="nil"/>
              <w:tr2bl w:val="nil"/>
            </w:tcBorders>
            <w:shd w:val="clear" w:color="auto" w:fill="auto"/>
            <w:tcMar>
              <w:left w:w="101" w:type="dxa"/>
              <w:right w:w="101" w:type="dxa"/>
            </w:tcMar>
          </w:tcPr>
          <w:p w14:paraId="697198D6"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61" w:type="dxa"/>
            </w:tcMar>
          </w:tcPr>
          <w:p w14:paraId="46012B4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94 130</w:t>
            </w:r>
          </w:p>
        </w:tc>
        <w:tc>
          <w:tcPr>
            <w:tcW w:w="1035" w:type="dxa"/>
            <w:tcBorders>
              <w:top w:val="nil"/>
              <w:left w:val="nil"/>
              <w:bottom w:val="nil"/>
              <w:right w:val="nil"/>
              <w:tl2br w:val="nil"/>
              <w:tr2bl w:val="nil"/>
            </w:tcBorders>
            <w:shd w:val="clear" w:color="FFFFFF" w:fill="FFFFFF"/>
            <w:noWrap/>
            <w:tcMar>
              <w:left w:w="101" w:type="dxa"/>
              <w:right w:w="161" w:type="dxa"/>
            </w:tcMar>
          </w:tcPr>
          <w:p w14:paraId="35E6EF7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67 847</w:t>
            </w:r>
          </w:p>
        </w:tc>
        <w:tc>
          <w:tcPr>
            <w:tcW w:w="600" w:type="dxa"/>
            <w:tcBorders>
              <w:top w:val="nil"/>
              <w:left w:val="nil"/>
              <w:bottom w:val="nil"/>
              <w:right w:val="nil"/>
              <w:tl2br w:val="nil"/>
              <w:tr2bl w:val="nil"/>
            </w:tcBorders>
            <w:shd w:val="clear" w:color="FFFFFF" w:fill="FFFFFF"/>
            <w:noWrap/>
            <w:tcMar>
              <w:left w:w="101" w:type="dxa"/>
              <w:right w:w="101" w:type="dxa"/>
            </w:tcMar>
          </w:tcPr>
          <w:p w14:paraId="777E189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-28 </w:t>
            </w:r>
          </w:p>
        </w:tc>
        <w:tc>
          <w:tcPr>
            <w:tcW w:w="1035" w:type="dxa"/>
            <w:tcBorders>
              <w:top w:val="nil"/>
              <w:left w:val="nil"/>
              <w:bottom w:val="nil"/>
              <w:right w:val="nil"/>
              <w:tl2br w:val="nil"/>
              <w:tr2bl w:val="nil"/>
            </w:tcBorders>
            <w:shd w:val="clear" w:color="FFFFFF" w:fill="FFFFFF"/>
            <w:noWrap/>
            <w:tcMar>
              <w:left w:w="101" w:type="dxa"/>
              <w:right w:w="161" w:type="dxa"/>
            </w:tcMar>
          </w:tcPr>
          <w:p w14:paraId="3B829A6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73 045</w:t>
            </w:r>
          </w:p>
        </w:tc>
        <w:tc>
          <w:tcPr>
            <w:tcW w:w="1035" w:type="dxa"/>
            <w:tcBorders>
              <w:top w:val="nil"/>
              <w:left w:val="nil"/>
              <w:bottom w:val="nil"/>
              <w:right w:val="nil"/>
              <w:tl2br w:val="nil"/>
              <w:tr2bl w:val="nil"/>
            </w:tcBorders>
            <w:shd w:val="clear" w:color="FFFFFF" w:fill="FFFFFF"/>
            <w:noWrap/>
            <w:tcMar>
              <w:left w:w="101" w:type="dxa"/>
              <w:right w:w="161" w:type="dxa"/>
            </w:tcMar>
          </w:tcPr>
          <w:p w14:paraId="1C69F56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11 034</w:t>
            </w:r>
          </w:p>
        </w:tc>
        <w:tc>
          <w:tcPr>
            <w:tcW w:w="1039" w:type="dxa"/>
            <w:tcBorders>
              <w:top w:val="nil"/>
              <w:left w:val="nil"/>
              <w:bottom w:val="nil"/>
              <w:right w:val="nil"/>
              <w:tl2br w:val="nil"/>
              <w:tr2bl w:val="nil"/>
            </w:tcBorders>
            <w:shd w:val="clear" w:color="FFFFFF" w:fill="FFFFFF"/>
            <w:noWrap/>
            <w:tcMar>
              <w:left w:w="101" w:type="dxa"/>
              <w:right w:w="161" w:type="dxa"/>
            </w:tcMar>
          </w:tcPr>
          <w:p w14:paraId="27F91D2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4 545</w:t>
            </w:r>
          </w:p>
        </w:tc>
      </w:tr>
      <w:tr w:rsidR="009832FC" w:rsidRPr="009832FC" w14:paraId="42C61E3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01DF6E9" w14:textId="77777777" w:rsidR="009832FC" w:rsidRPr="009832FC" w:rsidRDefault="009832FC" w:rsidP="009832FC">
            <w:pPr>
              <w:spacing w:before="0" w:after="0"/>
              <w:rPr>
                <w:rFonts w:eastAsia="Calibri" w:cs="Calibri"/>
                <w:color w:val="000000"/>
                <w:sz w:val="18"/>
                <w:szCs w:val="24"/>
                <w:lang w:eastAsia="en-AU"/>
              </w:rPr>
            </w:pPr>
          </w:p>
        </w:tc>
        <w:tc>
          <w:tcPr>
            <w:tcW w:w="2651" w:type="dxa"/>
            <w:tcBorders>
              <w:top w:val="nil"/>
              <w:left w:val="nil"/>
              <w:bottom w:val="nil"/>
              <w:right w:val="nil"/>
              <w:tl2br w:val="nil"/>
              <w:tr2bl w:val="nil"/>
            </w:tcBorders>
            <w:shd w:val="clear" w:color="FFFFFF" w:fill="FFFFFF"/>
            <w:tcMar>
              <w:left w:w="0" w:type="dxa"/>
              <w:right w:w="0" w:type="dxa"/>
            </w:tcMar>
          </w:tcPr>
          <w:p w14:paraId="289629A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3C9B44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16E1BE"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64DEDB7C"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4971D5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4E08D2" w14:textId="77777777" w:rsidR="009832FC" w:rsidRPr="009832FC" w:rsidRDefault="009832FC" w:rsidP="009832FC">
            <w:pPr>
              <w:spacing w:before="0" w:after="0"/>
              <w:rPr>
                <w:rFonts w:eastAsia="Calibri" w:cs="Calibri"/>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00B53530"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08DEDC4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5814100" w14:textId="77777777" w:rsidR="009832FC" w:rsidRPr="009832FC" w:rsidRDefault="009832FC" w:rsidP="009832FC">
            <w:pPr>
              <w:spacing w:before="0" w:after="0"/>
              <w:rPr>
                <w:rFonts w:eastAsia="Calibri" w:cs="Calibri"/>
                <w:color w:val="000000"/>
                <w:sz w:val="18"/>
                <w:szCs w:val="24"/>
                <w:lang w:eastAsia="en-AU"/>
              </w:rPr>
            </w:pPr>
          </w:p>
        </w:tc>
        <w:tc>
          <w:tcPr>
            <w:tcW w:w="2651" w:type="dxa"/>
            <w:tcBorders>
              <w:top w:val="nil"/>
              <w:left w:val="nil"/>
              <w:bottom w:val="nil"/>
              <w:right w:val="nil"/>
              <w:tl2br w:val="nil"/>
              <w:tr2bl w:val="nil"/>
            </w:tcBorders>
            <w:shd w:val="clear" w:color="auto" w:fill="auto"/>
            <w:tcMar>
              <w:left w:w="101" w:type="dxa"/>
              <w:right w:w="101" w:type="dxa"/>
            </w:tcMar>
          </w:tcPr>
          <w:p w14:paraId="0AA78454"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578C507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CF90B01"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3927EA4C"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5443A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AB3E934" w14:textId="77777777" w:rsidR="009832FC" w:rsidRPr="009832FC" w:rsidRDefault="009832FC" w:rsidP="009832FC">
            <w:pPr>
              <w:spacing w:before="0" w:after="0"/>
              <w:rPr>
                <w:rFonts w:eastAsia="Calibri" w:cs="Calibri"/>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63066F0B"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3A41651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68B55D1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878 526</w:t>
            </w:r>
          </w:p>
        </w:tc>
        <w:tc>
          <w:tcPr>
            <w:tcW w:w="2651" w:type="dxa"/>
            <w:tcBorders>
              <w:top w:val="nil"/>
              <w:left w:val="nil"/>
              <w:bottom w:val="nil"/>
              <w:right w:val="nil"/>
              <w:tl2br w:val="nil"/>
              <w:tr2bl w:val="nil"/>
            </w:tcBorders>
            <w:shd w:val="clear" w:color="auto" w:fill="auto"/>
            <w:tcMar>
              <w:left w:w="101" w:type="dxa"/>
              <w:right w:w="101" w:type="dxa"/>
            </w:tcMar>
          </w:tcPr>
          <w:p w14:paraId="10C23320"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Closing Accumulated Funds</w:t>
            </w:r>
          </w:p>
        </w:tc>
        <w:tc>
          <w:tcPr>
            <w:tcW w:w="1035" w:type="dxa"/>
            <w:tcBorders>
              <w:top w:val="nil"/>
              <w:left w:val="nil"/>
              <w:bottom w:val="nil"/>
              <w:right w:val="nil"/>
              <w:tl2br w:val="nil"/>
              <w:tr2bl w:val="nil"/>
            </w:tcBorders>
            <w:shd w:val="clear" w:color="FFFFFF" w:fill="FFFFFF"/>
            <w:noWrap/>
            <w:tcMar>
              <w:left w:w="101" w:type="dxa"/>
              <w:right w:w="161" w:type="dxa"/>
            </w:tcMar>
          </w:tcPr>
          <w:p w14:paraId="0530035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892 391</w:t>
            </w:r>
          </w:p>
        </w:tc>
        <w:tc>
          <w:tcPr>
            <w:tcW w:w="1035" w:type="dxa"/>
            <w:tcBorders>
              <w:top w:val="nil"/>
              <w:left w:val="nil"/>
              <w:bottom w:val="nil"/>
              <w:right w:val="nil"/>
              <w:tl2br w:val="nil"/>
              <w:tr2bl w:val="nil"/>
            </w:tcBorders>
            <w:shd w:val="clear" w:color="FFFFFF" w:fill="FFFFFF"/>
            <w:noWrap/>
            <w:tcMar>
              <w:left w:w="101" w:type="dxa"/>
              <w:right w:w="161" w:type="dxa"/>
            </w:tcMar>
          </w:tcPr>
          <w:p w14:paraId="1DFC89E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905 262</w:t>
            </w:r>
          </w:p>
        </w:tc>
        <w:tc>
          <w:tcPr>
            <w:tcW w:w="600" w:type="dxa"/>
            <w:tcBorders>
              <w:top w:val="nil"/>
              <w:left w:val="nil"/>
              <w:bottom w:val="nil"/>
              <w:right w:val="nil"/>
              <w:tl2br w:val="nil"/>
              <w:tr2bl w:val="nil"/>
            </w:tcBorders>
            <w:shd w:val="clear" w:color="FFFFFF" w:fill="FFFFFF"/>
            <w:noWrap/>
            <w:tcMar>
              <w:left w:w="101" w:type="dxa"/>
              <w:right w:w="101" w:type="dxa"/>
            </w:tcMar>
          </w:tcPr>
          <w:p w14:paraId="7C433B5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noWrap/>
            <w:tcMar>
              <w:left w:w="101" w:type="dxa"/>
              <w:right w:w="161" w:type="dxa"/>
            </w:tcMar>
          </w:tcPr>
          <w:p w14:paraId="3A48129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927 534</w:t>
            </w:r>
          </w:p>
        </w:tc>
        <w:tc>
          <w:tcPr>
            <w:tcW w:w="1035" w:type="dxa"/>
            <w:tcBorders>
              <w:top w:val="nil"/>
              <w:left w:val="nil"/>
              <w:bottom w:val="nil"/>
              <w:right w:val="nil"/>
              <w:tl2br w:val="nil"/>
              <w:tr2bl w:val="nil"/>
            </w:tcBorders>
            <w:shd w:val="clear" w:color="FFFFFF" w:fill="FFFFFF"/>
            <w:noWrap/>
            <w:tcMar>
              <w:left w:w="101" w:type="dxa"/>
              <w:right w:w="161" w:type="dxa"/>
            </w:tcMar>
          </w:tcPr>
          <w:p w14:paraId="79FE9F5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886 688</w:t>
            </w:r>
          </w:p>
        </w:tc>
        <w:tc>
          <w:tcPr>
            <w:tcW w:w="1039" w:type="dxa"/>
            <w:tcBorders>
              <w:top w:val="nil"/>
              <w:left w:val="nil"/>
              <w:bottom w:val="nil"/>
              <w:right w:val="nil"/>
              <w:tl2br w:val="nil"/>
              <w:tr2bl w:val="nil"/>
            </w:tcBorders>
            <w:shd w:val="clear" w:color="FFFFFF" w:fill="FFFFFF"/>
            <w:noWrap/>
            <w:tcMar>
              <w:left w:w="101" w:type="dxa"/>
              <w:right w:w="161" w:type="dxa"/>
            </w:tcMar>
          </w:tcPr>
          <w:p w14:paraId="3833E76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838 362</w:t>
            </w:r>
          </w:p>
        </w:tc>
      </w:tr>
      <w:tr w:rsidR="009832FC" w:rsidRPr="009832FC" w14:paraId="48338F0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79D0C55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65 917</w:t>
            </w:r>
          </w:p>
        </w:tc>
        <w:tc>
          <w:tcPr>
            <w:tcW w:w="2651" w:type="dxa"/>
            <w:tcBorders>
              <w:top w:val="nil"/>
              <w:left w:val="nil"/>
              <w:bottom w:val="nil"/>
              <w:right w:val="nil"/>
              <w:tl2br w:val="nil"/>
              <w:tr2bl w:val="nil"/>
            </w:tcBorders>
            <w:shd w:val="clear" w:color="auto" w:fill="auto"/>
            <w:tcMar>
              <w:left w:w="101" w:type="dxa"/>
              <w:right w:w="101" w:type="dxa"/>
            </w:tcMar>
          </w:tcPr>
          <w:p w14:paraId="592EFF68"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61" w:type="dxa"/>
            </w:tcMar>
          </w:tcPr>
          <w:p w14:paraId="7B09152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c>
          <w:tcPr>
            <w:tcW w:w="1035" w:type="dxa"/>
            <w:tcBorders>
              <w:top w:val="nil"/>
              <w:left w:val="nil"/>
              <w:bottom w:val="nil"/>
              <w:right w:val="nil"/>
              <w:tl2br w:val="nil"/>
              <w:tr2bl w:val="nil"/>
            </w:tcBorders>
            <w:shd w:val="clear" w:color="FFFFFF" w:fill="FFFFFF"/>
            <w:noWrap/>
            <w:tcMar>
              <w:left w:w="101" w:type="dxa"/>
              <w:right w:w="161" w:type="dxa"/>
            </w:tcMar>
          </w:tcPr>
          <w:p w14:paraId="267DEB0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c>
          <w:tcPr>
            <w:tcW w:w="600" w:type="dxa"/>
            <w:tcBorders>
              <w:top w:val="nil"/>
              <w:left w:val="nil"/>
              <w:bottom w:val="nil"/>
              <w:right w:val="nil"/>
              <w:tl2br w:val="nil"/>
              <w:tr2bl w:val="nil"/>
            </w:tcBorders>
            <w:shd w:val="clear" w:color="FFFFFF" w:fill="FFFFFF"/>
            <w:noWrap/>
            <w:tcMar>
              <w:left w:w="101" w:type="dxa"/>
              <w:right w:w="101" w:type="dxa"/>
            </w:tcMar>
          </w:tcPr>
          <w:p w14:paraId="47AE9EF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noWrap/>
            <w:tcMar>
              <w:left w:w="101" w:type="dxa"/>
              <w:right w:w="161" w:type="dxa"/>
            </w:tcMar>
          </w:tcPr>
          <w:p w14:paraId="1116779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c>
          <w:tcPr>
            <w:tcW w:w="1035" w:type="dxa"/>
            <w:tcBorders>
              <w:top w:val="nil"/>
              <w:left w:val="nil"/>
              <w:bottom w:val="nil"/>
              <w:right w:val="nil"/>
              <w:tl2br w:val="nil"/>
              <w:tr2bl w:val="nil"/>
            </w:tcBorders>
            <w:shd w:val="clear" w:color="FFFFFF" w:fill="FFFFFF"/>
            <w:noWrap/>
            <w:tcMar>
              <w:left w:w="101" w:type="dxa"/>
              <w:right w:w="161" w:type="dxa"/>
            </w:tcMar>
          </w:tcPr>
          <w:p w14:paraId="25F7160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c>
          <w:tcPr>
            <w:tcW w:w="1039" w:type="dxa"/>
            <w:tcBorders>
              <w:top w:val="nil"/>
              <w:left w:val="nil"/>
              <w:bottom w:val="nil"/>
              <w:right w:val="nil"/>
              <w:tl2br w:val="nil"/>
              <w:tr2bl w:val="nil"/>
            </w:tcBorders>
            <w:shd w:val="clear" w:color="FFFFFF" w:fill="FFFFFF"/>
            <w:noWrap/>
            <w:tcMar>
              <w:left w:w="101" w:type="dxa"/>
              <w:right w:w="161" w:type="dxa"/>
            </w:tcMar>
          </w:tcPr>
          <w:p w14:paraId="1315D90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65 536</w:t>
            </w:r>
          </w:p>
        </w:tc>
      </w:tr>
      <w:tr w:rsidR="009832FC" w:rsidRPr="009832FC" w14:paraId="54D1970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D02BCD5" w14:textId="77777777" w:rsidR="009832FC" w:rsidRPr="009832FC" w:rsidRDefault="009832FC" w:rsidP="009832FC">
            <w:pPr>
              <w:spacing w:before="0" w:after="0"/>
              <w:rPr>
                <w:rFonts w:eastAsia="Calibri" w:cs="Calibri"/>
                <w:color w:val="000000"/>
                <w:sz w:val="18"/>
                <w:szCs w:val="24"/>
                <w:lang w:eastAsia="en-AU"/>
              </w:rPr>
            </w:pPr>
          </w:p>
        </w:tc>
        <w:tc>
          <w:tcPr>
            <w:tcW w:w="2651" w:type="dxa"/>
            <w:tcBorders>
              <w:top w:val="nil"/>
              <w:left w:val="nil"/>
              <w:bottom w:val="nil"/>
              <w:right w:val="nil"/>
              <w:tl2br w:val="nil"/>
              <w:tr2bl w:val="nil"/>
            </w:tcBorders>
            <w:shd w:val="clear" w:color="FFFFFF" w:fill="FFFFFF"/>
            <w:tcMar>
              <w:left w:w="0" w:type="dxa"/>
              <w:right w:w="0" w:type="dxa"/>
            </w:tcMar>
          </w:tcPr>
          <w:p w14:paraId="6D13278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E0FC8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458D34"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7346F7E0"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4A0537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AF0F9E" w14:textId="77777777" w:rsidR="009832FC" w:rsidRPr="009832FC" w:rsidRDefault="009832FC" w:rsidP="009832FC">
            <w:pPr>
              <w:spacing w:before="0" w:after="0"/>
              <w:rPr>
                <w:rFonts w:eastAsia="Calibri" w:cs="Calibri"/>
                <w:color w:val="000000"/>
                <w:sz w:val="18"/>
                <w:szCs w:val="24"/>
                <w:lang w:eastAsia="en-AU"/>
              </w:rPr>
            </w:pPr>
          </w:p>
        </w:tc>
        <w:tc>
          <w:tcPr>
            <w:tcW w:w="1039" w:type="dxa"/>
            <w:tcBorders>
              <w:top w:val="nil"/>
              <w:left w:val="nil"/>
              <w:bottom w:val="nil"/>
              <w:right w:val="nil"/>
              <w:tl2br w:val="nil"/>
              <w:tr2bl w:val="nil"/>
            </w:tcBorders>
            <w:shd w:val="clear" w:color="FFFFFF" w:fill="FFFFFF"/>
            <w:noWrap/>
            <w:tcMar>
              <w:left w:w="0" w:type="dxa"/>
              <w:right w:w="0" w:type="dxa"/>
            </w:tcMar>
          </w:tcPr>
          <w:p w14:paraId="77F6DEE3"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3D6D36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61" w:type="dxa"/>
            </w:tcMar>
          </w:tcPr>
          <w:p w14:paraId="079C15C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944 443</w:t>
            </w:r>
          </w:p>
        </w:tc>
        <w:tc>
          <w:tcPr>
            <w:tcW w:w="2651" w:type="dxa"/>
            <w:tcBorders>
              <w:top w:val="nil"/>
              <w:left w:val="nil"/>
              <w:bottom w:val="nil"/>
              <w:right w:val="nil"/>
              <w:tl2br w:val="nil"/>
              <w:tr2bl w:val="nil"/>
            </w:tcBorders>
            <w:shd w:val="clear" w:color="FFFFFF" w:fill="FFFFFF"/>
            <w:tcMar>
              <w:left w:w="101" w:type="dxa"/>
              <w:right w:w="101" w:type="dxa"/>
            </w:tcMar>
          </w:tcPr>
          <w:p w14:paraId="09FB4CA8"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61" w:type="dxa"/>
            </w:tcMar>
          </w:tcPr>
          <w:p w14:paraId="08B87DB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957 927</w:t>
            </w:r>
          </w:p>
        </w:tc>
        <w:tc>
          <w:tcPr>
            <w:tcW w:w="1035" w:type="dxa"/>
            <w:tcBorders>
              <w:top w:val="nil"/>
              <w:left w:val="nil"/>
              <w:bottom w:val="nil"/>
              <w:right w:val="nil"/>
              <w:tl2br w:val="nil"/>
              <w:tr2bl w:val="nil"/>
            </w:tcBorders>
            <w:shd w:val="clear" w:color="FFFFFF" w:fill="FFFFFF"/>
            <w:noWrap/>
            <w:tcMar>
              <w:left w:w="101" w:type="dxa"/>
              <w:right w:w="161" w:type="dxa"/>
            </w:tcMar>
          </w:tcPr>
          <w:p w14:paraId="28BB56D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970 798</w:t>
            </w:r>
          </w:p>
        </w:tc>
        <w:tc>
          <w:tcPr>
            <w:tcW w:w="600" w:type="dxa"/>
            <w:tcBorders>
              <w:top w:val="nil"/>
              <w:left w:val="nil"/>
              <w:bottom w:val="nil"/>
              <w:right w:val="nil"/>
              <w:tl2br w:val="nil"/>
              <w:tr2bl w:val="nil"/>
            </w:tcBorders>
            <w:shd w:val="clear" w:color="FFFFFF" w:fill="FFFFFF"/>
            <w:noWrap/>
            <w:tcMar>
              <w:left w:w="101" w:type="dxa"/>
              <w:right w:w="101" w:type="dxa"/>
            </w:tcMar>
          </w:tcPr>
          <w:p w14:paraId="35FEE73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w:t>
            </w:r>
          </w:p>
        </w:tc>
        <w:tc>
          <w:tcPr>
            <w:tcW w:w="1035" w:type="dxa"/>
            <w:tcBorders>
              <w:top w:val="nil"/>
              <w:left w:val="nil"/>
              <w:bottom w:val="nil"/>
              <w:right w:val="nil"/>
              <w:tl2br w:val="nil"/>
              <w:tr2bl w:val="nil"/>
            </w:tcBorders>
            <w:shd w:val="clear" w:color="FFFFFF" w:fill="FFFFFF"/>
            <w:noWrap/>
            <w:tcMar>
              <w:left w:w="101" w:type="dxa"/>
              <w:right w:w="161" w:type="dxa"/>
            </w:tcMar>
          </w:tcPr>
          <w:p w14:paraId="0EF83D6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993 070</w:t>
            </w:r>
          </w:p>
        </w:tc>
        <w:tc>
          <w:tcPr>
            <w:tcW w:w="1035" w:type="dxa"/>
            <w:tcBorders>
              <w:top w:val="nil"/>
              <w:left w:val="nil"/>
              <w:bottom w:val="nil"/>
              <w:right w:val="nil"/>
              <w:tl2br w:val="nil"/>
              <w:tr2bl w:val="nil"/>
            </w:tcBorders>
            <w:shd w:val="clear" w:color="FFFFFF" w:fill="FFFFFF"/>
            <w:noWrap/>
            <w:tcMar>
              <w:left w:w="101" w:type="dxa"/>
              <w:right w:w="161" w:type="dxa"/>
            </w:tcMar>
          </w:tcPr>
          <w:p w14:paraId="6457B8B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952 224</w:t>
            </w:r>
          </w:p>
        </w:tc>
        <w:tc>
          <w:tcPr>
            <w:tcW w:w="1039" w:type="dxa"/>
            <w:tcBorders>
              <w:top w:val="nil"/>
              <w:left w:val="nil"/>
              <w:bottom w:val="nil"/>
              <w:right w:val="nil"/>
              <w:tl2br w:val="nil"/>
              <w:tr2bl w:val="nil"/>
            </w:tcBorders>
            <w:shd w:val="clear" w:color="FFFFFF" w:fill="FFFFFF"/>
            <w:noWrap/>
            <w:tcMar>
              <w:left w:w="101" w:type="dxa"/>
              <w:right w:w="161" w:type="dxa"/>
            </w:tcMar>
          </w:tcPr>
          <w:p w14:paraId="1456DFD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903 898</w:t>
            </w:r>
          </w:p>
        </w:tc>
      </w:tr>
      <w:tr w:rsidR="009832FC" w:rsidRPr="009832FC" w14:paraId="18849F5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37950D7" w14:textId="77777777" w:rsidR="009832FC" w:rsidRPr="009832FC" w:rsidRDefault="009832FC" w:rsidP="009832FC">
            <w:pPr>
              <w:spacing w:before="0" w:after="0"/>
              <w:rPr>
                <w:rFonts w:eastAsia="Calibri" w:cs="Calibri"/>
                <w:color w:val="000000"/>
                <w:sz w:val="18"/>
                <w:szCs w:val="24"/>
                <w:lang w:eastAsia="en-AU"/>
              </w:rPr>
            </w:pPr>
          </w:p>
        </w:tc>
        <w:tc>
          <w:tcPr>
            <w:tcW w:w="2651" w:type="dxa"/>
            <w:tcBorders>
              <w:top w:val="nil"/>
              <w:left w:val="nil"/>
              <w:bottom w:val="single" w:sz="4" w:space="0" w:color="000000"/>
              <w:right w:val="nil"/>
              <w:tl2br w:val="nil"/>
              <w:tr2bl w:val="nil"/>
            </w:tcBorders>
            <w:shd w:val="clear" w:color="FFFFFF" w:fill="FFFFFF"/>
            <w:tcMar>
              <w:left w:w="0" w:type="dxa"/>
              <w:right w:w="0" w:type="dxa"/>
            </w:tcMar>
          </w:tcPr>
          <w:p w14:paraId="201F1EF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4F317C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CE35241"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7D76D3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E85BC8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B9DA5CA" w14:textId="77777777" w:rsidR="009832FC" w:rsidRPr="009832FC" w:rsidRDefault="009832FC" w:rsidP="009832FC">
            <w:pPr>
              <w:spacing w:before="0" w:after="0"/>
              <w:rPr>
                <w:rFonts w:eastAsia="Calibri" w:cs="Calibri"/>
                <w:color w:val="000000"/>
                <w:sz w:val="18"/>
                <w:szCs w:val="24"/>
                <w:lang w:eastAsia="en-AU"/>
              </w:rPr>
            </w:pPr>
          </w:p>
        </w:tc>
        <w:tc>
          <w:tcPr>
            <w:tcW w:w="1039" w:type="dxa"/>
            <w:tcBorders>
              <w:top w:val="nil"/>
              <w:left w:val="nil"/>
              <w:bottom w:val="single" w:sz="4" w:space="0" w:color="000000"/>
              <w:right w:val="nil"/>
              <w:tl2br w:val="nil"/>
              <w:tr2bl w:val="nil"/>
            </w:tcBorders>
            <w:shd w:val="clear" w:color="FFFFFF" w:fill="FFFFFF"/>
            <w:tcMar>
              <w:left w:w="0" w:type="dxa"/>
              <w:right w:w="0" w:type="dxa"/>
            </w:tcMar>
          </w:tcPr>
          <w:p w14:paraId="59EDF2B3" w14:textId="77777777" w:rsidR="009832FC" w:rsidRPr="009832FC" w:rsidRDefault="009832FC" w:rsidP="009832FC">
            <w:pPr>
              <w:spacing w:before="0" w:after="0"/>
              <w:rPr>
                <w:rFonts w:eastAsia="Calibri" w:cs="Calibri"/>
                <w:color w:val="000000"/>
                <w:sz w:val="18"/>
                <w:szCs w:val="24"/>
                <w:lang w:eastAsia="en-AU"/>
              </w:rPr>
            </w:pPr>
          </w:p>
        </w:tc>
      </w:tr>
    </w:tbl>
    <w:p w14:paraId="23CD4D3C" w14:textId="77777777" w:rsidR="00B51DBE" w:rsidRDefault="00B51DBE" w:rsidP="00B51DBE">
      <w:pPr>
        <w:pStyle w:val="Caption"/>
        <w:rPr>
          <w:bdr w:val="nil"/>
        </w:rPr>
      </w:pPr>
    </w:p>
    <w:p w14:paraId="4F4B42EE" w14:textId="77777777" w:rsidR="00B51DBE" w:rsidRDefault="00B51DBE">
      <w:pPr>
        <w:spacing w:before="0" w:after="0"/>
        <w:rPr>
          <w:b/>
          <w:bCs/>
          <w:color w:val="000000"/>
          <w:sz w:val="22"/>
          <w:szCs w:val="18"/>
          <w:bdr w:val="nil"/>
        </w:rPr>
      </w:pPr>
      <w:r>
        <w:rPr>
          <w:bdr w:val="nil"/>
        </w:rPr>
        <w:br w:type="page"/>
      </w:r>
    </w:p>
    <w:p w14:paraId="32E165B5" w14:textId="1618C506" w:rsidR="009832FC" w:rsidRPr="009832FC" w:rsidRDefault="009832FC" w:rsidP="00B51DBE">
      <w:pPr>
        <w:pStyle w:val="Caption"/>
        <w:rPr>
          <w:bdr w:val="nil"/>
        </w:rPr>
      </w:pPr>
      <w:r w:rsidRPr="009832FC">
        <w:rPr>
          <w:bdr w:val="nil"/>
        </w:rPr>
        <w:lastRenderedPageBreak/>
        <w:t xml:space="preserve">Table 27: Canberra Health Services: Cash Flow Statement </w:t>
      </w:r>
    </w:p>
    <w:tbl>
      <w:tblPr>
        <w:tblStyle w:val="CDMRange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67"/>
        <w:gridCol w:w="1035"/>
        <w:gridCol w:w="1035"/>
        <w:gridCol w:w="600"/>
        <w:gridCol w:w="1035"/>
        <w:gridCol w:w="1035"/>
        <w:gridCol w:w="1038"/>
      </w:tblGrid>
      <w:tr w:rsidR="009832FC" w:rsidRPr="009832FC" w14:paraId="39658CFE" w14:textId="77777777" w:rsidTr="00EB585F">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C07A4D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2020-21 Budget            </w:t>
            </w:r>
          </w:p>
          <w:p w14:paraId="1C4B04DA" w14:textId="77777777" w:rsidR="009832FC" w:rsidRPr="009832FC" w:rsidRDefault="009832FC" w:rsidP="009832FC">
            <w:pPr>
              <w:spacing w:before="0" w:after="0"/>
              <w:jc w:val="right"/>
              <w:rPr>
                <w:rFonts w:eastAsia="Calibri" w:cs="Calibri"/>
                <w:b/>
                <w:color w:val="000000"/>
                <w:sz w:val="18"/>
                <w:szCs w:val="24"/>
                <w:lang w:eastAsia="en-AU"/>
              </w:rPr>
            </w:pPr>
          </w:p>
          <w:p w14:paraId="0505DCA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2367"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CEE30F5"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8D8F56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64A63E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2021-22 Budget            </w:t>
            </w:r>
          </w:p>
          <w:p w14:paraId="4EE86532" w14:textId="77777777" w:rsidR="009832FC" w:rsidRPr="009832FC" w:rsidRDefault="009832FC" w:rsidP="009832FC">
            <w:pPr>
              <w:spacing w:before="0" w:after="0"/>
              <w:jc w:val="right"/>
              <w:rPr>
                <w:rFonts w:eastAsia="Calibri" w:cs="Calibri"/>
                <w:b/>
                <w:color w:val="000000"/>
                <w:sz w:val="18"/>
                <w:szCs w:val="24"/>
                <w:lang w:eastAsia="en-AU"/>
              </w:rPr>
            </w:pPr>
          </w:p>
          <w:p w14:paraId="447F10C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9B42F9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Var </w:t>
            </w:r>
          </w:p>
          <w:p w14:paraId="7092604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A84C5B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2022-23 Estimate            </w:t>
            </w:r>
          </w:p>
          <w:p w14:paraId="12A18DE5" w14:textId="77777777" w:rsidR="009832FC" w:rsidRPr="009832FC" w:rsidRDefault="009832FC" w:rsidP="009832FC">
            <w:pPr>
              <w:spacing w:before="0" w:after="0"/>
              <w:jc w:val="right"/>
              <w:rPr>
                <w:rFonts w:eastAsia="Calibri" w:cs="Calibri"/>
                <w:b/>
                <w:color w:val="000000"/>
                <w:sz w:val="18"/>
                <w:szCs w:val="24"/>
                <w:lang w:eastAsia="en-AU"/>
              </w:rPr>
            </w:pPr>
          </w:p>
          <w:p w14:paraId="5ACD353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D7EC96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2023-24 Estimate            </w:t>
            </w:r>
          </w:p>
          <w:p w14:paraId="5401797D" w14:textId="77777777" w:rsidR="009832FC" w:rsidRPr="009832FC" w:rsidRDefault="009832FC" w:rsidP="009832FC">
            <w:pPr>
              <w:spacing w:before="0" w:after="0"/>
              <w:jc w:val="right"/>
              <w:rPr>
                <w:rFonts w:eastAsia="Calibri" w:cs="Calibri"/>
                <w:b/>
                <w:color w:val="000000"/>
                <w:sz w:val="18"/>
                <w:szCs w:val="24"/>
                <w:lang w:eastAsia="en-AU"/>
              </w:rPr>
            </w:pPr>
          </w:p>
          <w:p w14:paraId="579EA10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1038"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B94639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2024-25 Estimate            </w:t>
            </w:r>
          </w:p>
          <w:p w14:paraId="06BE17E4" w14:textId="77777777" w:rsidR="009832FC" w:rsidRPr="009832FC" w:rsidRDefault="009832FC" w:rsidP="009832FC">
            <w:pPr>
              <w:spacing w:before="0" w:after="0"/>
              <w:jc w:val="right"/>
              <w:rPr>
                <w:rFonts w:eastAsia="Calibri" w:cs="Calibri"/>
                <w:b/>
                <w:color w:val="000000"/>
                <w:sz w:val="18"/>
                <w:szCs w:val="24"/>
                <w:lang w:eastAsia="en-AU"/>
              </w:rPr>
            </w:pPr>
          </w:p>
          <w:p w14:paraId="45A72C9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r>
      <w:tr w:rsidR="009832FC" w:rsidRPr="009832FC" w14:paraId="69D89AA7" w14:textId="77777777" w:rsidTr="00EB585F">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7DECFB5" w14:textId="77777777" w:rsidR="009832FC" w:rsidRPr="009832FC" w:rsidRDefault="009832FC" w:rsidP="009832FC">
            <w:pPr>
              <w:spacing w:before="0" w:after="0"/>
              <w:jc w:val="right"/>
              <w:rPr>
                <w:rFonts w:eastAsia="Calibri" w:cs="Calibri"/>
                <w:b/>
                <w:i/>
                <w:color w:val="000000"/>
                <w:sz w:val="18"/>
                <w:szCs w:val="24"/>
                <w:lang w:eastAsia="en-AU"/>
              </w:rPr>
            </w:pPr>
          </w:p>
        </w:tc>
        <w:tc>
          <w:tcPr>
            <w:tcW w:w="2367" w:type="dxa"/>
            <w:tcBorders>
              <w:top w:val="single" w:sz="4" w:space="0" w:color="000000"/>
              <w:left w:val="nil"/>
              <w:bottom w:val="nil"/>
              <w:right w:val="nil"/>
              <w:tl2br w:val="nil"/>
              <w:tr2bl w:val="nil"/>
            </w:tcBorders>
            <w:shd w:val="clear" w:color="FFFFFF" w:fill="FFFFFF"/>
            <w:tcMar>
              <w:left w:w="0" w:type="dxa"/>
              <w:right w:w="0" w:type="dxa"/>
            </w:tcMar>
          </w:tcPr>
          <w:p w14:paraId="09D307A8"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FD974A5"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45CDC1F"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0975669C"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7EE1DE0"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4FD04DA" w14:textId="77777777" w:rsidR="009832FC" w:rsidRPr="009832FC" w:rsidRDefault="009832FC" w:rsidP="009832FC">
            <w:pPr>
              <w:spacing w:before="0" w:after="0"/>
              <w:jc w:val="right"/>
              <w:rPr>
                <w:rFonts w:eastAsia="Calibri" w:cs="Calibri"/>
                <w:b/>
                <w:i/>
                <w:color w:val="000000"/>
                <w:sz w:val="18"/>
                <w:szCs w:val="24"/>
                <w:lang w:eastAsia="en-AU"/>
              </w:rPr>
            </w:pPr>
          </w:p>
        </w:tc>
        <w:tc>
          <w:tcPr>
            <w:tcW w:w="1038" w:type="dxa"/>
            <w:tcBorders>
              <w:top w:val="single" w:sz="4" w:space="0" w:color="000000"/>
              <w:left w:val="nil"/>
              <w:bottom w:val="nil"/>
              <w:right w:val="nil"/>
              <w:tl2br w:val="nil"/>
              <w:tr2bl w:val="nil"/>
            </w:tcBorders>
            <w:shd w:val="clear" w:color="FFFFFF" w:fill="FFFFFF"/>
            <w:tcMar>
              <w:left w:w="0" w:type="dxa"/>
              <w:right w:w="0" w:type="dxa"/>
            </w:tcMar>
          </w:tcPr>
          <w:p w14:paraId="79AFD704"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02934C87" w14:textId="77777777" w:rsidTr="00EB585F">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35B1EF95" w14:textId="77777777" w:rsidR="009832FC" w:rsidRPr="009832FC" w:rsidRDefault="009832FC" w:rsidP="009832FC">
            <w:pPr>
              <w:spacing w:before="0" w:after="0"/>
              <w:rPr>
                <w:rFonts w:eastAsia="Calibri" w:cs="Calibri"/>
                <w:color w:val="000000"/>
                <w:sz w:val="18"/>
                <w:szCs w:val="24"/>
                <w:lang w:eastAsia="en-AU"/>
              </w:rPr>
            </w:pPr>
          </w:p>
        </w:tc>
        <w:tc>
          <w:tcPr>
            <w:tcW w:w="8145" w:type="dxa"/>
            <w:gridSpan w:val="7"/>
            <w:tcBorders>
              <w:top w:val="nil"/>
              <w:left w:val="nil"/>
              <w:bottom w:val="nil"/>
              <w:right w:val="nil"/>
              <w:tl2br w:val="nil"/>
              <w:tr2bl w:val="nil"/>
            </w:tcBorders>
            <w:shd w:val="clear" w:color="auto" w:fill="auto"/>
            <w:tcMar>
              <w:left w:w="101" w:type="dxa"/>
              <w:right w:w="101" w:type="dxa"/>
            </w:tcMar>
            <w:vAlign w:val="bottom"/>
          </w:tcPr>
          <w:p w14:paraId="0640E4B9"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CASH FLOWS FROM OPERATING ACTIVITIES</w:t>
            </w:r>
          </w:p>
        </w:tc>
      </w:tr>
      <w:tr w:rsidR="009832FC" w:rsidRPr="009832FC" w14:paraId="5BBC74A8" w14:textId="77777777" w:rsidTr="00EB585F">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7EB76CF" w14:textId="77777777" w:rsidR="009832FC" w:rsidRPr="009832FC" w:rsidRDefault="009832FC" w:rsidP="009832FC">
            <w:pPr>
              <w:spacing w:before="0" w:after="0"/>
              <w:rPr>
                <w:rFonts w:eastAsia="Calibri" w:cs="Calibri"/>
                <w:color w:val="000000"/>
                <w:sz w:val="18"/>
                <w:szCs w:val="24"/>
                <w:lang w:eastAsia="en-AU"/>
              </w:rPr>
            </w:pPr>
          </w:p>
        </w:tc>
        <w:tc>
          <w:tcPr>
            <w:tcW w:w="2367" w:type="dxa"/>
            <w:tcBorders>
              <w:top w:val="nil"/>
              <w:left w:val="nil"/>
              <w:bottom w:val="nil"/>
              <w:right w:val="nil"/>
              <w:tl2br w:val="nil"/>
              <w:tr2bl w:val="nil"/>
            </w:tcBorders>
            <w:shd w:val="clear" w:color="FFFFFF" w:fill="FFFFFF"/>
            <w:tcMar>
              <w:left w:w="101" w:type="dxa"/>
              <w:right w:w="101" w:type="dxa"/>
            </w:tcMar>
          </w:tcPr>
          <w:p w14:paraId="4F39E401"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AECCE0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9A9EB2A"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6AFA2A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B004FF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6097CE5" w14:textId="77777777" w:rsidR="009832FC" w:rsidRPr="009832FC" w:rsidRDefault="009832FC" w:rsidP="009832FC">
            <w:pPr>
              <w:spacing w:before="0" w:after="0"/>
              <w:rPr>
                <w:rFonts w:eastAsia="Calibri" w:cs="Calibri"/>
                <w:color w:val="000000"/>
                <w:sz w:val="18"/>
                <w:szCs w:val="24"/>
                <w:lang w:eastAsia="en-AU"/>
              </w:rPr>
            </w:pPr>
          </w:p>
        </w:tc>
        <w:tc>
          <w:tcPr>
            <w:tcW w:w="1038" w:type="dxa"/>
            <w:tcBorders>
              <w:top w:val="nil"/>
              <w:left w:val="nil"/>
              <w:bottom w:val="nil"/>
              <w:right w:val="nil"/>
              <w:tl2br w:val="nil"/>
              <w:tr2bl w:val="nil"/>
            </w:tcBorders>
            <w:shd w:val="clear" w:color="FFFFFF" w:fill="FFFFFF"/>
            <w:tcMar>
              <w:left w:w="0" w:type="dxa"/>
              <w:right w:w="0" w:type="dxa"/>
            </w:tcMar>
          </w:tcPr>
          <w:p w14:paraId="55092AD1"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BB5C91D"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67D43DF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1 260 622</w:t>
            </w:r>
          </w:p>
        </w:tc>
        <w:tc>
          <w:tcPr>
            <w:tcW w:w="2367" w:type="dxa"/>
            <w:tcBorders>
              <w:top w:val="nil"/>
              <w:left w:val="nil"/>
              <w:bottom w:val="nil"/>
              <w:right w:val="nil"/>
              <w:tl2br w:val="nil"/>
              <w:tr2bl w:val="nil"/>
            </w:tcBorders>
            <w:shd w:val="clear" w:color="auto" w:fill="auto"/>
            <w:noWrap/>
            <w:tcMar>
              <w:left w:w="101" w:type="dxa"/>
              <w:right w:w="101" w:type="dxa"/>
            </w:tcMar>
          </w:tcPr>
          <w:p w14:paraId="545A7DB4"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61" w:type="dxa"/>
            </w:tcMar>
          </w:tcPr>
          <w:p w14:paraId="2E95531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140 061</w:t>
            </w:r>
          </w:p>
        </w:tc>
        <w:tc>
          <w:tcPr>
            <w:tcW w:w="1035" w:type="dxa"/>
            <w:tcBorders>
              <w:top w:val="nil"/>
              <w:left w:val="nil"/>
              <w:bottom w:val="nil"/>
              <w:right w:val="nil"/>
              <w:tl2br w:val="nil"/>
              <w:tr2bl w:val="nil"/>
            </w:tcBorders>
            <w:shd w:val="clear" w:color="FFFFFF" w:fill="FFFFFF"/>
            <w:tcMar>
              <w:left w:w="101" w:type="dxa"/>
              <w:right w:w="161" w:type="dxa"/>
            </w:tcMar>
          </w:tcPr>
          <w:p w14:paraId="31A12DA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116 670</w:t>
            </w:r>
          </w:p>
        </w:tc>
        <w:tc>
          <w:tcPr>
            <w:tcW w:w="600" w:type="dxa"/>
            <w:tcBorders>
              <w:top w:val="nil"/>
              <w:left w:val="nil"/>
              <w:bottom w:val="nil"/>
              <w:right w:val="nil"/>
              <w:tl2br w:val="nil"/>
              <w:tr2bl w:val="nil"/>
            </w:tcBorders>
            <w:shd w:val="clear" w:color="FFFFFF" w:fill="FFFFFF"/>
            <w:tcMar>
              <w:left w:w="101" w:type="dxa"/>
              <w:right w:w="101" w:type="dxa"/>
            </w:tcMar>
          </w:tcPr>
          <w:p w14:paraId="0F618ED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-17 </w:t>
            </w:r>
          </w:p>
        </w:tc>
        <w:tc>
          <w:tcPr>
            <w:tcW w:w="1035" w:type="dxa"/>
            <w:tcBorders>
              <w:top w:val="nil"/>
              <w:left w:val="nil"/>
              <w:bottom w:val="nil"/>
              <w:right w:val="nil"/>
              <w:tl2br w:val="nil"/>
              <w:tr2bl w:val="nil"/>
            </w:tcBorders>
            <w:shd w:val="clear" w:color="FFFFFF" w:fill="FFFFFF"/>
            <w:tcMar>
              <w:left w:w="101" w:type="dxa"/>
              <w:right w:w="161" w:type="dxa"/>
            </w:tcMar>
          </w:tcPr>
          <w:p w14:paraId="2CB20E9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119 817</w:t>
            </w:r>
          </w:p>
        </w:tc>
        <w:tc>
          <w:tcPr>
            <w:tcW w:w="1035" w:type="dxa"/>
            <w:tcBorders>
              <w:top w:val="nil"/>
              <w:left w:val="nil"/>
              <w:bottom w:val="nil"/>
              <w:right w:val="nil"/>
              <w:tl2br w:val="nil"/>
              <w:tr2bl w:val="nil"/>
            </w:tcBorders>
            <w:shd w:val="clear" w:color="FFFFFF" w:fill="FFFFFF"/>
            <w:tcMar>
              <w:left w:w="101" w:type="dxa"/>
              <w:right w:w="161" w:type="dxa"/>
            </w:tcMar>
          </w:tcPr>
          <w:p w14:paraId="45E6CF6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122 995</w:t>
            </w:r>
          </w:p>
        </w:tc>
        <w:tc>
          <w:tcPr>
            <w:tcW w:w="1038" w:type="dxa"/>
            <w:tcBorders>
              <w:top w:val="nil"/>
              <w:left w:val="nil"/>
              <w:bottom w:val="nil"/>
              <w:right w:val="nil"/>
              <w:tl2br w:val="nil"/>
              <w:tr2bl w:val="nil"/>
            </w:tcBorders>
            <w:shd w:val="clear" w:color="FFFFFF" w:fill="FFFFFF"/>
            <w:tcMar>
              <w:left w:w="101" w:type="dxa"/>
              <w:right w:w="161" w:type="dxa"/>
            </w:tcMar>
          </w:tcPr>
          <w:p w14:paraId="42AFC21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125 748</w:t>
            </w:r>
          </w:p>
        </w:tc>
      </w:tr>
      <w:tr w:rsidR="009832FC" w:rsidRPr="009832FC" w14:paraId="40BF9E8E"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37F158C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4 775</w:t>
            </w:r>
          </w:p>
        </w:tc>
        <w:tc>
          <w:tcPr>
            <w:tcW w:w="2367" w:type="dxa"/>
            <w:tcBorders>
              <w:top w:val="nil"/>
              <w:left w:val="nil"/>
              <w:bottom w:val="nil"/>
              <w:right w:val="nil"/>
              <w:tl2br w:val="nil"/>
              <w:tr2bl w:val="nil"/>
            </w:tcBorders>
            <w:shd w:val="clear" w:color="auto" w:fill="auto"/>
            <w:noWrap/>
            <w:tcMar>
              <w:left w:w="101" w:type="dxa"/>
              <w:right w:w="101" w:type="dxa"/>
            </w:tcMar>
          </w:tcPr>
          <w:p w14:paraId="40E835F1"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Grants and Contributions</w:t>
            </w:r>
          </w:p>
        </w:tc>
        <w:tc>
          <w:tcPr>
            <w:tcW w:w="1035" w:type="dxa"/>
            <w:tcBorders>
              <w:top w:val="nil"/>
              <w:left w:val="nil"/>
              <w:bottom w:val="nil"/>
              <w:right w:val="nil"/>
              <w:tl2br w:val="nil"/>
              <w:tr2bl w:val="nil"/>
            </w:tcBorders>
            <w:shd w:val="clear" w:color="FFFFFF" w:fill="FFFFFF"/>
            <w:tcMar>
              <w:left w:w="101" w:type="dxa"/>
              <w:right w:w="161" w:type="dxa"/>
            </w:tcMar>
          </w:tcPr>
          <w:p w14:paraId="276A425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1 191 289</w:t>
            </w:r>
          </w:p>
        </w:tc>
        <w:tc>
          <w:tcPr>
            <w:tcW w:w="1035" w:type="dxa"/>
            <w:tcBorders>
              <w:top w:val="nil"/>
              <w:left w:val="nil"/>
              <w:bottom w:val="nil"/>
              <w:right w:val="nil"/>
              <w:tl2br w:val="nil"/>
              <w:tr2bl w:val="nil"/>
            </w:tcBorders>
            <w:shd w:val="clear" w:color="FFFFFF" w:fill="FFFFFF"/>
            <w:tcMar>
              <w:left w:w="101" w:type="dxa"/>
              <w:right w:w="161" w:type="dxa"/>
            </w:tcMar>
          </w:tcPr>
          <w:p w14:paraId="328074C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1 290 143</w:t>
            </w:r>
          </w:p>
        </w:tc>
        <w:tc>
          <w:tcPr>
            <w:tcW w:w="600" w:type="dxa"/>
            <w:tcBorders>
              <w:top w:val="nil"/>
              <w:left w:val="nil"/>
              <w:bottom w:val="nil"/>
              <w:right w:val="nil"/>
              <w:tl2br w:val="nil"/>
              <w:tr2bl w:val="nil"/>
            </w:tcBorders>
            <w:shd w:val="clear" w:color="FFFFFF" w:fill="FFFFFF"/>
            <w:tcMar>
              <w:left w:w="101" w:type="dxa"/>
              <w:right w:w="101" w:type="dxa"/>
            </w:tcMar>
          </w:tcPr>
          <w:p w14:paraId="050DAAD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tcMar>
              <w:left w:w="101" w:type="dxa"/>
              <w:right w:w="161" w:type="dxa"/>
            </w:tcMar>
          </w:tcPr>
          <w:p w14:paraId="7860208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1 270 100</w:t>
            </w:r>
          </w:p>
        </w:tc>
        <w:tc>
          <w:tcPr>
            <w:tcW w:w="1035" w:type="dxa"/>
            <w:tcBorders>
              <w:top w:val="nil"/>
              <w:left w:val="nil"/>
              <w:bottom w:val="nil"/>
              <w:right w:val="nil"/>
              <w:tl2br w:val="nil"/>
              <w:tr2bl w:val="nil"/>
            </w:tcBorders>
            <w:shd w:val="clear" w:color="FFFFFF" w:fill="FFFFFF"/>
            <w:tcMar>
              <w:left w:w="101" w:type="dxa"/>
              <w:right w:w="161" w:type="dxa"/>
            </w:tcMar>
          </w:tcPr>
          <w:p w14:paraId="1ACC786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1 301 620</w:t>
            </w:r>
          </w:p>
        </w:tc>
        <w:tc>
          <w:tcPr>
            <w:tcW w:w="1038" w:type="dxa"/>
            <w:tcBorders>
              <w:top w:val="nil"/>
              <w:left w:val="nil"/>
              <w:bottom w:val="nil"/>
              <w:right w:val="nil"/>
              <w:tl2br w:val="nil"/>
              <w:tr2bl w:val="nil"/>
            </w:tcBorders>
            <w:shd w:val="clear" w:color="FFFFFF" w:fill="FFFFFF"/>
            <w:tcMar>
              <w:left w:w="101" w:type="dxa"/>
              <w:right w:w="161" w:type="dxa"/>
            </w:tcMar>
          </w:tcPr>
          <w:p w14:paraId="31345C2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1 316 309</w:t>
            </w:r>
          </w:p>
        </w:tc>
      </w:tr>
      <w:tr w:rsidR="009832FC" w:rsidRPr="009832FC" w14:paraId="57E166D9"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1232806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199</w:t>
            </w:r>
          </w:p>
        </w:tc>
        <w:tc>
          <w:tcPr>
            <w:tcW w:w="2367" w:type="dxa"/>
            <w:tcBorders>
              <w:top w:val="nil"/>
              <w:left w:val="nil"/>
              <w:bottom w:val="nil"/>
              <w:right w:val="nil"/>
              <w:tl2br w:val="nil"/>
              <w:tr2bl w:val="nil"/>
            </w:tcBorders>
            <w:shd w:val="clear" w:color="auto" w:fill="auto"/>
            <w:noWrap/>
            <w:tcMar>
              <w:left w:w="101" w:type="dxa"/>
              <w:right w:w="101" w:type="dxa"/>
            </w:tcMar>
          </w:tcPr>
          <w:p w14:paraId="3673FE6D"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Investment Receipts</w:t>
            </w:r>
          </w:p>
        </w:tc>
        <w:tc>
          <w:tcPr>
            <w:tcW w:w="1035" w:type="dxa"/>
            <w:tcBorders>
              <w:top w:val="nil"/>
              <w:left w:val="nil"/>
              <w:bottom w:val="nil"/>
              <w:right w:val="nil"/>
              <w:tl2br w:val="nil"/>
              <w:tr2bl w:val="nil"/>
            </w:tcBorders>
            <w:shd w:val="clear" w:color="FFFFFF" w:fill="FFFFFF"/>
            <w:tcMar>
              <w:left w:w="101" w:type="dxa"/>
              <w:right w:w="161" w:type="dxa"/>
            </w:tcMar>
          </w:tcPr>
          <w:p w14:paraId="1AF478B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120</w:t>
            </w:r>
          </w:p>
        </w:tc>
        <w:tc>
          <w:tcPr>
            <w:tcW w:w="1035" w:type="dxa"/>
            <w:tcBorders>
              <w:top w:val="nil"/>
              <w:left w:val="nil"/>
              <w:bottom w:val="nil"/>
              <w:right w:val="nil"/>
              <w:tl2br w:val="nil"/>
              <w:tr2bl w:val="nil"/>
            </w:tcBorders>
            <w:shd w:val="clear" w:color="FFFFFF" w:fill="FFFFFF"/>
            <w:tcMar>
              <w:left w:w="101" w:type="dxa"/>
              <w:right w:w="161" w:type="dxa"/>
            </w:tcMar>
          </w:tcPr>
          <w:p w14:paraId="2FC895A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204</w:t>
            </w:r>
          </w:p>
        </w:tc>
        <w:tc>
          <w:tcPr>
            <w:tcW w:w="600" w:type="dxa"/>
            <w:tcBorders>
              <w:top w:val="nil"/>
              <w:left w:val="nil"/>
              <w:bottom w:val="nil"/>
              <w:right w:val="nil"/>
              <w:tl2br w:val="nil"/>
              <w:tr2bl w:val="nil"/>
            </w:tcBorders>
            <w:shd w:val="clear" w:color="FFFFFF" w:fill="FFFFFF"/>
            <w:tcMar>
              <w:left w:w="101" w:type="dxa"/>
              <w:right w:w="101" w:type="dxa"/>
            </w:tcMar>
          </w:tcPr>
          <w:p w14:paraId="3D22A50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70 </w:t>
            </w:r>
          </w:p>
        </w:tc>
        <w:tc>
          <w:tcPr>
            <w:tcW w:w="1035" w:type="dxa"/>
            <w:tcBorders>
              <w:top w:val="nil"/>
              <w:left w:val="nil"/>
              <w:bottom w:val="nil"/>
              <w:right w:val="nil"/>
              <w:tl2br w:val="nil"/>
              <w:tr2bl w:val="nil"/>
            </w:tcBorders>
            <w:shd w:val="clear" w:color="FFFFFF" w:fill="FFFFFF"/>
            <w:tcMar>
              <w:left w:w="101" w:type="dxa"/>
              <w:right w:w="161" w:type="dxa"/>
            </w:tcMar>
          </w:tcPr>
          <w:p w14:paraId="7520CFB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207</w:t>
            </w:r>
          </w:p>
        </w:tc>
        <w:tc>
          <w:tcPr>
            <w:tcW w:w="1035" w:type="dxa"/>
            <w:tcBorders>
              <w:top w:val="nil"/>
              <w:left w:val="nil"/>
              <w:bottom w:val="nil"/>
              <w:right w:val="nil"/>
              <w:tl2br w:val="nil"/>
              <w:tr2bl w:val="nil"/>
            </w:tcBorders>
            <w:shd w:val="clear" w:color="FFFFFF" w:fill="FFFFFF"/>
            <w:tcMar>
              <w:left w:w="101" w:type="dxa"/>
              <w:right w:w="161" w:type="dxa"/>
            </w:tcMar>
          </w:tcPr>
          <w:p w14:paraId="06CD436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211</w:t>
            </w:r>
          </w:p>
        </w:tc>
        <w:tc>
          <w:tcPr>
            <w:tcW w:w="1038" w:type="dxa"/>
            <w:tcBorders>
              <w:top w:val="nil"/>
              <w:left w:val="nil"/>
              <w:bottom w:val="nil"/>
              <w:right w:val="nil"/>
              <w:tl2br w:val="nil"/>
              <w:tr2bl w:val="nil"/>
            </w:tcBorders>
            <w:shd w:val="clear" w:color="FFFFFF" w:fill="FFFFFF"/>
            <w:tcMar>
              <w:left w:w="101" w:type="dxa"/>
              <w:right w:w="161" w:type="dxa"/>
            </w:tcMar>
          </w:tcPr>
          <w:p w14:paraId="0B9E6DA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215</w:t>
            </w:r>
          </w:p>
        </w:tc>
      </w:tr>
      <w:tr w:rsidR="009832FC" w:rsidRPr="009832FC" w14:paraId="62AAD6A5"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D33821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67" w:type="dxa"/>
            <w:tcBorders>
              <w:top w:val="nil"/>
              <w:left w:val="nil"/>
              <w:bottom w:val="nil"/>
              <w:right w:val="nil"/>
              <w:tl2br w:val="nil"/>
              <w:tr2bl w:val="nil"/>
            </w:tcBorders>
            <w:shd w:val="clear" w:color="auto" w:fill="auto"/>
            <w:noWrap/>
            <w:tcMar>
              <w:left w:w="101" w:type="dxa"/>
              <w:right w:w="101" w:type="dxa"/>
            </w:tcMar>
          </w:tcPr>
          <w:p w14:paraId="3C12EF2B"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Goods and Services Tax Input Tax Credits from the Australian Taxation Office</w:t>
            </w:r>
          </w:p>
        </w:tc>
        <w:tc>
          <w:tcPr>
            <w:tcW w:w="1035" w:type="dxa"/>
            <w:tcBorders>
              <w:top w:val="nil"/>
              <w:left w:val="nil"/>
              <w:bottom w:val="nil"/>
              <w:right w:val="nil"/>
              <w:tl2br w:val="nil"/>
              <w:tr2bl w:val="nil"/>
            </w:tcBorders>
            <w:shd w:val="clear" w:color="FFFFFF" w:fill="FFFFFF"/>
            <w:tcMar>
              <w:left w:w="101" w:type="dxa"/>
              <w:right w:w="161" w:type="dxa"/>
            </w:tcMar>
          </w:tcPr>
          <w:p w14:paraId="3D6E28A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34 666</w:t>
            </w:r>
          </w:p>
        </w:tc>
        <w:tc>
          <w:tcPr>
            <w:tcW w:w="1035" w:type="dxa"/>
            <w:tcBorders>
              <w:top w:val="nil"/>
              <w:left w:val="nil"/>
              <w:bottom w:val="nil"/>
              <w:right w:val="nil"/>
              <w:tl2br w:val="nil"/>
              <w:tr2bl w:val="nil"/>
            </w:tcBorders>
            <w:shd w:val="clear" w:color="FFFFFF" w:fill="FFFFFF"/>
            <w:tcMar>
              <w:left w:w="101" w:type="dxa"/>
              <w:right w:w="161" w:type="dxa"/>
            </w:tcMar>
          </w:tcPr>
          <w:p w14:paraId="461A54F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7B39D6A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61" w:type="dxa"/>
            </w:tcMar>
          </w:tcPr>
          <w:p w14:paraId="74EC9F7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34AF113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8" w:type="dxa"/>
            <w:tcBorders>
              <w:top w:val="nil"/>
              <w:left w:val="nil"/>
              <w:bottom w:val="nil"/>
              <w:right w:val="nil"/>
              <w:tl2br w:val="nil"/>
              <w:tr2bl w:val="nil"/>
            </w:tcBorders>
            <w:shd w:val="clear" w:color="FFFFFF" w:fill="FFFFFF"/>
            <w:tcMar>
              <w:left w:w="101" w:type="dxa"/>
              <w:right w:w="161" w:type="dxa"/>
            </w:tcMar>
          </w:tcPr>
          <w:p w14:paraId="3B345B9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4A108CD6"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4EF95E8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67" w:type="dxa"/>
            <w:tcBorders>
              <w:top w:val="nil"/>
              <w:left w:val="nil"/>
              <w:bottom w:val="nil"/>
              <w:right w:val="nil"/>
              <w:tl2br w:val="nil"/>
              <w:tr2bl w:val="nil"/>
            </w:tcBorders>
            <w:shd w:val="clear" w:color="auto" w:fill="auto"/>
            <w:noWrap/>
            <w:tcMar>
              <w:left w:w="101" w:type="dxa"/>
              <w:right w:w="101" w:type="dxa"/>
            </w:tcMar>
          </w:tcPr>
          <w:p w14:paraId="4FABE158"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Goods and Services Tax Collected from Customers</w:t>
            </w:r>
          </w:p>
        </w:tc>
        <w:tc>
          <w:tcPr>
            <w:tcW w:w="1035" w:type="dxa"/>
            <w:tcBorders>
              <w:top w:val="nil"/>
              <w:left w:val="nil"/>
              <w:bottom w:val="nil"/>
              <w:right w:val="nil"/>
              <w:tl2br w:val="nil"/>
              <w:tr2bl w:val="nil"/>
            </w:tcBorders>
            <w:shd w:val="clear" w:color="FFFFFF" w:fill="FFFFFF"/>
            <w:tcMar>
              <w:left w:w="101" w:type="dxa"/>
              <w:right w:w="161" w:type="dxa"/>
            </w:tcMar>
          </w:tcPr>
          <w:p w14:paraId="0FF0BC5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5 801</w:t>
            </w:r>
          </w:p>
        </w:tc>
        <w:tc>
          <w:tcPr>
            <w:tcW w:w="1035" w:type="dxa"/>
            <w:tcBorders>
              <w:top w:val="nil"/>
              <w:left w:val="nil"/>
              <w:bottom w:val="nil"/>
              <w:right w:val="nil"/>
              <w:tl2br w:val="nil"/>
              <w:tr2bl w:val="nil"/>
            </w:tcBorders>
            <w:shd w:val="clear" w:color="FFFFFF" w:fill="FFFFFF"/>
            <w:tcMar>
              <w:left w:w="101" w:type="dxa"/>
              <w:right w:w="161" w:type="dxa"/>
            </w:tcMar>
          </w:tcPr>
          <w:p w14:paraId="217556F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2D968FB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61" w:type="dxa"/>
            </w:tcMar>
          </w:tcPr>
          <w:p w14:paraId="0413F94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0D4E1F0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8" w:type="dxa"/>
            <w:tcBorders>
              <w:top w:val="nil"/>
              <w:left w:val="nil"/>
              <w:bottom w:val="nil"/>
              <w:right w:val="nil"/>
              <w:tl2br w:val="nil"/>
              <w:tr2bl w:val="nil"/>
            </w:tcBorders>
            <w:shd w:val="clear" w:color="FFFFFF" w:fill="FFFFFF"/>
            <w:tcMar>
              <w:left w:w="101" w:type="dxa"/>
              <w:right w:w="161" w:type="dxa"/>
            </w:tcMar>
          </w:tcPr>
          <w:p w14:paraId="09096FB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5EF62FC0"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7F7CC2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76 244</w:t>
            </w:r>
          </w:p>
        </w:tc>
        <w:tc>
          <w:tcPr>
            <w:tcW w:w="2367" w:type="dxa"/>
            <w:tcBorders>
              <w:top w:val="nil"/>
              <w:left w:val="nil"/>
              <w:bottom w:val="nil"/>
              <w:right w:val="nil"/>
              <w:tl2br w:val="nil"/>
              <w:tr2bl w:val="nil"/>
            </w:tcBorders>
            <w:shd w:val="clear" w:color="auto" w:fill="auto"/>
            <w:noWrap/>
            <w:tcMar>
              <w:left w:w="101" w:type="dxa"/>
              <w:right w:w="101" w:type="dxa"/>
            </w:tcMar>
          </w:tcPr>
          <w:p w14:paraId="785FC8E9"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0DAB7D4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(1 399)</w:t>
            </w:r>
          </w:p>
        </w:tc>
        <w:tc>
          <w:tcPr>
            <w:tcW w:w="1035" w:type="dxa"/>
            <w:tcBorders>
              <w:top w:val="nil"/>
              <w:left w:val="nil"/>
              <w:bottom w:val="nil"/>
              <w:right w:val="nil"/>
              <w:tl2br w:val="nil"/>
              <w:tr2bl w:val="nil"/>
            </w:tcBorders>
            <w:shd w:val="clear" w:color="FFFFFF" w:fill="FFFFFF"/>
            <w:tcMar>
              <w:left w:w="101" w:type="dxa"/>
              <w:right w:w="161" w:type="dxa"/>
            </w:tcMar>
          </w:tcPr>
          <w:p w14:paraId="06F185D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77 998</w:t>
            </w:r>
          </w:p>
        </w:tc>
        <w:tc>
          <w:tcPr>
            <w:tcW w:w="600" w:type="dxa"/>
            <w:tcBorders>
              <w:top w:val="nil"/>
              <w:left w:val="nil"/>
              <w:bottom w:val="nil"/>
              <w:right w:val="nil"/>
              <w:tl2br w:val="nil"/>
              <w:tr2bl w:val="nil"/>
            </w:tcBorders>
            <w:shd w:val="clear" w:color="FFFFFF" w:fill="FFFFFF"/>
            <w:tcMar>
              <w:left w:w="101" w:type="dxa"/>
              <w:right w:w="101" w:type="dxa"/>
            </w:tcMar>
          </w:tcPr>
          <w:p w14:paraId="7AA7CD9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61" w:type="dxa"/>
            </w:tcMar>
          </w:tcPr>
          <w:p w14:paraId="1287D15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78 377</w:t>
            </w:r>
          </w:p>
        </w:tc>
        <w:tc>
          <w:tcPr>
            <w:tcW w:w="1035" w:type="dxa"/>
            <w:tcBorders>
              <w:top w:val="nil"/>
              <w:left w:val="nil"/>
              <w:bottom w:val="nil"/>
              <w:right w:val="nil"/>
              <w:tl2br w:val="nil"/>
              <w:tr2bl w:val="nil"/>
            </w:tcBorders>
            <w:shd w:val="clear" w:color="FFFFFF" w:fill="FFFFFF"/>
            <w:tcMar>
              <w:left w:w="101" w:type="dxa"/>
              <w:right w:w="161" w:type="dxa"/>
            </w:tcMar>
          </w:tcPr>
          <w:p w14:paraId="7F7686D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78 816</w:t>
            </w:r>
          </w:p>
        </w:tc>
        <w:tc>
          <w:tcPr>
            <w:tcW w:w="1038" w:type="dxa"/>
            <w:tcBorders>
              <w:top w:val="nil"/>
              <w:left w:val="nil"/>
              <w:bottom w:val="nil"/>
              <w:right w:val="nil"/>
              <w:tl2br w:val="nil"/>
              <w:tr2bl w:val="nil"/>
            </w:tcBorders>
            <w:shd w:val="clear" w:color="FFFFFF" w:fill="FFFFFF"/>
            <w:tcMar>
              <w:left w:w="101" w:type="dxa"/>
              <w:right w:w="161" w:type="dxa"/>
            </w:tcMar>
          </w:tcPr>
          <w:p w14:paraId="0120B61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79 173</w:t>
            </w:r>
          </w:p>
        </w:tc>
      </w:tr>
      <w:tr w:rsidR="009832FC" w:rsidRPr="009832FC" w14:paraId="2A5C094A"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2592B6B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1 341 840</w:t>
            </w:r>
          </w:p>
        </w:tc>
        <w:tc>
          <w:tcPr>
            <w:tcW w:w="2367" w:type="dxa"/>
            <w:tcBorders>
              <w:top w:val="nil"/>
              <w:left w:val="nil"/>
              <w:bottom w:val="nil"/>
              <w:right w:val="nil"/>
              <w:tl2br w:val="nil"/>
              <w:tr2bl w:val="nil"/>
            </w:tcBorders>
            <w:shd w:val="clear" w:color="FFFFFF" w:fill="FFFFFF"/>
            <w:tcMar>
              <w:left w:w="101" w:type="dxa"/>
              <w:right w:w="101" w:type="dxa"/>
            </w:tcMar>
          </w:tcPr>
          <w:p w14:paraId="087840E2"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Operating Receipts</w:t>
            </w:r>
          </w:p>
        </w:tc>
        <w:tc>
          <w:tcPr>
            <w:tcW w:w="1035" w:type="dxa"/>
            <w:tcBorders>
              <w:top w:val="nil"/>
              <w:left w:val="nil"/>
              <w:bottom w:val="nil"/>
              <w:right w:val="nil"/>
              <w:tl2br w:val="nil"/>
              <w:tr2bl w:val="nil"/>
            </w:tcBorders>
            <w:shd w:val="clear" w:color="FFFFFF" w:fill="FFFFFF"/>
            <w:tcMar>
              <w:left w:w="101" w:type="dxa"/>
              <w:right w:w="161" w:type="dxa"/>
            </w:tcMar>
          </w:tcPr>
          <w:p w14:paraId="085DCCA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1 370 538</w:t>
            </w:r>
          </w:p>
        </w:tc>
        <w:tc>
          <w:tcPr>
            <w:tcW w:w="1035" w:type="dxa"/>
            <w:tcBorders>
              <w:top w:val="nil"/>
              <w:left w:val="nil"/>
              <w:bottom w:val="nil"/>
              <w:right w:val="nil"/>
              <w:tl2br w:val="nil"/>
              <w:tr2bl w:val="nil"/>
            </w:tcBorders>
            <w:shd w:val="clear" w:color="FFFFFF" w:fill="FFFFFF"/>
            <w:tcMar>
              <w:left w:w="101" w:type="dxa"/>
              <w:right w:w="161" w:type="dxa"/>
            </w:tcMar>
          </w:tcPr>
          <w:p w14:paraId="118034F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1 485 015</w:t>
            </w:r>
          </w:p>
        </w:tc>
        <w:tc>
          <w:tcPr>
            <w:tcW w:w="600" w:type="dxa"/>
            <w:tcBorders>
              <w:top w:val="nil"/>
              <w:left w:val="nil"/>
              <w:bottom w:val="nil"/>
              <w:right w:val="nil"/>
              <w:tl2br w:val="nil"/>
              <w:tr2bl w:val="nil"/>
            </w:tcBorders>
            <w:shd w:val="clear" w:color="FFFFFF" w:fill="FFFFFF"/>
            <w:tcMar>
              <w:left w:w="101" w:type="dxa"/>
              <w:right w:w="101" w:type="dxa"/>
            </w:tcMar>
          </w:tcPr>
          <w:p w14:paraId="7E7D114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tcMar>
              <w:left w:w="101" w:type="dxa"/>
              <w:right w:w="161" w:type="dxa"/>
            </w:tcMar>
          </w:tcPr>
          <w:p w14:paraId="1F0D461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1 468 501</w:t>
            </w:r>
          </w:p>
        </w:tc>
        <w:tc>
          <w:tcPr>
            <w:tcW w:w="1035" w:type="dxa"/>
            <w:tcBorders>
              <w:top w:val="nil"/>
              <w:left w:val="nil"/>
              <w:bottom w:val="nil"/>
              <w:right w:val="nil"/>
              <w:tl2br w:val="nil"/>
              <w:tr2bl w:val="nil"/>
            </w:tcBorders>
            <w:shd w:val="clear" w:color="FFFFFF" w:fill="FFFFFF"/>
            <w:tcMar>
              <w:left w:w="101" w:type="dxa"/>
              <w:right w:w="161" w:type="dxa"/>
            </w:tcMar>
          </w:tcPr>
          <w:p w14:paraId="5B476E5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1 503 642</w:t>
            </w:r>
          </w:p>
        </w:tc>
        <w:tc>
          <w:tcPr>
            <w:tcW w:w="1038" w:type="dxa"/>
            <w:tcBorders>
              <w:top w:val="nil"/>
              <w:left w:val="nil"/>
              <w:bottom w:val="nil"/>
              <w:right w:val="nil"/>
              <w:tl2br w:val="nil"/>
              <w:tr2bl w:val="nil"/>
            </w:tcBorders>
            <w:shd w:val="clear" w:color="FFFFFF" w:fill="FFFFFF"/>
            <w:tcMar>
              <w:left w:w="101" w:type="dxa"/>
              <w:right w:w="161" w:type="dxa"/>
            </w:tcMar>
          </w:tcPr>
          <w:p w14:paraId="5E602AE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1 521 445</w:t>
            </w:r>
          </w:p>
        </w:tc>
      </w:tr>
      <w:tr w:rsidR="009832FC" w:rsidRPr="009832FC" w14:paraId="023C18DE" w14:textId="77777777" w:rsidTr="00EB585F">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7DD1607" w14:textId="77777777" w:rsidR="009832FC" w:rsidRPr="009832FC" w:rsidRDefault="009832FC" w:rsidP="009832FC">
            <w:pPr>
              <w:spacing w:before="0" w:after="0"/>
              <w:rPr>
                <w:rFonts w:eastAsia="Calibri" w:cs="Calibri"/>
                <w:color w:val="000000"/>
                <w:sz w:val="18"/>
                <w:szCs w:val="24"/>
                <w:lang w:eastAsia="en-AU"/>
              </w:rPr>
            </w:pPr>
          </w:p>
        </w:tc>
        <w:tc>
          <w:tcPr>
            <w:tcW w:w="2367" w:type="dxa"/>
            <w:tcBorders>
              <w:top w:val="nil"/>
              <w:left w:val="nil"/>
              <w:bottom w:val="nil"/>
              <w:right w:val="nil"/>
              <w:tl2br w:val="nil"/>
              <w:tr2bl w:val="nil"/>
            </w:tcBorders>
            <w:shd w:val="clear" w:color="FFFFFF" w:fill="FFFFFF"/>
            <w:tcMar>
              <w:left w:w="0" w:type="dxa"/>
              <w:right w:w="0" w:type="dxa"/>
            </w:tcMar>
          </w:tcPr>
          <w:p w14:paraId="67A2E295"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EDB586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DA4A71"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466BCB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462DFC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0305FBD" w14:textId="77777777" w:rsidR="009832FC" w:rsidRPr="009832FC" w:rsidRDefault="009832FC" w:rsidP="009832FC">
            <w:pPr>
              <w:spacing w:before="0" w:after="0"/>
              <w:rPr>
                <w:rFonts w:eastAsia="Calibri" w:cs="Calibri"/>
                <w:color w:val="000000"/>
                <w:sz w:val="18"/>
                <w:szCs w:val="24"/>
                <w:lang w:eastAsia="en-AU"/>
              </w:rPr>
            </w:pPr>
          </w:p>
        </w:tc>
        <w:tc>
          <w:tcPr>
            <w:tcW w:w="1038" w:type="dxa"/>
            <w:tcBorders>
              <w:top w:val="nil"/>
              <w:left w:val="nil"/>
              <w:bottom w:val="nil"/>
              <w:right w:val="nil"/>
              <w:tl2br w:val="nil"/>
              <w:tr2bl w:val="nil"/>
            </w:tcBorders>
            <w:shd w:val="clear" w:color="FFFFFF" w:fill="FFFFFF"/>
            <w:tcMar>
              <w:left w:w="0" w:type="dxa"/>
              <w:right w:w="0" w:type="dxa"/>
            </w:tcMar>
          </w:tcPr>
          <w:p w14:paraId="4AD5AC34"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74EDE97B" w14:textId="77777777" w:rsidTr="00EB585F">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92A52F" w14:textId="77777777" w:rsidR="009832FC" w:rsidRPr="009832FC" w:rsidRDefault="009832FC" w:rsidP="009832FC">
            <w:pPr>
              <w:spacing w:before="0" w:after="0"/>
              <w:rPr>
                <w:rFonts w:eastAsia="Calibri" w:cs="Calibri"/>
                <w:color w:val="000000"/>
                <w:sz w:val="18"/>
                <w:szCs w:val="24"/>
                <w:lang w:eastAsia="en-AU"/>
              </w:rPr>
            </w:pPr>
          </w:p>
        </w:tc>
        <w:tc>
          <w:tcPr>
            <w:tcW w:w="2367" w:type="dxa"/>
            <w:tcBorders>
              <w:top w:val="nil"/>
              <w:left w:val="nil"/>
              <w:bottom w:val="nil"/>
              <w:right w:val="nil"/>
              <w:tl2br w:val="nil"/>
              <w:tr2bl w:val="nil"/>
            </w:tcBorders>
            <w:shd w:val="clear" w:color="FFFFFF" w:fill="FFFFFF"/>
            <w:tcMar>
              <w:left w:w="101" w:type="dxa"/>
              <w:right w:w="101" w:type="dxa"/>
            </w:tcMar>
          </w:tcPr>
          <w:p w14:paraId="52D7E02E"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3EC028F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CF066EA"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DA9216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C72888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0ECEB1B" w14:textId="77777777" w:rsidR="009832FC" w:rsidRPr="009832FC" w:rsidRDefault="009832FC" w:rsidP="009832FC">
            <w:pPr>
              <w:spacing w:before="0" w:after="0"/>
              <w:rPr>
                <w:rFonts w:eastAsia="Calibri" w:cs="Calibri"/>
                <w:color w:val="000000"/>
                <w:sz w:val="18"/>
                <w:szCs w:val="24"/>
                <w:lang w:eastAsia="en-AU"/>
              </w:rPr>
            </w:pPr>
          </w:p>
        </w:tc>
        <w:tc>
          <w:tcPr>
            <w:tcW w:w="1038" w:type="dxa"/>
            <w:tcBorders>
              <w:top w:val="nil"/>
              <w:left w:val="nil"/>
              <w:bottom w:val="nil"/>
              <w:right w:val="nil"/>
              <w:tl2br w:val="nil"/>
              <w:tr2bl w:val="nil"/>
            </w:tcBorders>
            <w:shd w:val="clear" w:color="FFFFFF" w:fill="FFFFFF"/>
            <w:tcMar>
              <w:left w:w="0" w:type="dxa"/>
              <w:right w:w="0" w:type="dxa"/>
            </w:tcMar>
          </w:tcPr>
          <w:p w14:paraId="6C041D88"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7E691D3"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6623164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800 261</w:t>
            </w:r>
          </w:p>
        </w:tc>
        <w:tc>
          <w:tcPr>
            <w:tcW w:w="2367" w:type="dxa"/>
            <w:tcBorders>
              <w:top w:val="nil"/>
              <w:left w:val="nil"/>
              <w:bottom w:val="nil"/>
              <w:right w:val="nil"/>
              <w:tl2br w:val="nil"/>
              <w:tr2bl w:val="nil"/>
            </w:tcBorders>
            <w:shd w:val="clear" w:color="FFFFFF" w:fill="FFFFFF"/>
            <w:noWrap/>
            <w:tcMar>
              <w:left w:w="101" w:type="dxa"/>
              <w:right w:w="101" w:type="dxa"/>
            </w:tcMar>
          </w:tcPr>
          <w:p w14:paraId="6B1AB912"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Employee</w:t>
            </w:r>
          </w:p>
        </w:tc>
        <w:tc>
          <w:tcPr>
            <w:tcW w:w="1035" w:type="dxa"/>
            <w:tcBorders>
              <w:top w:val="nil"/>
              <w:left w:val="nil"/>
              <w:bottom w:val="nil"/>
              <w:right w:val="nil"/>
              <w:tl2br w:val="nil"/>
              <w:tr2bl w:val="nil"/>
            </w:tcBorders>
            <w:shd w:val="clear" w:color="FFFFFF" w:fill="FFFFFF"/>
            <w:tcMar>
              <w:left w:w="101" w:type="dxa"/>
              <w:right w:w="161" w:type="dxa"/>
            </w:tcMar>
          </w:tcPr>
          <w:p w14:paraId="7B3ADD7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821 964</w:t>
            </w:r>
          </w:p>
        </w:tc>
        <w:tc>
          <w:tcPr>
            <w:tcW w:w="1035" w:type="dxa"/>
            <w:tcBorders>
              <w:top w:val="nil"/>
              <w:left w:val="nil"/>
              <w:bottom w:val="nil"/>
              <w:right w:val="nil"/>
              <w:tl2br w:val="nil"/>
              <w:tr2bl w:val="nil"/>
            </w:tcBorders>
            <w:shd w:val="clear" w:color="FFFFFF" w:fill="FFFFFF"/>
            <w:tcMar>
              <w:left w:w="101" w:type="dxa"/>
              <w:right w:w="161" w:type="dxa"/>
            </w:tcMar>
          </w:tcPr>
          <w:p w14:paraId="1C4F679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891 908</w:t>
            </w:r>
          </w:p>
        </w:tc>
        <w:tc>
          <w:tcPr>
            <w:tcW w:w="600" w:type="dxa"/>
            <w:tcBorders>
              <w:top w:val="nil"/>
              <w:left w:val="nil"/>
              <w:bottom w:val="nil"/>
              <w:right w:val="nil"/>
              <w:tl2br w:val="nil"/>
              <w:tr2bl w:val="nil"/>
            </w:tcBorders>
            <w:shd w:val="clear" w:color="FFFFFF" w:fill="FFFFFF"/>
            <w:tcMar>
              <w:left w:w="101" w:type="dxa"/>
              <w:right w:w="101" w:type="dxa"/>
            </w:tcMar>
          </w:tcPr>
          <w:p w14:paraId="2D44DBD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9 </w:t>
            </w:r>
          </w:p>
        </w:tc>
        <w:tc>
          <w:tcPr>
            <w:tcW w:w="1035" w:type="dxa"/>
            <w:tcBorders>
              <w:top w:val="nil"/>
              <w:left w:val="nil"/>
              <w:bottom w:val="nil"/>
              <w:right w:val="nil"/>
              <w:tl2br w:val="nil"/>
              <w:tr2bl w:val="nil"/>
            </w:tcBorders>
            <w:shd w:val="clear" w:color="FFFFFF" w:fill="FFFFFF"/>
            <w:tcMar>
              <w:left w:w="101" w:type="dxa"/>
              <w:right w:w="161" w:type="dxa"/>
            </w:tcMar>
          </w:tcPr>
          <w:p w14:paraId="45B2FA2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877 856</w:t>
            </w:r>
          </w:p>
        </w:tc>
        <w:tc>
          <w:tcPr>
            <w:tcW w:w="1035" w:type="dxa"/>
            <w:tcBorders>
              <w:top w:val="nil"/>
              <w:left w:val="nil"/>
              <w:bottom w:val="nil"/>
              <w:right w:val="nil"/>
              <w:tl2br w:val="nil"/>
              <w:tr2bl w:val="nil"/>
            </w:tcBorders>
            <w:shd w:val="clear" w:color="FFFFFF" w:fill="FFFFFF"/>
            <w:tcMar>
              <w:left w:w="101" w:type="dxa"/>
              <w:right w:w="161" w:type="dxa"/>
            </w:tcMar>
          </w:tcPr>
          <w:p w14:paraId="7E34BB8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897 524</w:t>
            </w:r>
          </w:p>
        </w:tc>
        <w:tc>
          <w:tcPr>
            <w:tcW w:w="1038" w:type="dxa"/>
            <w:tcBorders>
              <w:top w:val="nil"/>
              <w:left w:val="nil"/>
              <w:bottom w:val="nil"/>
              <w:right w:val="nil"/>
              <w:tl2br w:val="nil"/>
              <w:tr2bl w:val="nil"/>
            </w:tcBorders>
            <w:shd w:val="clear" w:color="FFFFFF" w:fill="FFFFFF"/>
            <w:tcMar>
              <w:left w:w="101" w:type="dxa"/>
              <w:right w:w="161" w:type="dxa"/>
            </w:tcMar>
          </w:tcPr>
          <w:p w14:paraId="480C38A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908 049</w:t>
            </w:r>
          </w:p>
        </w:tc>
      </w:tr>
      <w:tr w:rsidR="009832FC" w:rsidRPr="009832FC" w14:paraId="439B32EB"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03750AB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108 998</w:t>
            </w:r>
          </w:p>
        </w:tc>
        <w:tc>
          <w:tcPr>
            <w:tcW w:w="2367" w:type="dxa"/>
            <w:tcBorders>
              <w:top w:val="nil"/>
              <w:left w:val="nil"/>
              <w:bottom w:val="nil"/>
              <w:right w:val="nil"/>
              <w:tl2br w:val="nil"/>
              <w:tr2bl w:val="nil"/>
            </w:tcBorders>
            <w:shd w:val="clear" w:color="FFFFFF" w:fill="FFFFFF"/>
            <w:noWrap/>
            <w:tcMar>
              <w:left w:w="101" w:type="dxa"/>
              <w:right w:w="101" w:type="dxa"/>
            </w:tcMar>
          </w:tcPr>
          <w:p w14:paraId="3C29F29D"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Superannuation</w:t>
            </w:r>
          </w:p>
        </w:tc>
        <w:tc>
          <w:tcPr>
            <w:tcW w:w="1035" w:type="dxa"/>
            <w:tcBorders>
              <w:top w:val="nil"/>
              <w:left w:val="nil"/>
              <w:bottom w:val="nil"/>
              <w:right w:val="nil"/>
              <w:tl2br w:val="nil"/>
              <w:tr2bl w:val="nil"/>
            </w:tcBorders>
            <w:shd w:val="clear" w:color="FFFFFF" w:fill="FFFFFF"/>
            <w:tcMar>
              <w:left w:w="101" w:type="dxa"/>
              <w:right w:w="161" w:type="dxa"/>
            </w:tcMar>
          </w:tcPr>
          <w:p w14:paraId="304D57D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116 570</w:t>
            </w:r>
          </w:p>
        </w:tc>
        <w:tc>
          <w:tcPr>
            <w:tcW w:w="1035" w:type="dxa"/>
            <w:tcBorders>
              <w:top w:val="nil"/>
              <w:left w:val="nil"/>
              <w:bottom w:val="nil"/>
              <w:right w:val="nil"/>
              <w:tl2br w:val="nil"/>
              <w:tr2bl w:val="nil"/>
            </w:tcBorders>
            <w:shd w:val="clear" w:color="FFFFFF" w:fill="FFFFFF"/>
            <w:tcMar>
              <w:left w:w="101" w:type="dxa"/>
              <w:right w:w="161" w:type="dxa"/>
            </w:tcMar>
          </w:tcPr>
          <w:p w14:paraId="222F8EA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125 234</w:t>
            </w:r>
          </w:p>
        </w:tc>
        <w:tc>
          <w:tcPr>
            <w:tcW w:w="600" w:type="dxa"/>
            <w:tcBorders>
              <w:top w:val="nil"/>
              <w:left w:val="nil"/>
              <w:bottom w:val="nil"/>
              <w:right w:val="nil"/>
              <w:tl2br w:val="nil"/>
              <w:tr2bl w:val="nil"/>
            </w:tcBorders>
            <w:shd w:val="clear" w:color="FFFFFF" w:fill="FFFFFF"/>
            <w:tcMar>
              <w:left w:w="101" w:type="dxa"/>
              <w:right w:w="101" w:type="dxa"/>
            </w:tcMar>
          </w:tcPr>
          <w:p w14:paraId="158145D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7 </w:t>
            </w:r>
          </w:p>
        </w:tc>
        <w:tc>
          <w:tcPr>
            <w:tcW w:w="1035" w:type="dxa"/>
            <w:tcBorders>
              <w:top w:val="nil"/>
              <w:left w:val="nil"/>
              <w:bottom w:val="nil"/>
              <w:right w:val="nil"/>
              <w:tl2br w:val="nil"/>
              <w:tr2bl w:val="nil"/>
            </w:tcBorders>
            <w:shd w:val="clear" w:color="FFFFFF" w:fill="FFFFFF"/>
            <w:tcMar>
              <w:left w:w="101" w:type="dxa"/>
              <w:right w:w="161" w:type="dxa"/>
            </w:tcMar>
          </w:tcPr>
          <w:p w14:paraId="1B60E50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122 369</w:t>
            </w:r>
          </w:p>
        </w:tc>
        <w:tc>
          <w:tcPr>
            <w:tcW w:w="1035" w:type="dxa"/>
            <w:tcBorders>
              <w:top w:val="nil"/>
              <w:left w:val="nil"/>
              <w:bottom w:val="nil"/>
              <w:right w:val="nil"/>
              <w:tl2br w:val="nil"/>
              <w:tr2bl w:val="nil"/>
            </w:tcBorders>
            <w:shd w:val="clear" w:color="FFFFFF" w:fill="FFFFFF"/>
            <w:tcMar>
              <w:left w:w="101" w:type="dxa"/>
              <w:right w:w="161" w:type="dxa"/>
            </w:tcMar>
          </w:tcPr>
          <w:p w14:paraId="6F401A6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123 558</w:t>
            </w:r>
          </w:p>
        </w:tc>
        <w:tc>
          <w:tcPr>
            <w:tcW w:w="1038" w:type="dxa"/>
            <w:tcBorders>
              <w:top w:val="nil"/>
              <w:left w:val="nil"/>
              <w:bottom w:val="nil"/>
              <w:right w:val="nil"/>
              <w:tl2br w:val="nil"/>
              <w:tr2bl w:val="nil"/>
            </w:tcBorders>
            <w:shd w:val="clear" w:color="FFFFFF" w:fill="FFFFFF"/>
            <w:tcMar>
              <w:left w:w="101" w:type="dxa"/>
              <w:right w:w="161" w:type="dxa"/>
            </w:tcMar>
          </w:tcPr>
          <w:p w14:paraId="0941FD3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124 792</w:t>
            </w:r>
          </w:p>
        </w:tc>
      </w:tr>
      <w:tr w:rsidR="009832FC" w:rsidRPr="009832FC" w14:paraId="4EE680C9"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33FD2D5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343 566</w:t>
            </w:r>
          </w:p>
        </w:tc>
        <w:tc>
          <w:tcPr>
            <w:tcW w:w="2367" w:type="dxa"/>
            <w:tcBorders>
              <w:top w:val="nil"/>
              <w:left w:val="nil"/>
              <w:bottom w:val="nil"/>
              <w:right w:val="nil"/>
              <w:tl2br w:val="nil"/>
              <w:tr2bl w:val="nil"/>
            </w:tcBorders>
            <w:shd w:val="clear" w:color="FFFFFF" w:fill="FFFFFF"/>
            <w:noWrap/>
            <w:tcMar>
              <w:left w:w="101" w:type="dxa"/>
              <w:right w:w="101" w:type="dxa"/>
            </w:tcMar>
          </w:tcPr>
          <w:p w14:paraId="12C19038"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Supplies and Services</w:t>
            </w:r>
          </w:p>
        </w:tc>
        <w:tc>
          <w:tcPr>
            <w:tcW w:w="1035" w:type="dxa"/>
            <w:tcBorders>
              <w:top w:val="nil"/>
              <w:left w:val="nil"/>
              <w:bottom w:val="nil"/>
              <w:right w:val="nil"/>
              <w:tl2br w:val="nil"/>
              <w:tr2bl w:val="nil"/>
            </w:tcBorders>
            <w:shd w:val="clear" w:color="FFFFFF" w:fill="FFFFFF"/>
            <w:tcMar>
              <w:left w:w="101" w:type="dxa"/>
              <w:right w:w="161" w:type="dxa"/>
            </w:tcMar>
          </w:tcPr>
          <w:p w14:paraId="26C6628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331 997</w:t>
            </w:r>
          </w:p>
        </w:tc>
        <w:tc>
          <w:tcPr>
            <w:tcW w:w="1035" w:type="dxa"/>
            <w:tcBorders>
              <w:top w:val="nil"/>
              <w:left w:val="nil"/>
              <w:bottom w:val="nil"/>
              <w:right w:val="nil"/>
              <w:tl2br w:val="nil"/>
              <w:tr2bl w:val="nil"/>
            </w:tcBorders>
            <w:shd w:val="clear" w:color="FFFFFF" w:fill="FFFFFF"/>
            <w:tcMar>
              <w:left w:w="101" w:type="dxa"/>
              <w:right w:w="161" w:type="dxa"/>
            </w:tcMar>
          </w:tcPr>
          <w:p w14:paraId="23BD9E2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366 774</w:t>
            </w:r>
          </w:p>
        </w:tc>
        <w:tc>
          <w:tcPr>
            <w:tcW w:w="600" w:type="dxa"/>
            <w:tcBorders>
              <w:top w:val="nil"/>
              <w:left w:val="nil"/>
              <w:bottom w:val="nil"/>
              <w:right w:val="nil"/>
              <w:tl2br w:val="nil"/>
              <w:tr2bl w:val="nil"/>
            </w:tcBorders>
            <w:shd w:val="clear" w:color="FFFFFF" w:fill="FFFFFF"/>
            <w:tcMar>
              <w:left w:w="101" w:type="dxa"/>
              <w:right w:w="101" w:type="dxa"/>
            </w:tcMar>
          </w:tcPr>
          <w:p w14:paraId="3C68BC8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 </w:t>
            </w:r>
          </w:p>
        </w:tc>
        <w:tc>
          <w:tcPr>
            <w:tcW w:w="1035" w:type="dxa"/>
            <w:tcBorders>
              <w:top w:val="nil"/>
              <w:left w:val="nil"/>
              <w:bottom w:val="nil"/>
              <w:right w:val="nil"/>
              <w:tl2br w:val="nil"/>
              <w:tr2bl w:val="nil"/>
            </w:tcBorders>
            <w:shd w:val="clear" w:color="FFFFFF" w:fill="FFFFFF"/>
            <w:tcMar>
              <w:left w:w="101" w:type="dxa"/>
              <w:right w:w="161" w:type="dxa"/>
            </w:tcMar>
          </w:tcPr>
          <w:p w14:paraId="1915144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370 147</w:t>
            </w:r>
          </w:p>
        </w:tc>
        <w:tc>
          <w:tcPr>
            <w:tcW w:w="1035" w:type="dxa"/>
            <w:tcBorders>
              <w:top w:val="nil"/>
              <w:left w:val="nil"/>
              <w:bottom w:val="nil"/>
              <w:right w:val="nil"/>
              <w:tl2br w:val="nil"/>
              <w:tr2bl w:val="nil"/>
            </w:tcBorders>
            <w:shd w:val="clear" w:color="FFFFFF" w:fill="FFFFFF"/>
            <w:tcMar>
              <w:left w:w="101" w:type="dxa"/>
              <w:right w:w="161" w:type="dxa"/>
            </w:tcMar>
          </w:tcPr>
          <w:p w14:paraId="58B8D3F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383 578</w:t>
            </w:r>
          </w:p>
        </w:tc>
        <w:tc>
          <w:tcPr>
            <w:tcW w:w="1038" w:type="dxa"/>
            <w:tcBorders>
              <w:top w:val="nil"/>
              <w:left w:val="nil"/>
              <w:bottom w:val="nil"/>
              <w:right w:val="nil"/>
              <w:tl2br w:val="nil"/>
              <w:tr2bl w:val="nil"/>
            </w:tcBorders>
            <w:shd w:val="clear" w:color="FFFFFF" w:fill="FFFFFF"/>
            <w:tcMar>
              <w:left w:w="101" w:type="dxa"/>
              <w:right w:w="161" w:type="dxa"/>
            </w:tcMar>
          </w:tcPr>
          <w:p w14:paraId="45A7BC1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388 990</w:t>
            </w:r>
          </w:p>
        </w:tc>
      </w:tr>
      <w:tr w:rsidR="009832FC" w:rsidRPr="009832FC" w14:paraId="0388BF9A"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BE78A1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18 036</w:t>
            </w:r>
          </w:p>
        </w:tc>
        <w:tc>
          <w:tcPr>
            <w:tcW w:w="2367" w:type="dxa"/>
            <w:tcBorders>
              <w:top w:val="nil"/>
              <w:left w:val="nil"/>
              <w:bottom w:val="nil"/>
              <w:right w:val="nil"/>
              <w:tl2br w:val="nil"/>
              <w:tr2bl w:val="nil"/>
            </w:tcBorders>
            <w:shd w:val="clear" w:color="FFFFFF" w:fill="FFFFFF"/>
            <w:noWrap/>
            <w:tcMar>
              <w:left w:w="101" w:type="dxa"/>
              <w:right w:w="101" w:type="dxa"/>
            </w:tcMar>
          </w:tcPr>
          <w:p w14:paraId="7CA983D8"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Grants and Purchased Services</w:t>
            </w:r>
          </w:p>
        </w:tc>
        <w:tc>
          <w:tcPr>
            <w:tcW w:w="1035" w:type="dxa"/>
            <w:tcBorders>
              <w:top w:val="nil"/>
              <w:left w:val="nil"/>
              <w:bottom w:val="nil"/>
              <w:right w:val="nil"/>
              <w:tl2br w:val="nil"/>
              <w:tr2bl w:val="nil"/>
            </w:tcBorders>
            <w:shd w:val="clear" w:color="FFFFFF" w:fill="FFFFFF"/>
            <w:tcMar>
              <w:left w:w="101" w:type="dxa"/>
              <w:right w:w="161" w:type="dxa"/>
            </w:tcMar>
          </w:tcPr>
          <w:p w14:paraId="0E34007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37 973</w:t>
            </w:r>
          </w:p>
        </w:tc>
        <w:tc>
          <w:tcPr>
            <w:tcW w:w="1035" w:type="dxa"/>
            <w:tcBorders>
              <w:top w:val="nil"/>
              <w:left w:val="nil"/>
              <w:bottom w:val="nil"/>
              <w:right w:val="nil"/>
              <w:tl2br w:val="nil"/>
              <w:tr2bl w:val="nil"/>
            </w:tcBorders>
            <w:shd w:val="clear" w:color="FFFFFF" w:fill="FFFFFF"/>
            <w:tcMar>
              <w:left w:w="101" w:type="dxa"/>
              <w:right w:w="161" w:type="dxa"/>
            </w:tcMar>
          </w:tcPr>
          <w:p w14:paraId="7C02869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20 723</w:t>
            </w:r>
          </w:p>
        </w:tc>
        <w:tc>
          <w:tcPr>
            <w:tcW w:w="600" w:type="dxa"/>
            <w:tcBorders>
              <w:top w:val="nil"/>
              <w:left w:val="nil"/>
              <w:bottom w:val="nil"/>
              <w:right w:val="nil"/>
              <w:tl2br w:val="nil"/>
              <w:tr2bl w:val="nil"/>
            </w:tcBorders>
            <w:shd w:val="clear" w:color="FFFFFF" w:fill="FFFFFF"/>
            <w:tcMar>
              <w:left w:w="101" w:type="dxa"/>
              <w:right w:w="101" w:type="dxa"/>
            </w:tcMar>
          </w:tcPr>
          <w:p w14:paraId="07F2DD0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-45 </w:t>
            </w:r>
          </w:p>
        </w:tc>
        <w:tc>
          <w:tcPr>
            <w:tcW w:w="1035" w:type="dxa"/>
            <w:tcBorders>
              <w:top w:val="nil"/>
              <w:left w:val="nil"/>
              <w:bottom w:val="nil"/>
              <w:right w:val="nil"/>
              <w:tl2br w:val="nil"/>
              <w:tr2bl w:val="nil"/>
            </w:tcBorders>
            <w:shd w:val="clear" w:color="FFFFFF" w:fill="FFFFFF"/>
            <w:tcMar>
              <w:left w:w="101" w:type="dxa"/>
              <w:right w:w="161" w:type="dxa"/>
            </w:tcMar>
          </w:tcPr>
          <w:p w14:paraId="0B16EF3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17 444</w:t>
            </w:r>
          </w:p>
        </w:tc>
        <w:tc>
          <w:tcPr>
            <w:tcW w:w="1035" w:type="dxa"/>
            <w:tcBorders>
              <w:top w:val="nil"/>
              <w:left w:val="nil"/>
              <w:bottom w:val="nil"/>
              <w:right w:val="nil"/>
              <w:tl2br w:val="nil"/>
              <w:tr2bl w:val="nil"/>
            </w:tcBorders>
            <w:shd w:val="clear" w:color="FFFFFF" w:fill="FFFFFF"/>
            <w:tcMar>
              <w:left w:w="101" w:type="dxa"/>
              <w:right w:w="161" w:type="dxa"/>
            </w:tcMar>
          </w:tcPr>
          <w:p w14:paraId="09E3493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18 106</w:t>
            </w:r>
          </w:p>
        </w:tc>
        <w:tc>
          <w:tcPr>
            <w:tcW w:w="1038" w:type="dxa"/>
            <w:tcBorders>
              <w:top w:val="nil"/>
              <w:left w:val="nil"/>
              <w:bottom w:val="nil"/>
              <w:right w:val="nil"/>
              <w:tl2br w:val="nil"/>
              <w:tr2bl w:val="nil"/>
            </w:tcBorders>
            <w:shd w:val="clear" w:color="FFFFFF" w:fill="FFFFFF"/>
            <w:tcMar>
              <w:left w:w="101" w:type="dxa"/>
              <w:right w:w="161" w:type="dxa"/>
            </w:tcMar>
          </w:tcPr>
          <w:p w14:paraId="6F7C02E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18 420</w:t>
            </w:r>
          </w:p>
        </w:tc>
      </w:tr>
      <w:tr w:rsidR="009832FC" w:rsidRPr="009832FC" w14:paraId="0A6F87D0"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302B1C5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504</w:t>
            </w:r>
          </w:p>
        </w:tc>
        <w:tc>
          <w:tcPr>
            <w:tcW w:w="2367" w:type="dxa"/>
            <w:tcBorders>
              <w:top w:val="nil"/>
              <w:left w:val="nil"/>
              <w:bottom w:val="nil"/>
              <w:right w:val="nil"/>
              <w:tl2br w:val="nil"/>
              <w:tr2bl w:val="nil"/>
            </w:tcBorders>
            <w:shd w:val="clear" w:color="FFFFFF" w:fill="FFFFFF"/>
            <w:noWrap/>
            <w:tcMar>
              <w:left w:w="101" w:type="dxa"/>
              <w:right w:w="101" w:type="dxa"/>
            </w:tcMar>
          </w:tcPr>
          <w:p w14:paraId="00EADB39"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Interest Expenses</w:t>
            </w:r>
          </w:p>
        </w:tc>
        <w:tc>
          <w:tcPr>
            <w:tcW w:w="1035" w:type="dxa"/>
            <w:tcBorders>
              <w:top w:val="nil"/>
              <w:left w:val="nil"/>
              <w:bottom w:val="nil"/>
              <w:right w:val="nil"/>
              <w:tl2br w:val="nil"/>
              <w:tr2bl w:val="nil"/>
            </w:tcBorders>
            <w:shd w:val="clear" w:color="FFFFFF" w:fill="FFFFFF"/>
            <w:tcMar>
              <w:left w:w="101" w:type="dxa"/>
              <w:right w:w="161" w:type="dxa"/>
            </w:tcMar>
          </w:tcPr>
          <w:p w14:paraId="4CE8D43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1B22899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515</w:t>
            </w:r>
          </w:p>
        </w:tc>
        <w:tc>
          <w:tcPr>
            <w:tcW w:w="600" w:type="dxa"/>
            <w:tcBorders>
              <w:top w:val="nil"/>
              <w:left w:val="nil"/>
              <w:bottom w:val="nil"/>
              <w:right w:val="nil"/>
              <w:tl2br w:val="nil"/>
              <w:tr2bl w:val="nil"/>
            </w:tcBorders>
            <w:shd w:val="clear" w:color="FFFFFF" w:fill="FFFFFF"/>
            <w:tcMar>
              <w:left w:w="101" w:type="dxa"/>
              <w:right w:w="101" w:type="dxa"/>
            </w:tcMar>
          </w:tcPr>
          <w:p w14:paraId="170546F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61" w:type="dxa"/>
            </w:tcMar>
          </w:tcPr>
          <w:p w14:paraId="408034C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515</w:t>
            </w:r>
          </w:p>
        </w:tc>
        <w:tc>
          <w:tcPr>
            <w:tcW w:w="1035" w:type="dxa"/>
            <w:tcBorders>
              <w:top w:val="nil"/>
              <w:left w:val="nil"/>
              <w:bottom w:val="nil"/>
              <w:right w:val="nil"/>
              <w:tl2br w:val="nil"/>
              <w:tr2bl w:val="nil"/>
            </w:tcBorders>
            <w:shd w:val="clear" w:color="FFFFFF" w:fill="FFFFFF"/>
            <w:tcMar>
              <w:left w:w="101" w:type="dxa"/>
              <w:right w:w="161" w:type="dxa"/>
            </w:tcMar>
          </w:tcPr>
          <w:p w14:paraId="1176190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515</w:t>
            </w:r>
          </w:p>
        </w:tc>
        <w:tc>
          <w:tcPr>
            <w:tcW w:w="1038" w:type="dxa"/>
            <w:tcBorders>
              <w:top w:val="nil"/>
              <w:left w:val="nil"/>
              <w:bottom w:val="nil"/>
              <w:right w:val="nil"/>
              <w:tl2br w:val="nil"/>
              <w:tr2bl w:val="nil"/>
            </w:tcBorders>
            <w:shd w:val="clear" w:color="FFFFFF" w:fill="FFFFFF"/>
            <w:tcMar>
              <w:left w:w="101" w:type="dxa"/>
              <w:right w:w="161" w:type="dxa"/>
            </w:tcMar>
          </w:tcPr>
          <w:p w14:paraId="7AAAEDB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515</w:t>
            </w:r>
          </w:p>
        </w:tc>
      </w:tr>
      <w:tr w:rsidR="009832FC" w:rsidRPr="009832FC" w14:paraId="613AA539"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3B9FEB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67" w:type="dxa"/>
            <w:tcBorders>
              <w:top w:val="nil"/>
              <w:left w:val="nil"/>
              <w:bottom w:val="nil"/>
              <w:right w:val="nil"/>
              <w:tl2br w:val="nil"/>
              <w:tr2bl w:val="nil"/>
            </w:tcBorders>
            <w:shd w:val="clear" w:color="FFFFFF" w:fill="FFFFFF"/>
            <w:noWrap/>
            <w:tcMar>
              <w:left w:w="101" w:type="dxa"/>
              <w:right w:w="101" w:type="dxa"/>
            </w:tcMar>
          </w:tcPr>
          <w:p w14:paraId="416DAF9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Goods and Services Tax Paid to Suppliers</w:t>
            </w:r>
          </w:p>
        </w:tc>
        <w:tc>
          <w:tcPr>
            <w:tcW w:w="1035" w:type="dxa"/>
            <w:tcBorders>
              <w:top w:val="nil"/>
              <w:left w:val="nil"/>
              <w:bottom w:val="nil"/>
              <w:right w:val="nil"/>
              <w:tl2br w:val="nil"/>
              <w:tr2bl w:val="nil"/>
            </w:tcBorders>
            <w:shd w:val="clear" w:color="FFFFFF" w:fill="FFFFFF"/>
            <w:tcMar>
              <w:left w:w="101" w:type="dxa"/>
              <w:right w:w="161" w:type="dxa"/>
            </w:tcMar>
          </w:tcPr>
          <w:p w14:paraId="27F6DAB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41 379</w:t>
            </w:r>
          </w:p>
        </w:tc>
        <w:tc>
          <w:tcPr>
            <w:tcW w:w="1035" w:type="dxa"/>
            <w:tcBorders>
              <w:top w:val="nil"/>
              <w:left w:val="nil"/>
              <w:bottom w:val="nil"/>
              <w:right w:val="nil"/>
              <w:tl2br w:val="nil"/>
              <w:tr2bl w:val="nil"/>
            </w:tcBorders>
            <w:shd w:val="clear" w:color="FFFFFF" w:fill="FFFFFF"/>
            <w:tcMar>
              <w:left w:w="101" w:type="dxa"/>
              <w:right w:w="161" w:type="dxa"/>
            </w:tcMar>
          </w:tcPr>
          <w:p w14:paraId="4430D58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207B6C7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61" w:type="dxa"/>
            </w:tcMar>
          </w:tcPr>
          <w:p w14:paraId="39FDBAD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55F5DC9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8" w:type="dxa"/>
            <w:tcBorders>
              <w:top w:val="nil"/>
              <w:left w:val="nil"/>
              <w:bottom w:val="nil"/>
              <w:right w:val="nil"/>
              <w:tl2br w:val="nil"/>
              <w:tr2bl w:val="nil"/>
            </w:tcBorders>
            <w:shd w:val="clear" w:color="FFFFFF" w:fill="FFFFFF"/>
            <w:tcMar>
              <w:left w:w="101" w:type="dxa"/>
              <w:right w:w="161" w:type="dxa"/>
            </w:tcMar>
          </w:tcPr>
          <w:p w14:paraId="541C6AD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75823EEC"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21E1589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10 125</w:t>
            </w:r>
          </w:p>
        </w:tc>
        <w:tc>
          <w:tcPr>
            <w:tcW w:w="2367" w:type="dxa"/>
            <w:tcBorders>
              <w:top w:val="nil"/>
              <w:left w:val="nil"/>
              <w:bottom w:val="nil"/>
              <w:right w:val="nil"/>
              <w:tl2br w:val="nil"/>
              <w:tr2bl w:val="nil"/>
            </w:tcBorders>
            <w:shd w:val="clear" w:color="FFFFFF" w:fill="FFFFFF"/>
            <w:noWrap/>
            <w:tcMar>
              <w:left w:w="101" w:type="dxa"/>
              <w:right w:w="101" w:type="dxa"/>
            </w:tcMar>
          </w:tcPr>
          <w:p w14:paraId="5D11883A"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Related to Cost of Goods Sold</w:t>
            </w:r>
          </w:p>
        </w:tc>
        <w:tc>
          <w:tcPr>
            <w:tcW w:w="1035" w:type="dxa"/>
            <w:tcBorders>
              <w:top w:val="nil"/>
              <w:left w:val="nil"/>
              <w:bottom w:val="nil"/>
              <w:right w:val="nil"/>
              <w:tl2br w:val="nil"/>
              <w:tr2bl w:val="nil"/>
            </w:tcBorders>
            <w:shd w:val="clear" w:color="FFFFFF" w:fill="FFFFFF"/>
            <w:tcMar>
              <w:left w:w="101" w:type="dxa"/>
              <w:right w:w="101" w:type="dxa"/>
            </w:tcMar>
          </w:tcPr>
          <w:p w14:paraId="04A4095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(3 245)</w:t>
            </w:r>
          </w:p>
        </w:tc>
        <w:tc>
          <w:tcPr>
            <w:tcW w:w="1035" w:type="dxa"/>
            <w:tcBorders>
              <w:top w:val="nil"/>
              <w:left w:val="nil"/>
              <w:bottom w:val="nil"/>
              <w:right w:val="nil"/>
              <w:tl2br w:val="nil"/>
              <w:tr2bl w:val="nil"/>
            </w:tcBorders>
            <w:shd w:val="clear" w:color="FFFFFF" w:fill="FFFFFF"/>
            <w:tcMar>
              <w:left w:w="101" w:type="dxa"/>
              <w:right w:w="161" w:type="dxa"/>
            </w:tcMar>
          </w:tcPr>
          <w:p w14:paraId="24061FA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10 377</w:t>
            </w:r>
          </w:p>
        </w:tc>
        <w:tc>
          <w:tcPr>
            <w:tcW w:w="600" w:type="dxa"/>
            <w:tcBorders>
              <w:top w:val="nil"/>
              <w:left w:val="nil"/>
              <w:bottom w:val="nil"/>
              <w:right w:val="nil"/>
              <w:tl2br w:val="nil"/>
              <w:tr2bl w:val="nil"/>
            </w:tcBorders>
            <w:shd w:val="clear" w:color="FFFFFF" w:fill="FFFFFF"/>
            <w:tcMar>
              <w:left w:w="101" w:type="dxa"/>
              <w:right w:w="101" w:type="dxa"/>
            </w:tcMar>
          </w:tcPr>
          <w:p w14:paraId="19F8F82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420 </w:t>
            </w:r>
          </w:p>
        </w:tc>
        <w:tc>
          <w:tcPr>
            <w:tcW w:w="1035" w:type="dxa"/>
            <w:tcBorders>
              <w:top w:val="nil"/>
              <w:left w:val="nil"/>
              <w:bottom w:val="nil"/>
              <w:right w:val="nil"/>
              <w:tl2br w:val="nil"/>
              <w:tr2bl w:val="nil"/>
            </w:tcBorders>
            <w:shd w:val="clear" w:color="FFFFFF" w:fill="FFFFFF"/>
            <w:tcMar>
              <w:left w:w="101" w:type="dxa"/>
              <w:right w:w="161" w:type="dxa"/>
            </w:tcMar>
          </w:tcPr>
          <w:p w14:paraId="7F53AEC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10 636</w:t>
            </w:r>
          </w:p>
        </w:tc>
        <w:tc>
          <w:tcPr>
            <w:tcW w:w="1035" w:type="dxa"/>
            <w:tcBorders>
              <w:top w:val="nil"/>
              <w:left w:val="nil"/>
              <w:bottom w:val="nil"/>
              <w:right w:val="nil"/>
              <w:tl2br w:val="nil"/>
              <w:tr2bl w:val="nil"/>
            </w:tcBorders>
            <w:shd w:val="clear" w:color="FFFFFF" w:fill="FFFFFF"/>
            <w:tcMar>
              <w:left w:w="101" w:type="dxa"/>
              <w:right w:w="161" w:type="dxa"/>
            </w:tcMar>
          </w:tcPr>
          <w:p w14:paraId="4864E94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10 902</w:t>
            </w:r>
          </w:p>
        </w:tc>
        <w:tc>
          <w:tcPr>
            <w:tcW w:w="1038" w:type="dxa"/>
            <w:tcBorders>
              <w:top w:val="nil"/>
              <w:left w:val="nil"/>
              <w:bottom w:val="nil"/>
              <w:right w:val="nil"/>
              <w:tl2br w:val="nil"/>
              <w:tr2bl w:val="nil"/>
            </w:tcBorders>
            <w:shd w:val="clear" w:color="FFFFFF" w:fill="FFFFFF"/>
            <w:tcMar>
              <w:left w:w="101" w:type="dxa"/>
              <w:right w:w="161" w:type="dxa"/>
            </w:tcMar>
          </w:tcPr>
          <w:p w14:paraId="625517E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11 175</w:t>
            </w:r>
          </w:p>
        </w:tc>
      </w:tr>
      <w:tr w:rsidR="009832FC" w:rsidRPr="009832FC" w14:paraId="02A7947E"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20B4CD5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57 614</w:t>
            </w:r>
          </w:p>
        </w:tc>
        <w:tc>
          <w:tcPr>
            <w:tcW w:w="2367" w:type="dxa"/>
            <w:tcBorders>
              <w:top w:val="nil"/>
              <w:left w:val="nil"/>
              <w:bottom w:val="nil"/>
              <w:right w:val="nil"/>
              <w:tl2br w:val="nil"/>
              <w:tr2bl w:val="nil"/>
            </w:tcBorders>
            <w:shd w:val="clear" w:color="FFFFFF" w:fill="FFFFFF"/>
            <w:noWrap/>
            <w:tcMar>
              <w:left w:w="101" w:type="dxa"/>
              <w:right w:w="101" w:type="dxa"/>
            </w:tcMar>
          </w:tcPr>
          <w:p w14:paraId="533526FD"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w:t>
            </w:r>
          </w:p>
        </w:tc>
        <w:tc>
          <w:tcPr>
            <w:tcW w:w="1035" w:type="dxa"/>
            <w:tcBorders>
              <w:top w:val="nil"/>
              <w:left w:val="nil"/>
              <w:bottom w:val="nil"/>
              <w:right w:val="nil"/>
              <w:tl2br w:val="nil"/>
              <w:tr2bl w:val="nil"/>
            </w:tcBorders>
            <w:shd w:val="clear" w:color="FFFFFF" w:fill="FFFFFF"/>
            <w:tcMar>
              <w:left w:w="101" w:type="dxa"/>
              <w:right w:w="161" w:type="dxa"/>
            </w:tcMar>
          </w:tcPr>
          <w:p w14:paraId="3925A93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20 444</w:t>
            </w:r>
          </w:p>
        </w:tc>
        <w:tc>
          <w:tcPr>
            <w:tcW w:w="1035" w:type="dxa"/>
            <w:tcBorders>
              <w:top w:val="nil"/>
              <w:left w:val="nil"/>
              <w:bottom w:val="nil"/>
              <w:right w:val="nil"/>
              <w:tl2br w:val="nil"/>
              <w:tr2bl w:val="nil"/>
            </w:tcBorders>
            <w:shd w:val="clear" w:color="FFFFFF" w:fill="FFFFFF"/>
            <w:tcMar>
              <w:left w:w="101" w:type="dxa"/>
              <w:right w:w="161" w:type="dxa"/>
            </w:tcMar>
          </w:tcPr>
          <w:p w14:paraId="74D8FBF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59 063</w:t>
            </w:r>
          </w:p>
        </w:tc>
        <w:tc>
          <w:tcPr>
            <w:tcW w:w="600" w:type="dxa"/>
            <w:tcBorders>
              <w:top w:val="nil"/>
              <w:left w:val="nil"/>
              <w:bottom w:val="nil"/>
              <w:right w:val="nil"/>
              <w:tl2br w:val="nil"/>
              <w:tr2bl w:val="nil"/>
            </w:tcBorders>
            <w:shd w:val="clear" w:color="FFFFFF" w:fill="FFFFFF"/>
            <w:tcMar>
              <w:left w:w="101" w:type="dxa"/>
              <w:right w:w="101" w:type="dxa"/>
            </w:tcMar>
          </w:tcPr>
          <w:p w14:paraId="4346346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189 </w:t>
            </w:r>
          </w:p>
        </w:tc>
        <w:tc>
          <w:tcPr>
            <w:tcW w:w="1035" w:type="dxa"/>
            <w:tcBorders>
              <w:top w:val="nil"/>
              <w:left w:val="nil"/>
              <w:bottom w:val="nil"/>
              <w:right w:val="nil"/>
              <w:tl2br w:val="nil"/>
              <w:tr2bl w:val="nil"/>
            </w:tcBorders>
            <w:shd w:val="clear" w:color="FFFFFF" w:fill="FFFFFF"/>
            <w:tcMar>
              <w:left w:w="101" w:type="dxa"/>
              <w:right w:w="161" w:type="dxa"/>
            </w:tcMar>
          </w:tcPr>
          <w:p w14:paraId="775523F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59 109</w:t>
            </w:r>
          </w:p>
        </w:tc>
        <w:tc>
          <w:tcPr>
            <w:tcW w:w="1035" w:type="dxa"/>
            <w:tcBorders>
              <w:top w:val="nil"/>
              <w:left w:val="nil"/>
              <w:bottom w:val="nil"/>
              <w:right w:val="nil"/>
              <w:tl2br w:val="nil"/>
              <w:tr2bl w:val="nil"/>
            </w:tcBorders>
            <w:shd w:val="clear" w:color="FFFFFF" w:fill="FFFFFF"/>
            <w:tcMar>
              <w:left w:w="101" w:type="dxa"/>
              <w:right w:w="161" w:type="dxa"/>
            </w:tcMar>
          </w:tcPr>
          <w:p w14:paraId="18519EB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59 155</w:t>
            </w:r>
          </w:p>
        </w:tc>
        <w:tc>
          <w:tcPr>
            <w:tcW w:w="1038" w:type="dxa"/>
            <w:tcBorders>
              <w:top w:val="nil"/>
              <w:left w:val="nil"/>
              <w:bottom w:val="nil"/>
              <w:right w:val="nil"/>
              <w:tl2br w:val="nil"/>
              <w:tr2bl w:val="nil"/>
            </w:tcBorders>
            <w:shd w:val="clear" w:color="FFFFFF" w:fill="FFFFFF"/>
            <w:tcMar>
              <w:left w:w="101" w:type="dxa"/>
              <w:right w:w="161" w:type="dxa"/>
            </w:tcMar>
          </w:tcPr>
          <w:p w14:paraId="0E41856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59 200</w:t>
            </w:r>
          </w:p>
        </w:tc>
      </w:tr>
      <w:tr w:rsidR="009832FC" w:rsidRPr="009832FC" w14:paraId="4DBC85DE"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1F8519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1 339 104</w:t>
            </w:r>
          </w:p>
        </w:tc>
        <w:tc>
          <w:tcPr>
            <w:tcW w:w="2367" w:type="dxa"/>
            <w:tcBorders>
              <w:top w:val="nil"/>
              <w:left w:val="nil"/>
              <w:bottom w:val="nil"/>
              <w:right w:val="nil"/>
              <w:tl2br w:val="nil"/>
              <w:tr2bl w:val="nil"/>
            </w:tcBorders>
            <w:shd w:val="clear" w:color="FFFFFF" w:fill="FFFFFF"/>
            <w:tcMar>
              <w:left w:w="101" w:type="dxa"/>
              <w:right w:w="101" w:type="dxa"/>
            </w:tcMar>
          </w:tcPr>
          <w:p w14:paraId="5E5F8B1D"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Operating Payments</w:t>
            </w:r>
          </w:p>
        </w:tc>
        <w:tc>
          <w:tcPr>
            <w:tcW w:w="1035" w:type="dxa"/>
            <w:tcBorders>
              <w:top w:val="nil"/>
              <w:left w:val="nil"/>
              <w:bottom w:val="nil"/>
              <w:right w:val="nil"/>
              <w:tl2br w:val="nil"/>
              <w:tr2bl w:val="nil"/>
            </w:tcBorders>
            <w:shd w:val="clear" w:color="FFFFFF" w:fill="FFFFFF"/>
            <w:tcMar>
              <w:left w:w="101" w:type="dxa"/>
              <w:right w:w="161" w:type="dxa"/>
            </w:tcMar>
          </w:tcPr>
          <w:p w14:paraId="1268C65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1 367 082</w:t>
            </w:r>
          </w:p>
        </w:tc>
        <w:tc>
          <w:tcPr>
            <w:tcW w:w="1035" w:type="dxa"/>
            <w:tcBorders>
              <w:top w:val="nil"/>
              <w:left w:val="nil"/>
              <w:bottom w:val="nil"/>
              <w:right w:val="nil"/>
              <w:tl2br w:val="nil"/>
              <w:tr2bl w:val="nil"/>
            </w:tcBorders>
            <w:shd w:val="clear" w:color="FFFFFF" w:fill="FFFFFF"/>
            <w:tcMar>
              <w:left w:w="101" w:type="dxa"/>
              <w:right w:w="161" w:type="dxa"/>
            </w:tcMar>
          </w:tcPr>
          <w:p w14:paraId="588E5D5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1 474 594</w:t>
            </w:r>
          </w:p>
        </w:tc>
        <w:tc>
          <w:tcPr>
            <w:tcW w:w="600" w:type="dxa"/>
            <w:tcBorders>
              <w:top w:val="nil"/>
              <w:left w:val="nil"/>
              <w:bottom w:val="nil"/>
              <w:right w:val="nil"/>
              <w:tl2br w:val="nil"/>
              <w:tr2bl w:val="nil"/>
            </w:tcBorders>
            <w:shd w:val="clear" w:color="FFFFFF" w:fill="FFFFFF"/>
            <w:tcMar>
              <w:left w:w="101" w:type="dxa"/>
              <w:right w:w="101" w:type="dxa"/>
            </w:tcMar>
          </w:tcPr>
          <w:p w14:paraId="689F82A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tcMar>
              <w:left w:w="101" w:type="dxa"/>
              <w:right w:w="161" w:type="dxa"/>
            </w:tcMar>
          </w:tcPr>
          <w:p w14:paraId="4A636B4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1 458 076</w:t>
            </w:r>
          </w:p>
        </w:tc>
        <w:tc>
          <w:tcPr>
            <w:tcW w:w="1035" w:type="dxa"/>
            <w:tcBorders>
              <w:top w:val="nil"/>
              <w:left w:val="nil"/>
              <w:bottom w:val="nil"/>
              <w:right w:val="nil"/>
              <w:tl2br w:val="nil"/>
              <w:tr2bl w:val="nil"/>
            </w:tcBorders>
            <w:shd w:val="clear" w:color="FFFFFF" w:fill="FFFFFF"/>
            <w:tcMar>
              <w:left w:w="101" w:type="dxa"/>
              <w:right w:w="161" w:type="dxa"/>
            </w:tcMar>
          </w:tcPr>
          <w:p w14:paraId="63164D6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1 493 338</w:t>
            </w:r>
          </w:p>
        </w:tc>
        <w:tc>
          <w:tcPr>
            <w:tcW w:w="1038" w:type="dxa"/>
            <w:tcBorders>
              <w:top w:val="nil"/>
              <w:left w:val="nil"/>
              <w:bottom w:val="nil"/>
              <w:right w:val="nil"/>
              <w:tl2br w:val="nil"/>
              <w:tr2bl w:val="nil"/>
            </w:tcBorders>
            <w:shd w:val="clear" w:color="FFFFFF" w:fill="FFFFFF"/>
            <w:tcMar>
              <w:left w:w="101" w:type="dxa"/>
              <w:right w:w="161" w:type="dxa"/>
            </w:tcMar>
          </w:tcPr>
          <w:p w14:paraId="69A3D8A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1 511 141</w:t>
            </w:r>
          </w:p>
        </w:tc>
      </w:tr>
      <w:tr w:rsidR="009832FC" w:rsidRPr="009832FC" w14:paraId="5F7A3C40" w14:textId="77777777" w:rsidTr="00EB585F">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4687CC0" w14:textId="77777777" w:rsidR="009832FC" w:rsidRPr="009832FC" w:rsidRDefault="009832FC" w:rsidP="009832FC">
            <w:pPr>
              <w:spacing w:before="0" w:after="0"/>
              <w:rPr>
                <w:rFonts w:eastAsia="Calibri" w:cs="Calibri"/>
                <w:color w:val="000000"/>
                <w:sz w:val="18"/>
                <w:szCs w:val="24"/>
                <w:lang w:eastAsia="en-AU"/>
              </w:rPr>
            </w:pPr>
          </w:p>
        </w:tc>
        <w:tc>
          <w:tcPr>
            <w:tcW w:w="2367" w:type="dxa"/>
            <w:tcBorders>
              <w:top w:val="nil"/>
              <w:left w:val="nil"/>
              <w:bottom w:val="nil"/>
              <w:right w:val="nil"/>
              <w:tl2br w:val="nil"/>
              <w:tr2bl w:val="nil"/>
            </w:tcBorders>
            <w:shd w:val="clear" w:color="FFFFFF" w:fill="FFFFFF"/>
            <w:tcMar>
              <w:left w:w="0" w:type="dxa"/>
              <w:right w:w="0" w:type="dxa"/>
            </w:tcMar>
          </w:tcPr>
          <w:p w14:paraId="4786A931"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41595A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B1B84EF"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9C7871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6953A2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5E556CA" w14:textId="77777777" w:rsidR="009832FC" w:rsidRPr="009832FC" w:rsidRDefault="009832FC" w:rsidP="009832FC">
            <w:pPr>
              <w:spacing w:before="0" w:after="0"/>
              <w:rPr>
                <w:rFonts w:eastAsia="Calibri" w:cs="Calibri"/>
                <w:color w:val="000000"/>
                <w:sz w:val="18"/>
                <w:szCs w:val="24"/>
                <w:lang w:eastAsia="en-AU"/>
              </w:rPr>
            </w:pPr>
          </w:p>
        </w:tc>
        <w:tc>
          <w:tcPr>
            <w:tcW w:w="1038" w:type="dxa"/>
            <w:tcBorders>
              <w:top w:val="nil"/>
              <w:left w:val="nil"/>
              <w:bottom w:val="nil"/>
              <w:right w:val="nil"/>
              <w:tl2br w:val="nil"/>
              <w:tr2bl w:val="nil"/>
            </w:tcBorders>
            <w:shd w:val="clear" w:color="FFFFFF" w:fill="FFFFFF"/>
            <w:tcMar>
              <w:left w:w="0" w:type="dxa"/>
              <w:right w:w="0" w:type="dxa"/>
            </w:tcMar>
          </w:tcPr>
          <w:p w14:paraId="2A3F750D"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4296138"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6F665CD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2 736</w:t>
            </w:r>
          </w:p>
        </w:tc>
        <w:tc>
          <w:tcPr>
            <w:tcW w:w="2367" w:type="dxa"/>
            <w:tcBorders>
              <w:top w:val="nil"/>
              <w:left w:val="nil"/>
              <w:bottom w:val="nil"/>
              <w:right w:val="nil"/>
              <w:tl2br w:val="nil"/>
              <w:tr2bl w:val="nil"/>
            </w:tcBorders>
            <w:shd w:val="clear" w:color="FFFFFF" w:fill="FFFFFF"/>
            <w:noWrap/>
            <w:tcMar>
              <w:left w:w="101" w:type="dxa"/>
              <w:right w:w="101" w:type="dxa"/>
            </w:tcMar>
          </w:tcPr>
          <w:p w14:paraId="45053631"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61" w:type="dxa"/>
            </w:tcMar>
          </w:tcPr>
          <w:p w14:paraId="73FCE0B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3 456</w:t>
            </w:r>
          </w:p>
        </w:tc>
        <w:tc>
          <w:tcPr>
            <w:tcW w:w="1035" w:type="dxa"/>
            <w:tcBorders>
              <w:top w:val="nil"/>
              <w:left w:val="nil"/>
              <w:bottom w:val="nil"/>
              <w:right w:val="nil"/>
              <w:tl2br w:val="nil"/>
              <w:tr2bl w:val="nil"/>
            </w:tcBorders>
            <w:shd w:val="clear" w:color="FFFFFF" w:fill="FFFFFF"/>
            <w:tcMar>
              <w:left w:w="101" w:type="dxa"/>
              <w:right w:w="161" w:type="dxa"/>
            </w:tcMar>
          </w:tcPr>
          <w:p w14:paraId="4745FAC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10 421</w:t>
            </w:r>
          </w:p>
        </w:tc>
        <w:tc>
          <w:tcPr>
            <w:tcW w:w="600" w:type="dxa"/>
            <w:tcBorders>
              <w:top w:val="nil"/>
              <w:left w:val="nil"/>
              <w:bottom w:val="nil"/>
              <w:right w:val="nil"/>
              <w:tl2br w:val="nil"/>
              <w:tr2bl w:val="nil"/>
            </w:tcBorders>
            <w:shd w:val="clear" w:color="FFFFFF" w:fill="FFFFFF"/>
            <w:tcMar>
              <w:left w:w="101" w:type="dxa"/>
              <w:right w:w="101" w:type="dxa"/>
            </w:tcMar>
          </w:tcPr>
          <w:p w14:paraId="62B1F7D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 </w:t>
            </w:r>
          </w:p>
        </w:tc>
        <w:tc>
          <w:tcPr>
            <w:tcW w:w="1035" w:type="dxa"/>
            <w:tcBorders>
              <w:top w:val="nil"/>
              <w:left w:val="nil"/>
              <w:bottom w:val="nil"/>
              <w:right w:val="nil"/>
              <w:tl2br w:val="nil"/>
              <w:tr2bl w:val="nil"/>
            </w:tcBorders>
            <w:shd w:val="clear" w:color="FFFFFF" w:fill="FFFFFF"/>
            <w:tcMar>
              <w:left w:w="101" w:type="dxa"/>
              <w:right w:w="161" w:type="dxa"/>
            </w:tcMar>
          </w:tcPr>
          <w:p w14:paraId="607E97C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10 425</w:t>
            </w:r>
          </w:p>
        </w:tc>
        <w:tc>
          <w:tcPr>
            <w:tcW w:w="1035" w:type="dxa"/>
            <w:tcBorders>
              <w:top w:val="nil"/>
              <w:left w:val="nil"/>
              <w:bottom w:val="nil"/>
              <w:right w:val="nil"/>
              <w:tl2br w:val="nil"/>
              <w:tr2bl w:val="nil"/>
            </w:tcBorders>
            <w:shd w:val="clear" w:color="FFFFFF" w:fill="FFFFFF"/>
            <w:tcMar>
              <w:left w:w="101" w:type="dxa"/>
              <w:right w:w="161" w:type="dxa"/>
            </w:tcMar>
          </w:tcPr>
          <w:p w14:paraId="7391737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10 304</w:t>
            </w:r>
          </w:p>
        </w:tc>
        <w:tc>
          <w:tcPr>
            <w:tcW w:w="1038" w:type="dxa"/>
            <w:tcBorders>
              <w:top w:val="nil"/>
              <w:left w:val="nil"/>
              <w:bottom w:val="nil"/>
              <w:right w:val="nil"/>
              <w:tl2br w:val="nil"/>
              <w:tr2bl w:val="nil"/>
            </w:tcBorders>
            <w:shd w:val="clear" w:color="FFFFFF" w:fill="FFFFFF"/>
            <w:tcMar>
              <w:left w:w="101" w:type="dxa"/>
              <w:right w:w="161" w:type="dxa"/>
            </w:tcMar>
          </w:tcPr>
          <w:p w14:paraId="2E08D6E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10 304</w:t>
            </w:r>
          </w:p>
        </w:tc>
      </w:tr>
      <w:tr w:rsidR="009832FC" w:rsidRPr="009832FC" w14:paraId="1CC68DFF" w14:textId="77777777" w:rsidTr="00EB585F">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62835A23" w14:textId="77777777" w:rsidR="009832FC" w:rsidRPr="009832FC" w:rsidRDefault="009832FC" w:rsidP="009832FC">
            <w:pPr>
              <w:spacing w:before="0" w:after="0"/>
              <w:rPr>
                <w:rFonts w:eastAsia="Calibri" w:cs="Calibri"/>
                <w:color w:val="000000"/>
                <w:sz w:val="18"/>
                <w:szCs w:val="24"/>
                <w:lang w:eastAsia="en-AU"/>
              </w:rPr>
            </w:pPr>
          </w:p>
        </w:tc>
        <w:tc>
          <w:tcPr>
            <w:tcW w:w="8145" w:type="dxa"/>
            <w:gridSpan w:val="7"/>
            <w:tcBorders>
              <w:top w:val="nil"/>
              <w:left w:val="nil"/>
              <w:bottom w:val="nil"/>
              <w:right w:val="nil"/>
              <w:tl2br w:val="nil"/>
              <w:tr2bl w:val="nil"/>
            </w:tcBorders>
            <w:shd w:val="clear" w:color="auto" w:fill="auto"/>
            <w:tcMar>
              <w:left w:w="101" w:type="dxa"/>
              <w:right w:w="101" w:type="dxa"/>
            </w:tcMar>
            <w:vAlign w:val="bottom"/>
          </w:tcPr>
          <w:p w14:paraId="6425E4C7"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CASH FLOWS FROM INVESTING ACTIVITIES</w:t>
            </w:r>
          </w:p>
        </w:tc>
      </w:tr>
      <w:tr w:rsidR="009832FC" w:rsidRPr="009832FC" w14:paraId="76521C22" w14:textId="77777777" w:rsidTr="00EB585F">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42321A" w14:textId="77777777" w:rsidR="009832FC" w:rsidRPr="009832FC" w:rsidRDefault="009832FC" w:rsidP="009832FC">
            <w:pPr>
              <w:spacing w:before="0" w:after="0"/>
              <w:rPr>
                <w:rFonts w:eastAsia="Calibri" w:cs="Calibri"/>
                <w:color w:val="000000"/>
                <w:sz w:val="18"/>
                <w:szCs w:val="24"/>
                <w:lang w:eastAsia="en-AU"/>
              </w:rPr>
            </w:pPr>
          </w:p>
        </w:tc>
        <w:tc>
          <w:tcPr>
            <w:tcW w:w="2367" w:type="dxa"/>
            <w:tcBorders>
              <w:top w:val="nil"/>
              <w:left w:val="nil"/>
              <w:bottom w:val="nil"/>
              <w:right w:val="nil"/>
              <w:tl2br w:val="nil"/>
              <w:tr2bl w:val="nil"/>
            </w:tcBorders>
            <w:shd w:val="clear" w:color="FFFFFF" w:fill="FFFFFF"/>
            <w:tcMar>
              <w:left w:w="101" w:type="dxa"/>
              <w:right w:w="101" w:type="dxa"/>
            </w:tcMar>
          </w:tcPr>
          <w:p w14:paraId="6E88C757"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05441C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B6C3BCC"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23EC60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D40720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C63752C" w14:textId="77777777" w:rsidR="009832FC" w:rsidRPr="009832FC" w:rsidRDefault="009832FC" w:rsidP="009832FC">
            <w:pPr>
              <w:spacing w:before="0" w:after="0"/>
              <w:rPr>
                <w:rFonts w:eastAsia="Calibri" w:cs="Calibri"/>
                <w:color w:val="000000"/>
                <w:sz w:val="18"/>
                <w:szCs w:val="24"/>
                <w:lang w:eastAsia="en-AU"/>
              </w:rPr>
            </w:pPr>
          </w:p>
        </w:tc>
        <w:tc>
          <w:tcPr>
            <w:tcW w:w="1038" w:type="dxa"/>
            <w:tcBorders>
              <w:top w:val="nil"/>
              <w:left w:val="nil"/>
              <w:bottom w:val="nil"/>
              <w:right w:val="nil"/>
              <w:tl2br w:val="nil"/>
              <w:tr2bl w:val="nil"/>
            </w:tcBorders>
            <w:shd w:val="clear" w:color="FFFFFF" w:fill="FFFFFF"/>
            <w:tcMar>
              <w:left w:w="0" w:type="dxa"/>
              <w:right w:w="0" w:type="dxa"/>
            </w:tcMar>
          </w:tcPr>
          <w:p w14:paraId="4E92F1C6"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3BEFFB38"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470E311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67" w:type="dxa"/>
            <w:tcBorders>
              <w:top w:val="nil"/>
              <w:left w:val="nil"/>
              <w:bottom w:val="nil"/>
              <w:right w:val="nil"/>
              <w:tl2br w:val="nil"/>
              <w:tr2bl w:val="nil"/>
            </w:tcBorders>
            <w:shd w:val="clear" w:color="FFFFFF" w:fill="FFFFFF"/>
            <w:noWrap/>
            <w:tcMar>
              <w:left w:w="101" w:type="dxa"/>
              <w:right w:w="101" w:type="dxa"/>
            </w:tcMar>
          </w:tcPr>
          <w:p w14:paraId="067D6EF6"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Proceeds from Sale of Property, Plant and Equipment</w:t>
            </w:r>
          </w:p>
        </w:tc>
        <w:tc>
          <w:tcPr>
            <w:tcW w:w="1035" w:type="dxa"/>
            <w:tcBorders>
              <w:top w:val="nil"/>
              <w:left w:val="nil"/>
              <w:bottom w:val="nil"/>
              <w:right w:val="nil"/>
              <w:tl2br w:val="nil"/>
              <w:tr2bl w:val="nil"/>
            </w:tcBorders>
            <w:shd w:val="clear" w:color="FFFFFF" w:fill="FFFFFF"/>
            <w:tcMar>
              <w:left w:w="101" w:type="dxa"/>
              <w:right w:w="161" w:type="dxa"/>
            </w:tcMar>
          </w:tcPr>
          <w:p w14:paraId="15168AA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299</w:t>
            </w:r>
          </w:p>
        </w:tc>
        <w:tc>
          <w:tcPr>
            <w:tcW w:w="1035" w:type="dxa"/>
            <w:tcBorders>
              <w:top w:val="nil"/>
              <w:left w:val="nil"/>
              <w:bottom w:val="nil"/>
              <w:right w:val="nil"/>
              <w:tl2br w:val="nil"/>
              <w:tr2bl w:val="nil"/>
            </w:tcBorders>
            <w:shd w:val="clear" w:color="FFFFFF" w:fill="FFFFFF"/>
            <w:tcMar>
              <w:left w:w="101" w:type="dxa"/>
              <w:right w:w="161" w:type="dxa"/>
            </w:tcMar>
          </w:tcPr>
          <w:p w14:paraId="1CD2778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5140FCE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61" w:type="dxa"/>
            </w:tcMar>
          </w:tcPr>
          <w:p w14:paraId="4532982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410434D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8" w:type="dxa"/>
            <w:tcBorders>
              <w:top w:val="nil"/>
              <w:left w:val="nil"/>
              <w:bottom w:val="nil"/>
              <w:right w:val="nil"/>
              <w:tl2br w:val="nil"/>
              <w:tr2bl w:val="nil"/>
            </w:tcBorders>
            <w:shd w:val="clear" w:color="FFFFFF" w:fill="FFFFFF"/>
            <w:tcMar>
              <w:left w:w="101" w:type="dxa"/>
              <w:right w:w="161" w:type="dxa"/>
            </w:tcMar>
          </w:tcPr>
          <w:p w14:paraId="596CBF3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40224DAA"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0085583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2367" w:type="dxa"/>
            <w:tcBorders>
              <w:top w:val="nil"/>
              <w:left w:val="nil"/>
              <w:bottom w:val="nil"/>
              <w:right w:val="nil"/>
              <w:tl2br w:val="nil"/>
              <w:tr2bl w:val="nil"/>
            </w:tcBorders>
            <w:shd w:val="clear" w:color="FFFFFF" w:fill="FFFFFF"/>
            <w:tcMar>
              <w:left w:w="101" w:type="dxa"/>
              <w:right w:w="101" w:type="dxa"/>
            </w:tcMar>
          </w:tcPr>
          <w:p w14:paraId="169599F6"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Investing Receipts</w:t>
            </w:r>
          </w:p>
        </w:tc>
        <w:tc>
          <w:tcPr>
            <w:tcW w:w="1035" w:type="dxa"/>
            <w:tcBorders>
              <w:top w:val="nil"/>
              <w:left w:val="nil"/>
              <w:bottom w:val="nil"/>
              <w:right w:val="nil"/>
              <w:tl2br w:val="nil"/>
              <w:tr2bl w:val="nil"/>
            </w:tcBorders>
            <w:shd w:val="clear" w:color="FFFFFF" w:fill="FFFFFF"/>
            <w:tcMar>
              <w:left w:w="101" w:type="dxa"/>
              <w:right w:w="161" w:type="dxa"/>
            </w:tcMar>
          </w:tcPr>
          <w:p w14:paraId="0440286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299</w:t>
            </w:r>
          </w:p>
        </w:tc>
        <w:tc>
          <w:tcPr>
            <w:tcW w:w="1035" w:type="dxa"/>
            <w:tcBorders>
              <w:top w:val="nil"/>
              <w:left w:val="nil"/>
              <w:bottom w:val="nil"/>
              <w:right w:val="nil"/>
              <w:tl2br w:val="nil"/>
              <w:tr2bl w:val="nil"/>
            </w:tcBorders>
            <w:shd w:val="clear" w:color="FFFFFF" w:fill="FFFFFF"/>
            <w:tcMar>
              <w:left w:w="101" w:type="dxa"/>
              <w:right w:w="161" w:type="dxa"/>
            </w:tcMar>
          </w:tcPr>
          <w:p w14:paraId="2C5A683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235E07E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61" w:type="dxa"/>
            </w:tcMar>
          </w:tcPr>
          <w:p w14:paraId="6961DDE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6A8BCDB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8" w:type="dxa"/>
            <w:tcBorders>
              <w:top w:val="nil"/>
              <w:left w:val="nil"/>
              <w:bottom w:val="nil"/>
              <w:right w:val="nil"/>
              <w:tl2br w:val="nil"/>
              <w:tr2bl w:val="nil"/>
            </w:tcBorders>
            <w:shd w:val="clear" w:color="FFFFFF" w:fill="FFFFFF"/>
            <w:tcMar>
              <w:left w:w="101" w:type="dxa"/>
              <w:right w:w="161" w:type="dxa"/>
            </w:tcMar>
          </w:tcPr>
          <w:p w14:paraId="105FA3F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475EC296" w14:textId="77777777" w:rsidTr="00EB585F">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F0A5429" w14:textId="77777777" w:rsidR="009832FC" w:rsidRPr="009832FC" w:rsidRDefault="009832FC" w:rsidP="009832FC">
            <w:pPr>
              <w:spacing w:before="0" w:after="0"/>
              <w:rPr>
                <w:rFonts w:eastAsia="Calibri" w:cs="Calibri"/>
                <w:color w:val="000000"/>
                <w:sz w:val="18"/>
                <w:szCs w:val="24"/>
                <w:lang w:eastAsia="en-AU"/>
              </w:rPr>
            </w:pPr>
          </w:p>
        </w:tc>
        <w:tc>
          <w:tcPr>
            <w:tcW w:w="2367" w:type="dxa"/>
            <w:tcBorders>
              <w:top w:val="nil"/>
              <w:left w:val="nil"/>
              <w:bottom w:val="nil"/>
              <w:right w:val="nil"/>
              <w:tl2br w:val="nil"/>
              <w:tr2bl w:val="nil"/>
            </w:tcBorders>
            <w:shd w:val="clear" w:color="FFFFFF" w:fill="FFFFFF"/>
            <w:tcMar>
              <w:left w:w="0" w:type="dxa"/>
              <w:right w:w="0" w:type="dxa"/>
            </w:tcMar>
          </w:tcPr>
          <w:p w14:paraId="4A4BAE3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4666D0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71C6EF"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FE9C8C4"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6C7F07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F615A07" w14:textId="77777777" w:rsidR="009832FC" w:rsidRPr="009832FC" w:rsidRDefault="009832FC" w:rsidP="009832FC">
            <w:pPr>
              <w:spacing w:before="0" w:after="0"/>
              <w:rPr>
                <w:rFonts w:eastAsia="Calibri" w:cs="Calibri"/>
                <w:color w:val="000000"/>
                <w:sz w:val="18"/>
                <w:szCs w:val="24"/>
                <w:lang w:eastAsia="en-AU"/>
              </w:rPr>
            </w:pPr>
          </w:p>
        </w:tc>
        <w:tc>
          <w:tcPr>
            <w:tcW w:w="1038" w:type="dxa"/>
            <w:tcBorders>
              <w:top w:val="nil"/>
              <w:left w:val="nil"/>
              <w:bottom w:val="nil"/>
              <w:right w:val="nil"/>
              <w:tl2br w:val="nil"/>
              <w:tr2bl w:val="nil"/>
            </w:tcBorders>
            <w:shd w:val="clear" w:color="FFFFFF" w:fill="FFFFFF"/>
            <w:tcMar>
              <w:left w:w="0" w:type="dxa"/>
              <w:right w:w="0" w:type="dxa"/>
            </w:tcMar>
          </w:tcPr>
          <w:p w14:paraId="14C792FD"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8EBE2DE" w14:textId="77777777" w:rsidTr="00EB585F">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95BC3B2" w14:textId="77777777" w:rsidR="009832FC" w:rsidRPr="009832FC" w:rsidRDefault="009832FC" w:rsidP="009832FC">
            <w:pPr>
              <w:spacing w:before="0" w:after="0"/>
              <w:rPr>
                <w:rFonts w:eastAsia="Calibri" w:cs="Calibri"/>
                <w:color w:val="000000"/>
                <w:sz w:val="18"/>
                <w:szCs w:val="24"/>
                <w:lang w:eastAsia="en-AU"/>
              </w:rPr>
            </w:pPr>
          </w:p>
        </w:tc>
        <w:tc>
          <w:tcPr>
            <w:tcW w:w="2367" w:type="dxa"/>
            <w:tcBorders>
              <w:top w:val="nil"/>
              <w:left w:val="nil"/>
              <w:bottom w:val="nil"/>
              <w:right w:val="nil"/>
              <w:tl2br w:val="nil"/>
              <w:tr2bl w:val="nil"/>
            </w:tcBorders>
            <w:shd w:val="clear" w:color="FFFFFF" w:fill="FFFFFF"/>
            <w:tcMar>
              <w:left w:w="101" w:type="dxa"/>
              <w:right w:w="101" w:type="dxa"/>
            </w:tcMar>
          </w:tcPr>
          <w:p w14:paraId="706F36EA"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759A922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5E52E8B"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4375EA5"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B3692B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7A862B5" w14:textId="77777777" w:rsidR="009832FC" w:rsidRPr="009832FC" w:rsidRDefault="009832FC" w:rsidP="009832FC">
            <w:pPr>
              <w:spacing w:before="0" w:after="0"/>
              <w:rPr>
                <w:rFonts w:eastAsia="Calibri" w:cs="Calibri"/>
                <w:color w:val="000000"/>
                <w:sz w:val="18"/>
                <w:szCs w:val="24"/>
                <w:lang w:eastAsia="en-AU"/>
              </w:rPr>
            </w:pPr>
          </w:p>
        </w:tc>
        <w:tc>
          <w:tcPr>
            <w:tcW w:w="1038" w:type="dxa"/>
            <w:tcBorders>
              <w:top w:val="nil"/>
              <w:left w:val="nil"/>
              <w:bottom w:val="nil"/>
              <w:right w:val="nil"/>
              <w:tl2br w:val="nil"/>
              <w:tr2bl w:val="nil"/>
            </w:tcBorders>
            <w:shd w:val="clear" w:color="FFFFFF" w:fill="FFFFFF"/>
            <w:tcMar>
              <w:left w:w="0" w:type="dxa"/>
              <w:right w:w="0" w:type="dxa"/>
            </w:tcMar>
          </w:tcPr>
          <w:p w14:paraId="71DF91DE"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D998326"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C6B23C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92 062</w:t>
            </w:r>
          </w:p>
        </w:tc>
        <w:tc>
          <w:tcPr>
            <w:tcW w:w="2367" w:type="dxa"/>
            <w:tcBorders>
              <w:top w:val="nil"/>
              <w:left w:val="nil"/>
              <w:bottom w:val="nil"/>
              <w:right w:val="nil"/>
              <w:tl2br w:val="nil"/>
              <w:tr2bl w:val="nil"/>
            </w:tcBorders>
            <w:shd w:val="clear" w:color="FFFFFF" w:fill="FFFFFF"/>
            <w:noWrap/>
            <w:tcMar>
              <w:left w:w="101" w:type="dxa"/>
              <w:right w:w="101" w:type="dxa"/>
            </w:tcMar>
          </w:tcPr>
          <w:p w14:paraId="354988C7"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61" w:type="dxa"/>
            </w:tcMar>
          </w:tcPr>
          <w:p w14:paraId="6111065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67 253</w:t>
            </w:r>
          </w:p>
        </w:tc>
        <w:tc>
          <w:tcPr>
            <w:tcW w:w="1035" w:type="dxa"/>
            <w:tcBorders>
              <w:top w:val="nil"/>
              <w:left w:val="nil"/>
              <w:bottom w:val="nil"/>
              <w:right w:val="nil"/>
              <w:tl2br w:val="nil"/>
              <w:tr2bl w:val="nil"/>
            </w:tcBorders>
            <w:shd w:val="clear" w:color="FFFFFF" w:fill="FFFFFF"/>
            <w:tcMar>
              <w:left w:w="101" w:type="dxa"/>
              <w:right w:w="161" w:type="dxa"/>
            </w:tcMar>
          </w:tcPr>
          <w:p w14:paraId="652D45D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76 155</w:t>
            </w:r>
          </w:p>
        </w:tc>
        <w:tc>
          <w:tcPr>
            <w:tcW w:w="600" w:type="dxa"/>
            <w:tcBorders>
              <w:top w:val="nil"/>
              <w:left w:val="nil"/>
              <w:bottom w:val="nil"/>
              <w:right w:val="nil"/>
              <w:tl2br w:val="nil"/>
              <w:tr2bl w:val="nil"/>
            </w:tcBorders>
            <w:shd w:val="clear" w:color="FFFFFF" w:fill="FFFFFF"/>
            <w:tcMar>
              <w:left w:w="101" w:type="dxa"/>
              <w:right w:w="101" w:type="dxa"/>
            </w:tcMar>
          </w:tcPr>
          <w:p w14:paraId="14DC59B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13 </w:t>
            </w:r>
          </w:p>
        </w:tc>
        <w:tc>
          <w:tcPr>
            <w:tcW w:w="1035" w:type="dxa"/>
            <w:tcBorders>
              <w:top w:val="nil"/>
              <w:left w:val="nil"/>
              <w:bottom w:val="nil"/>
              <w:right w:val="nil"/>
              <w:tl2br w:val="nil"/>
              <w:tr2bl w:val="nil"/>
            </w:tcBorders>
            <w:shd w:val="clear" w:color="FFFFFF" w:fill="FFFFFF"/>
            <w:tcMar>
              <w:left w:w="101" w:type="dxa"/>
              <w:right w:w="161" w:type="dxa"/>
            </w:tcMar>
          </w:tcPr>
          <w:p w14:paraId="64698AF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81 353</w:t>
            </w:r>
          </w:p>
        </w:tc>
        <w:tc>
          <w:tcPr>
            <w:tcW w:w="1035" w:type="dxa"/>
            <w:tcBorders>
              <w:top w:val="nil"/>
              <w:left w:val="nil"/>
              <w:bottom w:val="nil"/>
              <w:right w:val="nil"/>
              <w:tl2br w:val="nil"/>
              <w:tr2bl w:val="nil"/>
            </w:tcBorders>
            <w:shd w:val="clear" w:color="FFFFFF" w:fill="FFFFFF"/>
            <w:tcMar>
              <w:left w:w="101" w:type="dxa"/>
              <w:right w:w="161" w:type="dxa"/>
            </w:tcMar>
          </w:tcPr>
          <w:p w14:paraId="4004A09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19 221</w:t>
            </w:r>
          </w:p>
        </w:tc>
        <w:tc>
          <w:tcPr>
            <w:tcW w:w="1038" w:type="dxa"/>
            <w:tcBorders>
              <w:top w:val="nil"/>
              <w:left w:val="nil"/>
              <w:bottom w:val="nil"/>
              <w:right w:val="nil"/>
              <w:tl2br w:val="nil"/>
              <w:tr2bl w:val="nil"/>
            </w:tcBorders>
            <w:shd w:val="clear" w:color="FFFFFF" w:fill="FFFFFF"/>
            <w:tcMar>
              <w:left w:w="101" w:type="dxa"/>
              <w:right w:w="161" w:type="dxa"/>
            </w:tcMar>
          </w:tcPr>
          <w:p w14:paraId="0C9079B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12 732</w:t>
            </w:r>
          </w:p>
        </w:tc>
      </w:tr>
      <w:tr w:rsidR="009832FC" w:rsidRPr="009832FC" w14:paraId="4FFC609D"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2549085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92 062</w:t>
            </w:r>
          </w:p>
        </w:tc>
        <w:tc>
          <w:tcPr>
            <w:tcW w:w="2367" w:type="dxa"/>
            <w:tcBorders>
              <w:top w:val="nil"/>
              <w:left w:val="nil"/>
              <w:bottom w:val="nil"/>
              <w:right w:val="nil"/>
              <w:tl2br w:val="nil"/>
              <w:tr2bl w:val="nil"/>
            </w:tcBorders>
            <w:shd w:val="clear" w:color="FFFFFF" w:fill="FFFFFF"/>
            <w:tcMar>
              <w:left w:w="101" w:type="dxa"/>
              <w:right w:w="101" w:type="dxa"/>
            </w:tcMar>
          </w:tcPr>
          <w:p w14:paraId="7DD1F301"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Investing Payments</w:t>
            </w:r>
          </w:p>
        </w:tc>
        <w:tc>
          <w:tcPr>
            <w:tcW w:w="1035" w:type="dxa"/>
            <w:tcBorders>
              <w:top w:val="nil"/>
              <w:left w:val="nil"/>
              <w:bottom w:val="nil"/>
              <w:right w:val="nil"/>
              <w:tl2br w:val="nil"/>
              <w:tr2bl w:val="nil"/>
            </w:tcBorders>
            <w:shd w:val="clear" w:color="FFFFFF" w:fill="FFFFFF"/>
            <w:tcMar>
              <w:left w:w="101" w:type="dxa"/>
              <w:right w:w="161" w:type="dxa"/>
            </w:tcMar>
          </w:tcPr>
          <w:p w14:paraId="7A6461C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67 253</w:t>
            </w:r>
          </w:p>
        </w:tc>
        <w:tc>
          <w:tcPr>
            <w:tcW w:w="1035" w:type="dxa"/>
            <w:tcBorders>
              <w:top w:val="nil"/>
              <w:left w:val="nil"/>
              <w:bottom w:val="nil"/>
              <w:right w:val="nil"/>
              <w:tl2br w:val="nil"/>
              <w:tr2bl w:val="nil"/>
            </w:tcBorders>
            <w:shd w:val="clear" w:color="FFFFFF" w:fill="FFFFFF"/>
            <w:tcMar>
              <w:left w:w="101" w:type="dxa"/>
              <w:right w:w="161" w:type="dxa"/>
            </w:tcMar>
          </w:tcPr>
          <w:p w14:paraId="7808D9C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76 155</w:t>
            </w:r>
          </w:p>
        </w:tc>
        <w:tc>
          <w:tcPr>
            <w:tcW w:w="600" w:type="dxa"/>
            <w:tcBorders>
              <w:top w:val="nil"/>
              <w:left w:val="nil"/>
              <w:bottom w:val="nil"/>
              <w:right w:val="nil"/>
              <w:tl2br w:val="nil"/>
              <w:tr2bl w:val="nil"/>
            </w:tcBorders>
            <w:shd w:val="clear" w:color="FFFFFF" w:fill="FFFFFF"/>
            <w:tcMar>
              <w:left w:w="101" w:type="dxa"/>
              <w:right w:w="101" w:type="dxa"/>
            </w:tcMar>
          </w:tcPr>
          <w:p w14:paraId="06986FB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13 </w:t>
            </w:r>
          </w:p>
        </w:tc>
        <w:tc>
          <w:tcPr>
            <w:tcW w:w="1035" w:type="dxa"/>
            <w:tcBorders>
              <w:top w:val="nil"/>
              <w:left w:val="nil"/>
              <w:bottom w:val="nil"/>
              <w:right w:val="nil"/>
              <w:tl2br w:val="nil"/>
              <w:tr2bl w:val="nil"/>
            </w:tcBorders>
            <w:shd w:val="clear" w:color="FFFFFF" w:fill="FFFFFF"/>
            <w:tcMar>
              <w:left w:w="101" w:type="dxa"/>
              <w:right w:w="161" w:type="dxa"/>
            </w:tcMar>
          </w:tcPr>
          <w:p w14:paraId="21022B5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81 353</w:t>
            </w:r>
          </w:p>
        </w:tc>
        <w:tc>
          <w:tcPr>
            <w:tcW w:w="1035" w:type="dxa"/>
            <w:tcBorders>
              <w:top w:val="nil"/>
              <w:left w:val="nil"/>
              <w:bottom w:val="nil"/>
              <w:right w:val="nil"/>
              <w:tl2br w:val="nil"/>
              <w:tr2bl w:val="nil"/>
            </w:tcBorders>
            <w:shd w:val="clear" w:color="FFFFFF" w:fill="FFFFFF"/>
            <w:tcMar>
              <w:left w:w="101" w:type="dxa"/>
              <w:right w:w="161" w:type="dxa"/>
            </w:tcMar>
          </w:tcPr>
          <w:p w14:paraId="6B44EE4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19 221</w:t>
            </w:r>
          </w:p>
        </w:tc>
        <w:tc>
          <w:tcPr>
            <w:tcW w:w="1038" w:type="dxa"/>
            <w:tcBorders>
              <w:top w:val="nil"/>
              <w:left w:val="nil"/>
              <w:bottom w:val="nil"/>
              <w:right w:val="nil"/>
              <w:tl2br w:val="nil"/>
              <w:tr2bl w:val="nil"/>
            </w:tcBorders>
            <w:shd w:val="clear" w:color="FFFFFF" w:fill="FFFFFF"/>
            <w:tcMar>
              <w:left w:w="101" w:type="dxa"/>
              <w:right w:w="161" w:type="dxa"/>
            </w:tcMar>
          </w:tcPr>
          <w:p w14:paraId="4E7740C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12 732</w:t>
            </w:r>
          </w:p>
        </w:tc>
      </w:tr>
      <w:tr w:rsidR="009832FC" w:rsidRPr="009832FC" w14:paraId="69169410" w14:textId="77777777" w:rsidTr="00EB585F">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01356D5" w14:textId="77777777" w:rsidR="009832FC" w:rsidRPr="009832FC" w:rsidRDefault="009832FC" w:rsidP="009832FC">
            <w:pPr>
              <w:spacing w:before="0" w:after="0"/>
              <w:rPr>
                <w:rFonts w:eastAsia="Calibri" w:cs="Calibri"/>
                <w:color w:val="000000"/>
                <w:sz w:val="18"/>
                <w:szCs w:val="24"/>
                <w:lang w:eastAsia="en-AU"/>
              </w:rPr>
            </w:pPr>
          </w:p>
        </w:tc>
        <w:tc>
          <w:tcPr>
            <w:tcW w:w="2367" w:type="dxa"/>
            <w:tcBorders>
              <w:top w:val="nil"/>
              <w:left w:val="nil"/>
              <w:bottom w:val="nil"/>
              <w:right w:val="nil"/>
              <w:tl2br w:val="nil"/>
              <w:tr2bl w:val="nil"/>
            </w:tcBorders>
            <w:shd w:val="clear" w:color="FFFFFF" w:fill="FFFFFF"/>
            <w:tcMar>
              <w:left w:w="0" w:type="dxa"/>
              <w:right w:w="0" w:type="dxa"/>
            </w:tcMar>
          </w:tcPr>
          <w:p w14:paraId="20F6DD2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98F0EB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0344B63"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13CE4B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81E17F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58A4B61" w14:textId="77777777" w:rsidR="009832FC" w:rsidRPr="009832FC" w:rsidRDefault="009832FC" w:rsidP="009832FC">
            <w:pPr>
              <w:spacing w:before="0" w:after="0"/>
              <w:rPr>
                <w:rFonts w:eastAsia="Calibri" w:cs="Calibri"/>
                <w:color w:val="000000"/>
                <w:sz w:val="18"/>
                <w:szCs w:val="24"/>
                <w:lang w:eastAsia="en-AU"/>
              </w:rPr>
            </w:pPr>
          </w:p>
        </w:tc>
        <w:tc>
          <w:tcPr>
            <w:tcW w:w="1038" w:type="dxa"/>
            <w:tcBorders>
              <w:top w:val="nil"/>
              <w:left w:val="nil"/>
              <w:bottom w:val="nil"/>
              <w:right w:val="nil"/>
              <w:tl2br w:val="nil"/>
              <w:tr2bl w:val="nil"/>
            </w:tcBorders>
            <w:shd w:val="clear" w:color="FFFFFF" w:fill="FFFFFF"/>
            <w:tcMar>
              <w:left w:w="0" w:type="dxa"/>
              <w:right w:w="0" w:type="dxa"/>
            </w:tcMar>
          </w:tcPr>
          <w:p w14:paraId="257A8A41"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7914C096" w14:textId="77777777" w:rsidTr="00EB585F">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23B095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(92 062)</w:t>
            </w:r>
          </w:p>
        </w:tc>
        <w:tc>
          <w:tcPr>
            <w:tcW w:w="2367" w:type="dxa"/>
            <w:tcBorders>
              <w:top w:val="nil"/>
              <w:left w:val="nil"/>
              <w:bottom w:val="nil"/>
              <w:right w:val="nil"/>
              <w:tl2br w:val="nil"/>
              <w:tr2bl w:val="nil"/>
            </w:tcBorders>
            <w:shd w:val="clear" w:color="FFFFFF" w:fill="FFFFFF"/>
            <w:noWrap/>
            <w:tcMar>
              <w:left w:w="101" w:type="dxa"/>
              <w:right w:w="101" w:type="dxa"/>
            </w:tcMar>
          </w:tcPr>
          <w:p w14:paraId="4DE26583"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15D25B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(66 954)</w:t>
            </w:r>
          </w:p>
        </w:tc>
        <w:tc>
          <w:tcPr>
            <w:tcW w:w="1035" w:type="dxa"/>
            <w:tcBorders>
              <w:top w:val="nil"/>
              <w:left w:val="nil"/>
              <w:bottom w:val="nil"/>
              <w:right w:val="nil"/>
              <w:tl2br w:val="nil"/>
              <w:tr2bl w:val="nil"/>
            </w:tcBorders>
            <w:shd w:val="clear" w:color="FFFFFF" w:fill="FFFFFF"/>
            <w:tcMar>
              <w:left w:w="101" w:type="dxa"/>
              <w:right w:w="101" w:type="dxa"/>
            </w:tcMar>
          </w:tcPr>
          <w:p w14:paraId="6D7B954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(76 155)</w:t>
            </w:r>
          </w:p>
        </w:tc>
        <w:tc>
          <w:tcPr>
            <w:tcW w:w="600" w:type="dxa"/>
            <w:tcBorders>
              <w:top w:val="nil"/>
              <w:left w:val="nil"/>
              <w:bottom w:val="nil"/>
              <w:right w:val="nil"/>
              <w:tl2br w:val="nil"/>
              <w:tr2bl w:val="nil"/>
            </w:tcBorders>
            <w:shd w:val="clear" w:color="FFFFFF" w:fill="FFFFFF"/>
            <w:tcMar>
              <w:left w:w="101" w:type="dxa"/>
              <w:right w:w="101" w:type="dxa"/>
            </w:tcMar>
          </w:tcPr>
          <w:p w14:paraId="391A6B1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458AE31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(81 353)</w:t>
            </w:r>
          </w:p>
        </w:tc>
        <w:tc>
          <w:tcPr>
            <w:tcW w:w="1035" w:type="dxa"/>
            <w:tcBorders>
              <w:top w:val="nil"/>
              <w:left w:val="nil"/>
              <w:bottom w:val="nil"/>
              <w:right w:val="nil"/>
              <w:tl2br w:val="nil"/>
              <w:tr2bl w:val="nil"/>
            </w:tcBorders>
            <w:shd w:val="clear" w:color="FFFFFF" w:fill="FFFFFF"/>
            <w:tcMar>
              <w:left w:w="101" w:type="dxa"/>
              <w:right w:w="101" w:type="dxa"/>
            </w:tcMar>
          </w:tcPr>
          <w:p w14:paraId="7C37AB3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(19 221)</w:t>
            </w:r>
          </w:p>
        </w:tc>
        <w:tc>
          <w:tcPr>
            <w:tcW w:w="1038" w:type="dxa"/>
            <w:tcBorders>
              <w:top w:val="nil"/>
              <w:left w:val="nil"/>
              <w:bottom w:val="nil"/>
              <w:right w:val="nil"/>
              <w:tl2br w:val="nil"/>
              <w:tr2bl w:val="nil"/>
            </w:tcBorders>
            <w:shd w:val="clear" w:color="FFFFFF" w:fill="FFFFFF"/>
            <w:tcMar>
              <w:left w:w="101" w:type="dxa"/>
              <w:right w:w="101" w:type="dxa"/>
            </w:tcMar>
          </w:tcPr>
          <w:p w14:paraId="7EB1764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(12 732)</w:t>
            </w:r>
          </w:p>
        </w:tc>
      </w:tr>
      <w:tr w:rsidR="009832FC" w:rsidRPr="009832FC" w14:paraId="769EFAC9" w14:textId="77777777" w:rsidTr="00EB585F">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C2D3F7E" w14:textId="77777777" w:rsidR="009832FC" w:rsidRPr="009832FC" w:rsidRDefault="009832FC" w:rsidP="009832FC">
            <w:pPr>
              <w:spacing w:before="0" w:after="0"/>
              <w:rPr>
                <w:rFonts w:eastAsia="Calibri" w:cs="Calibri"/>
                <w:color w:val="000000"/>
                <w:sz w:val="18"/>
                <w:szCs w:val="24"/>
                <w:lang w:eastAsia="en-AU"/>
              </w:rPr>
            </w:pPr>
          </w:p>
        </w:tc>
        <w:tc>
          <w:tcPr>
            <w:tcW w:w="2367" w:type="dxa"/>
            <w:tcBorders>
              <w:top w:val="nil"/>
              <w:left w:val="nil"/>
              <w:bottom w:val="single" w:sz="4" w:space="0" w:color="000000"/>
              <w:right w:val="nil"/>
              <w:tl2br w:val="nil"/>
              <w:tr2bl w:val="nil"/>
            </w:tcBorders>
            <w:shd w:val="clear" w:color="FFFFFF" w:fill="FFFFFF"/>
            <w:tcMar>
              <w:left w:w="0" w:type="dxa"/>
              <w:right w:w="0" w:type="dxa"/>
            </w:tcMar>
          </w:tcPr>
          <w:p w14:paraId="5EE9882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018658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2FAE7F3"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EA0FFD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183952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FFEC76D" w14:textId="77777777" w:rsidR="009832FC" w:rsidRPr="009832FC" w:rsidRDefault="009832FC" w:rsidP="009832FC">
            <w:pPr>
              <w:spacing w:before="0" w:after="0"/>
              <w:rPr>
                <w:rFonts w:eastAsia="Calibri" w:cs="Calibri"/>
                <w:color w:val="000000"/>
                <w:sz w:val="18"/>
                <w:szCs w:val="24"/>
                <w:lang w:eastAsia="en-AU"/>
              </w:rPr>
            </w:pPr>
          </w:p>
        </w:tc>
        <w:tc>
          <w:tcPr>
            <w:tcW w:w="1038" w:type="dxa"/>
            <w:tcBorders>
              <w:top w:val="nil"/>
              <w:left w:val="nil"/>
              <w:bottom w:val="single" w:sz="4" w:space="0" w:color="000000"/>
              <w:right w:val="nil"/>
              <w:tl2br w:val="nil"/>
              <w:tr2bl w:val="nil"/>
            </w:tcBorders>
            <w:shd w:val="clear" w:color="FFFFFF" w:fill="FFFFFF"/>
            <w:tcMar>
              <w:left w:w="0" w:type="dxa"/>
              <w:right w:w="0" w:type="dxa"/>
            </w:tcMar>
          </w:tcPr>
          <w:p w14:paraId="0C355F8A" w14:textId="77777777" w:rsidR="009832FC" w:rsidRPr="009832FC" w:rsidRDefault="009832FC" w:rsidP="009832FC">
            <w:pPr>
              <w:spacing w:before="0" w:after="0"/>
              <w:rPr>
                <w:rFonts w:eastAsia="Calibri" w:cs="Calibri"/>
                <w:color w:val="000000"/>
                <w:sz w:val="18"/>
                <w:szCs w:val="24"/>
                <w:lang w:eastAsia="en-AU"/>
              </w:rPr>
            </w:pPr>
          </w:p>
        </w:tc>
      </w:tr>
    </w:tbl>
    <w:p w14:paraId="4C07E010" w14:textId="4C5DE4B2" w:rsidR="009832FC" w:rsidRPr="009832FC" w:rsidRDefault="009832FC" w:rsidP="00B51DBE">
      <w:pPr>
        <w:pStyle w:val="Caption"/>
        <w:rPr>
          <w:bdr w:val="nil"/>
        </w:rPr>
      </w:pPr>
      <w:r w:rsidRPr="009832FC">
        <w:rPr>
          <w:bdr w:val="nil"/>
        </w:rPr>
        <w:lastRenderedPageBreak/>
        <w:t>Table 2</w:t>
      </w:r>
      <w:r w:rsidR="00B51DBE">
        <w:rPr>
          <w:bdr w:val="nil"/>
        </w:rPr>
        <w:t>7</w:t>
      </w:r>
      <w:r w:rsidRPr="009832FC">
        <w:rPr>
          <w:bdr w:val="nil"/>
        </w:rPr>
        <w:t>: Canberra Health Services: Cash Flow Statement (continued)</w:t>
      </w:r>
    </w:p>
    <w:tbl>
      <w:tblPr>
        <w:tblStyle w:val="CDMRange23"/>
        <w:tblW w:w="9315" w:type="dxa"/>
        <w:tblLayout w:type="fixed"/>
        <w:tblLook w:val="0600" w:firstRow="0" w:lastRow="0" w:firstColumn="0" w:lastColumn="0" w:noHBand="1" w:noVBand="1"/>
      </w:tblPr>
      <w:tblGrid>
        <w:gridCol w:w="1035"/>
        <w:gridCol w:w="2509"/>
        <w:gridCol w:w="1035"/>
        <w:gridCol w:w="1035"/>
        <w:gridCol w:w="600"/>
        <w:gridCol w:w="1035"/>
        <w:gridCol w:w="1035"/>
        <w:gridCol w:w="1031"/>
      </w:tblGrid>
      <w:tr w:rsidR="009832FC" w:rsidRPr="009832FC" w14:paraId="250CE18E" w14:textId="77777777" w:rsidTr="00EB585F">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52BA72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2020-21 Budget            </w:t>
            </w:r>
          </w:p>
          <w:p w14:paraId="56B80E68" w14:textId="77777777" w:rsidR="009832FC" w:rsidRPr="009832FC" w:rsidRDefault="009832FC" w:rsidP="009832FC">
            <w:pPr>
              <w:spacing w:before="0" w:after="0"/>
              <w:jc w:val="right"/>
              <w:rPr>
                <w:rFonts w:eastAsia="Calibri" w:cs="Calibri"/>
                <w:b/>
                <w:color w:val="000000"/>
                <w:sz w:val="18"/>
                <w:szCs w:val="24"/>
                <w:lang w:eastAsia="en-AU"/>
              </w:rPr>
            </w:pPr>
          </w:p>
          <w:p w14:paraId="6E0D8F0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2509"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9362624"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D61F7F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271894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2021-22 Budget            </w:t>
            </w:r>
          </w:p>
          <w:p w14:paraId="18AB5F01" w14:textId="77777777" w:rsidR="009832FC" w:rsidRPr="009832FC" w:rsidRDefault="009832FC" w:rsidP="009832FC">
            <w:pPr>
              <w:spacing w:before="0" w:after="0"/>
              <w:jc w:val="right"/>
              <w:rPr>
                <w:rFonts w:eastAsia="Calibri" w:cs="Calibri"/>
                <w:b/>
                <w:color w:val="000000"/>
                <w:sz w:val="18"/>
                <w:szCs w:val="24"/>
                <w:lang w:eastAsia="en-AU"/>
              </w:rPr>
            </w:pPr>
          </w:p>
          <w:p w14:paraId="01685B6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B87D83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Var </w:t>
            </w:r>
          </w:p>
          <w:p w14:paraId="457F50C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04A1B7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2022-23 Estimate            </w:t>
            </w:r>
          </w:p>
          <w:p w14:paraId="760BDB66" w14:textId="77777777" w:rsidR="009832FC" w:rsidRPr="009832FC" w:rsidRDefault="009832FC" w:rsidP="009832FC">
            <w:pPr>
              <w:spacing w:before="0" w:after="0"/>
              <w:jc w:val="right"/>
              <w:rPr>
                <w:rFonts w:eastAsia="Calibri" w:cs="Calibri"/>
                <w:b/>
                <w:color w:val="000000"/>
                <w:sz w:val="18"/>
                <w:szCs w:val="24"/>
                <w:lang w:eastAsia="en-AU"/>
              </w:rPr>
            </w:pPr>
          </w:p>
          <w:p w14:paraId="3FECC2F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900D27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2023-24 Estimate            </w:t>
            </w:r>
          </w:p>
          <w:p w14:paraId="2F96799E" w14:textId="77777777" w:rsidR="009832FC" w:rsidRPr="009832FC" w:rsidRDefault="009832FC" w:rsidP="009832FC">
            <w:pPr>
              <w:spacing w:before="0" w:after="0"/>
              <w:jc w:val="right"/>
              <w:rPr>
                <w:rFonts w:eastAsia="Calibri" w:cs="Calibri"/>
                <w:b/>
                <w:color w:val="000000"/>
                <w:sz w:val="18"/>
                <w:szCs w:val="24"/>
                <w:lang w:eastAsia="en-AU"/>
              </w:rPr>
            </w:pPr>
          </w:p>
          <w:p w14:paraId="3AC4755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1031"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DD68DB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2024-25 Estimate            </w:t>
            </w:r>
          </w:p>
          <w:p w14:paraId="4B0813D4" w14:textId="77777777" w:rsidR="009832FC" w:rsidRPr="009832FC" w:rsidRDefault="009832FC" w:rsidP="009832FC">
            <w:pPr>
              <w:spacing w:before="0" w:after="0"/>
              <w:jc w:val="right"/>
              <w:rPr>
                <w:rFonts w:eastAsia="Calibri" w:cs="Calibri"/>
                <w:b/>
                <w:color w:val="000000"/>
                <w:sz w:val="18"/>
                <w:szCs w:val="24"/>
                <w:lang w:eastAsia="en-AU"/>
              </w:rPr>
            </w:pPr>
          </w:p>
          <w:p w14:paraId="0FED7E2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r>
      <w:tr w:rsidR="009832FC" w:rsidRPr="009832FC" w14:paraId="38430C8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A35BA15" w14:textId="77777777" w:rsidR="009832FC" w:rsidRPr="009832FC" w:rsidRDefault="009832FC" w:rsidP="009832FC">
            <w:pPr>
              <w:spacing w:before="0" w:after="0"/>
              <w:rPr>
                <w:rFonts w:eastAsia="Calibri" w:cs="Calibri"/>
                <w:color w:val="000000"/>
                <w:sz w:val="18"/>
                <w:szCs w:val="24"/>
                <w:lang w:eastAsia="en-AU"/>
              </w:rPr>
            </w:pPr>
          </w:p>
        </w:tc>
        <w:tc>
          <w:tcPr>
            <w:tcW w:w="8280" w:type="dxa"/>
            <w:gridSpan w:val="7"/>
            <w:tcBorders>
              <w:top w:val="single" w:sz="4" w:space="0" w:color="000000"/>
              <w:left w:val="nil"/>
              <w:bottom w:val="nil"/>
              <w:right w:val="nil"/>
              <w:tl2br w:val="nil"/>
              <w:tr2bl w:val="nil"/>
            </w:tcBorders>
            <w:shd w:val="clear" w:color="auto" w:fill="auto"/>
            <w:tcMar>
              <w:left w:w="101" w:type="dxa"/>
              <w:right w:w="101" w:type="dxa"/>
            </w:tcMar>
            <w:vAlign w:val="bottom"/>
          </w:tcPr>
          <w:p w14:paraId="7A30ABFD"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CASH FLOWS FROM FINANCING ACTIVITIES</w:t>
            </w:r>
          </w:p>
        </w:tc>
      </w:tr>
      <w:tr w:rsidR="009832FC" w:rsidRPr="009832FC" w14:paraId="2D1DA38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45A954" w14:textId="77777777" w:rsidR="009832FC" w:rsidRPr="009832FC" w:rsidRDefault="009832FC" w:rsidP="009832FC">
            <w:pPr>
              <w:spacing w:before="0" w:after="0"/>
              <w:rPr>
                <w:rFonts w:eastAsia="Calibri" w:cs="Calibri"/>
                <w:color w:val="000000"/>
                <w:sz w:val="18"/>
                <w:szCs w:val="24"/>
                <w:lang w:eastAsia="en-AU"/>
              </w:rPr>
            </w:pPr>
          </w:p>
        </w:tc>
        <w:tc>
          <w:tcPr>
            <w:tcW w:w="2509" w:type="dxa"/>
            <w:tcBorders>
              <w:top w:val="nil"/>
              <w:left w:val="nil"/>
              <w:bottom w:val="nil"/>
              <w:right w:val="nil"/>
              <w:tl2br w:val="nil"/>
              <w:tr2bl w:val="nil"/>
            </w:tcBorders>
            <w:shd w:val="clear" w:color="FFFFFF" w:fill="FFFFFF"/>
            <w:tcMar>
              <w:left w:w="101" w:type="dxa"/>
              <w:right w:w="101" w:type="dxa"/>
            </w:tcMar>
          </w:tcPr>
          <w:p w14:paraId="2E7E047C"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337EE46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60C6D8D"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5D38DE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FF8461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2A5B267" w14:textId="77777777" w:rsidR="009832FC" w:rsidRPr="009832FC" w:rsidRDefault="009832FC" w:rsidP="009832FC">
            <w:pPr>
              <w:spacing w:before="0" w:after="0"/>
              <w:rPr>
                <w:rFonts w:eastAsia="Calibri" w:cs="Calibri"/>
                <w:color w:val="000000"/>
                <w:sz w:val="18"/>
                <w:szCs w:val="24"/>
                <w:lang w:eastAsia="en-AU"/>
              </w:rPr>
            </w:pPr>
          </w:p>
        </w:tc>
        <w:tc>
          <w:tcPr>
            <w:tcW w:w="1031" w:type="dxa"/>
            <w:tcBorders>
              <w:top w:val="nil"/>
              <w:left w:val="nil"/>
              <w:bottom w:val="nil"/>
              <w:right w:val="nil"/>
              <w:tl2br w:val="nil"/>
              <w:tr2bl w:val="nil"/>
            </w:tcBorders>
            <w:shd w:val="clear" w:color="FFFFFF" w:fill="FFFFFF"/>
            <w:tcMar>
              <w:left w:w="0" w:type="dxa"/>
              <w:right w:w="0" w:type="dxa"/>
            </w:tcMar>
          </w:tcPr>
          <w:p w14:paraId="39B9EF49"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54B712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6516597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83 731</w:t>
            </w:r>
          </w:p>
        </w:tc>
        <w:tc>
          <w:tcPr>
            <w:tcW w:w="2509" w:type="dxa"/>
            <w:tcBorders>
              <w:top w:val="nil"/>
              <w:left w:val="nil"/>
              <w:bottom w:val="nil"/>
              <w:right w:val="nil"/>
              <w:tl2br w:val="nil"/>
              <w:tr2bl w:val="nil"/>
            </w:tcBorders>
            <w:shd w:val="clear" w:color="FFFFFF" w:fill="FFFFFF"/>
            <w:noWrap/>
            <w:tcMar>
              <w:left w:w="101" w:type="dxa"/>
              <w:right w:w="101" w:type="dxa"/>
            </w:tcMar>
          </w:tcPr>
          <w:p w14:paraId="2573F125"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Capital Injections</w:t>
            </w:r>
          </w:p>
        </w:tc>
        <w:tc>
          <w:tcPr>
            <w:tcW w:w="1035" w:type="dxa"/>
            <w:tcBorders>
              <w:top w:val="nil"/>
              <w:left w:val="nil"/>
              <w:bottom w:val="nil"/>
              <w:right w:val="nil"/>
              <w:tl2br w:val="nil"/>
              <w:tr2bl w:val="nil"/>
            </w:tcBorders>
            <w:shd w:val="clear" w:color="FFFFFF" w:fill="FFFFFF"/>
            <w:tcMar>
              <w:left w:w="101" w:type="dxa"/>
              <w:right w:w="161" w:type="dxa"/>
            </w:tcMar>
          </w:tcPr>
          <w:p w14:paraId="6BF6DF0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53 120</w:t>
            </w:r>
          </w:p>
        </w:tc>
        <w:tc>
          <w:tcPr>
            <w:tcW w:w="1035" w:type="dxa"/>
            <w:tcBorders>
              <w:top w:val="nil"/>
              <w:left w:val="nil"/>
              <w:bottom w:val="nil"/>
              <w:right w:val="nil"/>
              <w:tl2br w:val="nil"/>
              <w:tr2bl w:val="nil"/>
            </w:tcBorders>
            <w:shd w:val="clear" w:color="FFFFFF" w:fill="FFFFFF"/>
            <w:tcMar>
              <w:left w:w="101" w:type="dxa"/>
              <w:right w:w="161" w:type="dxa"/>
            </w:tcMar>
          </w:tcPr>
          <w:p w14:paraId="78D6C71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67 847</w:t>
            </w:r>
          </w:p>
        </w:tc>
        <w:tc>
          <w:tcPr>
            <w:tcW w:w="600" w:type="dxa"/>
            <w:tcBorders>
              <w:top w:val="nil"/>
              <w:left w:val="nil"/>
              <w:bottom w:val="nil"/>
              <w:right w:val="nil"/>
              <w:tl2br w:val="nil"/>
              <w:tr2bl w:val="nil"/>
            </w:tcBorders>
            <w:shd w:val="clear" w:color="FFFFFF" w:fill="FFFFFF"/>
            <w:tcMar>
              <w:left w:w="101" w:type="dxa"/>
              <w:right w:w="101" w:type="dxa"/>
            </w:tcMar>
          </w:tcPr>
          <w:p w14:paraId="629FA19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28 </w:t>
            </w:r>
          </w:p>
        </w:tc>
        <w:tc>
          <w:tcPr>
            <w:tcW w:w="1035" w:type="dxa"/>
            <w:tcBorders>
              <w:top w:val="nil"/>
              <w:left w:val="nil"/>
              <w:bottom w:val="nil"/>
              <w:right w:val="nil"/>
              <w:tl2br w:val="nil"/>
              <w:tr2bl w:val="nil"/>
            </w:tcBorders>
            <w:shd w:val="clear" w:color="FFFFFF" w:fill="FFFFFF"/>
            <w:tcMar>
              <w:left w:w="101" w:type="dxa"/>
              <w:right w:w="161" w:type="dxa"/>
            </w:tcMar>
          </w:tcPr>
          <w:p w14:paraId="210692D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73 045</w:t>
            </w:r>
          </w:p>
        </w:tc>
        <w:tc>
          <w:tcPr>
            <w:tcW w:w="1035" w:type="dxa"/>
            <w:tcBorders>
              <w:top w:val="nil"/>
              <w:left w:val="nil"/>
              <w:bottom w:val="nil"/>
              <w:right w:val="nil"/>
              <w:tl2br w:val="nil"/>
              <w:tr2bl w:val="nil"/>
            </w:tcBorders>
            <w:shd w:val="clear" w:color="FFFFFF" w:fill="FFFFFF"/>
            <w:tcMar>
              <w:left w:w="101" w:type="dxa"/>
              <w:right w:w="161" w:type="dxa"/>
            </w:tcMar>
          </w:tcPr>
          <w:p w14:paraId="143C276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11 034</w:t>
            </w:r>
          </w:p>
        </w:tc>
        <w:tc>
          <w:tcPr>
            <w:tcW w:w="1031" w:type="dxa"/>
            <w:tcBorders>
              <w:top w:val="nil"/>
              <w:left w:val="nil"/>
              <w:bottom w:val="nil"/>
              <w:right w:val="nil"/>
              <w:tl2br w:val="nil"/>
              <w:tr2bl w:val="nil"/>
            </w:tcBorders>
            <w:shd w:val="clear" w:color="FFFFFF" w:fill="FFFFFF"/>
            <w:tcMar>
              <w:left w:w="101" w:type="dxa"/>
              <w:right w:w="161" w:type="dxa"/>
            </w:tcMar>
          </w:tcPr>
          <w:p w14:paraId="62C0B0C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4 545</w:t>
            </w:r>
          </w:p>
        </w:tc>
      </w:tr>
      <w:tr w:rsidR="009832FC" w:rsidRPr="009832FC" w14:paraId="4A35A72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0A40C65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83 731</w:t>
            </w:r>
          </w:p>
        </w:tc>
        <w:tc>
          <w:tcPr>
            <w:tcW w:w="2509" w:type="dxa"/>
            <w:tcBorders>
              <w:top w:val="nil"/>
              <w:left w:val="nil"/>
              <w:bottom w:val="nil"/>
              <w:right w:val="nil"/>
              <w:tl2br w:val="nil"/>
              <w:tr2bl w:val="nil"/>
            </w:tcBorders>
            <w:shd w:val="clear" w:color="FFFFFF" w:fill="FFFFFF"/>
            <w:tcMar>
              <w:left w:w="101" w:type="dxa"/>
              <w:right w:w="101" w:type="dxa"/>
            </w:tcMar>
          </w:tcPr>
          <w:p w14:paraId="720634B9"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Financing Receipts</w:t>
            </w:r>
          </w:p>
        </w:tc>
        <w:tc>
          <w:tcPr>
            <w:tcW w:w="1035" w:type="dxa"/>
            <w:tcBorders>
              <w:top w:val="nil"/>
              <w:left w:val="nil"/>
              <w:bottom w:val="nil"/>
              <w:right w:val="nil"/>
              <w:tl2br w:val="nil"/>
              <w:tr2bl w:val="nil"/>
            </w:tcBorders>
            <w:shd w:val="clear" w:color="FFFFFF" w:fill="FFFFFF"/>
            <w:tcMar>
              <w:left w:w="101" w:type="dxa"/>
              <w:right w:w="161" w:type="dxa"/>
            </w:tcMar>
          </w:tcPr>
          <w:p w14:paraId="732188B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53 120</w:t>
            </w:r>
          </w:p>
        </w:tc>
        <w:tc>
          <w:tcPr>
            <w:tcW w:w="1035" w:type="dxa"/>
            <w:tcBorders>
              <w:top w:val="nil"/>
              <w:left w:val="nil"/>
              <w:bottom w:val="nil"/>
              <w:right w:val="nil"/>
              <w:tl2br w:val="nil"/>
              <w:tr2bl w:val="nil"/>
            </w:tcBorders>
            <w:shd w:val="clear" w:color="FFFFFF" w:fill="FFFFFF"/>
            <w:tcMar>
              <w:left w:w="101" w:type="dxa"/>
              <w:right w:w="161" w:type="dxa"/>
            </w:tcMar>
          </w:tcPr>
          <w:p w14:paraId="68873A9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67 847</w:t>
            </w:r>
          </w:p>
        </w:tc>
        <w:tc>
          <w:tcPr>
            <w:tcW w:w="600" w:type="dxa"/>
            <w:tcBorders>
              <w:top w:val="nil"/>
              <w:left w:val="nil"/>
              <w:bottom w:val="nil"/>
              <w:right w:val="nil"/>
              <w:tl2br w:val="nil"/>
              <w:tr2bl w:val="nil"/>
            </w:tcBorders>
            <w:shd w:val="clear" w:color="FFFFFF" w:fill="FFFFFF"/>
            <w:tcMar>
              <w:left w:w="101" w:type="dxa"/>
              <w:right w:w="101" w:type="dxa"/>
            </w:tcMar>
          </w:tcPr>
          <w:p w14:paraId="26DF5F7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28 </w:t>
            </w:r>
          </w:p>
        </w:tc>
        <w:tc>
          <w:tcPr>
            <w:tcW w:w="1035" w:type="dxa"/>
            <w:tcBorders>
              <w:top w:val="nil"/>
              <w:left w:val="nil"/>
              <w:bottom w:val="nil"/>
              <w:right w:val="nil"/>
              <w:tl2br w:val="nil"/>
              <w:tr2bl w:val="nil"/>
            </w:tcBorders>
            <w:shd w:val="clear" w:color="FFFFFF" w:fill="FFFFFF"/>
            <w:tcMar>
              <w:left w:w="101" w:type="dxa"/>
              <w:right w:w="161" w:type="dxa"/>
            </w:tcMar>
          </w:tcPr>
          <w:p w14:paraId="625D287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73 045</w:t>
            </w:r>
          </w:p>
        </w:tc>
        <w:tc>
          <w:tcPr>
            <w:tcW w:w="1035" w:type="dxa"/>
            <w:tcBorders>
              <w:top w:val="nil"/>
              <w:left w:val="nil"/>
              <w:bottom w:val="nil"/>
              <w:right w:val="nil"/>
              <w:tl2br w:val="nil"/>
              <w:tr2bl w:val="nil"/>
            </w:tcBorders>
            <w:shd w:val="clear" w:color="FFFFFF" w:fill="FFFFFF"/>
            <w:tcMar>
              <w:left w:w="101" w:type="dxa"/>
              <w:right w:w="161" w:type="dxa"/>
            </w:tcMar>
          </w:tcPr>
          <w:p w14:paraId="2AE598A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11 034</w:t>
            </w:r>
          </w:p>
        </w:tc>
        <w:tc>
          <w:tcPr>
            <w:tcW w:w="1031" w:type="dxa"/>
            <w:tcBorders>
              <w:top w:val="nil"/>
              <w:left w:val="nil"/>
              <w:bottom w:val="nil"/>
              <w:right w:val="nil"/>
              <w:tl2br w:val="nil"/>
              <w:tr2bl w:val="nil"/>
            </w:tcBorders>
            <w:shd w:val="clear" w:color="FFFFFF" w:fill="FFFFFF"/>
            <w:tcMar>
              <w:left w:w="101" w:type="dxa"/>
              <w:right w:w="161" w:type="dxa"/>
            </w:tcMar>
          </w:tcPr>
          <w:p w14:paraId="451ED09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4 545</w:t>
            </w:r>
          </w:p>
        </w:tc>
      </w:tr>
      <w:tr w:rsidR="009832FC" w:rsidRPr="009832FC" w14:paraId="731F088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75A124F" w14:textId="77777777" w:rsidR="009832FC" w:rsidRPr="009832FC" w:rsidRDefault="009832FC" w:rsidP="009832FC">
            <w:pPr>
              <w:spacing w:before="0" w:after="0"/>
              <w:rPr>
                <w:rFonts w:eastAsia="Calibri" w:cs="Calibri"/>
                <w:color w:val="000000"/>
                <w:sz w:val="18"/>
                <w:szCs w:val="24"/>
                <w:lang w:eastAsia="en-AU"/>
              </w:rPr>
            </w:pPr>
          </w:p>
        </w:tc>
        <w:tc>
          <w:tcPr>
            <w:tcW w:w="2509" w:type="dxa"/>
            <w:tcBorders>
              <w:top w:val="nil"/>
              <w:left w:val="nil"/>
              <w:bottom w:val="nil"/>
              <w:right w:val="nil"/>
              <w:tl2br w:val="nil"/>
              <w:tr2bl w:val="nil"/>
            </w:tcBorders>
            <w:shd w:val="clear" w:color="FFFFFF" w:fill="FFFFFF"/>
            <w:tcMar>
              <w:left w:w="0" w:type="dxa"/>
              <w:right w:w="0" w:type="dxa"/>
            </w:tcMar>
          </w:tcPr>
          <w:p w14:paraId="257D085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8B5A87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C0C427A"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D5F487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B6AF64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1772343" w14:textId="77777777" w:rsidR="009832FC" w:rsidRPr="009832FC" w:rsidRDefault="009832FC" w:rsidP="009832FC">
            <w:pPr>
              <w:spacing w:before="0" w:after="0"/>
              <w:rPr>
                <w:rFonts w:eastAsia="Calibri" w:cs="Calibri"/>
                <w:color w:val="000000"/>
                <w:sz w:val="18"/>
                <w:szCs w:val="24"/>
                <w:lang w:eastAsia="en-AU"/>
              </w:rPr>
            </w:pPr>
          </w:p>
        </w:tc>
        <w:tc>
          <w:tcPr>
            <w:tcW w:w="1031" w:type="dxa"/>
            <w:tcBorders>
              <w:top w:val="nil"/>
              <w:left w:val="nil"/>
              <w:bottom w:val="nil"/>
              <w:right w:val="nil"/>
              <w:tl2br w:val="nil"/>
              <w:tr2bl w:val="nil"/>
            </w:tcBorders>
            <w:shd w:val="clear" w:color="FFFFFF" w:fill="FFFFFF"/>
            <w:tcMar>
              <w:left w:w="0" w:type="dxa"/>
              <w:right w:w="0" w:type="dxa"/>
            </w:tcMar>
          </w:tcPr>
          <w:p w14:paraId="3290ABE4"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084FE2E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97979D" w14:textId="77777777" w:rsidR="009832FC" w:rsidRPr="009832FC" w:rsidRDefault="009832FC" w:rsidP="009832FC">
            <w:pPr>
              <w:spacing w:before="0" w:after="0"/>
              <w:rPr>
                <w:rFonts w:eastAsia="Calibri" w:cs="Calibri"/>
                <w:color w:val="000000"/>
                <w:sz w:val="18"/>
                <w:szCs w:val="24"/>
                <w:lang w:eastAsia="en-AU"/>
              </w:rPr>
            </w:pPr>
          </w:p>
        </w:tc>
        <w:tc>
          <w:tcPr>
            <w:tcW w:w="2509" w:type="dxa"/>
            <w:tcBorders>
              <w:top w:val="nil"/>
              <w:left w:val="nil"/>
              <w:bottom w:val="nil"/>
              <w:right w:val="nil"/>
              <w:tl2br w:val="nil"/>
              <w:tr2bl w:val="nil"/>
            </w:tcBorders>
            <w:shd w:val="clear" w:color="FFFFFF" w:fill="FFFFFF"/>
            <w:tcMar>
              <w:left w:w="101" w:type="dxa"/>
              <w:right w:w="101" w:type="dxa"/>
            </w:tcMar>
          </w:tcPr>
          <w:p w14:paraId="3AA010B7"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29AE1C8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789AEBB"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800F22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757BC0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BD55944" w14:textId="77777777" w:rsidR="009832FC" w:rsidRPr="009832FC" w:rsidRDefault="009832FC" w:rsidP="009832FC">
            <w:pPr>
              <w:spacing w:before="0" w:after="0"/>
              <w:rPr>
                <w:rFonts w:eastAsia="Calibri" w:cs="Calibri"/>
                <w:color w:val="000000"/>
                <w:sz w:val="18"/>
                <w:szCs w:val="24"/>
                <w:lang w:eastAsia="en-AU"/>
              </w:rPr>
            </w:pPr>
          </w:p>
        </w:tc>
        <w:tc>
          <w:tcPr>
            <w:tcW w:w="1031" w:type="dxa"/>
            <w:tcBorders>
              <w:top w:val="nil"/>
              <w:left w:val="nil"/>
              <w:bottom w:val="nil"/>
              <w:right w:val="nil"/>
              <w:tl2br w:val="nil"/>
              <w:tr2bl w:val="nil"/>
            </w:tcBorders>
            <w:shd w:val="clear" w:color="FFFFFF" w:fill="FFFFFF"/>
            <w:tcMar>
              <w:left w:w="0" w:type="dxa"/>
              <w:right w:w="0" w:type="dxa"/>
            </w:tcMar>
          </w:tcPr>
          <w:p w14:paraId="42CE884E"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B8F1BD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BC0146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509" w:type="dxa"/>
            <w:tcBorders>
              <w:top w:val="nil"/>
              <w:left w:val="nil"/>
              <w:bottom w:val="nil"/>
              <w:right w:val="nil"/>
              <w:tl2br w:val="nil"/>
              <w:tr2bl w:val="nil"/>
            </w:tcBorders>
            <w:shd w:val="clear" w:color="FFFFFF" w:fill="FFFFFF"/>
            <w:noWrap/>
            <w:tcMar>
              <w:left w:w="101" w:type="dxa"/>
              <w:right w:w="101" w:type="dxa"/>
            </w:tcMar>
          </w:tcPr>
          <w:p w14:paraId="12DB8983"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Repayment of Borrowings</w:t>
            </w:r>
          </w:p>
        </w:tc>
        <w:tc>
          <w:tcPr>
            <w:tcW w:w="1035" w:type="dxa"/>
            <w:tcBorders>
              <w:top w:val="nil"/>
              <w:left w:val="nil"/>
              <w:bottom w:val="nil"/>
              <w:right w:val="nil"/>
              <w:tl2br w:val="nil"/>
              <w:tr2bl w:val="nil"/>
            </w:tcBorders>
            <w:shd w:val="clear" w:color="FFFFFF" w:fill="FFFFFF"/>
            <w:tcMar>
              <w:left w:w="101" w:type="dxa"/>
              <w:right w:w="161" w:type="dxa"/>
            </w:tcMar>
          </w:tcPr>
          <w:p w14:paraId="0B37353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810</w:t>
            </w:r>
          </w:p>
        </w:tc>
        <w:tc>
          <w:tcPr>
            <w:tcW w:w="1035" w:type="dxa"/>
            <w:tcBorders>
              <w:top w:val="nil"/>
              <w:left w:val="nil"/>
              <w:bottom w:val="nil"/>
              <w:right w:val="nil"/>
              <w:tl2br w:val="nil"/>
              <w:tr2bl w:val="nil"/>
            </w:tcBorders>
            <w:shd w:val="clear" w:color="FFFFFF" w:fill="FFFFFF"/>
            <w:tcMar>
              <w:left w:w="101" w:type="dxa"/>
              <w:right w:w="161" w:type="dxa"/>
            </w:tcMar>
          </w:tcPr>
          <w:p w14:paraId="6000610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09974DA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61" w:type="dxa"/>
            </w:tcMar>
          </w:tcPr>
          <w:p w14:paraId="0C8A6F5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61" w:type="dxa"/>
            </w:tcMar>
          </w:tcPr>
          <w:p w14:paraId="35DDF92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1" w:type="dxa"/>
            <w:tcBorders>
              <w:top w:val="nil"/>
              <w:left w:val="nil"/>
              <w:bottom w:val="nil"/>
              <w:right w:val="nil"/>
              <w:tl2br w:val="nil"/>
              <w:tr2bl w:val="nil"/>
            </w:tcBorders>
            <w:shd w:val="clear" w:color="FFFFFF" w:fill="FFFFFF"/>
            <w:tcMar>
              <w:left w:w="101" w:type="dxa"/>
              <w:right w:w="161" w:type="dxa"/>
            </w:tcMar>
          </w:tcPr>
          <w:p w14:paraId="1FAC2EE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5CCC1C3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2C2B15F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695</w:t>
            </w:r>
          </w:p>
        </w:tc>
        <w:tc>
          <w:tcPr>
            <w:tcW w:w="2509" w:type="dxa"/>
            <w:tcBorders>
              <w:top w:val="nil"/>
              <w:left w:val="nil"/>
              <w:bottom w:val="nil"/>
              <w:right w:val="nil"/>
              <w:tl2br w:val="nil"/>
              <w:tr2bl w:val="nil"/>
            </w:tcBorders>
            <w:shd w:val="clear" w:color="FFFFFF" w:fill="FFFFFF"/>
            <w:noWrap/>
            <w:tcMar>
              <w:left w:w="101" w:type="dxa"/>
              <w:right w:w="101" w:type="dxa"/>
            </w:tcMar>
          </w:tcPr>
          <w:p w14:paraId="0BF673EF"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61" w:type="dxa"/>
            </w:tcMar>
          </w:tcPr>
          <w:p w14:paraId="08CA4B1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2 369</w:t>
            </w:r>
          </w:p>
        </w:tc>
        <w:tc>
          <w:tcPr>
            <w:tcW w:w="1035" w:type="dxa"/>
            <w:tcBorders>
              <w:top w:val="nil"/>
              <w:left w:val="nil"/>
              <w:bottom w:val="nil"/>
              <w:right w:val="nil"/>
              <w:tl2br w:val="nil"/>
              <w:tr2bl w:val="nil"/>
            </w:tcBorders>
            <w:shd w:val="clear" w:color="FFFFFF" w:fill="FFFFFF"/>
            <w:tcMar>
              <w:left w:w="101" w:type="dxa"/>
              <w:right w:w="161" w:type="dxa"/>
            </w:tcMar>
          </w:tcPr>
          <w:p w14:paraId="53AEFB0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695</w:t>
            </w:r>
          </w:p>
        </w:tc>
        <w:tc>
          <w:tcPr>
            <w:tcW w:w="600" w:type="dxa"/>
            <w:tcBorders>
              <w:top w:val="nil"/>
              <w:left w:val="nil"/>
              <w:bottom w:val="nil"/>
              <w:right w:val="nil"/>
              <w:tl2br w:val="nil"/>
              <w:tr2bl w:val="nil"/>
            </w:tcBorders>
            <w:shd w:val="clear" w:color="FFFFFF" w:fill="FFFFFF"/>
            <w:tcMar>
              <w:left w:w="101" w:type="dxa"/>
              <w:right w:w="101" w:type="dxa"/>
            </w:tcMar>
          </w:tcPr>
          <w:p w14:paraId="7AE147A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-71 </w:t>
            </w:r>
          </w:p>
        </w:tc>
        <w:tc>
          <w:tcPr>
            <w:tcW w:w="1035" w:type="dxa"/>
            <w:tcBorders>
              <w:top w:val="nil"/>
              <w:left w:val="nil"/>
              <w:bottom w:val="nil"/>
              <w:right w:val="nil"/>
              <w:tl2br w:val="nil"/>
              <w:tr2bl w:val="nil"/>
            </w:tcBorders>
            <w:shd w:val="clear" w:color="FFFFFF" w:fill="FFFFFF"/>
            <w:tcMar>
              <w:left w:w="101" w:type="dxa"/>
              <w:right w:w="161" w:type="dxa"/>
            </w:tcMar>
          </w:tcPr>
          <w:p w14:paraId="2F86EB7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695</w:t>
            </w:r>
          </w:p>
        </w:tc>
        <w:tc>
          <w:tcPr>
            <w:tcW w:w="1035" w:type="dxa"/>
            <w:tcBorders>
              <w:top w:val="nil"/>
              <w:left w:val="nil"/>
              <w:bottom w:val="nil"/>
              <w:right w:val="nil"/>
              <w:tl2br w:val="nil"/>
              <w:tr2bl w:val="nil"/>
            </w:tcBorders>
            <w:shd w:val="clear" w:color="FFFFFF" w:fill="FFFFFF"/>
            <w:tcMar>
              <w:left w:w="101" w:type="dxa"/>
              <w:right w:w="161" w:type="dxa"/>
            </w:tcMar>
          </w:tcPr>
          <w:p w14:paraId="66053D8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695</w:t>
            </w:r>
          </w:p>
        </w:tc>
        <w:tc>
          <w:tcPr>
            <w:tcW w:w="1031" w:type="dxa"/>
            <w:tcBorders>
              <w:top w:val="nil"/>
              <w:left w:val="nil"/>
              <w:bottom w:val="nil"/>
              <w:right w:val="nil"/>
              <w:tl2br w:val="nil"/>
              <w:tr2bl w:val="nil"/>
            </w:tcBorders>
            <w:shd w:val="clear" w:color="FFFFFF" w:fill="FFFFFF"/>
            <w:tcMar>
              <w:left w:w="101" w:type="dxa"/>
              <w:right w:w="161" w:type="dxa"/>
            </w:tcMar>
          </w:tcPr>
          <w:p w14:paraId="72164E7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695</w:t>
            </w:r>
          </w:p>
        </w:tc>
      </w:tr>
      <w:tr w:rsidR="009832FC" w:rsidRPr="009832FC" w14:paraId="0060EEB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1D62673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695</w:t>
            </w:r>
          </w:p>
        </w:tc>
        <w:tc>
          <w:tcPr>
            <w:tcW w:w="2509" w:type="dxa"/>
            <w:tcBorders>
              <w:top w:val="nil"/>
              <w:left w:val="nil"/>
              <w:bottom w:val="nil"/>
              <w:right w:val="nil"/>
              <w:tl2br w:val="nil"/>
              <w:tr2bl w:val="nil"/>
            </w:tcBorders>
            <w:shd w:val="clear" w:color="FFFFFF" w:fill="FFFFFF"/>
            <w:tcMar>
              <w:left w:w="101" w:type="dxa"/>
              <w:right w:w="101" w:type="dxa"/>
            </w:tcMar>
          </w:tcPr>
          <w:p w14:paraId="631F1DB2"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Financing Payments</w:t>
            </w:r>
          </w:p>
        </w:tc>
        <w:tc>
          <w:tcPr>
            <w:tcW w:w="1035" w:type="dxa"/>
            <w:tcBorders>
              <w:top w:val="nil"/>
              <w:left w:val="nil"/>
              <w:bottom w:val="nil"/>
              <w:right w:val="nil"/>
              <w:tl2br w:val="nil"/>
              <w:tr2bl w:val="nil"/>
            </w:tcBorders>
            <w:shd w:val="clear" w:color="FFFFFF" w:fill="FFFFFF"/>
            <w:tcMar>
              <w:left w:w="101" w:type="dxa"/>
              <w:right w:w="161" w:type="dxa"/>
            </w:tcMar>
          </w:tcPr>
          <w:p w14:paraId="3BC318A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3 179</w:t>
            </w:r>
          </w:p>
        </w:tc>
        <w:tc>
          <w:tcPr>
            <w:tcW w:w="1035" w:type="dxa"/>
            <w:tcBorders>
              <w:top w:val="nil"/>
              <w:left w:val="nil"/>
              <w:bottom w:val="nil"/>
              <w:right w:val="nil"/>
              <w:tl2br w:val="nil"/>
              <w:tr2bl w:val="nil"/>
            </w:tcBorders>
            <w:shd w:val="clear" w:color="FFFFFF" w:fill="FFFFFF"/>
            <w:tcMar>
              <w:left w:w="101" w:type="dxa"/>
              <w:right w:w="161" w:type="dxa"/>
            </w:tcMar>
          </w:tcPr>
          <w:p w14:paraId="469549C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695</w:t>
            </w:r>
          </w:p>
        </w:tc>
        <w:tc>
          <w:tcPr>
            <w:tcW w:w="600" w:type="dxa"/>
            <w:tcBorders>
              <w:top w:val="nil"/>
              <w:left w:val="nil"/>
              <w:bottom w:val="nil"/>
              <w:right w:val="nil"/>
              <w:tl2br w:val="nil"/>
              <w:tr2bl w:val="nil"/>
            </w:tcBorders>
            <w:shd w:val="clear" w:color="FFFFFF" w:fill="FFFFFF"/>
            <w:tcMar>
              <w:left w:w="101" w:type="dxa"/>
              <w:right w:w="101" w:type="dxa"/>
            </w:tcMar>
          </w:tcPr>
          <w:p w14:paraId="683B6CD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-78 </w:t>
            </w:r>
          </w:p>
        </w:tc>
        <w:tc>
          <w:tcPr>
            <w:tcW w:w="1035" w:type="dxa"/>
            <w:tcBorders>
              <w:top w:val="nil"/>
              <w:left w:val="nil"/>
              <w:bottom w:val="nil"/>
              <w:right w:val="nil"/>
              <w:tl2br w:val="nil"/>
              <w:tr2bl w:val="nil"/>
            </w:tcBorders>
            <w:shd w:val="clear" w:color="FFFFFF" w:fill="FFFFFF"/>
            <w:tcMar>
              <w:left w:w="101" w:type="dxa"/>
              <w:right w:w="161" w:type="dxa"/>
            </w:tcMar>
          </w:tcPr>
          <w:p w14:paraId="4ACA89D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695</w:t>
            </w:r>
          </w:p>
        </w:tc>
        <w:tc>
          <w:tcPr>
            <w:tcW w:w="1035" w:type="dxa"/>
            <w:tcBorders>
              <w:top w:val="nil"/>
              <w:left w:val="nil"/>
              <w:bottom w:val="nil"/>
              <w:right w:val="nil"/>
              <w:tl2br w:val="nil"/>
              <w:tr2bl w:val="nil"/>
            </w:tcBorders>
            <w:shd w:val="clear" w:color="FFFFFF" w:fill="FFFFFF"/>
            <w:tcMar>
              <w:left w:w="101" w:type="dxa"/>
              <w:right w:w="161" w:type="dxa"/>
            </w:tcMar>
          </w:tcPr>
          <w:p w14:paraId="5717810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695</w:t>
            </w:r>
          </w:p>
        </w:tc>
        <w:tc>
          <w:tcPr>
            <w:tcW w:w="1031" w:type="dxa"/>
            <w:tcBorders>
              <w:top w:val="nil"/>
              <w:left w:val="nil"/>
              <w:bottom w:val="nil"/>
              <w:right w:val="nil"/>
              <w:tl2br w:val="nil"/>
              <w:tr2bl w:val="nil"/>
            </w:tcBorders>
            <w:shd w:val="clear" w:color="FFFFFF" w:fill="FFFFFF"/>
            <w:tcMar>
              <w:left w:w="101" w:type="dxa"/>
              <w:right w:w="161" w:type="dxa"/>
            </w:tcMar>
          </w:tcPr>
          <w:p w14:paraId="3BBDEE0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695</w:t>
            </w:r>
          </w:p>
        </w:tc>
      </w:tr>
      <w:tr w:rsidR="009832FC" w:rsidRPr="009832FC" w14:paraId="7ECF7D2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1B1AA9C" w14:textId="77777777" w:rsidR="009832FC" w:rsidRPr="009832FC" w:rsidRDefault="009832FC" w:rsidP="009832FC">
            <w:pPr>
              <w:spacing w:before="0" w:after="0"/>
              <w:rPr>
                <w:rFonts w:eastAsia="Calibri" w:cs="Calibri"/>
                <w:color w:val="000000"/>
                <w:sz w:val="18"/>
                <w:szCs w:val="24"/>
                <w:lang w:eastAsia="en-AU"/>
              </w:rPr>
            </w:pPr>
          </w:p>
        </w:tc>
        <w:tc>
          <w:tcPr>
            <w:tcW w:w="2509" w:type="dxa"/>
            <w:tcBorders>
              <w:top w:val="nil"/>
              <w:left w:val="nil"/>
              <w:bottom w:val="nil"/>
              <w:right w:val="nil"/>
              <w:tl2br w:val="nil"/>
              <w:tr2bl w:val="nil"/>
            </w:tcBorders>
            <w:shd w:val="clear" w:color="FFFFFF" w:fill="FFFFFF"/>
            <w:tcMar>
              <w:left w:w="0" w:type="dxa"/>
              <w:right w:w="0" w:type="dxa"/>
            </w:tcMar>
          </w:tcPr>
          <w:p w14:paraId="37EADFE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89BFF0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3946BAB"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FF33FB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1DFF2A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76B9EDF" w14:textId="77777777" w:rsidR="009832FC" w:rsidRPr="009832FC" w:rsidRDefault="009832FC" w:rsidP="009832FC">
            <w:pPr>
              <w:spacing w:before="0" w:after="0"/>
              <w:rPr>
                <w:rFonts w:eastAsia="Calibri" w:cs="Calibri"/>
                <w:color w:val="000000"/>
                <w:sz w:val="18"/>
                <w:szCs w:val="24"/>
                <w:lang w:eastAsia="en-AU"/>
              </w:rPr>
            </w:pPr>
          </w:p>
        </w:tc>
        <w:tc>
          <w:tcPr>
            <w:tcW w:w="1031" w:type="dxa"/>
            <w:tcBorders>
              <w:top w:val="nil"/>
              <w:left w:val="nil"/>
              <w:bottom w:val="nil"/>
              <w:right w:val="nil"/>
              <w:tl2br w:val="nil"/>
              <w:tr2bl w:val="nil"/>
            </w:tcBorders>
            <w:shd w:val="clear" w:color="FFFFFF" w:fill="FFFFFF"/>
            <w:tcMar>
              <w:left w:w="0" w:type="dxa"/>
              <w:right w:w="0" w:type="dxa"/>
            </w:tcMar>
          </w:tcPr>
          <w:p w14:paraId="46BA9413"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7E340C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902018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83 036</w:t>
            </w:r>
          </w:p>
        </w:tc>
        <w:tc>
          <w:tcPr>
            <w:tcW w:w="2509" w:type="dxa"/>
            <w:tcBorders>
              <w:top w:val="nil"/>
              <w:left w:val="nil"/>
              <w:bottom w:val="nil"/>
              <w:right w:val="nil"/>
              <w:tl2br w:val="nil"/>
              <w:tr2bl w:val="nil"/>
            </w:tcBorders>
            <w:shd w:val="clear" w:color="FFFFFF" w:fill="FFFFFF"/>
            <w:noWrap/>
            <w:tcMar>
              <w:left w:w="101" w:type="dxa"/>
              <w:right w:w="101" w:type="dxa"/>
            </w:tcMar>
          </w:tcPr>
          <w:p w14:paraId="5D02BF76"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61" w:type="dxa"/>
            </w:tcMar>
          </w:tcPr>
          <w:p w14:paraId="4D77FD1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49 941</w:t>
            </w:r>
          </w:p>
        </w:tc>
        <w:tc>
          <w:tcPr>
            <w:tcW w:w="1035" w:type="dxa"/>
            <w:tcBorders>
              <w:top w:val="nil"/>
              <w:left w:val="nil"/>
              <w:bottom w:val="nil"/>
              <w:right w:val="nil"/>
              <w:tl2br w:val="nil"/>
              <w:tr2bl w:val="nil"/>
            </w:tcBorders>
            <w:shd w:val="clear" w:color="FFFFFF" w:fill="FFFFFF"/>
            <w:tcMar>
              <w:left w:w="101" w:type="dxa"/>
              <w:right w:w="161" w:type="dxa"/>
            </w:tcMar>
          </w:tcPr>
          <w:p w14:paraId="0F35326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67 152</w:t>
            </w:r>
          </w:p>
        </w:tc>
        <w:tc>
          <w:tcPr>
            <w:tcW w:w="600" w:type="dxa"/>
            <w:tcBorders>
              <w:top w:val="nil"/>
              <w:left w:val="nil"/>
              <w:bottom w:val="nil"/>
              <w:right w:val="nil"/>
              <w:tl2br w:val="nil"/>
              <w:tr2bl w:val="nil"/>
            </w:tcBorders>
            <w:shd w:val="clear" w:color="FFFFFF" w:fill="FFFFFF"/>
            <w:tcMar>
              <w:left w:w="101" w:type="dxa"/>
              <w:right w:w="101" w:type="dxa"/>
            </w:tcMar>
          </w:tcPr>
          <w:p w14:paraId="06DC35A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34 </w:t>
            </w:r>
          </w:p>
        </w:tc>
        <w:tc>
          <w:tcPr>
            <w:tcW w:w="1035" w:type="dxa"/>
            <w:tcBorders>
              <w:top w:val="nil"/>
              <w:left w:val="nil"/>
              <w:bottom w:val="nil"/>
              <w:right w:val="nil"/>
              <w:tl2br w:val="nil"/>
              <w:tr2bl w:val="nil"/>
            </w:tcBorders>
            <w:shd w:val="clear" w:color="FFFFFF" w:fill="FFFFFF"/>
            <w:tcMar>
              <w:left w:w="101" w:type="dxa"/>
              <w:right w:w="161" w:type="dxa"/>
            </w:tcMar>
          </w:tcPr>
          <w:p w14:paraId="4901ED2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72 350</w:t>
            </w:r>
          </w:p>
        </w:tc>
        <w:tc>
          <w:tcPr>
            <w:tcW w:w="1035" w:type="dxa"/>
            <w:tcBorders>
              <w:top w:val="nil"/>
              <w:left w:val="nil"/>
              <w:bottom w:val="nil"/>
              <w:right w:val="nil"/>
              <w:tl2br w:val="nil"/>
              <w:tr2bl w:val="nil"/>
            </w:tcBorders>
            <w:shd w:val="clear" w:color="FFFFFF" w:fill="FFFFFF"/>
            <w:tcMar>
              <w:left w:w="101" w:type="dxa"/>
              <w:right w:w="161" w:type="dxa"/>
            </w:tcMar>
          </w:tcPr>
          <w:p w14:paraId="69F4BE1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10 339</w:t>
            </w:r>
          </w:p>
        </w:tc>
        <w:tc>
          <w:tcPr>
            <w:tcW w:w="1031" w:type="dxa"/>
            <w:tcBorders>
              <w:top w:val="nil"/>
              <w:left w:val="nil"/>
              <w:bottom w:val="nil"/>
              <w:right w:val="nil"/>
              <w:tl2br w:val="nil"/>
              <w:tr2bl w:val="nil"/>
            </w:tcBorders>
            <w:shd w:val="clear" w:color="FFFFFF" w:fill="FFFFFF"/>
            <w:tcMar>
              <w:left w:w="101" w:type="dxa"/>
              <w:right w:w="161" w:type="dxa"/>
            </w:tcMar>
          </w:tcPr>
          <w:p w14:paraId="6D2CB9D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3 850</w:t>
            </w:r>
          </w:p>
        </w:tc>
      </w:tr>
      <w:tr w:rsidR="009832FC" w:rsidRPr="009832FC" w14:paraId="7E8687C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38147E" w14:textId="77777777" w:rsidR="009832FC" w:rsidRPr="009832FC" w:rsidRDefault="009832FC" w:rsidP="009832FC">
            <w:pPr>
              <w:spacing w:before="0" w:after="0"/>
              <w:rPr>
                <w:rFonts w:eastAsia="Calibri" w:cs="Calibri"/>
                <w:color w:val="000000"/>
                <w:sz w:val="18"/>
                <w:szCs w:val="24"/>
                <w:lang w:eastAsia="en-AU"/>
              </w:rPr>
            </w:pPr>
          </w:p>
        </w:tc>
        <w:tc>
          <w:tcPr>
            <w:tcW w:w="2509" w:type="dxa"/>
            <w:tcBorders>
              <w:top w:val="nil"/>
              <w:left w:val="nil"/>
              <w:bottom w:val="nil"/>
              <w:right w:val="nil"/>
              <w:tl2br w:val="nil"/>
              <w:tr2bl w:val="nil"/>
            </w:tcBorders>
            <w:shd w:val="clear" w:color="FFFFFF" w:fill="FFFFFF"/>
            <w:tcMar>
              <w:left w:w="0" w:type="dxa"/>
              <w:right w:w="0" w:type="dxa"/>
            </w:tcMar>
          </w:tcPr>
          <w:p w14:paraId="4676DA3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89E9C3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7DCC0B4"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AD98C7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6EF5BB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79F7B09" w14:textId="77777777" w:rsidR="009832FC" w:rsidRPr="009832FC" w:rsidRDefault="009832FC" w:rsidP="009832FC">
            <w:pPr>
              <w:spacing w:before="0" w:after="0"/>
              <w:rPr>
                <w:rFonts w:eastAsia="Calibri" w:cs="Calibri"/>
                <w:color w:val="000000"/>
                <w:sz w:val="18"/>
                <w:szCs w:val="24"/>
                <w:lang w:eastAsia="en-AU"/>
              </w:rPr>
            </w:pPr>
          </w:p>
        </w:tc>
        <w:tc>
          <w:tcPr>
            <w:tcW w:w="1031" w:type="dxa"/>
            <w:tcBorders>
              <w:top w:val="nil"/>
              <w:left w:val="nil"/>
              <w:bottom w:val="nil"/>
              <w:right w:val="nil"/>
              <w:tl2br w:val="nil"/>
              <w:tr2bl w:val="nil"/>
            </w:tcBorders>
            <w:shd w:val="clear" w:color="FFFFFF" w:fill="FFFFFF"/>
            <w:tcMar>
              <w:left w:w="0" w:type="dxa"/>
              <w:right w:w="0" w:type="dxa"/>
            </w:tcMar>
          </w:tcPr>
          <w:p w14:paraId="3C400181"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01F93CB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14D0C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(6 290)</w:t>
            </w:r>
          </w:p>
        </w:tc>
        <w:tc>
          <w:tcPr>
            <w:tcW w:w="2509" w:type="dxa"/>
            <w:tcBorders>
              <w:top w:val="nil"/>
              <w:left w:val="nil"/>
              <w:bottom w:val="nil"/>
              <w:right w:val="nil"/>
              <w:tl2br w:val="nil"/>
              <w:tr2bl w:val="nil"/>
            </w:tcBorders>
            <w:shd w:val="clear" w:color="FFFFFF" w:fill="FFFFFF"/>
            <w:noWrap/>
            <w:tcMar>
              <w:left w:w="101" w:type="dxa"/>
              <w:right w:w="101" w:type="dxa"/>
            </w:tcMar>
          </w:tcPr>
          <w:p w14:paraId="5B9A9F09"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55D40B5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(13 557)</w:t>
            </w:r>
          </w:p>
        </w:tc>
        <w:tc>
          <w:tcPr>
            <w:tcW w:w="1035" w:type="dxa"/>
            <w:tcBorders>
              <w:top w:val="nil"/>
              <w:left w:val="nil"/>
              <w:bottom w:val="nil"/>
              <w:right w:val="nil"/>
              <w:tl2br w:val="nil"/>
              <w:tr2bl w:val="nil"/>
            </w:tcBorders>
            <w:shd w:val="clear" w:color="FFFFFF" w:fill="FFFFFF"/>
            <w:tcMar>
              <w:left w:w="101" w:type="dxa"/>
              <w:right w:w="161" w:type="dxa"/>
            </w:tcMar>
          </w:tcPr>
          <w:p w14:paraId="42C2DD3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1 418</w:t>
            </w:r>
          </w:p>
        </w:tc>
        <w:tc>
          <w:tcPr>
            <w:tcW w:w="600" w:type="dxa"/>
            <w:tcBorders>
              <w:top w:val="nil"/>
              <w:left w:val="nil"/>
              <w:bottom w:val="nil"/>
              <w:right w:val="nil"/>
              <w:tl2br w:val="nil"/>
              <w:tr2bl w:val="nil"/>
            </w:tcBorders>
            <w:shd w:val="clear" w:color="FFFFFF" w:fill="FFFFFF"/>
            <w:tcMar>
              <w:left w:w="101" w:type="dxa"/>
              <w:right w:w="101" w:type="dxa"/>
            </w:tcMar>
          </w:tcPr>
          <w:p w14:paraId="48AE83E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110 </w:t>
            </w:r>
          </w:p>
        </w:tc>
        <w:tc>
          <w:tcPr>
            <w:tcW w:w="1035" w:type="dxa"/>
            <w:tcBorders>
              <w:top w:val="nil"/>
              <w:left w:val="nil"/>
              <w:bottom w:val="nil"/>
              <w:right w:val="nil"/>
              <w:tl2br w:val="nil"/>
              <w:tr2bl w:val="nil"/>
            </w:tcBorders>
            <w:shd w:val="clear" w:color="FFFFFF" w:fill="FFFFFF"/>
            <w:tcMar>
              <w:left w:w="101" w:type="dxa"/>
              <w:right w:w="161" w:type="dxa"/>
            </w:tcMar>
          </w:tcPr>
          <w:p w14:paraId="6A07938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1 422</w:t>
            </w:r>
          </w:p>
        </w:tc>
        <w:tc>
          <w:tcPr>
            <w:tcW w:w="1035" w:type="dxa"/>
            <w:tcBorders>
              <w:top w:val="nil"/>
              <w:left w:val="nil"/>
              <w:bottom w:val="nil"/>
              <w:right w:val="nil"/>
              <w:tl2br w:val="nil"/>
              <w:tr2bl w:val="nil"/>
            </w:tcBorders>
            <w:shd w:val="clear" w:color="FFFFFF" w:fill="FFFFFF"/>
            <w:tcMar>
              <w:left w:w="101" w:type="dxa"/>
              <w:right w:w="161" w:type="dxa"/>
            </w:tcMar>
          </w:tcPr>
          <w:p w14:paraId="3FB394F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1 422</w:t>
            </w:r>
          </w:p>
        </w:tc>
        <w:tc>
          <w:tcPr>
            <w:tcW w:w="1031" w:type="dxa"/>
            <w:tcBorders>
              <w:top w:val="nil"/>
              <w:left w:val="nil"/>
              <w:bottom w:val="nil"/>
              <w:right w:val="nil"/>
              <w:tl2br w:val="nil"/>
              <w:tr2bl w:val="nil"/>
            </w:tcBorders>
            <w:shd w:val="clear" w:color="FFFFFF" w:fill="FFFFFF"/>
            <w:tcMar>
              <w:left w:w="101" w:type="dxa"/>
              <w:right w:w="161" w:type="dxa"/>
            </w:tcMar>
          </w:tcPr>
          <w:p w14:paraId="6767537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1 422</w:t>
            </w:r>
          </w:p>
        </w:tc>
      </w:tr>
      <w:tr w:rsidR="009832FC" w:rsidRPr="009832FC" w14:paraId="2477D11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9A2AF1" w14:textId="77777777" w:rsidR="009832FC" w:rsidRPr="009832FC" w:rsidRDefault="009832FC" w:rsidP="009832FC">
            <w:pPr>
              <w:spacing w:before="0" w:after="0"/>
              <w:rPr>
                <w:rFonts w:eastAsia="Calibri" w:cs="Calibri"/>
                <w:color w:val="000000"/>
                <w:sz w:val="18"/>
                <w:szCs w:val="24"/>
                <w:lang w:eastAsia="en-AU"/>
              </w:rPr>
            </w:pPr>
          </w:p>
        </w:tc>
        <w:tc>
          <w:tcPr>
            <w:tcW w:w="2509" w:type="dxa"/>
            <w:tcBorders>
              <w:top w:val="nil"/>
              <w:left w:val="nil"/>
              <w:bottom w:val="nil"/>
              <w:right w:val="nil"/>
              <w:tl2br w:val="nil"/>
              <w:tr2bl w:val="nil"/>
            </w:tcBorders>
            <w:shd w:val="clear" w:color="FFFFFF" w:fill="FFFFFF"/>
            <w:tcMar>
              <w:left w:w="0" w:type="dxa"/>
              <w:right w:w="0" w:type="dxa"/>
            </w:tcMar>
          </w:tcPr>
          <w:p w14:paraId="226E34D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ED41E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105AD5B"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1D85AB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41C21F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64F4577" w14:textId="77777777" w:rsidR="009832FC" w:rsidRPr="009832FC" w:rsidRDefault="009832FC" w:rsidP="009832FC">
            <w:pPr>
              <w:spacing w:before="0" w:after="0"/>
              <w:rPr>
                <w:rFonts w:eastAsia="Calibri" w:cs="Calibri"/>
                <w:color w:val="000000"/>
                <w:sz w:val="18"/>
                <w:szCs w:val="24"/>
                <w:lang w:eastAsia="en-AU"/>
              </w:rPr>
            </w:pPr>
          </w:p>
        </w:tc>
        <w:tc>
          <w:tcPr>
            <w:tcW w:w="1031" w:type="dxa"/>
            <w:tcBorders>
              <w:top w:val="nil"/>
              <w:left w:val="nil"/>
              <w:bottom w:val="nil"/>
              <w:right w:val="nil"/>
              <w:tl2br w:val="nil"/>
              <w:tr2bl w:val="nil"/>
            </w:tcBorders>
            <w:shd w:val="clear" w:color="FFFFFF" w:fill="FFFFFF"/>
            <w:tcMar>
              <w:left w:w="0" w:type="dxa"/>
              <w:right w:w="0" w:type="dxa"/>
            </w:tcMar>
          </w:tcPr>
          <w:p w14:paraId="1A28A612"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25A237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239D1CF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48 068</w:t>
            </w:r>
          </w:p>
        </w:tc>
        <w:tc>
          <w:tcPr>
            <w:tcW w:w="2509" w:type="dxa"/>
            <w:tcBorders>
              <w:top w:val="nil"/>
              <w:left w:val="nil"/>
              <w:bottom w:val="nil"/>
              <w:right w:val="nil"/>
              <w:tl2br w:val="nil"/>
              <w:tr2bl w:val="nil"/>
            </w:tcBorders>
            <w:shd w:val="clear" w:color="auto" w:fill="auto"/>
            <w:noWrap/>
            <w:tcMar>
              <w:left w:w="101" w:type="dxa"/>
              <w:right w:w="101" w:type="dxa"/>
            </w:tcMar>
          </w:tcPr>
          <w:p w14:paraId="5D6C5597"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61" w:type="dxa"/>
            </w:tcMar>
          </w:tcPr>
          <w:p w14:paraId="201C6E5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48 068</w:t>
            </w:r>
          </w:p>
        </w:tc>
        <w:tc>
          <w:tcPr>
            <w:tcW w:w="1035" w:type="dxa"/>
            <w:tcBorders>
              <w:top w:val="nil"/>
              <w:left w:val="nil"/>
              <w:bottom w:val="nil"/>
              <w:right w:val="nil"/>
              <w:tl2br w:val="nil"/>
              <w:tr2bl w:val="nil"/>
            </w:tcBorders>
            <w:shd w:val="clear" w:color="FFFFFF" w:fill="FFFFFF"/>
            <w:tcMar>
              <w:left w:w="101" w:type="dxa"/>
              <w:right w:w="161" w:type="dxa"/>
            </w:tcMar>
          </w:tcPr>
          <w:p w14:paraId="7DC24D2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34 511</w:t>
            </w:r>
          </w:p>
        </w:tc>
        <w:tc>
          <w:tcPr>
            <w:tcW w:w="600" w:type="dxa"/>
            <w:tcBorders>
              <w:top w:val="nil"/>
              <w:left w:val="nil"/>
              <w:bottom w:val="nil"/>
              <w:right w:val="nil"/>
              <w:tl2br w:val="nil"/>
              <w:tr2bl w:val="nil"/>
            </w:tcBorders>
            <w:shd w:val="clear" w:color="FFFFFF" w:fill="FFFFFF"/>
            <w:tcMar>
              <w:left w:w="101" w:type="dxa"/>
              <w:right w:w="101" w:type="dxa"/>
            </w:tcMar>
          </w:tcPr>
          <w:p w14:paraId="2215F46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-28 </w:t>
            </w:r>
          </w:p>
        </w:tc>
        <w:tc>
          <w:tcPr>
            <w:tcW w:w="1035" w:type="dxa"/>
            <w:tcBorders>
              <w:top w:val="nil"/>
              <w:left w:val="nil"/>
              <w:bottom w:val="nil"/>
              <w:right w:val="nil"/>
              <w:tl2br w:val="nil"/>
              <w:tr2bl w:val="nil"/>
            </w:tcBorders>
            <w:shd w:val="clear" w:color="FFFFFF" w:fill="FFFFFF"/>
            <w:tcMar>
              <w:left w:w="101" w:type="dxa"/>
              <w:right w:w="161" w:type="dxa"/>
            </w:tcMar>
          </w:tcPr>
          <w:p w14:paraId="3F4E18B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35 929</w:t>
            </w:r>
          </w:p>
        </w:tc>
        <w:tc>
          <w:tcPr>
            <w:tcW w:w="1035" w:type="dxa"/>
            <w:tcBorders>
              <w:top w:val="nil"/>
              <w:left w:val="nil"/>
              <w:bottom w:val="nil"/>
              <w:right w:val="nil"/>
              <w:tl2br w:val="nil"/>
              <w:tr2bl w:val="nil"/>
            </w:tcBorders>
            <w:shd w:val="clear" w:color="FFFFFF" w:fill="FFFFFF"/>
            <w:tcMar>
              <w:left w:w="101" w:type="dxa"/>
              <w:right w:w="161" w:type="dxa"/>
            </w:tcMar>
          </w:tcPr>
          <w:p w14:paraId="321703A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37 351</w:t>
            </w:r>
          </w:p>
        </w:tc>
        <w:tc>
          <w:tcPr>
            <w:tcW w:w="1031" w:type="dxa"/>
            <w:tcBorders>
              <w:top w:val="nil"/>
              <w:left w:val="nil"/>
              <w:bottom w:val="nil"/>
              <w:right w:val="nil"/>
              <w:tl2br w:val="nil"/>
              <w:tr2bl w:val="nil"/>
            </w:tcBorders>
            <w:shd w:val="clear" w:color="FFFFFF" w:fill="FFFFFF"/>
            <w:tcMar>
              <w:left w:w="101" w:type="dxa"/>
              <w:right w:w="161" w:type="dxa"/>
            </w:tcMar>
          </w:tcPr>
          <w:p w14:paraId="37F3784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38 773</w:t>
            </w:r>
          </w:p>
        </w:tc>
      </w:tr>
      <w:tr w:rsidR="009832FC" w:rsidRPr="009832FC" w14:paraId="4442B89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710819A" w14:textId="77777777" w:rsidR="009832FC" w:rsidRPr="009832FC" w:rsidRDefault="009832FC" w:rsidP="009832FC">
            <w:pPr>
              <w:spacing w:before="0" w:after="0"/>
              <w:rPr>
                <w:rFonts w:eastAsia="Calibri" w:cs="Calibri"/>
                <w:color w:val="000000"/>
                <w:sz w:val="18"/>
                <w:szCs w:val="24"/>
                <w:lang w:eastAsia="en-AU"/>
              </w:rPr>
            </w:pPr>
          </w:p>
        </w:tc>
        <w:tc>
          <w:tcPr>
            <w:tcW w:w="2509" w:type="dxa"/>
            <w:tcBorders>
              <w:top w:val="nil"/>
              <w:left w:val="nil"/>
              <w:bottom w:val="nil"/>
              <w:right w:val="nil"/>
              <w:tl2br w:val="nil"/>
              <w:tr2bl w:val="nil"/>
            </w:tcBorders>
            <w:shd w:val="clear" w:color="auto" w:fill="auto"/>
            <w:noWrap/>
            <w:tcMar>
              <w:left w:w="0" w:type="dxa"/>
              <w:right w:w="0" w:type="dxa"/>
            </w:tcMar>
            <w:vAlign w:val="bottom"/>
          </w:tcPr>
          <w:p w14:paraId="3F48A8D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1822D4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A0FC938"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AA74DA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5BA1A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954E879" w14:textId="77777777" w:rsidR="009832FC" w:rsidRPr="009832FC" w:rsidRDefault="009832FC" w:rsidP="009832FC">
            <w:pPr>
              <w:spacing w:before="0" w:after="0"/>
              <w:rPr>
                <w:rFonts w:eastAsia="Calibri" w:cs="Calibri"/>
                <w:color w:val="000000"/>
                <w:sz w:val="18"/>
                <w:szCs w:val="24"/>
                <w:lang w:eastAsia="en-AU"/>
              </w:rPr>
            </w:pPr>
          </w:p>
        </w:tc>
        <w:tc>
          <w:tcPr>
            <w:tcW w:w="1031" w:type="dxa"/>
            <w:tcBorders>
              <w:top w:val="nil"/>
              <w:left w:val="nil"/>
              <w:bottom w:val="nil"/>
              <w:right w:val="nil"/>
              <w:tl2br w:val="nil"/>
              <w:tr2bl w:val="nil"/>
            </w:tcBorders>
            <w:shd w:val="clear" w:color="FFFFFF" w:fill="FFFFFF"/>
            <w:tcMar>
              <w:left w:w="0" w:type="dxa"/>
              <w:right w:w="0" w:type="dxa"/>
            </w:tcMar>
          </w:tcPr>
          <w:p w14:paraId="39671FFB"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8FECF8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4EB0AC4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41 778</w:t>
            </w:r>
          </w:p>
        </w:tc>
        <w:tc>
          <w:tcPr>
            <w:tcW w:w="2509" w:type="dxa"/>
            <w:tcBorders>
              <w:top w:val="nil"/>
              <w:left w:val="nil"/>
              <w:bottom w:val="nil"/>
              <w:right w:val="nil"/>
              <w:tl2br w:val="nil"/>
              <w:tr2bl w:val="nil"/>
            </w:tcBorders>
            <w:shd w:val="clear" w:color="auto" w:fill="auto"/>
            <w:noWrap/>
            <w:tcMar>
              <w:left w:w="101" w:type="dxa"/>
              <w:right w:w="101" w:type="dxa"/>
            </w:tcMar>
          </w:tcPr>
          <w:p w14:paraId="6ACF2DA9"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CASH AT THE END OF REPORTING PERIOD</w:t>
            </w:r>
          </w:p>
        </w:tc>
        <w:tc>
          <w:tcPr>
            <w:tcW w:w="1035" w:type="dxa"/>
            <w:tcBorders>
              <w:top w:val="nil"/>
              <w:left w:val="nil"/>
              <w:bottom w:val="nil"/>
              <w:right w:val="nil"/>
              <w:tl2br w:val="nil"/>
              <w:tr2bl w:val="nil"/>
            </w:tcBorders>
            <w:shd w:val="clear" w:color="FFFFFF" w:fill="FFFFFF"/>
            <w:tcMar>
              <w:left w:w="101" w:type="dxa"/>
              <w:right w:w="161" w:type="dxa"/>
            </w:tcMar>
          </w:tcPr>
          <w:p w14:paraId="291799D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34 511</w:t>
            </w:r>
          </w:p>
        </w:tc>
        <w:tc>
          <w:tcPr>
            <w:tcW w:w="1035" w:type="dxa"/>
            <w:tcBorders>
              <w:top w:val="nil"/>
              <w:left w:val="nil"/>
              <w:bottom w:val="nil"/>
              <w:right w:val="nil"/>
              <w:tl2br w:val="nil"/>
              <w:tr2bl w:val="nil"/>
            </w:tcBorders>
            <w:shd w:val="clear" w:color="FFFFFF" w:fill="FFFFFF"/>
            <w:tcMar>
              <w:left w:w="101" w:type="dxa"/>
              <w:right w:w="161" w:type="dxa"/>
            </w:tcMar>
          </w:tcPr>
          <w:p w14:paraId="09769BA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35 929</w:t>
            </w:r>
          </w:p>
        </w:tc>
        <w:tc>
          <w:tcPr>
            <w:tcW w:w="600" w:type="dxa"/>
            <w:tcBorders>
              <w:top w:val="nil"/>
              <w:left w:val="nil"/>
              <w:bottom w:val="nil"/>
              <w:right w:val="nil"/>
              <w:tl2br w:val="nil"/>
              <w:tr2bl w:val="nil"/>
            </w:tcBorders>
            <w:shd w:val="clear" w:color="FFFFFF" w:fill="FFFFFF"/>
            <w:tcMar>
              <w:left w:w="101" w:type="dxa"/>
              <w:right w:w="101" w:type="dxa"/>
            </w:tcMar>
          </w:tcPr>
          <w:p w14:paraId="263E7D3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4 </w:t>
            </w:r>
          </w:p>
        </w:tc>
        <w:tc>
          <w:tcPr>
            <w:tcW w:w="1035" w:type="dxa"/>
            <w:tcBorders>
              <w:top w:val="nil"/>
              <w:left w:val="nil"/>
              <w:bottom w:val="nil"/>
              <w:right w:val="nil"/>
              <w:tl2br w:val="nil"/>
              <w:tr2bl w:val="nil"/>
            </w:tcBorders>
            <w:shd w:val="clear" w:color="FFFFFF" w:fill="FFFFFF"/>
            <w:tcMar>
              <w:left w:w="101" w:type="dxa"/>
              <w:right w:w="161" w:type="dxa"/>
            </w:tcMar>
          </w:tcPr>
          <w:p w14:paraId="465639C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37 351</w:t>
            </w:r>
          </w:p>
        </w:tc>
        <w:tc>
          <w:tcPr>
            <w:tcW w:w="1035" w:type="dxa"/>
            <w:tcBorders>
              <w:top w:val="nil"/>
              <w:left w:val="nil"/>
              <w:bottom w:val="nil"/>
              <w:right w:val="nil"/>
              <w:tl2br w:val="nil"/>
              <w:tr2bl w:val="nil"/>
            </w:tcBorders>
            <w:shd w:val="clear" w:color="FFFFFF" w:fill="FFFFFF"/>
            <w:tcMar>
              <w:left w:w="101" w:type="dxa"/>
              <w:right w:w="161" w:type="dxa"/>
            </w:tcMar>
          </w:tcPr>
          <w:p w14:paraId="74F3C48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38 773</w:t>
            </w:r>
          </w:p>
        </w:tc>
        <w:tc>
          <w:tcPr>
            <w:tcW w:w="1031" w:type="dxa"/>
            <w:tcBorders>
              <w:top w:val="nil"/>
              <w:left w:val="nil"/>
              <w:bottom w:val="nil"/>
              <w:right w:val="nil"/>
              <w:tl2br w:val="nil"/>
              <w:tr2bl w:val="nil"/>
            </w:tcBorders>
            <w:shd w:val="clear" w:color="FFFFFF" w:fill="FFFFFF"/>
            <w:tcMar>
              <w:left w:w="101" w:type="dxa"/>
              <w:right w:w="161" w:type="dxa"/>
            </w:tcMar>
          </w:tcPr>
          <w:p w14:paraId="46C89B6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40 195</w:t>
            </w:r>
          </w:p>
        </w:tc>
      </w:tr>
      <w:tr w:rsidR="009832FC" w:rsidRPr="009832FC" w14:paraId="1F044A2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26D4E36" w14:textId="77777777" w:rsidR="009832FC" w:rsidRPr="009832FC" w:rsidRDefault="009832FC" w:rsidP="009832FC">
            <w:pPr>
              <w:spacing w:before="0" w:after="0"/>
              <w:rPr>
                <w:rFonts w:eastAsia="Calibri" w:cs="Calibri"/>
                <w:color w:val="000000"/>
                <w:sz w:val="18"/>
                <w:szCs w:val="24"/>
                <w:lang w:eastAsia="en-AU"/>
              </w:rPr>
            </w:pPr>
          </w:p>
        </w:tc>
        <w:tc>
          <w:tcPr>
            <w:tcW w:w="2509" w:type="dxa"/>
            <w:tcBorders>
              <w:top w:val="nil"/>
              <w:left w:val="nil"/>
              <w:bottom w:val="single" w:sz="4" w:space="0" w:color="000000"/>
              <w:right w:val="nil"/>
              <w:tl2br w:val="nil"/>
              <w:tr2bl w:val="nil"/>
            </w:tcBorders>
            <w:shd w:val="clear" w:color="FFFFFF" w:fill="FFFFFF"/>
            <w:tcMar>
              <w:left w:w="0" w:type="dxa"/>
              <w:right w:w="0" w:type="dxa"/>
            </w:tcMar>
          </w:tcPr>
          <w:p w14:paraId="365E160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27EFA8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C5E1FE6"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71FABB5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AF2753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2869845" w14:textId="77777777" w:rsidR="009832FC" w:rsidRPr="009832FC" w:rsidRDefault="009832FC" w:rsidP="009832FC">
            <w:pPr>
              <w:spacing w:before="0" w:after="0"/>
              <w:rPr>
                <w:rFonts w:eastAsia="Calibri" w:cs="Calibri"/>
                <w:color w:val="000000"/>
                <w:sz w:val="18"/>
                <w:szCs w:val="24"/>
                <w:lang w:eastAsia="en-AU"/>
              </w:rPr>
            </w:pPr>
          </w:p>
        </w:tc>
        <w:tc>
          <w:tcPr>
            <w:tcW w:w="1031" w:type="dxa"/>
            <w:tcBorders>
              <w:top w:val="nil"/>
              <w:left w:val="nil"/>
              <w:bottom w:val="single" w:sz="4" w:space="0" w:color="000000"/>
              <w:right w:val="nil"/>
              <w:tl2br w:val="nil"/>
              <w:tr2bl w:val="nil"/>
            </w:tcBorders>
            <w:shd w:val="clear" w:color="FFFFFF" w:fill="FFFFFF"/>
            <w:tcMar>
              <w:left w:w="0" w:type="dxa"/>
              <w:right w:w="0" w:type="dxa"/>
            </w:tcMar>
          </w:tcPr>
          <w:p w14:paraId="008C3CC7" w14:textId="77777777" w:rsidR="009832FC" w:rsidRPr="009832FC" w:rsidRDefault="009832FC" w:rsidP="009832FC">
            <w:pPr>
              <w:spacing w:before="0" w:after="0"/>
              <w:rPr>
                <w:rFonts w:eastAsia="Calibri" w:cs="Calibri"/>
                <w:color w:val="000000"/>
                <w:sz w:val="18"/>
                <w:szCs w:val="24"/>
                <w:lang w:eastAsia="en-AU"/>
              </w:rPr>
            </w:pPr>
          </w:p>
        </w:tc>
      </w:tr>
    </w:tbl>
    <w:p w14:paraId="029CA86E" w14:textId="77777777" w:rsidR="009832FC" w:rsidRPr="009832FC" w:rsidRDefault="009832FC" w:rsidP="009832FC">
      <w:pPr>
        <w:keepNext/>
        <w:keepLines/>
        <w:pageBreakBefore/>
        <w:pBdr>
          <w:top w:val="nil"/>
          <w:left w:val="nil"/>
          <w:bottom w:val="nil"/>
          <w:right w:val="nil"/>
          <w:between w:val="nil"/>
          <w:bar w:val="nil"/>
        </w:pBdr>
        <w:spacing w:before="360"/>
        <w:contextualSpacing/>
        <w:outlineLvl w:val="2"/>
        <w:rPr>
          <w:b/>
          <w:bCs/>
          <w:sz w:val="28"/>
          <w:szCs w:val="26"/>
          <w:bdr w:val="nil"/>
        </w:rPr>
      </w:pPr>
      <w:r w:rsidRPr="009832FC">
        <w:rPr>
          <w:b/>
          <w:bCs/>
          <w:sz w:val="28"/>
          <w:szCs w:val="26"/>
          <w:bdr w:val="nil"/>
        </w:rPr>
        <w:lastRenderedPageBreak/>
        <w:t>Notes to the Controlled Budget Statements</w:t>
      </w:r>
    </w:p>
    <w:p w14:paraId="4EF63F7E" w14:textId="77777777" w:rsidR="009832FC" w:rsidRPr="009832FC" w:rsidRDefault="009832FC" w:rsidP="00374ABF">
      <w:pPr>
        <w:pBdr>
          <w:top w:val="nil"/>
          <w:left w:val="nil"/>
          <w:bottom w:val="nil"/>
          <w:right w:val="nil"/>
          <w:between w:val="nil"/>
          <w:bar w:val="nil"/>
        </w:pBdr>
        <w:jc w:val="both"/>
        <w:rPr>
          <w:bdr w:val="nil"/>
        </w:rPr>
      </w:pPr>
      <w:r w:rsidRPr="009832FC">
        <w:rPr>
          <w:bdr w:val="nil"/>
        </w:rPr>
        <w:t>Significant variations between the original 2020-21 Budget and the 2020-21 interim outcome and the variances between the 2020-21 interim outcome and the 2021-22 Budget are as follows:</w:t>
      </w:r>
    </w:p>
    <w:p w14:paraId="57EE9775" w14:textId="77777777" w:rsidR="009832FC" w:rsidRPr="009832FC" w:rsidRDefault="009832FC" w:rsidP="009832FC">
      <w:pPr>
        <w:pBdr>
          <w:top w:val="nil"/>
          <w:left w:val="nil"/>
          <w:bottom w:val="nil"/>
          <w:right w:val="nil"/>
          <w:between w:val="nil"/>
          <w:bar w:val="nil"/>
        </w:pBdr>
        <w:rPr>
          <w:b/>
          <w:i/>
          <w:bdr w:val="nil"/>
        </w:rPr>
      </w:pPr>
      <w:r w:rsidRPr="009832FC">
        <w:rPr>
          <w:b/>
          <w:i/>
          <w:bdr w:val="nil"/>
        </w:rPr>
        <w:t>Operating Statement</w:t>
      </w:r>
    </w:p>
    <w:p w14:paraId="77355205" w14:textId="77777777" w:rsidR="009832FC" w:rsidRPr="009832FC" w:rsidRDefault="009832FC" w:rsidP="00374ABF">
      <w:pPr>
        <w:numPr>
          <w:ilvl w:val="0"/>
          <w:numId w:val="1"/>
        </w:numPr>
        <w:pBdr>
          <w:top w:val="nil"/>
          <w:left w:val="nil"/>
          <w:bottom w:val="nil"/>
          <w:right w:val="nil"/>
          <w:between w:val="nil"/>
          <w:bar w:val="nil"/>
        </w:pBdr>
        <w:spacing w:after="120"/>
        <w:ind w:left="360" w:hanging="360"/>
        <w:jc w:val="both"/>
        <w:rPr>
          <w:szCs w:val="24"/>
          <w:bdr w:val="nil"/>
        </w:rPr>
      </w:pPr>
      <w:r w:rsidRPr="009832FC">
        <w:rPr>
          <w:szCs w:val="24"/>
          <w:bdr w:val="nil"/>
        </w:rPr>
        <w:t xml:space="preserve">Sales of Goods and Services from Contracts with Customers: following accounting standard changes, the payments received via the ACT Local Hospital Network are now recognised Grants and Contributions.  </w:t>
      </w:r>
    </w:p>
    <w:p w14:paraId="539886F2" w14:textId="77777777" w:rsidR="009832FC" w:rsidRPr="009832FC" w:rsidRDefault="009832FC" w:rsidP="00374ABF">
      <w:pPr>
        <w:numPr>
          <w:ilvl w:val="0"/>
          <w:numId w:val="1"/>
        </w:numPr>
        <w:pBdr>
          <w:top w:val="nil"/>
          <w:left w:val="nil"/>
          <w:bottom w:val="nil"/>
          <w:right w:val="nil"/>
          <w:between w:val="nil"/>
          <w:bar w:val="nil"/>
        </w:pBdr>
        <w:spacing w:after="120"/>
        <w:ind w:left="360" w:hanging="360"/>
        <w:jc w:val="both"/>
        <w:rPr>
          <w:szCs w:val="24"/>
          <w:bdr w:val="nil"/>
        </w:rPr>
      </w:pPr>
      <w:r w:rsidRPr="009832FC">
        <w:rPr>
          <w:szCs w:val="24"/>
          <w:bdr w:val="nil"/>
        </w:rPr>
        <w:t>Grants and Contributions: following accounting standard changes, the payments received via the ACT Local Hospital Network are now recognised as Grants and Contributions not Sales of Goods and Services from Contracts with Customers.</w:t>
      </w:r>
    </w:p>
    <w:p w14:paraId="1D7DD8F1" w14:textId="7DADB28A" w:rsidR="009832FC" w:rsidRPr="009832FC" w:rsidRDefault="009832FC" w:rsidP="00374ABF">
      <w:pPr>
        <w:numPr>
          <w:ilvl w:val="0"/>
          <w:numId w:val="1"/>
        </w:numPr>
        <w:pBdr>
          <w:top w:val="nil"/>
          <w:left w:val="nil"/>
          <w:bottom w:val="nil"/>
          <w:right w:val="nil"/>
          <w:between w:val="nil"/>
          <w:bar w:val="nil"/>
        </w:pBdr>
        <w:spacing w:after="120"/>
        <w:ind w:left="360" w:hanging="360"/>
        <w:jc w:val="both"/>
        <w:rPr>
          <w:szCs w:val="24"/>
          <w:bdr w:val="nil"/>
        </w:rPr>
      </w:pPr>
      <w:r w:rsidRPr="009832FC">
        <w:rPr>
          <w:szCs w:val="24"/>
          <w:bdr w:val="nil"/>
        </w:rPr>
        <w:t xml:space="preserve">Other Revenue: </w:t>
      </w:r>
      <w:r w:rsidR="00093165">
        <w:rPr>
          <w:szCs w:val="24"/>
          <w:bdr w:val="nil"/>
        </w:rPr>
        <w:t>t</w:t>
      </w:r>
      <w:r w:rsidRPr="009832FC">
        <w:rPr>
          <w:szCs w:val="24"/>
          <w:bdr w:val="nil"/>
        </w:rPr>
        <w:t>he increase of $8.725 million between the 2020-21 interim outcome and 2021-22 Budget primarily relate</w:t>
      </w:r>
      <w:r w:rsidR="00D75E0E">
        <w:rPr>
          <w:szCs w:val="24"/>
          <w:bdr w:val="nil"/>
        </w:rPr>
        <w:t>s</w:t>
      </w:r>
      <w:r w:rsidRPr="009832FC">
        <w:rPr>
          <w:szCs w:val="24"/>
          <w:bdr w:val="nil"/>
        </w:rPr>
        <w:t xml:space="preserve"> to reduced revenue being received in 2020-21 as a result of COVID-19. </w:t>
      </w:r>
    </w:p>
    <w:p w14:paraId="7FF86605" w14:textId="2ABBB208" w:rsidR="009832FC" w:rsidRPr="009832FC" w:rsidRDefault="009832FC" w:rsidP="00374ABF">
      <w:pPr>
        <w:keepNext/>
        <w:numPr>
          <w:ilvl w:val="0"/>
          <w:numId w:val="1"/>
        </w:numPr>
        <w:pBdr>
          <w:top w:val="nil"/>
          <w:left w:val="nil"/>
          <w:bottom w:val="nil"/>
          <w:right w:val="nil"/>
          <w:between w:val="nil"/>
          <w:bar w:val="nil"/>
        </w:pBdr>
        <w:spacing w:after="120"/>
        <w:ind w:left="360" w:hanging="360"/>
        <w:jc w:val="both"/>
        <w:rPr>
          <w:szCs w:val="24"/>
          <w:bdr w:val="nil"/>
        </w:rPr>
      </w:pPr>
      <w:r w:rsidRPr="009832FC">
        <w:rPr>
          <w:szCs w:val="24"/>
          <w:bdr w:val="nil"/>
        </w:rPr>
        <w:t xml:space="preserve">Grants and Purchased Services: </w:t>
      </w:r>
      <w:r w:rsidR="00093165">
        <w:rPr>
          <w:szCs w:val="24"/>
          <w:bdr w:val="nil"/>
        </w:rPr>
        <w:t>t</w:t>
      </w:r>
      <w:r w:rsidRPr="009832FC">
        <w:rPr>
          <w:szCs w:val="24"/>
          <w:bdr w:val="nil"/>
        </w:rPr>
        <w:t xml:space="preserve">he increase of $15.218 million between the </w:t>
      </w:r>
      <w:r w:rsidRPr="009832FC">
        <w:rPr>
          <w:szCs w:val="24"/>
          <w:bdr w:val="nil"/>
        </w:rPr>
        <w:br/>
        <w:t>2020-21 Budget and the 2020-21 interim outcome relates primarily to increased purchased services related to the Reboot Initiative for elective surgeries occurring in 2020-21. The reduction between the 2020-21 interim outcome and the 2021-22 is associated with the cessation of the Reboot Initiative for the 2021-22 year.</w:t>
      </w:r>
    </w:p>
    <w:p w14:paraId="776ED12A" w14:textId="71C93B15" w:rsidR="009832FC" w:rsidRPr="009832FC" w:rsidRDefault="009832FC" w:rsidP="00374ABF">
      <w:pPr>
        <w:keepNext/>
        <w:numPr>
          <w:ilvl w:val="0"/>
          <w:numId w:val="1"/>
        </w:numPr>
        <w:pBdr>
          <w:top w:val="nil"/>
          <w:left w:val="nil"/>
          <w:bottom w:val="nil"/>
          <w:right w:val="nil"/>
          <w:between w:val="nil"/>
          <w:bar w:val="nil"/>
        </w:pBdr>
        <w:spacing w:after="120"/>
        <w:ind w:left="360" w:hanging="360"/>
        <w:jc w:val="both"/>
        <w:rPr>
          <w:szCs w:val="24"/>
          <w:bdr w:val="nil"/>
        </w:rPr>
      </w:pPr>
      <w:r w:rsidRPr="009832FC">
        <w:rPr>
          <w:szCs w:val="24"/>
          <w:bdr w:val="nil"/>
        </w:rPr>
        <w:t xml:space="preserve">Depreciation and Amortisation: </w:t>
      </w:r>
      <w:r w:rsidR="00093165">
        <w:rPr>
          <w:szCs w:val="24"/>
          <w:bdr w:val="nil"/>
        </w:rPr>
        <w:t>t</w:t>
      </w:r>
      <w:r w:rsidRPr="009832FC">
        <w:rPr>
          <w:szCs w:val="24"/>
          <w:bdr w:val="nil"/>
        </w:rPr>
        <w:t>he increase of $9.015 million from the 2020-21 Budget to the 2020-21 interim outcome is primarily due to the change of asset useful lives.</w:t>
      </w:r>
    </w:p>
    <w:p w14:paraId="715B2221" w14:textId="41F9C26B" w:rsidR="009832FC" w:rsidRPr="009832FC" w:rsidRDefault="009832FC" w:rsidP="00374ABF">
      <w:pPr>
        <w:keepNext/>
        <w:numPr>
          <w:ilvl w:val="0"/>
          <w:numId w:val="1"/>
        </w:numPr>
        <w:pBdr>
          <w:top w:val="nil"/>
          <w:left w:val="nil"/>
          <w:bottom w:val="nil"/>
          <w:right w:val="nil"/>
          <w:between w:val="nil"/>
          <w:bar w:val="nil"/>
        </w:pBdr>
        <w:spacing w:after="120"/>
        <w:ind w:left="360" w:hanging="360"/>
        <w:jc w:val="both"/>
        <w:rPr>
          <w:szCs w:val="24"/>
          <w:bdr w:val="nil"/>
        </w:rPr>
      </w:pPr>
      <w:r w:rsidRPr="009832FC">
        <w:rPr>
          <w:szCs w:val="24"/>
          <w:bdr w:val="nil"/>
        </w:rPr>
        <w:t xml:space="preserve">Other Expenses: </w:t>
      </w:r>
      <w:r w:rsidR="00093165">
        <w:rPr>
          <w:szCs w:val="24"/>
          <w:bdr w:val="nil"/>
        </w:rPr>
        <w:t>t</w:t>
      </w:r>
      <w:r w:rsidRPr="009832FC">
        <w:rPr>
          <w:szCs w:val="24"/>
          <w:bdr w:val="nil"/>
        </w:rPr>
        <w:t xml:space="preserve">he increase of $10.591 million from the 2020-21 Budget to the </w:t>
      </w:r>
      <w:r w:rsidRPr="009832FC">
        <w:rPr>
          <w:szCs w:val="24"/>
          <w:bdr w:val="nil"/>
        </w:rPr>
        <w:br/>
        <w:t xml:space="preserve">2020-21 interim outcome relates primarily to a reduction in bad and doubtful debt expenses and offset by the write-off of building assets associated with the Canberra Hospital Expansion project.  </w:t>
      </w:r>
    </w:p>
    <w:p w14:paraId="50393F27" w14:textId="77777777" w:rsidR="009832FC" w:rsidRPr="009832FC" w:rsidRDefault="009832FC" w:rsidP="009832FC">
      <w:pPr>
        <w:keepNext/>
        <w:keepLines/>
        <w:pBdr>
          <w:top w:val="nil"/>
          <w:left w:val="nil"/>
          <w:bottom w:val="nil"/>
          <w:right w:val="nil"/>
          <w:between w:val="nil"/>
          <w:bar w:val="nil"/>
        </w:pBdr>
        <w:spacing w:before="240" w:after="120"/>
        <w:outlineLvl w:val="3"/>
        <w:rPr>
          <w:b/>
          <w:i/>
          <w:bdr w:val="nil"/>
        </w:rPr>
      </w:pPr>
      <w:r w:rsidRPr="009832FC">
        <w:rPr>
          <w:b/>
          <w:i/>
          <w:bdr w:val="nil"/>
        </w:rPr>
        <w:t>Balance Sheet</w:t>
      </w:r>
    </w:p>
    <w:p w14:paraId="3F389C0D" w14:textId="77777777" w:rsidR="009832FC" w:rsidRPr="009832FC" w:rsidRDefault="009832FC" w:rsidP="00374ABF">
      <w:pPr>
        <w:numPr>
          <w:ilvl w:val="0"/>
          <w:numId w:val="1"/>
        </w:numPr>
        <w:pBdr>
          <w:top w:val="nil"/>
          <w:left w:val="nil"/>
          <w:bottom w:val="nil"/>
          <w:right w:val="nil"/>
          <w:between w:val="nil"/>
          <w:bar w:val="nil"/>
        </w:pBdr>
        <w:spacing w:after="120"/>
        <w:ind w:left="360" w:hanging="360"/>
        <w:jc w:val="both"/>
        <w:rPr>
          <w:szCs w:val="24"/>
          <w:bdr w:val="nil"/>
        </w:rPr>
      </w:pPr>
      <w:r w:rsidRPr="009832FC">
        <w:rPr>
          <w:szCs w:val="24"/>
          <w:bdr w:val="nil"/>
        </w:rPr>
        <w:t xml:space="preserve">Capital works in progress:  the increase of $72.825 million from the 2020-21 Budget to the 2020-21 interim outcome is mainly due to delays in the completion of capital works projects in 2020-21 as a result on COVID-19. </w:t>
      </w:r>
    </w:p>
    <w:p w14:paraId="79C7733D" w14:textId="4C008E54" w:rsidR="009832FC" w:rsidRPr="009832FC" w:rsidRDefault="009832FC" w:rsidP="00374ABF">
      <w:pPr>
        <w:numPr>
          <w:ilvl w:val="0"/>
          <w:numId w:val="1"/>
        </w:numPr>
        <w:pBdr>
          <w:top w:val="nil"/>
          <w:left w:val="nil"/>
          <w:bottom w:val="nil"/>
          <w:right w:val="nil"/>
          <w:between w:val="nil"/>
          <w:bar w:val="nil"/>
        </w:pBdr>
        <w:spacing w:after="120"/>
        <w:ind w:left="360" w:hanging="360"/>
        <w:jc w:val="both"/>
        <w:rPr>
          <w:szCs w:val="24"/>
          <w:bdr w:val="nil"/>
        </w:rPr>
      </w:pPr>
      <w:r w:rsidRPr="009832FC">
        <w:rPr>
          <w:szCs w:val="24"/>
          <w:bdr w:val="nil"/>
        </w:rPr>
        <w:t xml:space="preserve">Current and </w:t>
      </w:r>
      <w:r w:rsidR="00F54F3E" w:rsidRPr="009832FC">
        <w:rPr>
          <w:szCs w:val="24"/>
          <w:bdr w:val="nil"/>
        </w:rPr>
        <w:t>non-current</w:t>
      </w:r>
      <w:r w:rsidRPr="009832FC">
        <w:rPr>
          <w:szCs w:val="24"/>
          <w:bdr w:val="nil"/>
        </w:rPr>
        <w:t xml:space="preserve"> employee benefits: the increase of $19.767 million in the 2021</w:t>
      </w:r>
      <w:r w:rsidRPr="009832FC">
        <w:rPr>
          <w:szCs w:val="24"/>
          <w:bdr w:val="nil"/>
        </w:rPr>
        <w:noBreakHyphen/>
        <w:t>22 Budget from the 2020-21 interim outcome is mainly due to wage rises and growth in staff.</w:t>
      </w:r>
    </w:p>
    <w:p w14:paraId="739CE72A" w14:textId="67832CFD" w:rsidR="009832FC" w:rsidRPr="009832FC" w:rsidRDefault="009832FC" w:rsidP="00374ABF">
      <w:pPr>
        <w:numPr>
          <w:ilvl w:val="0"/>
          <w:numId w:val="1"/>
        </w:numPr>
        <w:pBdr>
          <w:top w:val="nil"/>
          <w:left w:val="nil"/>
          <w:bottom w:val="nil"/>
          <w:right w:val="nil"/>
          <w:between w:val="nil"/>
          <w:bar w:val="nil"/>
        </w:pBdr>
        <w:spacing w:after="120"/>
        <w:ind w:left="360" w:hanging="360"/>
        <w:jc w:val="both"/>
        <w:rPr>
          <w:szCs w:val="24"/>
          <w:bdr w:val="nil"/>
        </w:rPr>
      </w:pPr>
      <w:r w:rsidRPr="009832FC">
        <w:rPr>
          <w:szCs w:val="24"/>
          <w:bdr w:val="nil"/>
        </w:rPr>
        <w:t xml:space="preserve">Current and </w:t>
      </w:r>
      <w:r w:rsidR="00F54F3E" w:rsidRPr="009832FC">
        <w:rPr>
          <w:szCs w:val="24"/>
          <w:bdr w:val="nil"/>
        </w:rPr>
        <w:t>non-current</w:t>
      </w:r>
      <w:r w:rsidRPr="009832FC">
        <w:rPr>
          <w:szCs w:val="24"/>
          <w:bdr w:val="nil"/>
        </w:rPr>
        <w:t xml:space="preserve"> other liabilities: the decrease in other liabilities of $29.351</w:t>
      </w:r>
      <w:r w:rsidR="00F67862">
        <w:rPr>
          <w:szCs w:val="24"/>
          <w:bdr w:val="nil"/>
        </w:rPr>
        <w:t> million</w:t>
      </w:r>
      <w:r w:rsidRPr="009832FC">
        <w:rPr>
          <w:szCs w:val="24"/>
          <w:bdr w:val="nil"/>
        </w:rPr>
        <w:t xml:space="preserve"> from the 2020-21 Budget to the 2020-21 interim outcome is due to the recognition of revenue received in advance and the reclassification of Other Provisions from Other Liabilities.</w:t>
      </w:r>
    </w:p>
    <w:p w14:paraId="655D27C6" w14:textId="77777777" w:rsidR="009832FC" w:rsidRPr="009832FC" w:rsidRDefault="009832FC" w:rsidP="009832FC">
      <w:pPr>
        <w:keepNext/>
        <w:keepLines/>
        <w:pBdr>
          <w:top w:val="nil"/>
          <w:left w:val="nil"/>
          <w:bottom w:val="nil"/>
          <w:right w:val="nil"/>
          <w:between w:val="nil"/>
          <w:bar w:val="nil"/>
        </w:pBdr>
        <w:spacing w:before="240" w:after="120"/>
        <w:outlineLvl w:val="3"/>
        <w:rPr>
          <w:b/>
          <w:i/>
          <w:bdr w:val="nil"/>
        </w:rPr>
      </w:pPr>
      <w:r w:rsidRPr="009832FC">
        <w:rPr>
          <w:b/>
          <w:i/>
          <w:bdr w:val="nil"/>
        </w:rPr>
        <w:lastRenderedPageBreak/>
        <w:t xml:space="preserve">Statement of Changes in Equity </w:t>
      </w:r>
    </w:p>
    <w:p w14:paraId="41CBB7F6" w14:textId="77777777" w:rsidR="009832FC" w:rsidRPr="009832FC" w:rsidRDefault="009832FC" w:rsidP="00374ABF">
      <w:pPr>
        <w:numPr>
          <w:ilvl w:val="0"/>
          <w:numId w:val="1"/>
        </w:numPr>
        <w:pBdr>
          <w:top w:val="nil"/>
          <w:left w:val="nil"/>
          <w:bottom w:val="nil"/>
          <w:right w:val="nil"/>
          <w:between w:val="nil"/>
          <w:bar w:val="nil"/>
        </w:pBdr>
        <w:spacing w:after="120"/>
        <w:ind w:left="360" w:hanging="360"/>
        <w:jc w:val="both"/>
        <w:rPr>
          <w:szCs w:val="24"/>
          <w:bdr w:val="nil"/>
        </w:rPr>
      </w:pPr>
      <w:r w:rsidRPr="009832FC">
        <w:rPr>
          <w:szCs w:val="24"/>
          <w:bdr w:val="nil"/>
        </w:rPr>
        <w:t>Capital injections: the increase of $14.727 million in the 2021-22 Budget from the 2020</w:t>
      </w:r>
      <w:r w:rsidRPr="009832FC">
        <w:rPr>
          <w:szCs w:val="24"/>
          <w:bdr w:val="nil"/>
        </w:rPr>
        <w:noBreakHyphen/>
        <w:t>21 interim outcome is due to the reprofiling of Capital Works program and new capital investment which is summarised on the Infrastructure table.</w:t>
      </w:r>
    </w:p>
    <w:p w14:paraId="3F5D3AD3" w14:textId="77777777" w:rsidR="009832FC" w:rsidRPr="009832FC" w:rsidRDefault="009832FC" w:rsidP="009832FC">
      <w:pPr>
        <w:keepNext/>
        <w:keepLines/>
        <w:pBdr>
          <w:top w:val="nil"/>
          <w:left w:val="nil"/>
          <w:bottom w:val="nil"/>
          <w:right w:val="nil"/>
          <w:between w:val="nil"/>
          <w:bar w:val="nil"/>
        </w:pBdr>
        <w:spacing w:before="240" w:after="120"/>
        <w:outlineLvl w:val="3"/>
        <w:rPr>
          <w:b/>
          <w:i/>
          <w:bdr w:val="nil"/>
        </w:rPr>
      </w:pPr>
      <w:r w:rsidRPr="009832FC">
        <w:rPr>
          <w:b/>
          <w:i/>
          <w:bdr w:val="nil"/>
        </w:rPr>
        <w:t>Cash Flow Statement</w:t>
      </w:r>
    </w:p>
    <w:p w14:paraId="76A67E0D" w14:textId="77777777" w:rsidR="009832FC" w:rsidRPr="009832FC" w:rsidRDefault="009832FC" w:rsidP="009832FC">
      <w:pPr>
        <w:pBdr>
          <w:top w:val="nil"/>
          <w:left w:val="nil"/>
          <w:bottom w:val="nil"/>
          <w:right w:val="nil"/>
          <w:between w:val="nil"/>
          <w:bar w:val="nil"/>
        </w:pBdr>
        <w:rPr>
          <w:rFonts w:eastAsia="TimesNewRomanPS-ItalicMT"/>
          <w:bdr w:val="nil"/>
        </w:rPr>
      </w:pPr>
      <w:r w:rsidRPr="009832FC">
        <w:rPr>
          <w:bdr w:val="nil"/>
        </w:rPr>
        <w:t>Variations in the Statement are explained in the notes above.</w:t>
      </w:r>
    </w:p>
    <w:p w14:paraId="6C3EAAE9" w14:textId="77777777" w:rsidR="009832FC" w:rsidRPr="009832FC" w:rsidRDefault="009832FC" w:rsidP="009832FC">
      <w:pPr>
        <w:pBdr>
          <w:top w:val="nil"/>
          <w:left w:val="nil"/>
          <w:bottom w:val="nil"/>
          <w:right w:val="nil"/>
          <w:between w:val="nil"/>
          <w:bar w:val="nil"/>
        </w:pBdr>
        <w:rPr>
          <w:rFonts w:eastAsia="TimesNewRomanPS-ItalicMT"/>
          <w:bdr w:val="nil"/>
        </w:rPr>
      </w:pPr>
    </w:p>
    <w:p w14:paraId="0186E4BC" w14:textId="77777777" w:rsidR="009832FC" w:rsidRDefault="009832FC" w:rsidP="0014646D">
      <w:pPr>
        <w:pBdr>
          <w:top w:val="nil"/>
          <w:left w:val="nil"/>
          <w:bottom w:val="nil"/>
          <w:right w:val="nil"/>
          <w:between w:val="nil"/>
          <w:bar w:val="nil"/>
        </w:pBdr>
        <w:jc w:val="both"/>
        <w:rPr>
          <w:rFonts w:eastAsia="TimesNewRomanPS-ItalicMT"/>
          <w:bdr w:val="nil"/>
        </w:rPr>
        <w:sectPr w:rsidR="009832FC" w:rsidSect="009832FC">
          <w:headerReference w:type="even" r:id="rId18"/>
          <w:headerReference w:type="default" r:id="rId19"/>
          <w:footerReference w:type="even" r:id="rId20"/>
          <w:footerReference w:type="default" r:id="rId21"/>
          <w:headerReference w:type="first" r:id="rId22"/>
          <w:footerReference w:type="first" r:id="rId23"/>
          <w:pgSz w:w="11906" w:h="16838"/>
          <w:pgMar w:top="1151" w:right="1440" w:bottom="1729" w:left="1440" w:header="720" w:footer="720" w:gutter="0"/>
          <w:pgBorders>
            <w:top w:val="nil"/>
            <w:left w:val="nil"/>
            <w:bottom w:val="nil"/>
            <w:right w:val="nil"/>
          </w:pgBorders>
          <w:cols w:space="720"/>
        </w:sectPr>
      </w:pPr>
    </w:p>
    <w:p w14:paraId="41A3317C" w14:textId="77777777" w:rsidR="009832FC" w:rsidRPr="009832FC" w:rsidRDefault="009832FC" w:rsidP="009832FC">
      <w:pPr>
        <w:keepNext/>
        <w:pageBreakBefore/>
        <w:pBdr>
          <w:top w:val="nil"/>
          <w:left w:val="nil"/>
          <w:bottom w:val="single" w:sz="18" w:space="2" w:color="auto"/>
          <w:right w:val="nil"/>
          <w:between w:val="nil"/>
          <w:bar w:val="nil"/>
        </w:pBdr>
        <w:spacing w:after="480"/>
        <w:outlineLvl w:val="0"/>
        <w:rPr>
          <w:b/>
          <w:kern w:val="28"/>
          <w:sz w:val="48"/>
          <w:bdr w:val="nil"/>
        </w:rPr>
      </w:pPr>
      <w:bookmarkStart w:id="77" w:name="_Toc83910756"/>
      <w:r w:rsidRPr="009832FC">
        <w:rPr>
          <w:b/>
          <w:kern w:val="28"/>
          <w:sz w:val="36"/>
          <w:szCs w:val="36"/>
          <w:bdr w:val="nil"/>
        </w:rPr>
        <w:lastRenderedPageBreak/>
        <w:t>ACT LOCAL HOSPITAL NETWORK</w:t>
      </w:r>
      <w:bookmarkEnd w:id="77"/>
    </w:p>
    <w:p w14:paraId="2CAE3FC9" w14:textId="77777777" w:rsidR="009832FC" w:rsidRPr="009832FC" w:rsidRDefault="009832FC" w:rsidP="009832FC">
      <w:pPr>
        <w:keepNext/>
        <w:pBdr>
          <w:top w:val="nil"/>
          <w:left w:val="nil"/>
          <w:bottom w:val="nil"/>
          <w:right w:val="nil"/>
          <w:between w:val="nil"/>
          <w:bar w:val="nil"/>
        </w:pBdr>
        <w:spacing w:before="360"/>
        <w:outlineLvl w:val="1"/>
        <w:rPr>
          <w:b/>
          <w:snapToGrid w:val="0"/>
          <w:sz w:val="32"/>
          <w:bdr w:val="nil"/>
        </w:rPr>
      </w:pPr>
      <w:bookmarkStart w:id="78" w:name="_Toc83910757"/>
      <w:r w:rsidRPr="009832FC">
        <w:rPr>
          <w:b/>
          <w:snapToGrid w:val="0"/>
          <w:sz w:val="32"/>
          <w:bdr w:val="nil"/>
        </w:rPr>
        <w:t>Purpose</w:t>
      </w:r>
      <w:bookmarkEnd w:id="78"/>
    </w:p>
    <w:p w14:paraId="33D1BE6A" w14:textId="77777777" w:rsidR="009832FC" w:rsidRPr="009832FC" w:rsidRDefault="009832FC" w:rsidP="009832FC">
      <w:pPr>
        <w:pBdr>
          <w:top w:val="nil"/>
          <w:left w:val="nil"/>
          <w:bottom w:val="nil"/>
          <w:right w:val="nil"/>
          <w:between w:val="nil"/>
          <w:bar w:val="nil"/>
        </w:pBdr>
        <w:spacing w:after="60"/>
        <w:jc w:val="both"/>
        <w:rPr>
          <w:rFonts w:eastAsia="Calibri"/>
          <w:color w:val="000000"/>
          <w:szCs w:val="24"/>
          <w:bdr w:val="nil"/>
          <w:lang w:eastAsia="en-AU"/>
        </w:rPr>
      </w:pPr>
      <w:r w:rsidRPr="009832FC">
        <w:rPr>
          <w:rFonts w:eastAsia="Calibri"/>
          <w:color w:val="000000"/>
          <w:szCs w:val="24"/>
          <w:bdr w:val="nil"/>
          <w:lang w:eastAsia="en-AU"/>
        </w:rPr>
        <w:t xml:space="preserve">The ACT Local Hospital Network (LHN), established in accordance with the </w:t>
      </w:r>
      <w:r w:rsidRPr="009832FC">
        <w:rPr>
          <w:rFonts w:eastAsia="Calibri"/>
          <w:i/>
          <w:iCs/>
          <w:color w:val="000000"/>
          <w:szCs w:val="24"/>
          <w:bdr w:val="nil"/>
        </w:rPr>
        <w:t>National Health Reform Agreement 2020-25</w:t>
      </w:r>
      <w:r w:rsidRPr="009832FC">
        <w:rPr>
          <w:rFonts w:eastAsia="Calibri"/>
          <w:color w:val="000000"/>
          <w:szCs w:val="24"/>
          <w:bdr w:val="nil"/>
          <w:lang w:eastAsia="en-AU"/>
        </w:rPr>
        <w:t xml:space="preserve">, and managed in accordance with the </w:t>
      </w:r>
      <w:r w:rsidRPr="009832FC">
        <w:rPr>
          <w:rFonts w:eastAsia="Calibri"/>
          <w:i/>
          <w:iCs/>
          <w:color w:val="000000"/>
          <w:szCs w:val="24"/>
          <w:bdr w:val="nil"/>
        </w:rPr>
        <w:t>Health (National Health Funding Pool and Administration) Act 2013</w:t>
      </w:r>
      <w:r w:rsidRPr="009832FC">
        <w:rPr>
          <w:rFonts w:eastAsia="Calibri"/>
          <w:color w:val="000000"/>
          <w:szCs w:val="24"/>
          <w:bdr w:val="nil"/>
          <w:lang w:eastAsia="en-AU"/>
        </w:rPr>
        <w:t xml:space="preserve">, is administered by the Director-General of the ACT Health Directorate. The ACT LHN is supported by the ACT Health Directorate’s staff. </w:t>
      </w:r>
    </w:p>
    <w:p w14:paraId="1082AB6C" w14:textId="77777777" w:rsidR="009832FC" w:rsidRPr="009832FC" w:rsidRDefault="009832FC" w:rsidP="009832FC">
      <w:pPr>
        <w:pBdr>
          <w:top w:val="nil"/>
          <w:left w:val="nil"/>
          <w:bottom w:val="nil"/>
          <w:right w:val="nil"/>
          <w:between w:val="nil"/>
          <w:bar w:val="nil"/>
        </w:pBdr>
        <w:spacing w:after="60"/>
        <w:jc w:val="both"/>
        <w:rPr>
          <w:rFonts w:eastAsia="Calibri"/>
          <w:color w:val="000000"/>
          <w:szCs w:val="24"/>
          <w:bdr w:val="nil"/>
          <w:lang w:eastAsia="en-AU"/>
        </w:rPr>
      </w:pPr>
      <w:r w:rsidRPr="009832FC">
        <w:rPr>
          <w:rFonts w:eastAsia="Calibri"/>
          <w:color w:val="000000"/>
          <w:szCs w:val="24"/>
          <w:bdr w:val="nil"/>
          <w:lang w:eastAsia="en-AU"/>
        </w:rPr>
        <w:t xml:space="preserve">The LHN receives funding from the Commonwealth, the ACT and other state and territory governments. Funding from other state and territory governments is mainly received from the NSW Government for patients accessing services from the surrounding NSW region. </w:t>
      </w:r>
    </w:p>
    <w:p w14:paraId="7FF70993" w14:textId="77777777" w:rsidR="009832FC" w:rsidRPr="009832FC" w:rsidRDefault="009832FC" w:rsidP="009832FC">
      <w:pPr>
        <w:pBdr>
          <w:top w:val="nil"/>
          <w:left w:val="nil"/>
          <w:bottom w:val="nil"/>
          <w:right w:val="nil"/>
          <w:between w:val="nil"/>
          <w:bar w:val="nil"/>
        </w:pBdr>
        <w:spacing w:after="60"/>
        <w:jc w:val="both"/>
        <w:rPr>
          <w:rFonts w:eastAsia="Calibri"/>
          <w:color w:val="000000"/>
          <w:szCs w:val="24"/>
          <w:bdr w:val="nil"/>
          <w:lang w:eastAsia="en-AU"/>
        </w:rPr>
      </w:pPr>
      <w:r w:rsidRPr="009832FC">
        <w:rPr>
          <w:rFonts w:eastAsia="Calibri"/>
          <w:color w:val="000000"/>
          <w:szCs w:val="24"/>
          <w:bdr w:val="nil"/>
          <w:lang w:eastAsia="en-AU"/>
        </w:rPr>
        <w:t xml:space="preserve">The LHN funds public hospital and health services provided through the following main providers: </w:t>
      </w:r>
    </w:p>
    <w:p w14:paraId="43374736" w14:textId="77777777" w:rsidR="009832FC" w:rsidRPr="009832FC" w:rsidRDefault="009832FC" w:rsidP="00812F22">
      <w:pPr>
        <w:numPr>
          <w:ilvl w:val="0"/>
          <w:numId w:val="1"/>
        </w:numPr>
        <w:pBdr>
          <w:top w:val="nil"/>
          <w:left w:val="nil"/>
          <w:bottom w:val="nil"/>
          <w:right w:val="nil"/>
          <w:between w:val="nil"/>
          <w:bar w:val="nil"/>
        </w:pBdr>
        <w:tabs>
          <w:tab w:val="clear" w:pos="360"/>
        </w:tabs>
        <w:spacing w:after="120"/>
        <w:ind w:left="426" w:hanging="426"/>
        <w:jc w:val="both"/>
        <w:rPr>
          <w:szCs w:val="24"/>
          <w:bdr w:val="nil"/>
        </w:rPr>
      </w:pPr>
      <w:r w:rsidRPr="009832FC">
        <w:rPr>
          <w:szCs w:val="24"/>
          <w:bdr w:val="nil"/>
        </w:rPr>
        <w:t>Canberra Health Services (CHS), which includes Canberra Hospital and the University of Canberra Hospital as well as the network of community health centres and walk-in-centres;</w:t>
      </w:r>
    </w:p>
    <w:p w14:paraId="3AB3B15E" w14:textId="77777777" w:rsidR="009832FC" w:rsidRPr="009832FC" w:rsidRDefault="009832FC" w:rsidP="00812F22">
      <w:pPr>
        <w:numPr>
          <w:ilvl w:val="0"/>
          <w:numId w:val="1"/>
        </w:numPr>
        <w:pBdr>
          <w:top w:val="nil"/>
          <w:left w:val="nil"/>
          <w:bottom w:val="nil"/>
          <w:right w:val="nil"/>
          <w:between w:val="nil"/>
          <w:bar w:val="nil"/>
        </w:pBdr>
        <w:tabs>
          <w:tab w:val="clear" w:pos="360"/>
        </w:tabs>
        <w:spacing w:after="120"/>
        <w:ind w:left="426" w:hanging="426"/>
        <w:jc w:val="both"/>
        <w:rPr>
          <w:szCs w:val="24"/>
          <w:bdr w:val="nil"/>
        </w:rPr>
      </w:pPr>
      <w:r w:rsidRPr="009832FC">
        <w:rPr>
          <w:szCs w:val="24"/>
          <w:bdr w:val="nil"/>
        </w:rPr>
        <w:t>Calvary Health Care ACT Limited, which includes Calvary Public Hospital Bruce and Clare Holland House Hospice; and</w:t>
      </w:r>
    </w:p>
    <w:p w14:paraId="1AA83952" w14:textId="77777777" w:rsidR="009832FC" w:rsidRPr="009832FC" w:rsidRDefault="009832FC" w:rsidP="00812F22">
      <w:pPr>
        <w:numPr>
          <w:ilvl w:val="0"/>
          <w:numId w:val="1"/>
        </w:numPr>
        <w:pBdr>
          <w:top w:val="nil"/>
          <w:left w:val="nil"/>
          <w:bottom w:val="nil"/>
          <w:right w:val="nil"/>
          <w:between w:val="nil"/>
          <w:bar w:val="nil"/>
        </w:pBdr>
        <w:tabs>
          <w:tab w:val="clear" w:pos="360"/>
        </w:tabs>
        <w:spacing w:after="120"/>
        <w:ind w:left="426" w:hanging="426"/>
        <w:jc w:val="both"/>
        <w:rPr>
          <w:szCs w:val="24"/>
          <w:bdr w:val="nil"/>
        </w:rPr>
      </w:pPr>
      <w:r w:rsidRPr="009832FC">
        <w:rPr>
          <w:szCs w:val="24"/>
          <w:bdr w:val="nil"/>
        </w:rPr>
        <w:t>Tresillian Family Care Centres, for the Queen Elizabeth II Family Centre.</w:t>
      </w:r>
    </w:p>
    <w:p w14:paraId="42ABADEB" w14:textId="77777777" w:rsidR="009832FC" w:rsidRPr="009832FC" w:rsidRDefault="009832FC" w:rsidP="009832FC">
      <w:pPr>
        <w:pBdr>
          <w:top w:val="nil"/>
          <w:left w:val="nil"/>
          <w:bottom w:val="nil"/>
          <w:right w:val="nil"/>
          <w:between w:val="nil"/>
          <w:bar w:val="nil"/>
        </w:pBdr>
        <w:spacing w:after="60"/>
        <w:jc w:val="both"/>
        <w:rPr>
          <w:rFonts w:eastAsia="Calibri"/>
          <w:color w:val="000000"/>
          <w:szCs w:val="24"/>
          <w:bdr w:val="nil"/>
          <w:lang w:eastAsia="en-AU"/>
        </w:rPr>
      </w:pPr>
      <w:r w:rsidRPr="009832FC">
        <w:rPr>
          <w:rFonts w:eastAsia="Calibri"/>
          <w:color w:val="000000"/>
          <w:szCs w:val="24"/>
          <w:bdr w:val="nil"/>
          <w:lang w:eastAsia="en-AU"/>
        </w:rPr>
        <w:t>The LHN also funds services provided under contract through a number of private hospitals in the ACT.</w:t>
      </w:r>
    </w:p>
    <w:p w14:paraId="4F3BF3E0" w14:textId="2FF15B96" w:rsidR="009832FC" w:rsidRPr="009832FC" w:rsidRDefault="009832FC" w:rsidP="00A958EC">
      <w:pPr>
        <w:keepNext/>
        <w:pBdr>
          <w:top w:val="nil"/>
          <w:left w:val="nil"/>
          <w:bottom w:val="nil"/>
          <w:right w:val="nil"/>
          <w:between w:val="nil"/>
          <w:bar w:val="nil"/>
        </w:pBdr>
        <w:spacing w:before="360"/>
        <w:outlineLvl w:val="1"/>
        <w:rPr>
          <w:b/>
          <w:snapToGrid w:val="0"/>
          <w:sz w:val="32"/>
          <w:bdr w:val="nil"/>
        </w:rPr>
      </w:pPr>
      <w:bookmarkStart w:id="79" w:name="_Toc83910758"/>
      <w:r w:rsidRPr="009832FC">
        <w:rPr>
          <w:b/>
          <w:snapToGrid w:val="0"/>
          <w:sz w:val="32"/>
          <w:bdr w:val="nil"/>
        </w:rPr>
        <w:t>2021-22 Priorities</w:t>
      </w:r>
      <w:bookmarkEnd w:id="79"/>
    </w:p>
    <w:p w14:paraId="4A07BA9B" w14:textId="77777777" w:rsidR="009832FC" w:rsidRPr="009832FC" w:rsidRDefault="009832FC" w:rsidP="009832FC">
      <w:pPr>
        <w:pBdr>
          <w:top w:val="nil"/>
          <w:left w:val="nil"/>
          <w:bottom w:val="nil"/>
          <w:right w:val="nil"/>
          <w:between w:val="nil"/>
          <w:bar w:val="nil"/>
        </w:pBdr>
        <w:jc w:val="both"/>
        <w:rPr>
          <w:bdr w:val="nil"/>
        </w:rPr>
      </w:pPr>
      <w:r w:rsidRPr="009832FC">
        <w:rPr>
          <w:bdr w:val="nil"/>
        </w:rPr>
        <w:t xml:space="preserve">The LHN will receive and distribute funding for public hospital services under the </w:t>
      </w:r>
      <w:r w:rsidRPr="009832FC">
        <w:rPr>
          <w:i/>
          <w:iCs/>
          <w:bdr w:val="nil"/>
        </w:rPr>
        <w:t>National Health Reform Agreement</w:t>
      </w:r>
      <w:r w:rsidRPr="009832FC">
        <w:rPr>
          <w:bdr w:val="nil"/>
        </w:rPr>
        <w:t xml:space="preserve"> (NHRA) for the purchase of public hospital services.</w:t>
      </w:r>
    </w:p>
    <w:p w14:paraId="258EAB2B" w14:textId="77777777" w:rsidR="009832FC" w:rsidRPr="009832FC" w:rsidRDefault="009832FC" w:rsidP="009832FC">
      <w:pPr>
        <w:pBdr>
          <w:top w:val="nil"/>
          <w:left w:val="nil"/>
          <w:bottom w:val="nil"/>
          <w:right w:val="nil"/>
          <w:between w:val="nil"/>
          <w:bar w:val="nil"/>
        </w:pBdr>
        <w:jc w:val="both"/>
        <w:rPr>
          <w:bdr w:val="nil"/>
        </w:rPr>
      </w:pPr>
      <w:r w:rsidRPr="009832FC">
        <w:rPr>
          <w:bdr w:val="nil"/>
        </w:rPr>
        <w:t>In 2021-22, funding will be provided to Canberra Health Services and Calvary Health Care ACT Limited for the following new initiatives:</w:t>
      </w:r>
    </w:p>
    <w:p w14:paraId="6D4968CF" w14:textId="77777777" w:rsidR="009832FC" w:rsidRPr="009832FC" w:rsidRDefault="009832FC" w:rsidP="00812F22">
      <w:pPr>
        <w:numPr>
          <w:ilvl w:val="0"/>
          <w:numId w:val="1"/>
        </w:numPr>
        <w:pBdr>
          <w:top w:val="nil"/>
          <w:left w:val="nil"/>
          <w:bottom w:val="nil"/>
          <w:right w:val="nil"/>
          <w:between w:val="nil"/>
          <w:bar w:val="nil"/>
        </w:pBdr>
        <w:tabs>
          <w:tab w:val="clear" w:pos="360"/>
        </w:tabs>
        <w:spacing w:after="120"/>
        <w:ind w:left="426" w:hanging="426"/>
        <w:jc w:val="both"/>
        <w:rPr>
          <w:szCs w:val="24"/>
          <w:bdr w:val="nil"/>
        </w:rPr>
      </w:pPr>
      <w:r w:rsidRPr="009832FC">
        <w:rPr>
          <w:szCs w:val="24"/>
          <w:bdr w:val="nil"/>
        </w:rPr>
        <w:t xml:space="preserve">support for the increase in demands for a range of key hospital services including: </w:t>
      </w:r>
    </w:p>
    <w:p w14:paraId="3446C563" w14:textId="77777777" w:rsidR="009832FC" w:rsidRPr="009832FC" w:rsidRDefault="009832FC" w:rsidP="00812F22">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emergency surgery;</w:t>
      </w:r>
    </w:p>
    <w:p w14:paraId="1A0F27EE" w14:textId="77777777" w:rsidR="009832FC" w:rsidRPr="009832FC" w:rsidRDefault="009832FC" w:rsidP="00812F22">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elective surgeries;</w:t>
      </w:r>
    </w:p>
    <w:p w14:paraId="527B9B71" w14:textId="77777777" w:rsidR="009832FC" w:rsidRPr="009832FC" w:rsidRDefault="009832FC" w:rsidP="00812F22">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endoscopy procedures;</w:t>
      </w:r>
    </w:p>
    <w:p w14:paraId="6B0730EA" w14:textId="77777777" w:rsidR="009832FC" w:rsidRPr="009832FC" w:rsidRDefault="009832FC" w:rsidP="00812F22">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intensive care capacity;</w:t>
      </w:r>
    </w:p>
    <w:p w14:paraId="0DEC6C4F" w14:textId="77777777" w:rsidR="009832FC" w:rsidRPr="009832FC" w:rsidRDefault="009832FC" w:rsidP="00812F22">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neonatology services at Centenary Hospital for Women and Children;</w:t>
      </w:r>
    </w:p>
    <w:p w14:paraId="4203CA5F" w14:textId="77777777" w:rsidR="009832FC" w:rsidRPr="009832FC" w:rsidRDefault="009832FC" w:rsidP="00812F22">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both inpatient and community palliative care services through Clare Holland House Hospice;</w:t>
      </w:r>
    </w:p>
    <w:p w14:paraId="267776C7" w14:textId="063C4948" w:rsidR="009832FC" w:rsidRPr="009832FC" w:rsidRDefault="009832FC" w:rsidP="00812F22">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lastRenderedPageBreak/>
        <w:t xml:space="preserve">acute and </w:t>
      </w:r>
      <w:r w:rsidR="00F54F3E" w:rsidRPr="009832FC">
        <w:rPr>
          <w:bdr w:val="nil"/>
        </w:rPr>
        <w:t>sub-acute</w:t>
      </w:r>
      <w:r w:rsidRPr="009832FC">
        <w:rPr>
          <w:bdr w:val="nil"/>
        </w:rPr>
        <w:t xml:space="preserve"> admitted mental health services; and</w:t>
      </w:r>
    </w:p>
    <w:p w14:paraId="50148915" w14:textId="77777777" w:rsidR="009832FC" w:rsidRPr="009832FC" w:rsidRDefault="009832FC" w:rsidP="00812F22">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expansion of medical imaging to a 24/7 service at Calvary Public Hospital Bruce, to meet additional emergency department demand.</w:t>
      </w:r>
    </w:p>
    <w:p w14:paraId="3EDBCDD6" w14:textId="77777777" w:rsidR="009832FC" w:rsidRPr="009832FC" w:rsidRDefault="009832FC" w:rsidP="00812F22">
      <w:pPr>
        <w:numPr>
          <w:ilvl w:val="0"/>
          <w:numId w:val="1"/>
        </w:numPr>
        <w:pBdr>
          <w:top w:val="nil"/>
          <w:left w:val="nil"/>
          <w:bottom w:val="nil"/>
          <w:right w:val="nil"/>
          <w:between w:val="nil"/>
          <w:bar w:val="nil"/>
        </w:pBdr>
        <w:tabs>
          <w:tab w:val="clear" w:pos="360"/>
        </w:tabs>
        <w:spacing w:after="120"/>
        <w:ind w:left="426" w:hanging="426"/>
        <w:jc w:val="both"/>
        <w:rPr>
          <w:szCs w:val="24"/>
          <w:bdr w:val="nil"/>
        </w:rPr>
      </w:pPr>
      <w:r w:rsidRPr="009832FC">
        <w:rPr>
          <w:szCs w:val="24"/>
          <w:bdr w:val="nil"/>
        </w:rPr>
        <w:t>support for the public health system for the continued response to the COVID-19 pandemic, including the rollout of the National Vaccination program;</w:t>
      </w:r>
    </w:p>
    <w:p w14:paraId="1174511A" w14:textId="77777777" w:rsidR="009832FC" w:rsidRPr="009832FC" w:rsidRDefault="009832FC" w:rsidP="00812F22">
      <w:pPr>
        <w:numPr>
          <w:ilvl w:val="0"/>
          <w:numId w:val="1"/>
        </w:numPr>
        <w:pBdr>
          <w:top w:val="nil"/>
          <w:left w:val="nil"/>
          <w:bottom w:val="nil"/>
          <w:right w:val="nil"/>
          <w:between w:val="nil"/>
          <w:bar w:val="nil"/>
        </w:pBdr>
        <w:tabs>
          <w:tab w:val="clear" w:pos="360"/>
        </w:tabs>
        <w:spacing w:after="120"/>
        <w:ind w:left="426" w:hanging="426"/>
        <w:jc w:val="both"/>
        <w:rPr>
          <w:szCs w:val="24"/>
          <w:bdr w:val="nil"/>
        </w:rPr>
      </w:pPr>
      <w:r w:rsidRPr="009832FC">
        <w:rPr>
          <w:szCs w:val="24"/>
          <w:bdr w:val="nil"/>
        </w:rPr>
        <w:t>increase in nursing and midwifery staffing ratios at Canberra Health Services and Calvary Public Hospital Bruce;</w:t>
      </w:r>
    </w:p>
    <w:p w14:paraId="36581B6D" w14:textId="77777777" w:rsidR="009832FC" w:rsidRPr="009832FC" w:rsidRDefault="009832FC" w:rsidP="00812F22">
      <w:pPr>
        <w:numPr>
          <w:ilvl w:val="0"/>
          <w:numId w:val="1"/>
        </w:numPr>
        <w:pBdr>
          <w:top w:val="nil"/>
          <w:left w:val="nil"/>
          <w:bottom w:val="nil"/>
          <w:right w:val="nil"/>
          <w:between w:val="nil"/>
          <w:bar w:val="nil"/>
        </w:pBdr>
        <w:tabs>
          <w:tab w:val="clear" w:pos="360"/>
        </w:tabs>
        <w:spacing w:after="120"/>
        <w:ind w:left="426" w:hanging="426"/>
        <w:jc w:val="both"/>
        <w:rPr>
          <w:szCs w:val="24"/>
          <w:bdr w:val="nil"/>
        </w:rPr>
      </w:pPr>
      <w:r w:rsidRPr="009832FC">
        <w:rPr>
          <w:szCs w:val="24"/>
          <w:bdr w:val="nil"/>
        </w:rPr>
        <w:t>support for expanded community mental health services; and</w:t>
      </w:r>
    </w:p>
    <w:p w14:paraId="6D20FB4A" w14:textId="77777777" w:rsidR="009832FC" w:rsidRPr="009832FC" w:rsidRDefault="009832FC" w:rsidP="00812F22">
      <w:pPr>
        <w:numPr>
          <w:ilvl w:val="0"/>
          <w:numId w:val="1"/>
        </w:numPr>
        <w:pBdr>
          <w:top w:val="nil"/>
          <w:left w:val="nil"/>
          <w:bottom w:val="nil"/>
          <w:right w:val="nil"/>
          <w:between w:val="nil"/>
          <w:bar w:val="nil"/>
        </w:pBdr>
        <w:tabs>
          <w:tab w:val="clear" w:pos="360"/>
        </w:tabs>
        <w:spacing w:after="120"/>
        <w:ind w:left="426" w:hanging="426"/>
        <w:jc w:val="both"/>
        <w:rPr>
          <w:szCs w:val="24"/>
          <w:bdr w:val="nil"/>
        </w:rPr>
      </w:pPr>
      <w:r w:rsidRPr="009832FC">
        <w:rPr>
          <w:szCs w:val="24"/>
          <w:bdr w:val="nil"/>
        </w:rPr>
        <w:t>support for improved patient navigation to better coordinate care across the health system for people with chronic and complex conditions including a Paediatric Nurse Liaison Service.</w:t>
      </w:r>
    </w:p>
    <w:p w14:paraId="255525CB" w14:textId="77777777" w:rsidR="009832FC" w:rsidRPr="009832FC" w:rsidRDefault="009832FC" w:rsidP="009832FC">
      <w:pPr>
        <w:keepNext/>
        <w:pBdr>
          <w:top w:val="nil"/>
          <w:left w:val="nil"/>
          <w:bottom w:val="nil"/>
          <w:right w:val="nil"/>
          <w:between w:val="nil"/>
          <w:bar w:val="nil"/>
        </w:pBdr>
        <w:spacing w:before="360"/>
        <w:outlineLvl w:val="1"/>
        <w:rPr>
          <w:b/>
          <w:snapToGrid w:val="0"/>
          <w:sz w:val="32"/>
          <w:bdr w:val="nil"/>
        </w:rPr>
      </w:pPr>
      <w:bookmarkStart w:id="80" w:name="_Toc83910759"/>
      <w:r w:rsidRPr="009832FC">
        <w:rPr>
          <w:b/>
          <w:snapToGrid w:val="0"/>
          <w:sz w:val="32"/>
          <w:bdr w:val="nil"/>
        </w:rPr>
        <w:t>Estimated Employment Level</w:t>
      </w:r>
      <w:bookmarkEnd w:id="80"/>
    </w:p>
    <w:p w14:paraId="4E97A367" w14:textId="77777777" w:rsidR="009832FC" w:rsidRPr="009832FC" w:rsidRDefault="009832FC" w:rsidP="009832FC">
      <w:pPr>
        <w:keepNext/>
        <w:keepLines/>
        <w:pBdr>
          <w:top w:val="nil"/>
          <w:left w:val="nil"/>
          <w:bottom w:val="nil"/>
          <w:right w:val="nil"/>
          <w:between w:val="nil"/>
          <w:bar w:val="nil"/>
        </w:pBdr>
        <w:spacing w:before="120" w:after="120"/>
        <w:jc w:val="both"/>
        <w:rPr>
          <w:bdr w:val="nil"/>
        </w:rPr>
      </w:pPr>
      <w:r w:rsidRPr="009832FC">
        <w:rPr>
          <w:bdr w:val="nil"/>
        </w:rPr>
        <w:t>The LHN does not directly employ staff. All staff providing administrative support for the ACT Local Hospital Network are employed by the ACT Health Directorate.</w:t>
      </w:r>
      <w:bookmarkStart w:id="81" w:name="RANGE!A1:F145"/>
      <w:bookmarkStart w:id="82" w:name="803029294"/>
      <w:bookmarkEnd w:id="81"/>
      <w:bookmarkEnd w:id="82"/>
    </w:p>
    <w:p w14:paraId="6E3FC2A3" w14:textId="6BDE727E" w:rsidR="009832FC" w:rsidRPr="009832FC" w:rsidRDefault="009832FC" w:rsidP="00A958EC">
      <w:pPr>
        <w:pBdr>
          <w:top w:val="nil"/>
          <w:left w:val="nil"/>
          <w:bottom w:val="nil"/>
          <w:right w:val="nil"/>
          <w:between w:val="nil"/>
          <w:bar w:val="nil"/>
        </w:pBdr>
        <w:spacing w:before="360"/>
        <w:rPr>
          <w:rFonts w:cs="Calibri"/>
          <w:b/>
          <w:sz w:val="32"/>
          <w:bdr w:val="nil"/>
        </w:rPr>
      </w:pPr>
      <w:bookmarkStart w:id="83" w:name="_Toc514832577"/>
      <w:bookmarkStart w:id="84" w:name="_Toc483492176"/>
      <w:bookmarkStart w:id="85" w:name="_Toc483560958"/>
      <w:bookmarkStart w:id="86" w:name="_Toc483919453"/>
      <w:bookmarkStart w:id="87" w:name="_Toc484069700"/>
      <w:r w:rsidRPr="009832FC">
        <w:rPr>
          <w:rFonts w:cs="Calibri"/>
          <w:b/>
          <w:sz w:val="32"/>
          <w:bdr w:val="nil"/>
        </w:rPr>
        <w:t>Local Hospital Network - Strategic Objectives and Indicators</w:t>
      </w:r>
      <w:bookmarkEnd w:id="83"/>
      <w:r w:rsidRPr="009832FC">
        <w:rPr>
          <w:rFonts w:cs="Calibri"/>
          <w:b/>
          <w:sz w:val="32"/>
          <w:bdr w:val="nil"/>
        </w:rPr>
        <w:t xml:space="preserve"> </w:t>
      </w:r>
    </w:p>
    <w:p w14:paraId="1F1AC8A0" w14:textId="77777777" w:rsidR="009832FC" w:rsidRPr="009832FC" w:rsidRDefault="009832FC" w:rsidP="009832FC">
      <w:pPr>
        <w:keepNext/>
        <w:keepLines/>
        <w:pBdr>
          <w:top w:val="nil"/>
          <w:left w:val="nil"/>
          <w:bottom w:val="nil"/>
          <w:right w:val="nil"/>
          <w:between w:val="nil"/>
          <w:bar w:val="nil"/>
        </w:pBdr>
        <w:tabs>
          <w:tab w:val="left" w:pos="3795"/>
        </w:tabs>
        <w:spacing w:before="360"/>
        <w:contextualSpacing/>
        <w:outlineLvl w:val="2"/>
        <w:rPr>
          <w:b/>
          <w:bCs/>
          <w:sz w:val="28"/>
          <w:szCs w:val="26"/>
          <w:bdr w:val="nil"/>
        </w:rPr>
      </w:pPr>
      <w:bookmarkStart w:id="88" w:name="_Toc514832578"/>
      <w:bookmarkStart w:id="89" w:name="_Toc514832395"/>
      <w:bookmarkStart w:id="90" w:name="_Toc514765771"/>
      <w:bookmarkStart w:id="91" w:name="_Toc514764145"/>
      <w:r w:rsidRPr="009832FC">
        <w:rPr>
          <w:b/>
          <w:bCs/>
          <w:sz w:val="28"/>
          <w:szCs w:val="26"/>
          <w:bdr w:val="nil"/>
        </w:rPr>
        <w:t>Strategic Objective 1</w:t>
      </w:r>
      <w:bookmarkEnd w:id="84"/>
      <w:bookmarkEnd w:id="85"/>
      <w:bookmarkEnd w:id="86"/>
      <w:bookmarkEnd w:id="87"/>
      <w:bookmarkEnd w:id="88"/>
      <w:bookmarkEnd w:id="89"/>
      <w:bookmarkEnd w:id="90"/>
      <w:bookmarkEnd w:id="91"/>
      <w:r w:rsidRPr="009832FC">
        <w:rPr>
          <w:b/>
          <w:bCs/>
          <w:sz w:val="28"/>
          <w:szCs w:val="26"/>
          <w:bdr w:val="nil"/>
        </w:rPr>
        <w:t xml:space="preserve"> </w:t>
      </w:r>
      <w:r w:rsidRPr="009832FC">
        <w:rPr>
          <w:b/>
          <w:bCs/>
          <w:sz w:val="28"/>
          <w:szCs w:val="26"/>
          <w:bdr w:val="nil"/>
        </w:rPr>
        <w:tab/>
      </w:r>
    </w:p>
    <w:p w14:paraId="618F5AB2" w14:textId="77777777" w:rsidR="009832FC" w:rsidRPr="00374ABF" w:rsidRDefault="009832FC" w:rsidP="00374ABF">
      <w:pPr>
        <w:keepNext/>
        <w:keepLines/>
        <w:spacing w:before="360"/>
        <w:jc w:val="both"/>
        <w:outlineLvl w:val="3"/>
        <w:rPr>
          <w:b/>
          <w:i/>
        </w:rPr>
      </w:pPr>
      <w:r w:rsidRPr="00374ABF">
        <w:rPr>
          <w:b/>
          <w:i/>
        </w:rPr>
        <w:t xml:space="preserve">Establishment of an integrated planning, funding and performance monitoring framework that drives coordinated, high-quality health care service delivery </w:t>
      </w:r>
    </w:p>
    <w:p w14:paraId="53973DD2" w14:textId="77777777" w:rsidR="009832FC" w:rsidRPr="009832FC" w:rsidRDefault="009832FC" w:rsidP="009832FC">
      <w:pPr>
        <w:keepNext/>
        <w:pBdr>
          <w:top w:val="nil"/>
          <w:left w:val="nil"/>
          <w:bottom w:val="nil"/>
          <w:right w:val="nil"/>
          <w:between w:val="nil"/>
          <w:bar w:val="nil"/>
        </w:pBdr>
        <w:spacing w:before="240"/>
        <w:rPr>
          <w:b/>
          <w:bCs/>
          <w:sz w:val="22"/>
          <w:szCs w:val="18"/>
          <w:bdr w:val="nil"/>
        </w:rPr>
      </w:pPr>
      <w:r w:rsidRPr="009832FC">
        <w:rPr>
          <w:b/>
          <w:bCs/>
          <w:sz w:val="22"/>
          <w:szCs w:val="18"/>
          <w:bdr w:val="nil"/>
        </w:rPr>
        <w:t>Table 1: Number of Public Hospital Performance Agreements</w:t>
      </w:r>
    </w:p>
    <w:tbl>
      <w:tblPr>
        <w:tblW w:w="8970" w:type="dxa"/>
        <w:tblInd w:w="108" w:type="dxa"/>
        <w:tblLayout w:type="fixed"/>
        <w:tblLook w:val="04A0" w:firstRow="1" w:lastRow="0" w:firstColumn="1" w:lastColumn="0" w:noHBand="0" w:noVBand="1"/>
      </w:tblPr>
      <w:tblGrid>
        <w:gridCol w:w="4851"/>
        <w:gridCol w:w="1373"/>
        <w:gridCol w:w="1373"/>
        <w:gridCol w:w="1373"/>
      </w:tblGrid>
      <w:tr w:rsidR="009832FC" w:rsidRPr="009832FC" w14:paraId="0AE48ECB" w14:textId="77777777" w:rsidTr="00EB585F">
        <w:trPr>
          <w:trHeight w:val="147"/>
        </w:trPr>
        <w:tc>
          <w:tcPr>
            <w:tcW w:w="4848" w:type="dxa"/>
            <w:vMerge w:val="restart"/>
            <w:tcBorders>
              <w:top w:val="single" w:sz="4" w:space="0" w:color="auto"/>
              <w:left w:val="nil"/>
              <w:bottom w:val="single" w:sz="4" w:space="0" w:color="auto"/>
              <w:right w:val="nil"/>
            </w:tcBorders>
            <w:vAlign w:val="center"/>
            <w:hideMark/>
          </w:tcPr>
          <w:p w14:paraId="6C2B955A" w14:textId="77777777" w:rsidR="009832FC" w:rsidRPr="009832FC" w:rsidRDefault="009832FC" w:rsidP="009832FC">
            <w:pPr>
              <w:pBdr>
                <w:top w:val="nil"/>
                <w:left w:val="nil"/>
                <w:bottom w:val="nil"/>
                <w:right w:val="nil"/>
                <w:between w:val="nil"/>
                <w:bar w:val="nil"/>
              </w:pBdr>
              <w:spacing w:before="0" w:after="0"/>
              <w:rPr>
                <w:rFonts w:ascii="Times New Roman" w:hAnsi="Times New Roman"/>
                <w:sz w:val="20"/>
                <w:bdr w:val="nil"/>
                <w:lang w:eastAsia="en-AU"/>
              </w:rPr>
            </w:pPr>
          </w:p>
        </w:tc>
        <w:tc>
          <w:tcPr>
            <w:tcW w:w="1372" w:type="dxa"/>
            <w:tcBorders>
              <w:top w:val="single" w:sz="4" w:space="0" w:color="auto"/>
              <w:left w:val="nil"/>
              <w:bottom w:val="nil"/>
              <w:right w:val="nil"/>
            </w:tcBorders>
            <w:vAlign w:val="bottom"/>
            <w:hideMark/>
          </w:tcPr>
          <w:p w14:paraId="5F0D8565"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sz w:val="20"/>
                <w:bdr w:val="nil"/>
              </w:rPr>
            </w:pPr>
            <w:r w:rsidRPr="009832FC">
              <w:rPr>
                <w:b/>
                <w:sz w:val="20"/>
                <w:bdr w:val="nil"/>
              </w:rPr>
              <w:t xml:space="preserve">2020–21 </w:t>
            </w:r>
          </w:p>
        </w:tc>
        <w:tc>
          <w:tcPr>
            <w:tcW w:w="1372" w:type="dxa"/>
            <w:tcBorders>
              <w:top w:val="single" w:sz="4" w:space="0" w:color="auto"/>
              <w:left w:val="nil"/>
              <w:bottom w:val="nil"/>
              <w:right w:val="nil"/>
            </w:tcBorders>
            <w:vAlign w:val="bottom"/>
            <w:hideMark/>
          </w:tcPr>
          <w:p w14:paraId="24C35C85"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sz w:val="20"/>
                <w:bdr w:val="nil"/>
              </w:rPr>
            </w:pPr>
            <w:r w:rsidRPr="009832FC">
              <w:rPr>
                <w:b/>
                <w:sz w:val="20"/>
                <w:bdr w:val="nil"/>
              </w:rPr>
              <w:t>2020–21</w:t>
            </w:r>
          </w:p>
        </w:tc>
        <w:tc>
          <w:tcPr>
            <w:tcW w:w="1372" w:type="dxa"/>
            <w:tcBorders>
              <w:top w:val="single" w:sz="4" w:space="0" w:color="auto"/>
              <w:left w:val="nil"/>
              <w:bottom w:val="nil"/>
              <w:right w:val="nil"/>
            </w:tcBorders>
            <w:vAlign w:val="bottom"/>
            <w:hideMark/>
          </w:tcPr>
          <w:p w14:paraId="75C11236"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sz w:val="20"/>
                <w:bdr w:val="nil"/>
              </w:rPr>
            </w:pPr>
            <w:r w:rsidRPr="009832FC">
              <w:rPr>
                <w:b/>
                <w:sz w:val="20"/>
                <w:bdr w:val="nil"/>
              </w:rPr>
              <w:t>2021–22</w:t>
            </w:r>
          </w:p>
        </w:tc>
      </w:tr>
      <w:tr w:rsidR="009832FC" w:rsidRPr="009832FC" w14:paraId="59C2718D" w14:textId="77777777" w:rsidTr="00EB585F">
        <w:trPr>
          <w:trHeight w:val="263"/>
        </w:trPr>
        <w:tc>
          <w:tcPr>
            <w:tcW w:w="4848" w:type="dxa"/>
            <w:vMerge/>
            <w:tcBorders>
              <w:top w:val="single" w:sz="4" w:space="0" w:color="auto"/>
              <w:left w:val="nil"/>
              <w:bottom w:val="single" w:sz="4" w:space="0" w:color="auto"/>
              <w:right w:val="nil"/>
            </w:tcBorders>
            <w:vAlign w:val="center"/>
            <w:hideMark/>
          </w:tcPr>
          <w:p w14:paraId="7D46A7E2" w14:textId="77777777" w:rsidR="009832FC" w:rsidRPr="009832FC" w:rsidRDefault="009832FC" w:rsidP="009832FC">
            <w:pPr>
              <w:pBdr>
                <w:top w:val="nil"/>
                <w:left w:val="nil"/>
                <w:bottom w:val="nil"/>
                <w:right w:val="nil"/>
                <w:between w:val="nil"/>
                <w:bar w:val="nil"/>
              </w:pBdr>
              <w:spacing w:before="0" w:after="0"/>
              <w:rPr>
                <w:rFonts w:ascii="Times New Roman" w:hAnsi="Times New Roman"/>
                <w:sz w:val="20"/>
                <w:bdr w:val="nil"/>
                <w:lang w:eastAsia="en-AU"/>
              </w:rPr>
            </w:pPr>
          </w:p>
        </w:tc>
        <w:tc>
          <w:tcPr>
            <w:tcW w:w="1372" w:type="dxa"/>
            <w:tcBorders>
              <w:top w:val="nil"/>
              <w:left w:val="nil"/>
              <w:bottom w:val="single" w:sz="4" w:space="0" w:color="auto"/>
              <w:right w:val="nil"/>
            </w:tcBorders>
            <w:hideMark/>
          </w:tcPr>
          <w:p w14:paraId="1AA37467"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sz w:val="20"/>
                <w:bdr w:val="nil"/>
              </w:rPr>
            </w:pPr>
            <w:r w:rsidRPr="009832FC">
              <w:rPr>
                <w:b/>
                <w:sz w:val="20"/>
                <w:bdr w:val="nil"/>
              </w:rPr>
              <w:t>Target</w:t>
            </w:r>
          </w:p>
        </w:tc>
        <w:tc>
          <w:tcPr>
            <w:tcW w:w="1372" w:type="dxa"/>
            <w:tcBorders>
              <w:top w:val="nil"/>
              <w:left w:val="nil"/>
              <w:bottom w:val="single" w:sz="4" w:space="0" w:color="auto"/>
              <w:right w:val="nil"/>
            </w:tcBorders>
            <w:hideMark/>
          </w:tcPr>
          <w:p w14:paraId="0BB54B18"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sz w:val="20"/>
                <w:bdr w:val="nil"/>
              </w:rPr>
            </w:pPr>
            <w:r w:rsidRPr="009832FC">
              <w:rPr>
                <w:b/>
                <w:sz w:val="20"/>
                <w:bdr w:val="nil"/>
              </w:rPr>
              <w:t>Outcome</w:t>
            </w:r>
          </w:p>
        </w:tc>
        <w:tc>
          <w:tcPr>
            <w:tcW w:w="1372" w:type="dxa"/>
            <w:tcBorders>
              <w:top w:val="nil"/>
              <w:left w:val="nil"/>
              <w:bottom w:val="single" w:sz="4" w:space="0" w:color="auto"/>
              <w:right w:val="nil"/>
            </w:tcBorders>
            <w:hideMark/>
          </w:tcPr>
          <w:p w14:paraId="450E899F"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b/>
                <w:sz w:val="20"/>
                <w:bdr w:val="nil"/>
              </w:rPr>
            </w:pPr>
            <w:r w:rsidRPr="009832FC">
              <w:rPr>
                <w:b/>
                <w:sz w:val="20"/>
                <w:bdr w:val="nil"/>
              </w:rPr>
              <w:t>Target</w:t>
            </w:r>
          </w:p>
        </w:tc>
      </w:tr>
      <w:tr w:rsidR="009832FC" w:rsidRPr="009832FC" w14:paraId="4B9D7CF6" w14:textId="77777777" w:rsidTr="00EB585F">
        <w:trPr>
          <w:trHeight w:val="233"/>
        </w:trPr>
        <w:tc>
          <w:tcPr>
            <w:tcW w:w="4848" w:type="dxa"/>
            <w:tcBorders>
              <w:top w:val="single" w:sz="4" w:space="0" w:color="auto"/>
              <w:left w:val="nil"/>
              <w:right w:val="nil"/>
            </w:tcBorders>
            <w:hideMark/>
          </w:tcPr>
          <w:p w14:paraId="138B116E" w14:textId="77777777" w:rsidR="009832FC" w:rsidRPr="009832FC" w:rsidRDefault="009832FC" w:rsidP="009832FC">
            <w:pPr>
              <w:pBdr>
                <w:top w:val="nil"/>
                <w:left w:val="nil"/>
                <w:bottom w:val="nil"/>
                <w:right w:val="nil"/>
                <w:between w:val="nil"/>
                <w:bar w:val="nil"/>
              </w:pBdr>
              <w:spacing w:before="0" w:after="0"/>
              <w:ind w:left="227" w:hanging="227"/>
              <w:rPr>
                <w:bCs/>
                <w:sz w:val="20"/>
                <w:bdr w:val="nil"/>
                <w:lang w:eastAsia="en-AU"/>
              </w:rPr>
            </w:pPr>
            <w:r w:rsidRPr="009832FC">
              <w:rPr>
                <w:bCs/>
                <w:sz w:val="20"/>
                <w:bdr w:val="nil"/>
                <w:lang w:eastAsia="en-AU"/>
              </w:rPr>
              <w:t>Performance Agreements with Public Hospital Service Providers in place</w:t>
            </w:r>
            <w:r w:rsidRPr="009832FC">
              <w:rPr>
                <w:bCs/>
                <w:sz w:val="20"/>
                <w:bdr w:val="nil"/>
                <w:vertAlign w:val="superscript"/>
                <w:lang w:eastAsia="en-AU"/>
              </w:rPr>
              <w:t>1</w:t>
            </w:r>
            <w:r w:rsidRPr="009832FC">
              <w:rPr>
                <w:bCs/>
                <w:sz w:val="20"/>
                <w:bdr w:val="nil"/>
                <w:lang w:eastAsia="en-AU"/>
              </w:rPr>
              <w:t xml:space="preserve"> </w:t>
            </w:r>
          </w:p>
        </w:tc>
        <w:tc>
          <w:tcPr>
            <w:tcW w:w="1372" w:type="dxa"/>
            <w:tcBorders>
              <w:top w:val="single" w:sz="4" w:space="0" w:color="auto"/>
              <w:left w:val="nil"/>
              <w:right w:val="nil"/>
            </w:tcBorders>
            <w:hideMark/>
          </w:tcPr>
          <w:p w14:paraId="59286F51" w14:textId="77777777" w:rsidR="009832FC" w:rsidRPr="009832FC" w:rsidRDefault="009832FC" w:rsidP="009832FC">
            <w:pPr>
              <w:pBdr>
                <w:top w:val="nil"/>
                <w:left w:val="nil"/>
                <w:bottom w:val="nil"/>
                <w:right w:val="nil"/>
                <w:between w:val="nil"/>
                <w:bar w:val="nil"/>
              </w:pBdr>
              <w:spacing w:before="0" w:after="0"/>
              <w:ind w:left="227" w:hanging="227"/>
              <w:jc w:val="right"/>
              <w:rPr>
                <w:sz w:val="20"/>
                <w:bdr w:val="nil"/>
                <w:lang w:eastAsia="en-AU"/>
              </w:rPr>
            </w:pPr>
            <w:r w:rsidRPr="009832FC">
              <w:rPr>
                <w:sz w:val="20"/>
                <w:bdr w:val="nil"/>
                <w:lang w:eastAsia="en-AU"/>
              </w:rPr>
              <w:t>2</w:t>
            </w:r>
          </w:p>
        </w:tc>
        <w:tc>
          <w:tcPr>
            <w:tcW w:w="1372" w:type="dxa"/>
            <w:tcBorders>
              <w:top w:val="single" w:sz="4" w:space="0" w:color="auto"/>
              <w:left w:val="nil"/>
              <w:right w:val="nil"/>
            </w:tcBorders>
            <w:hideMark/>
          </w:tcPr>
          <w:p w14:paraId="7F4365C4" w14:textId="77777777" w:rsidR="009832FC" w:rsidRPr="009832FC" w:rsidRDefault="009832FC" w:rsidP="009832FC">
            <w:pPr>
              <w:pBdr>
                <w:top w:val="nil"/>
                <w:left w:val="nil"/>
                <w:bottom w:val="nil"/>
                <w:right w:val="nil"/>
                <w:between w:val="nil"/>
                <w:bar w:val="nil"/>
              </w:pBdr>
              <w:spacing w:before="0" w:after="0"/>
              <w:ind w:left="227" w:hanging="227"/>
              <w:jc w:val="right"/>
              <w:rPr>
                <w:sz w:val="20"/>
                <w:bdr w:val="nil"/>
                <w:lang w:eastAsia="en-AU"/>
              </w:rPr>
            </w:pPr>
            <w:r w:rsidRPr="009832FC">
              <w:rPr>
                <w:sz w:val="20"/>
                <w:bdr w:val="nil"/>
                <w:lang w:eastAsia="en-AU"/>
              </w:rPr>
              <w:t>2</w:t>
            </w:r>
          </w:p>
        </w:tc>
        <w:tc>
          <w:tcPr>
            <w:tcW w:w="1372" w:type="dxa"/>
            <w:tcBorders>
              <w:top w:val="single" w:sz="4" w:space="0" w:color="auto"/>
              <w:left w:val="nil"/>
              <w:right w:val="nil"/>
            </w:tcBorders>
            <w:hideMark/>
          </w:tcPr>
          <w:p w14:paraId="57A40D42" w14:textId="77777777" w:rsidR="009832FC" w:rsidRPr="009832FC" w:rsidRDefault="009832FC" w:rsidP="009832FC">
            <w:pPr>
              <w:pBdr>
                <w:top w:val="nil"/>
                <w:left w:val="nil"/>
                <w:bottom w:val="nil"/>
                <w:right w:val="nil"/>
                <w:between w:val="nil"/>
                <w:bar w:val="nil"/>
              </w:pBdr>
              <w:spacing w:before="0" w:after="0"/>
              <w:ind w:left="227" w:hanging="227"/>
              <w:jc w:val="right"/>
              <w:rPr>
                <w:sz w:val="20"/>
                <w:bdr w:val="nil"/>
                <w:lang w:eastAsia="en-AU"/>
              </w:rPr>
            </w:pPr>
            <w:r w:rsidRPr="009832FC">
              <w:rPr>
                <w:sz w:val="20"/>
                <w:bdr w:val="nil"/>
                <w:lang w:eastAsia="en-AU"/>
              </w:rPr>
              <w:t>n/a</w:t>
            </w:r>
          </w:p>
        </w:tc>
      </w:tr>
      <w:tr w:rsidR="009832FC" w:rsidRPr="009832FC" w14:paraId="737A5FB6" w14:textId="77777777" w:rsidTr="00EB585F">
        <w:trPr>
          <w:trHeight w:val="233"/>
        </w:trPr>
        <w:tc>
          <w:tcPr>
            <w:tcW w:w="4848" w:type="dxa"/>
            <w:tcBorders>
              <w:left w:val="nil"/>
              <w:bottom w:val="single" w:sz="4" w:space="0" w:color="auto"/>
              <w:right w:val="nil"/>
            </w:tcBorders>
            <w:hideMark/>
          </w:tcPr>
          <w:p w14:paraId="73CFB6FD" w14:textId="77777777" w:rsidR="009832FC" w:rsidRPr="009832FC" w:rsidRDefault="009832FC" w:rsidP="009832FC">
            <w:pPr>
              <w:pBdr>
                <w:top w:val="nil"/>
                <w:left w:val="nil"/>
                <w:bottom w:val="nil"/>
                <w:right w:val="nil"/>
                <w:between w:val="nil"/>
                <w:bar w:val="nil"/>
              </w:pBdr>
              <w:spacing w:before="0" w:after="0"/>
              <w:ind w:left="227" w:hanging="227"/>
              <w:rPr>
                <w:bCs/>
                <w:sz w:val="20"/>
                <w:bdr w:val="nil"/>
                <w:lang w:eastAsia="en-AU"/>
              </w:rPr>
            </w:pPr>
            <w:r w:rsidRPr="009832FC">
              <w:rPr>
                <w:bCs/>
                <w:sz w:val="20"/>
                <w:bdr w:val="nil"/>
                <w:lang w:eastAsia="en-AU"/>
              </w:rPr>
              <w:t>Funding and performance agreements in place with all ACT Local Hospital Network non-government providers</w:t>
            </w:r>
            <w:r w:rsidRPr="009832FC">
              <w:rPr>
                <w:bCs/>
                <w:sz w:val="20"/>
                <w:bdr w:val="nil"/>
                <w:vertAlign w:val="superscript"/>
                <w:lang w:eastAsia="en-AU"/>
              </w:rPr>
              <w:t>2</w:t>
            </w:r>
          </w:p>
        </w:tc>
        <w:tc>
          <w:tcPr>
            <w:tcW w:w="1372" w:type="dxa"/>
            <w:tcBorders>
              <w:left w:val="nil"/>
              <w:bottom w:val="single" w:sz="4" w:space="0" w:color="auto"/>
              <w:right w:val="nil"/>
            </w:tcBorders>
            <w:hideMark/>
          </w:tcPr>
          <w:p w14:paraId="02AC0F03" w14:textId="77777777" w:rsidR="009832FC" w:rsidRPr="009832FC" w:rsidRDefault="009832FC" w:rsidP="009832FC">
            <w:pPr>
              <w:pBdr>
                <w:top w:val="nil"/>
                <w:left w:val="nil"/>
                <w:bottom w:val="nil"/>
                <w:right w:val="nil"/>
                <w:between w:val="nil"/>
                <w:bar w:val="nil"/>
              </w:pBdr>
              <w:spacing w:before="0" w:after="0"/>
              <w:ind w:left="227" w:hanging="227"/>
              <w:jc w:val="right"/>
              <w:rPr>
                <w:sz w:val="20"/>
                <w:bdr w:val="nil"/>
                <w:lang w:eastAsia="en-AU"/>
              </w:rPr>
            </w:pPr>
            <w:r w:rsidRPr="009832FC">
              <w:rPr>
                <w:sz w:val="20"/>
                <w:bdr w:val="nil"/>
                <w:lang w:eastAsia="en-AU"/>
              </w:rPr>
              <w:t>n/a</w:t>
            </w:r>
          </w:p>
        </w:tc>
        <w:tc>
          <w:tcPr>
            <w:tcW w:w="1372" w:type="dxa"/>
            <w:tcBorders>
              <w:left w:val="nil"/>
              <w:bottom w:val="single" w:sz="4" w:space="0" w:color="auto"/>
              <w:right w:val="nil"/>
            </w:tcBorders>
          </w:tcPr>
          <w:p w14:paraId="1DC88663" w14:textId="77777777" w:rsidR="009832FC" w:rsidRPr="009832FC" w:rsidRDefault="009832FC" w:rsidP="009832FC">
            <w:pPr>
              <w:pBdr>
                <w:top w:val="nil"/>
                <w:left w:val="nil"/>
                <w:bottom w:val="nil"/>
                <w:right w:val="nil"/>
                <w:between w:val="nil"/>
                <w:bar w:val="nil"/>
              </w:pBdr>
              <w:spacing w:before="0" w:after="0"/>
              <w:ind w:left="227" w:hanging="227"/>
              <w:jc w:val="right"/>
              <w:rPr>
                <w:sz w:val="20"/>
                <w:bdr w:val="nil"/>
                <w:lang w:eastAsia="en-AU"/>
              </w:rPr>
            </w:pPr>
            <w:r w:rsidRPr="009832FC">
              <w:rPr>
                <w:sz w:val="20"/>
                <w:bdr w:val="nil"/>
                <w:lang w:eastAsia="en-AU"/>
              </w:rPr>
              <w:t>n/a</w:t>
            </w:r>
          </w:p>
        </w:tc>
        <w:tc>
          <w:tcPr>
            <w:tcW w:w="1372" w:type="dxa"/>
            <w:tcBorders>
              <w:left w:val="nil"/>
              <w:bottom w:val="single" w:sz="4" w:space="0" w:color="auto"/>
              <w:right w:val="nil"/>
            </w:tcBorders>
            <w:hideMark/>
          </w:tcPr>
          <w:p w14:paraId="30D84275" w14:textId="77777777" w:rsidR="009832FC" w:rsidRPr="009832FC" w:rsidRDefault="009832FC" w:rsidP="009832FC">
            <w:pPr>
              <w:pBdr>
                <w:top w:val="nil"/>
                <w:left w:val="nil"/>
                <w:bottom w:val="nil"/>
                <w:right w:val="nil"/>
                <w:between w:val="nil"/>
                <w:bar w:val="nil"/>
              </w:pBdr>
              <w:spacing w:before="0" w:after="0"/>
              <w:ind w:left="227" w:hanging="227"/>
              <w:jc w:val="right"/>
              <w:rPr>
                <w:sz w:val="20"/>
                <w:bdr w:val="nil"/>
                <w:lang w:eastAsia="en-AU"/>
              </w:rPr>
            </w:pPr>
            <w:r w:rsidRPr="009832FC">
              <w:rPr>
                <w:sz w:val="20"/>
                <w:bdr w:val="nil"/>
                <w:lang w:eastAsia="en-AU"/>
              </w:rPr>
              <w:t>100%</w:t>
            </w:r>
          </w:p>
        </w:tc>
      </w:tr>
    </w:tbl>
    <w:p w14:paraId="38B6C7D2" w14:textId="77777777" w:rsidR="009832FC" w:rsidRPr="009832FC" w:rsidRDefault="009832FC" w:rsidP="009832FC">
      <w:pPr>
        <w:keepNext/>
        <w:pBdr>
          <w:top w:val="nil"/>
          <w:left w:val="nil"/>
          <w:bottom w:val="nil"/>
          <w:right w:val="nil"/>
          <w:between w:val="nil"/>
          <w:bar w:val="nil"/>
        </w:pBdr>
        <w:spacing w:before="120" w:after="0"/>
        <w:rPr>
          <w:rFonts w:cs="Calibri"/>
          <w:b/>
          <w:sz w:val="16"/>
          <w:szCs w:val="16"/>
          <w:bdr w:val="nil"/>
        </w:rPr>
      </w:pPr>
      <w:r w:rsidRPr="009832FC">
        <w:rPr>
          <w:rFonts w:cs="Calibri"/>
          <w:b/>
          <w:sz w:val="16"/>
          <w:szCs w:val="16"/>
          <w:bdr w:val="nil"/>
        </w:rPr>
        <w:t>Notes:</w:t>
      </w:r>
    </w:p>
    <w:p w14:paraId="571CA31F" w14:textId="77777777" w:rsidR="009832FC" w:rsidRPr="009832FC" w:rsidRDefault="009832FC" w:rsidP="00812F22">
      <w:pPr>
        <w:numPr>
          <w:ilvl w:val="0"/>
          <w:numId w:val="51"/>
        </w:numPr>
        <w:pBdr>
          <w:top w:val="nil"/>
          <w:left w:val="nil"/>
          <w:bottom w:val="nil"/>
          <w:right w:val="nil"/>
          <w:between w:val="nil"/>
          <w:bar w:val="nil"/>
        </w:pBdr>
        <w:spacing w:before="0" w:after="0"/>
        <w:jc w:val="both"/>
        <w:rPr>
          <w:rFonts w:cs="Calibri"/>
          <w:sz w:val="16"/>
          <w:szCs w:val="16"/>
          <w:bdr w:val="nil"/>
        </w:rPr>
      </w:pPr>
      <w:r w:rsidRPr="009832FC">
        <w:rPr>
          <w:rFonts w:cs="Calibri"/>
          <w:sz w:val="16"/>
          <w:szCs w:val="16"/>
          <w:bdr w:val="nil"/>
        </w:rPr>
        <w:t>This Strategic Indicator is being replace by the following indicator.</w:t>
      </w:r>
    </w:p>
    <w:p w14:paraId="00AAC251" w14:textId="77777777" w:rsidR="009832FC" w:rsidRPr="009832FC" w:rsidRDefault="009832FC" w:rsidP="00812F22">
      <w:pPr>
        <w:numPr>
          <w:ilvl w:val="0"/>
          <w:numId w:val="51"/>
        </w:numPr>
        <w:pBdr>
          <w:top w:val="nil"/>
          <w:left w:val="nil"/>
          <w:bottom w:val="nil"/>
          <w:right w:val="nil"/>
          <w:between w:val="nil"/>
          <w:bar w:val="nil"/>
        </w:pBdr>
        <w:spacing w:before="0" w:after="0"/>
        <w:jc w:val="both"/>
        <w:rPr>
          <w:rFonts w:cs="Calibri"/>
          <w:sz w:val="16"/>
          <w:szCs w:val="16"/>
          <w:bdr w:val="nil"/>
        </w:rPr>
      </w:pPr>
      <w:r w:rsidRPr="009832FC">
        <w:rPr>
          <w:rFonts w:cs="Calibri"/>
          <w:sz w:val="16"/>
          <w:szCs w:val="16"/>
          <w:bdr w:val="nil"/>
        </w:rPr>
        <w:t>This measure will extend to the performance of all ACT Local Hospital Network providers other than Canberra Health Services (this includes Calvary Health Care ACT, Tresillian and private hospitals). Canberra Health Services (CHS) is excluded from this measure as the mechanism to monitor CHS funding and performance is through the CHS Budget Statements.</w:t>
      </w:r>
    </w:p>
    <w:p w14:paraId="31ED600A" w14:textId="0BE09199" w:rsidR="009832FC" w:rsidRPr="009832FC" w:rsidRDefault="009832FC" w:rsidP="009832FC">
      <w:pPr>
        <w:keepNext/>
        <w:pageBreakBefore/>
        <w:pBdr>
          <w:top w:val="nil"/>
          <w:left w:val="nil"/>
          <w:bottom w:val="nil"/>
          <w:right w:val="nil"/>
          <w:between w:val="nil"/>
          <w:bar w:val="nil"/>
        </w:pBdr>
        <w:spacing w:before="360"/>
        <w:outlineLvl w:val="1"/>
        <w:rPr>
          <w:b/>
          <w:snapToGrid w:val="0"/>
          <w:sz w:val="32"/>
          <w:bdr w:val="nil"/>
        </w:rPr>
      </w:pPr>
      <w:bookmarkStart w:id="92" w:name="_Toc83910760"/>
      <w:r w:rsidRPr="009832FC">
        <w:rPr>
          <w:b/>
          <w:snapToGrid w:val="0"/>
          <w:sz w:val="32"/>
          <w:bdr w:val="nil"/>
        </w:rPr>
        <w:lastRenderedPageBreak/>
        <w:t>Output Classes</w:t>
      </w:r>
      <w:bookmarkEnd w:id="92"/>
    </w:p>
    <w:p w14:paraId="7A8A2577" w14:textId="77777777" w:rsidR="009832FC" w:rsidRPr="009832FC" w:rsidRDefault="009832FC" w:rsidP="009832FC">
      <w:pPr>
        <w:pBdr>
          <w:top w:val="nil"/>
          <w:left w:val="nil"/>
          <w:bottom w:val="nil"/>
          <w:right w:val="nil"/>
          <w:between w:val="nil"/>
          <w:bar w:val="nil"/>
        </w:pBdr>
        <w:jc w:val="both"/>
        <w:rPr>
          <w:sz w:val="22"/>
          <w:bdr w:val="nil"/>
        </w:rPr>
      </w:pPr>
      <w:r w:rsidRPr="009832FC">
        <w:rPr>
          <w:bdr w:val="nil"/>
        </w:rPr>
        <w:t xml:space="preserve">The LHN will receive funding under the NHRA and fund public hospital services mainly from Canberra Health Services, Calvary Health Care ACT Limited and Tresillian Family Care Centres.  </w:t>
      </w:r>
    </w:p>
    <w:p w14:paraId="20CC36AA" w14:textId="77777777" w:rsidR="009832FC" w:rsidRPr="009832FC" w:rsidRDefault="009832FC" w:rsidP="009832FC">
      <w:pPr>
        <w:pBdr>
          <w:top w:val="nil"/>
          <w:left w:val="nil"/>
          <w:bottom w:val="nil"/>
          <w:right w:val="nil"/>
          <w:between w:val="nil"/>
          <w:bar w:val="nil"/>
        </w:pBdr>
        <w:jc w:val="both"/>
        <w:rPr>
          <w:bdr w:val="nil"/>
        </w:rPr>
      </w:pPr>
      <w:r w:rsidRPr="009832FC">
        <w:rPr>
          <w:bdr w:val="nil"/>
        </w:rPr>
        <w:t xml:space="preserve">The NHRA commits the Commonwealth to fund public hospitals using Activity Based Funding for in-scope services using the National Efficient Price (NEP) determined by the Independent Hospital Pricing Authority (IHPA).  </w:t>
      </w:r>
      <w:r w:rsidRPr="009832FC">
        <w:rPr>
          <w:rFonts w:cs="Arial"/>
          <w:color w:val="222222"/>
          <w:bdr w:val="nil"/>
        </w:rPr>
        <w:t xml:space="preserve">The </w:t>
      </w:r>
      <w:r w:rsidRPr="009832FC">
        <w:rPr>
          <w:rFonts w:cs="Arial"/>
          <w:bCs/>
          <w:color w:val="222222"/>
          <w:bdr w:val="nil"/>
        </w:rPr>
        <w:t>NEP</w:t>
      </w:r>
      <w:r w:rsidRPr="009832FC">
        <w:rPr>
          <w:rFonts w:cs="Arial"/>
          <w:color w:val="222222"/>
          <w:bdr w:val="nil"/>
        </w:rPr>
        <w:t xml:space="preserve"> is based on the projected average cost of a </w:t>
      </w:r>
      <w:r w:rsidRPr="009832FC">
        <w:rPr>
          <w:rFonts w:cs="Arial"/>
          <w:bCs/>
          <w:color w:val="222222"/>
          <w:bdr w:val="nil"/>
        </w:rPr>
        <w:t>National Weighted Activity Unit</w:t>
      </w:r>
      <w:r w:rsidRPr="009832FC">
        <w:rPr>
          <w:rFonts w:cs="Arial"/>
          <w:color w:val="222222"/>
          <w:bdr w:val="nil"/>
        </w:rPr>
        <w:t xml:space="preserve"> (NWAU).  The LHN also receives block funding from the Commonwealth for services not in scope to be funded on an activity basis.</w:t>
      </w:r>
    </w:p>
    <w:p w14:paraId="5559CD55" w14:textId="77777777" w:rsidR="009832FC" w:rsidRPr="009832FC" w:rsidRDefault="009832FC" w:rsidP="009832FC">
      <w:pPr>
        <w:pBdr>
          <w:top w:val="nil"/>
          <w:left w:val="nil"/>
          <w:bottom w:val="nil"/>
          <w:right w:val="nil"/>
          <w:between w:val="nil"/>
          <w:bar w:val="nil"/>
        </w:pBdr>
        <w:jc w:val="both"/>
        <w:rPr>
          <w:bdr w:val="nil"/>
        </w:rPr>
      </w:pPr>
      <w:r w:rsidRPr="009832FC">
        <w:rPr>
          <w:bdr w:val="nil"/>
        </w:rPr>
        <w:t>NWAU is the measure of health service activity used by the Commonwealth under the NHRA.  The NEP is expressed as a price per NWAU.  The NWAU measure provides a way of comparing and valuing each public hospital service (whether it is an admission, emergency department presentation or outpatient episode), by weighting it for its clinical complexity.  The average hospital service is worth one NWAU – the most intensive and expensive activities are worth multiple NWAUs, the simplest and least expensive activities are worth fractions of an NWAU.  NWAUs are reviewed and updated by IHPA annually.</w:t>
      </w:r>
    </w:p>
    <w:p w14:paraId="71270AD8" w14:textId="7DCE60FE" w:rsidR="009832FC" w:rsidRDefault="009832FC" w:rsidP="009832FC">
      <w:pPr>
        <w:pBdr>
          <w:top w:val="nil"/>
          <w:left w:val="nil"/>
          <w:bottom w:val="nil"/>
          <w:right w:val="nil"/>
          <w:between w:val="nil"/>
          <w:bar w:val="nil"/>
        </w:pBdr>
        <w:rPr>
          <w:bdr w:val="nil"/>
        </w:rPr>
      </w:pPr>
      <w:r w:rsidRPr="009832FC">
        <w:rPr>
          <w:bdr w:val="nil"/>
        </w:rPr>
        <w:t>The 2021-22 National Efficient Price is $5,597 per NWAU.</w:t>
      </w:r>
    </w:p>
    <w:p w14:paraId="716BDA38" w14:textId="77777777" w:rsidR="00A958EC" w:rsidRPr="009832FC" w:rsidRDefault="00A958EC" w:rsidP="009832FC">
      <w:pPr>
        <w:pBdr>
          <w:top w:val="nil"/>
          <w:left w:val="nil"/>
          <w:bottom w:val="nil"/>
          <w:right w:val="nil"/>
          <w:between w:val="nil"/>
          <w:bar w:val="nil"/>
        </w:pBdr>
        <w:rPr>
          <w:bdr w:val="nil"/>
        </w:rPr>
      </w:pPr>
    </w:p>
    <w:p w14:paraId="01D7FFED" w14:textId="77777777" w:rsidR="009832FC" w:rsidRPr="009832FC" w:rsidRDefault="009832FC" w:rsidP="00A958EC">
      <w:pPr>
        <w:keepNext/>
        <w:keepLines/>
        <w:pBdr>
          <w:top w:val="nil"/>
          <w:left w:val="nil"/>
          <w:bottom w:val="nil"/>
          <w:right w:val="nil"/>
          <w:between w:val="nil"/>
          <w:bar w:val="nil"/>
        </w:pBdr>
        <w:spacing w:before="360"/>
        <w:contextualSpacing/>
        <w:outlineLvl w:val="2"/>
        <w:rPr>
          <w:b/>
          <w:bCs/>
          <w:sz w:val="28"/>
          <w:szCs w:val="26"/>
          <w:bdr w:val="nil"/>
        </w:rPr>
      </w:pPr>
      <w:r w:rsidRPr="009832FC">
        <w:rPr>
          <w:b/>
          <w:bCs/>
          <w:sz w:val="28"/>
          <w:szCs w:val="26"/>
          <w:bdr w:val="nil"/>
        </w:rPr>
        <w:t>Output Class 1: ACT Local Hospital Network</w:t>
      </w:r>
    </w:p>
    <w:p w14:paraId="5681D986" w14:textId="77777777" w:rsidR="009832FC" w:rsidRPr="009832FC" w:rsidRDefault="009832FC" w:rsidP="00374ABF">
      <w:pPr>
        <w:keepNext/>
        <w:pBdr>
          <w:top w:val="nil"/>
          <w:left w:val="nil"/>
          <w:bottom w:val="nil"/>
          <w:right w:val="nil"/>
          <w:between w:val="nil"/>
          <w:bar w:val="nil"/>
        </w:pBdr>
        <w:spacing w:before="360"/>
        <w:rPr>
          <w:b/>
          <w:bCs/>
          <w:color w:val="000000"/>
          <w:sz w:val="22"/>
          <w:szCs w:val="18"/>
          <w:bdr w:val="nil"/>
        </w:rPr>
      </w:pPr>
      <w:r w:rsidRPr="009832FC">
        <w:rPr>
          <w:b/>
          <w:bCs/>
          <w:color w:val="000000"/>
          <w:sz w:val="22"/>
          <w:szCs w:val="18"/>
          <w:bdr w:val="nil"/>
        </w:rPr>
        <w:t>Table 2: Output Class 1: ACT Local Hospital Network</w:t>
      </w:r>
    </w:p>
    <w:tbl>
      <w:tblPr>
        <w:tblW w:w="9060" w:type="dxa"/>
        <w:tblLayout w:type="fixed"/>
        <w:tblLook w:val="0600" w:firstRow="0" w:lastRow="0" w:firstColumn="0" w:lastColumn="0" w:noHBand="1" w:noVBand="1"/>
      </w:tblPr>
      <w:tblGrid>
        <w:gridCol w:w="4695"/>
        <w:gridCol w:w="540"/>
        <w:gridCol w:w="2175"/>
        <w:gridCol w:w="1650"/>
      </w:tblGrid>
      <w:tr w:rsidR="009832FC" w:rsidRPr="009832FC" w14:paraId="31EDC8A8" w14:textId="77777777" w:rsidTr="00EB585F">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tcPr>
          <w:p w14:paraId="4E82CCE3"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cBorders>
            <w:noWrap/>
            <w:tcMar>
              <w:top w:w="0" w:type="dxa"/>
              <w:left w:w="40" w:type="dxa"/>
              <w:bottom w:w="0" w:type="dxa"/>
              <w:right w:w="40" w:type="dxa"/>
            </w:tcMar>
          </w:tcPr>
          <w:p w14:paraId="0AFAFDD4"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hideMark/>
          </w:tcPr>
          <w:p w14:paraId="59E86DEE"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18"/>
                <w:bdr w:val="nil"/>
              </w:rPr>
            </w:pPr>
            <w:r w:rsidRPr="009832FC">
              <w:rPr>
                <w:rFonts w:eastAsia="Calibri" w:cs="Calibri"/>
                <w:b/>
                <w:color w:val="000000"/>
                <w:sz w:val="18"/>
                <w:bdr w:val="nil"/>
              </w:rPr>
              <w:t>2020-21</w:t>
            </w:r>
          </w:p>
        </w:tc>
        <w:tc>
          <w:tcPr>
            <w:tcW w:w="1650" w:type="dxa"/>
            <w:tcBorders>
              <w:top w:val="single" w:sz="4" w:space="0" w:color="000000"/>
              <w:left w:val="nil"/>
              <w:bottom w:val="nil"/>
              <w:right w:val="nil"/>
            </w:tcBorders>
            <w:noWrap/>
            <w:tcMar>
              <w:top w:w="0" w:type="dxa"/>
              <w:left w:w="40" w:type="dxa"/>
              <w:bottom w:w="0" w:type="dxa"/>
              <w:right w:w="40" w:type="dxa"/>
            </w:tcMar>
            <w:hideMark/>
          </w:tcPr>
          <w:p w14:paraId="44CE1AFA"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18"/>
                <w:bdr w:val="nil"/>
              </w:rPr>
            </w:pPr>
            <w:r w:rsidRPr="009832FC">
              <w:rPr>
                <w:rFonts w:eastAsia="Calibri" w:cs="Calibri"/>
                <w:b/>
                <w:color w:val="000000"/>
                <w:sz w:val="18"/>
                <w:bdr w:val="nil"/>
              </w:rPr>
              <w:t>2021-22</w:t>
            </w:r>
          </w:p>
        </w:tc>
      </w:tr>
      <w:tr w:rsidR="009832FC" w:rsidRPr="009832FC" w14:paraId="0940300E" w14:textId="77777777" w:rsidTr="00EB585F">
        <w:trPr>
          <w:trHeight w:hRule="exact" w:val="240"/>
        </w:trPr>
        <w:tc>
          <w:tcPr>
            <w:tcW w:w="4695" w:type="dxa"/>
            <w:noWrap/>
            <w:tcMar>
              <w:top w:w="0" w:type="dxa"/>
              <w:left w:w="40" w:type="dxa"/>
              <w:bottom w:w="0" w:type="dxa"/>
              <w:right w:w="40" w:type="dxa"/>
            </w:tcMar>
          </w:tcPr>
          <w:p w14:paraId="0A3794B9"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18"/>
                <w:bdr w:val="nil"/>
              </w:rPr>
            </w:pPr>
          </w:p>
        </w:tc>
        <w:tc>
          <w:tcPr>
            <w:tcW w:w="540" w:type="dxa"/>
            <w:noWrap/>
            <w:tcMar>
              <w:top w:w="0" w:type="dxa"/>
              <w:left w:w="40" w:type="dxa"/>
              <w:bottom w:w="0" w:type="dxa"/>
              <w:right w:w="40" w:type="dxa"/>
            </w:tcMar>
          </w:tcPr>
          <w:p w14:paraId="11513FD2"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18"/>
                <w:bdr w:val="nil"/>
              </w:rPr>
            </w:pPr>
          </w:p>
        </w:tc>
        <w:tc>
          <w:tcPr>
            <w:tcW w:w="2175" w:type="dxa"/>
            <w:noWrap/>
            <w:tcMar>
              <w:top w:w="0" w:type="dxa"/>
              <w:left w:w="40" w:type="dxa"/>
              <w:bottom w:w="0" w:type="dxa"/>
              <w:right w:w="40" w:type="dxa"/>
            </w:tcMar>
            <w:hideMark/>
          </w:tcPr>
          <w:p w14:paraId="750A211F"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18"/>
                <w:bdr w:val="nil"/>
              </w:rPr>
            </w:pPr>
            <w:r w:rsidRPr="009832FC">
              <w:rPr>
                <w:rFonts w:eastAsia="Calibri" w:cs="Calibri"/>
                <w:b/>
                <w:color w:val="000000"/>
                <w:sz w:val="18"/>
                <w:bdr w:val="nil"/>
              </w:rPr>
              <w:t>Interim Outcome</w:t>
            </w:r>
          </w:p>
        </w:tc>
        <w:tc>
          <w:tcPr>
            <w:tcW w:w="1650" w:type="dxa"/>
            <w:noWrap/>
            <w:tcMar>
              <w:top w:w="0" w:type="dxa"/>
              <w:left w:w="40" w:type="dxa"/>
              <w:bottom w:w="0" w:type="dxa"/>
              <w:right w:w="40" w:type="dxa"/>
            </w:tcMar>
            <w:hideMark/>
          </w:tcPr>
          <w:p w14:paraId="20A58731"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18"/>
                <w:bdr w:val="nil"/>
              </w:rPr>
            </w:pPr>
            <w:r w:rsidRPr="009832FC">
              <w:rPr>
                <w:rFonts w:eastAsia="Calibri" w:cs="Calibri"/>
                <w:b/>
                <w:color w:val="000000"/>
                <w:sz w:val="18"/>
                <w:bdr w:val="nil"/>
              </w:rPr>
              <w:t>Budget</w:t>
            </w:r>
          </w:p>
        </w:tc>
      </w:tr>
      <w:tr w:rsidR="009832FC" w:rsidRPr="009832FC" w14:paraId="60FF0A71" w14:textId="77777777" w:rsidTr="00EB585F">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7E8046F9"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1A2FC003" w14:textId="77777777" w:rsidR="009832FC" w:rsidRPr="009832FC" w:rsidRDefault="009832FC" w:rsidP="009832FC">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34E5E8D0"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18"/>
                <w:bdr w:val="nil"/>
              </w:rPr>
            </w:pPr>
            <w:r w:rsidRPr="009832FC">
              <w:rPr>
                <w:rFonts w:eastAsia="Calibri" w:cs="Calibri"/>
                <w:b/>
                <w:color w:val="000000"/>
                <w:sz w:val="18"/>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73215677" w14:textId="77777777" w:rsidR="009832FC" w:rsidRPr="009832FC" w:rsidRDefault="009832FC" w:rsidP="009832FC">
            <w:pPr>
              <w:pBdr>
                <w:top w:val="nil"/>
                <w:left w:val="nil"/>
                <w:bottom w:val="nil"/>
                <w:right w:val="nil"/>
                <w:between w:val="nil"/>
                <w:bar w:val="nil"/>
              </w:pBdr>
              <w:spacing w:before="0" w:after="0"/>
              <w:jc w:val="right"/>
              <w:rPr>
                <w:rFonts w:eastAsia="Calibri" w:cs="Calibri"/>
                <w:b/>
                <w:color w:val="000000"/>
                <w:sz w:val="18"/>
                <w:bdr w:val="nil"/>
              </w:rPr>
            </w:pPr>
            <w:r w:rsidRPr="009832FC">
              <w:rPr>
                <w:rFonts w:eastAsia="Calibri" w:cs="Calibri"/>
                <w:b/>
                <w:color w:val="000000"/>
                <w:sz w:val="18"/>
                <w:bdr w:val="nil"/>
              </w:rPr>
              <w:t>$'000</w:t>
            </w:r>
          </w:p>
        </w:tc>
      </w:tr>
      <w:tr w:rsidR="009832FC" w:rsidRPr="009832FC" w14:paraId="76E9F15C" w14:textId="77777777" w:rsidTr="00EB585F">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33406A97" w14:textId="77777777" w:rsidR="009832FC" w:rsidRPr="009832FC" w:rsidRDefault="009832FC" w:rsidP="009832FC">
            <w:pPr>
              <w:pBdr>
                <w:top w:val="nil"/>
                <w:left w:val="nil"/>
                <w:bottom w:val="nil"/>
                <w:right w:val="nil"/>
                <w:between w:val="nil"/>
                <w:bar w:val="nil"/>
              </w:pBdr>
              <w:spacing w:before="0" w:after="0"/>
              <w:rPr>
                <w:rFonts w:eastAsia="Calibri" w:cs="Calibri"/>
                <w:bCs/>
                <w:color w:val="000000"/>
                <w:sz w:val="18"/>
                <w:bdr w:val="nil"/>
              </w:rPr>
            </w:pPr>
            <w:r w:rsidRPr="009832FC">
              <w:rPr>
                <w:rFonts w:eastAsia="Calibri" w:cs="Calibri"/>
                <w:bCs/>
                <w:color w:val="000000"/>
                <w:sz w:val="18"/>
                <w:bdr w:val="nil"/>
              </w:rPr>
              <w:t>Total Cost</w:t>
            </w:r>
          </w:p>
        </w:tc>
        <w:tc>
          <w:tcPr>
            <w:tcW w:w="540" w:type="dxa"/>
            <w:tcBorders>
              <w:top w:val="single" w:sz="4" w:space="0" w:color="000000"/>
              <w:left w:val="nil"/>
              <w:bottom w:val="nil"/>
              <w:right w:val="nil"/>
            </w:tcBorders>
            <w:noWrap/>
            <w:tcMar>
              <w:top w:w="0" w:type="dxa"/>
              <w:left w:w="40" w:type="dxa"/>
              <w:bottom w:w="0" w:type="dxa"/>
              <w:right w:w="40" w:type="dxa"/>
            </w:tcMar>
          </w:tcPr>
          <w:p w14:paraId="4945FF04" w14:textId="77777777" w:rsidR="009832FC" w:rsidRPr="009832FC" w:rsidRDefault="009832FC" w:rsidP="009832FC">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tcPr>
          <w:p w14:paraId="1D552654"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18"/>
                <w:bdr w:val="nil"/>
              </w:rPr>
            </w:pPr>
            <w:r w:rsidRPr="009832FC">
              <w:rPr>
                <w:rFonts w:eastAsia="Calibri" w:cs="Calibri"/>
                <w:color w:val="000000"/>
                <w:sz w:val="18"/>
                <w:bdr w:val="nil"/>
              </w:rPr>
              <w:t>1,493,435</w:t>
            </w:r>
          </w:p>
        </w:tc>
        <w:tc>
          <w:tcPr>
            <w:tcW w:w="1650" w:type="dxa"/>
            <w:tcBorders>
              <w:top w:val="single" w:sz="4" w:space="0" w:color="000000"/>
              <w:left w:val="nil"/>
              <w:bottom w:val="nil"/>
              <w:right w:val="nil"/>
            </w:tcBorders>
            <w:noWrap/>
            <w:tcMar>
              <w:top w:w="0" w:type="dxa"/>
              <w:left w:w="40" w:type="dxa"/>
              <w:bottom w:w="0" w:type="dxa"/>
              <w:right w:w="40" w:type="dxa"/>
            </w:tcMar>
          </w:tcPr>
          <w:p w14:paraId="66AC313D"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18"/>
                <w:bdr w:val="nil"/>
              </w:rPr>
            </w:pPr>
            <w:r w:rsidRPr="009832FC">
              <w:rPr>
                <w:rFonts w:eastAsia="Calibri" w:cs="Calibri"/>
                <w:color w:val="000000"/>
                <w:sz w:val="18"/>
                <w:bdr w:val="nil"/>
              </w:rPr>
              <w:t>1,606,633</w:t>
            </w:r>
          </w:p>
        </w:tc>
      </w:tr>
      <w:tr w:rsidR="009832FC" w:rsidRPr="009832FC" w14:paraId="71FF5481" w14:textId="77777777" w:rsidTr="00EB585F">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hideMark/>
          </w:tcPr>
          <w:p w14:paraId="07DD4E76" w14:textId="77777777" w:rsidR="009832FC" w:rsidRPr="009832FC" w:rsidRDefault="009832FC" w:rsidP="009832FC">
            <w:pPr>
              <w:pBdr>
                <w:top w:val="nil"/>
                <w:left w:val="nil"/>
                <w:bottom w:val="nil"/>
                <w:right w:val="nil"/>
                <w:between w:val="nil"/>
                <w:bar w:val="nil"/>
              </w:pBdr>
              <w:spacing w:before="0" w:after="0"/>
              <w:rPr>
                <w:rFonts w:eastAsia="Calibri" w:cs="Calibri"/>
                <w:bCs/>
                <w:color w:val="000000"/>
                <w:sz w:val="18"/>
                <w:bdr w:val="nil"/>
              </w:rPr>
            </w:pPr>
            <w:r w:rsidRPr="009832FC">
              <w:rPr>
                <w:rFonts w:eastAsia="Calibri" w:cs="Calibri"/>
                <w:bCs/>
                <w:color w:val="000000"/>
                <w:sz w:val="18"/>
                <w:bdr w:val="nil"/>
              </w:rPr>
              <w:t>Controlled Recurrent Payments</w:t>
            </w:r>
          </w:p>
        </w:tc>
        <w:tc>
          <w:tcPr>
            <w:tcW w:w="540" w:type="dxa"/>
            <w:tcBorders>
              <w:top w:val="nil"/>
              <w:left w:val="nil"/>
              <w:bottom w:val="single" w:sz="4" w:space="0" w:color="000000"/>
              <w:right w:val="nil"/>
            </w:tcBorders>
            <w:noWrap/>
            <w:tcMar>
              <w:top w:w="0" w:type="dxa"/>
              <w:left w:w="40" w:type="dxa"/>
              <w:bottom w:w="0" w:type="dxa"/>
              <w:right w:w="40" w:type="dxa"/>
            </w:tcMar>
          </w:tcPr>
          <w:p w14:paraId="5017B80B" w14:textId="77777777" w:rsidR="009832FC" w:rsidRPr="009832FC" w:rsidRDefault="009832FC" w:rsidP="009832FC">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tcPr>
          <w:p w14:paraId="38FC5A29"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18"/>
                <w:bdr w:val="nil"/>
              </w:rPr>
            </w:pPr>
            <w:r w:rsidRPr="009832FC">
              <w:rPr>
                <w:rFonts w:eastAsia="Calibri" w:cs="Calibri"/>
                <w:color w:val="000000"/>
                <w:sz w:val="18"/>
                <w:bdr w:val="nil"/>
              </w:rPr>
              <w:t>907,735</w:t>
            </w:r>
          </w:p>
        </w:tc>
        <w:tc>
          <w:tcPr>
            <w:tcW w:w="1650" w:type="dxa"/>
            <w:tcBorders>
              <w:top w:val="nil"/>
              <w:left w:val="nil"/>
              <w:bottom w:val="single" w:sz="4" w:space="0" w:color="000000"/>
              <w:right w:val="nil"/>
            </w:tcBorders>
            <w:noWrap/>
            <w:tcMar>
              <w:top w:w="0" w:type="dxa"/>
              <w:left w:w="40" w:type="dxa"/>
              <w:bottom w:w="0" w:type="dxa"/>
              <w:right w:w="40" w:type="dxa"/>
            </w:tcMar>
          </w:tcPr>
          <w:p w14:paraId="441B9A68" w14:textId="77777777" w:rsidR="009832FC" w:rsidRPr="009832FC" w:rsidRDefault="009832FC" w:rsidP="009832FC">
            <w:pPr>
              <w:pBdr>
                <w:top w:val="nil"/>
                <w:left w:val="nil"/>
                <w:bottom w:val="nil"/>
                <w:right w:val="nil"/>
                <w:between w:val="nil"/>
                <w:bar w:val="nil"/>
              </w:pBdr>
              <w:spacing w:before="0" w:after="0"/>
              <w:jc w:val="right"/>
              <w:rPr>
                <w:rFonts w:eastAsia="Calibri" w:cs="Calibri"/>
                <w:color w:val="000000"/>
                <w:sz w:val="18"/>
                <w:bdr w:val="nil"/>
              </w:rPr>
            </w:pPr>
            <w:r w:rsidRPr="009832FC">
              <w:rPr>
                <w:rFonts w:eastAsia="Calibri" w:cs="Calibri"/>
                <w:color w:val="000000"/>
                <w:sz w:val="18"/>
                <w:bdr w:val="nil"/>
              </w:rPr>
              <w:t>973,456</w:t>
            </w:r>
          </w:p>
        </w:tc>
      </w:tr>
    </w:tbl>
    <w:p w14:paraId="6B59D910" w14:textId="77777777" w:rsidR="009832FC" w:rsidRPr="009832FC" w:rsidRDefault="009832FC" w:rsidP="009832FC">
      <w:pPr>
        <w:pBdr>
          <w:top w:val="nil"/>
          <w:left w:val="nil"/>
          <w:bottom w:val="nil"/>
          <w:right w:val="nil"/>
          <w:between w:val="nil"/>
          <w:bar w:val="nil"/>
        </w:pBdr>
        <w:spacing w:before="0" w:after="0"/>
        <w:ind w:left="360"/>
        <w:rPr>
          <w:sz w:val="18"/>
          <w:szCs w:val="24"/>
          <w:bdr w:val="nil"/>
        </w:rPr>
      </w:pPr>
    </w:p>
    <w:p w14:paraId="70E932EB" w14:textId="77777777" w:rsidR="009832FC" w:rsidRPr="009832FC" w:rsidRDefault="009832FC" w:rsidP="009832FC">
      <w:pPr>
        <w:pBdr>
          <w:top w:val="nil"/>
          <w:left w:val="nil"/>
          <w:bottom w:val="nil"/>
          <w:right w:val="nil"/>
          <w:between w:val="nil"/>
          <w:bar w:val="nil"/>
        </w:pBdr>
        <w:spacing w:before="0" w:after="0"/>
        <w:ind w:left="360" w:hanging="360"/>
        <w:rPr>
          <w:sz w:val="18"/>
          <w:szCs w:val="24"/>
          <w:bdr w:val="nil"/>
        </w:rPr>
      </w:pPr>
    </w:p>
    <w:p w14:paraId="3D53682B" w14:textId="77777777" w:rsidR="009832FC" w:rsidRPr="009832FC" w:rsidRDefault="009832FC" w:rsidP="009832FC">
      <w:pPr>
        <w:pBdr>
          <w:top w:val="nil"/>
          <w:left w:val="nil"/>
          <w:bottom w:val="nil"/>
          <w:right w:val="nil"/>
          <w:between w:val="nil"/>
          <w:bar w:val="nil"/>
        </w:pBdr>
        <w:rPr>
          <w:bdr w:val="nil"/>
        </w:rPr>
      </w:pPr>
      <w:r w:rsidRPr="009832FC">
        <w:t xml:space="preserve"> </w:t>
      </w:r>
    </w:p>
    <w:p w14:paraId="43D00AC5" w14:textId="77777777" w:rsidR="009832FC" w:rsidRPr="009832FC" w:rsidRDefault="009832FC" w:rsidP="009832FC">
      <w:pPr>
        <w:keepNext/>
        <w:pageBreakBefore/>
        <w:pBdr>
          <w:top w:val="nil"/>
          <w:left w:val="nil"/>
          <w:bottom w:val="nil"/>
          <w:right w:val="nil"/>
          <w:between w:val="nil"/>
          <w:bar w:val="nil"/>
        </w:pBdr>
        <w:spacing w:before="360"/>
        <w:outlineLvl w:val="1"/>
        <w:rPr>
          <w:b/>
          <w:snapToGrid w:val="0"/>
          <w:sz w:val="32"/>
          <w:bdr w:val="nil"/>
        </w:rPr>
      </w:pPr>
      <w:bookmarkStart w:id="93" w:name="_Toc83910761"/>
      <w:r w:rsidRPr="009832FC">
        <w:rPr>
          <w:b/>
          <w:snapToGrid w:val="0"/>
          <w:sz w:val="32"/>
          <w:bdr w:val="nil"/>
        </w:rPr>
        <w:lastRenderedPageBreak/>
        <w:t>Accountability Indicators</w:t>
      </w:r>
      <w:bookmarkEnd w:id="93"/>
    </w:p>
    <w:p w14:paraId="1F39F68B" w14:textId="77777777" w:rsidR="009832FC" w:rsidRPr="009832FC" w:rsidRDefault="009832FC" w:rsidP="009832FC">
      <w:pPr>
        <w:pBdr>
          <w:top w:val="nil"/>
          <w:left w:val="nil"/>
          <w:bottom w:val="nil"/>
          <w:right w:val="nil"/>
          <w:between w:val="nil"/>
          <w:bar w:val="nil"/>
        </w:pBdr>
        <w:jc w:val="both"/>
        <w:rPr>
          <w:bdr w:val="nil"/>
        </w:rPr>
      </w:pPr>
      <w:bookmarkStart w:id="94" w:name="_Hlk80605391"/>
      <w:r w:rsidRPr="009832FC">
        <w:rPr>
          <w:bdr w:val="nil"/>
        </w:rPr>
        <w:t>Due to the release of the 2021-22 Budget on 6 October 2021, the 2020-21 accountability indicators below refer to the interim outcome included in the draft 2020-21 Statement of Performance, which was unaudited at the time of preparing these budget statements.</w:t>
      </w:r>
    </w:p>
    <w:bookmarkEnd w:id="94"/>
    <w:p w14:paraId="0DB3F735" w14:textId="77777777" w:rsidR="009832FC" w:rsidRPr="009832FC" w:rsidRDefault="009832FC" w:rsidP="009832FC">
      <w:pPr>
        <w:keepNext/>
        <w:keepLines/>
        <w:pBdr>
          <w:top w:val="nil"/>
          <w:left w:val="nil"/>
          <w:bottom w:val="nil"/>
          <w:right w:val="nil"/>
          <w:between w:val="nil"/>
          <w:bar w:val="nil"/>
        </w:pBdr>
        <w:spacing w:before="360"/>
        <w:contextualSpacing/>
        <w:outlineLvl w:val="2"/>
        <w:rPr>
          <w:b/>
          <w:bCs/>
          <w:sz w:val="28"/>
          <w:szCs w:val="26"/>
          <w:bdr w:val="nil"/>
        </w:rPr>
      </w:pPr>
      <w:r w:rsidRPr="009832FC">
        <w:rPr>
          <w:b/>
          <w:bCs/>
          <w:sz w:val="28"/>
          <w:szCs w:val="26"/>
          <w:bdr w:val="nil"/>
        </w:rPr>
        <w:t>Output Class 1: ACT Local Hospital Network</w:t>
      </w:r>
    </w:p>
    <w:p w14:paraId="4C1F7562" w14:textId="77777777" w:rsidR="009832FC" w:rsidRPr="009832FC" w:rsidRDefault="009832FC" w:rsidP="009832FC">
      <w:pPr>
        <w:keepNext/>
        <w:pBdr>
          <w:top w:val="nil"/>
          <w:left w:val="nil"/>
          <w:bottom w:val="nil"/>
          <w:right w:val="nil"/>
          <w:between w:val="nil"/>
          <w:bar w:val="nil"/>
        </w:pBdr>
        <w:spacing w:before="240"/>
        <w:rPr>
          <w:b/>
          <w:bCs/>
          <w:noProof/>
          <w:color w:val="000000"/>
          <w:sz w:val="22"/>
          <w:szCs w:val="18"/>
          <w:bdr w:val="nil"/>
        </w:rPr>
      </w:pPr>
      <w:r w:rsidRPr="009832FC">
        <w:rPr>
          <w:b/>
          <w:bCs/>
          <w:color w:val="000000"/>
          <w:sz w:val="22"/>
          <w:szCs w:val="18"/>
          <w:bdr w:val="nil"/>
        </w:rPr>
        <w:t>Table 3</w:t>
      </w:r>
      <w:r w:rsidRPr="009832FC">
        <w:rPr>
          <w:b/>
          <w:bCs/>
          <w:noProof/>
          <w:color w:val="000000"/>
          <w:sz w:val="22"/>
          <w:szCs w:val="18"/>
          <w:bdr w:val="nil"/>
        </w:rPr>
        <w:t>:</w:t>
      </w:r>
      <w:r w:rsidRPr="009832FC">
        <w:rPr>
          <w:b/>
          <w:bCs/>
          <w:color w:val="000000"/>
          <w:sz w:val="22"/>
          <w:szCs w:val="18"/>
          <w:bdr w:val="nil"/>
        </w:rPr>
        <w:t xml:space="preserve"> Accountability Indicators</w:t>
      </w:r>
      <w:r w:rsidRPr="009832FC">
        <w:rPr>
          <w:b/>
          <w:bCs/>
          <w:noProof/>
          <w:color w:val="000000"/>
          <w:sz w:val="22"/>
          <w:szCs w:val="18"/>
          <w:bdr w:val="nil"/>
        </w:rPr>
        <w:t xml:space="preserve"> Output 1.1</w:t>
      </w:r>
    </w:p>
    <w:tbl>
      <w:tblPr>
        <w:tblW w:w="9100" w:type="dxa"/>
        <w:tblInd w:w="108" w:type="dxa"/>
        <w:tblBorders>
          <w:top w:val="single" w:sz="12" w:space="0" w:color="000000"/>
          <w:bottom w:val="single" w:sz="12" w:space="0" w:color="000000"/>
        </w:tblBorders>
        <w:tblLook w:val="04A0" w:firstRow="1" w:lastRow="0" w:firstColumn="1" w:lastColumn="0" w:noHBand="0" w:noVBand="1"/>
      </w:tblPr>
      <w:tblGrid>
        <w:gridCol w:w="5198"/>
        <w:gridCol w:w="1323"/>
        <w:gridCol w:w="1325"/>
        <w:gridCol w:w="1254"/>
      </w:tblGrid>
      <w:tr w:rsidR="009832FC" w:rsidRPr="009832FC" w14:paraId="453AB26A" w14:textId="77777777" w:rsidTr="00EB585F">
        <w:trPr>
          <w:tblHeader/>
        </w:trPr>
        <w:tc>
          <w:tcPr>
            <w:tcW w:w="2856" w:type="pct"/>
            <w:tcBorders>
              <w:top w:val="single" w:sz="12" w:space="0" w:color="000000"/>
              <w:left w:val="nil"/>
              <w:bottom w:val="single" w:sz="12" w:space="0" w:color="000000"/>
              <w:right w:val="nil"/>
            </w:tcBorders>
          </w:tcPr>
          <w:p w14:paraId="6DE7153A" w14:textId="77777777" w:rsidR="009832FC" w:rsidRPr="009832FC" w:rsidRDefault="009832FC" w:rsidP="009832FC">
            <w:pPr>
              <w:pBdr>
                <w:top w:val="nil"/>
                <w:left w:val="nil"/>
                <w:bottom w:val="nil"/>
                <w:right w:val="nil"/>
                <w:between w:val="nil"/>
                <w:bar w:val="nil"/>
              </w:pBdr>
              <w:spacing w:before="0" w:after="0"/>
              <w:ind w:left="227" w:hanging="227"/>
              <w:rPr>
                <w:rFonts w:cs="Calibri"/>
                <w:bCs/>
                <w:sz w:val="20"/>
                <w:bdr w:val="nil"/>
              </w:rPr>
            </w:pPr>
          </w:p>
        </w:tc>
        <w:tc>
          <w:tcPr>
            <w:tcW w:w="727" w:type="pct"/>
            <w:tcBorders>
              <w:top w:val="single" w:sz="12" w:space="0" w:color="000000"/>
              <w:left w:val="nil"/>
              <w:bottom w:val="single" w:sz="12" w:space="0" w:color="000000"/>
              <w:right w:val="nil"/>
            </w:tcBorders>
            <w:hideMark/>
          </w:tcPr>
          <w:p w14:paraId="55265019"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rFonts w:cs="Calibri"/>
                <w:b/>
                <w:bCs/>
                <w:sz w:val="20"/>
                <w:bdr w:val="nil"/>
              </w:rPr>
            </w:pPr>
            <w:r w:rsidRPr="009832FC">
              <w:rPr>
                <w:rFonts w:cs="Calibri"/>
                <w:b/>
                <w:bCs/>
                <w:sz w:val="20"/>
                <w:bdr w:val="nil"/>
              </w:rPr>
              <w:t>2020-21 Targets</w:t>
            </w:r>
          </w:p>
        </w:tc>
        <w:tc>
          <w:tcPr>
            <w:tcW w:w="728" w:type="pct"/>
            <w:tcBorders>
              <w:top w:val="single" w:sz="12" w:space="0" w:color="000000"/>
              <w:left w:val="nil"/>
              <w:bottom w:val="single" w:sz="12" w:space="0" w:color="000000"/>
              <w:right w:val="nil"/>
            </w:tcBorders>
            <w:hideMark/>
          </w:tcPr>
          <w:p w14:paraId="39DBBD01"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 xml:space="preserve">2020-21 </w:t>
            </w:r>
          </w:p>
          <w:p w14:paraId="3DEE94BF"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rFonts w:cs="Calibri"/>
                <w:b/>
                <w:bCs/>
                <w:sz w:val="20"/>
                <w:bdr w:val="nil"/>
              </w:rPr>
            </w:pPr>
            <w:r w:rsidRPr="009832FC">
              <w:rPr>
                <w:rFonts w:cs="Calibri"/>
                <w:b/>
                <w:bCs/>
                <w:sz w:val="20"/>
                <w:bdr w:val="nil"/>
              </w:rPr>
              <w:t>Interim</w:t>
            </w:r>
          </w:p>
          <w:p w14:paraId="04CD44DF"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rFonts w:cs="Calibri"/>
                <w:b/>
                <w:bCs/>
                <w:sz w:val="20"/>
                <w:bdr w:val="nil"/>
              </w:rPr>
            </w:pPr>
            <w:r w:rsidRPr="009832FC">
              <w:rPr>
                <w:rFonts w:cs="Calibri"/>
                <w:b/>
                <w:bCs/>
                <w:sz w:val="20"/>
                <w:bdr w:val="nil"/>
              </w:rPr>
              <w:t>Outcome</w:t>
            </w:r>
          </w:p>
        </w:tc>
        <w:tc>
          <w:tcPr>
            <w:tcW w:w="689" w:type="pct"/>
            <w:tcBorders>
              <w:top w:val="single" w:sz="12" w:space="0" w:color="000000"/>
              <w:left w:val="nil"/>
              <w:bottom w:val="single" w:sz="12" w:space="0" w:color="000000"/>
              <w:right w:val="nil"/>
            </w:tcBorders>
            <w:hideMark/>
          </w:tcPr>
          <w:p w14:paraId="51D7DE8D" w14:textId="77777777" w:rsidR="009832FC" w:rsidRPr="009832FC" w:rsidRDefault="009832FC" w:rsidP="009832FC">
            <w:pPr>
              <w:keepNext/>
              <w:keepLines/>
              <w:pBdr>
                <w:top w:val="nil"/>
                <w:left w:val="nil"/>
                <w:bottom w:val="nil"/>
                <w:right w:val="nil"/>
                <w:between w:val="nil"/>
                <w:bar w:val="nil"/>
              </w:pBdr>
              <w:spacing w:before="0" w:after="0"/>
              <w:jc w:val="right"/>
              <w:rPr>
                <w:b/>
                <w:bCs/>
                <w:sz w:val="20"/>
                <w:bdr w:val="nil"/>
              </w:rPr>
            </w:pPr>
            <w:r w:rsidRPr="009832FC">
              <w:rPr>
                <w:b/>
                <w:bCs/>
                <w:sz w:val="20"/>
                <w:bdr w:val="nil"/>
              </w:rPr>
              <w:t xml:space="preserve">2021-22 </w:t>
            </w:r>
          </w:p>
          <w:p w14:paraId="6181A242" w14:textId="77777777" w:rsidR="009832FC" w:rsidRPr="009832FC" w:rsidRDefault="009832FC" w:rsidP="009832FC">
            <w:pPr>
              <w:framePr w:wrap="around" w:vAnchor="text" w:hAnchor="text" w:y="1"/>
              <w:pBdr>
                <w:top w:val="nil"/>
                <w:left w:val="nil"/>
                <w:bottom w:val="nil"/>
                <w:right w:val="nil"/>
                <w:between w:val="nil"/>
                <w:bar w:val="nil"/>
              </w:pBdr>
              <w:spacing w:before="0" w:after="0"/>
              <w:jc w:val="right"/>
              <w:rPr>
                <w:rFonts w:cs="Calibri"/>
                <w:b/>
                <w:bCs/>
                <w:sz w:val="20"/>
                <w:bdr w:val="nil"/>
              </w:rPr>
            </w:pPr>
            <w:r w:rsidRPr="009832FC">
              <w:rPr>
                <w:rFonts w:cs="Calibri"/>
                <w:b/>
                <w:bCs/>
                <w:sz w:val="20"/>
                <w:bdr w:val="nil"/>
              </w:rPr>
              <w:t xml:space="preserve">Targets </w:t>
            </w:r>
          </w:p>
        </w:tc>
      </w:tr>
      <w:tr w:rsidR="009832FC" w:rsidRPr="009832FC" w14:paraId="22F4C56E" w14:textId="77777777" w:rsidTr="00EB585F">
        <w:trPr>
          <w:trHeight w:val="283"/>
        </w:trPr>
        <w:tc>
          <w:tcPr>
            <w:tcW w:w="2856" w:type="pct"/>
            <w:tcBorders>
              <w:top w:val="nil"/>
              <w:left w:val="nil"/>
              <w:bottom w:val="nil"/>
              <w:right w:val="nil"/>
            </w:tcBorders>
            <w:hideMark/>
          </w:tcPr>
          <w:p w14:paraId="77DB70AF" w14:textId="77777777" w:rsidR="009832FC" w:rsidRPr="009832FC" w:rsidRDefault="009832FC" w:rsidP="009832FC">
            <w:pPr>
              <w:pBdr>
                <w:top w:val="nil"/>
                <w:left w:val="nil"/>
                <w:bottom w:val="nil"/>
                <w:right w:val="nil"/>
                <w:between w:val="nil"/>
                <w:bar w:val="nil"/>
              </w:pBdr>
              <w:spacing w:before="0" w:after="0"/>
              <w:rPr>
                <w:rFonts w:ascii="Times New Roman" w:hAnsi="Times New Roman"/>
                <w:sz w:val="20"/>
                <w:bdr w:val="nil"/>
                <w:lang w:eastAsia="en-AU"/>
              </w:rPr>
            </w:pPr>
          </w:p>
        </w:tc>
        <w:tc>
          <w:tcPr>
            <w:tcW w:w="727" w:type="pct"/>
            <w:tcBorders>
              <w:top w:val="nil"/>
              <w:left w:val="nil"/>
              <w:bottom w:val="nil"/>
              <w:right w:val="nil"/>
            </w:tcBorders>
            <w:hideMark/>
          </w:tcPr>
          <w:p w14:paraId="387EE428"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NWAU{20}</w:t>
            </w:r>
          </w:p>
        </w:tc>
        <w:tc>
          <w:tcPr>
            <w:tcW w:w="728" w:type="pct"/>
            <w:tcBorders>
              <w:top w:val="nil"/>
              <w:left w:val="nil"/>
              <w:bottom w:val="nil"/>
              <w:right w:val="nil"/>
            </w:tcBorders>
            <w:hideMark/>
          </w:tcPr>
          <w:p w14:paraId="7703B2A9"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NWAU{20}</w:t>
            </w:r>
          </w:p>
        </w:tc>
        <w:tc>
          <w:tcPr>
            <w:tcW w:w="689" w:type="pct"/>
            <w:tcBorders>
              <w:top w:val="nil"/>
              <w:left w:val="nil"/>
              <w:bottom w:val="nil"/>
              <w:right w:val="nil"/>
            </w:tcBorders>
            <w:hideMark/>
          </w:tcPr>
          <w:p w14:paraId="63E9FF51"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NWAU{21}</w:t>
            </w:r>
          </w:p>
        </w:tc>
      </w:tr>
      <w:tr w:rsidR="009832FC" w:rsidRPr="009832FC" w14:paraId="57DFE58D" w14:textId="77777777" w:rsidTr="00EB585F">
        <w:trPr>
          <w:trHeight w:val="283"/>
        </w:trPr>
        <w:tc>
          <w:tcPr>
            <w:tcW w:w="2856" w:type="pct"/>
            <w:tcBorders>
              <w:top w:val="nil"/>
              <w:left w:val="nil"/>
              <w:bottom w:val="nil"/>
              <w:right w:val="nil"/>
            </w:tcBorders>
            <w:hideMark/>
          </w:tcPr>
          <w:p w14:paraId="2346E23B" w14:textId="77777777" w:rsidR="009832FC" w:rsidRPr="009832FC" w:rsidRDefault="009832FC" w:rsidP="00D12F0F">
            <w:pPr>
              <w:numPr>
                <w:ilvl w:val="0"/>
                <w:numId w:val="34"/>
              </w:numPr>
              <w:pBdr>
                <w:top w:val="nil"/>
                <w:left w:val="nil"/>
                <w:bottom w:val="nil"/>
                <w:right w:val="nil"/>
                <w:between w:val="nil"/>
                <w:bar w:val="nil"/>
              </w:pBdr>
              <w:spacing w:before="0" w:after="0"/>
              <w:ind w:left="357" w:hanging="357"/>
              <w:rPr>
                <w:rFonts w:cs="Calibri"/>
                <w:sz w:val="20"/>
                <w:bdr w:val="nil"/>
              </w:rPr>
            </w:pPr>
            <w:r w:rsidRPr="009832FC">
              <w:rPr>
                <w:rFonts w:cs="Calibri"/>
                <w:sz w:val="20"/>
                <w:bdr w:val="nil"/>
              </w:rPr>
              <w:t>Admitted Services</w:t>
            </w:r>
          </w:p>
        </w:tc>
        <w:tc>
          <w:tcPr>
            <w:tcW w:w="727" w:type="pct"/>
            <w:tcBorders>
              <w:top w:val="nil"/>
              <w:left w:val="nil"/>
              <w:bottom w:val="nil"/>
              <w:right w:val="nil"/>
            </w:tcBorders>
          </w:tcPr>
          <w:p w14:paraId="7161C008"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104,329</w:t>
            </w:r>
          </w:p>
        </w:tc>
        <w:tc>
          <w:tcPr>
            <w:tcW w:w="728" w:type="pct"/>
            <w:tcBorders>
              <w:top w:val="nil"/>
              <w:left w:val="nil"/>
              <w:bottom w:val="nil"/>
              <w:right w:val="nil"/>
            </w:tcBorders>
          </w:tcPr>
          <w:p w14:paraId="4E10E180"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103,447</w:t>
            </w:r>
          </w:p>
        </w:tc>
        <w:tc>
          <w:tcPr>
            <w:tcW w:w="689" w:type="pct"/>
            <w:tcBorders>
              <w:top w:val="nil"/>
              <w:left w:val="nil"/>
              <w:bottom w:val="nil"/>
              <w:right w:val="nil"/>
            </w:tcBorders>
          </w:tcPr>
          <w:p w14:paraId="78A7C93B"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105,100</w:t>
            </w:r>
          </w:p>
        </w:tc>
      </w:tr>
      <w:tr w:rsidR="009832FC" w:rsidRPr="009832FC" w14:paraId="2C37B483" w14:textId="77777777" w:rsidTr="00EB585F">
        <w:trPr>
          <w:trHeight w:val="283"/>
        </w:trPr>
        <w:tc>
          <w:tcPr>
            <w:tcW w:w="2856" w:type="pct"/>
            <w:tcBorders>
              <w:top w:val="nil"/>
              <w:left w:val="nil"/>
              <w:bottom w:val="nil"/>
              <w:right w:val="nil"/>
            </w:tcBorders>
            <w:hideMark/>
          </w:tcPr>
          <w:p w14:paraId="43763BA6" w14:textId="77777777" w:rsidR="009832FC" w:rsidRPr="009832FC" w:rsidRDefault="009832FC" w:rsidP="00812F22">
            <w:pPr>
              <w:numPr>
                <w:ilvl w:val="0"/>
                <w:numId w:val="52"/>
              </w:numPr>
              <w:pBdr>
                <w:top w:val="nil"/>
                <w:left w:val="nil"/>
                <w:bottom w:val="nil"/>
                <w:right w:val="nil"/>
                <w:between w:val="nil"/>
                <w:bar w:val="nil"/>
              </w:pBdr>
              <w:spacing w:before="0" w:after="0"/>
              <w:ind w:left="357" w:hanging="357"/>
              <w:rPr>
                <w:sz w:val="20"/>
                <w:bdr w:val="nil"/>
              </w:rPr>
            </w:pPr>
            <w:r w:rsidRPr="009832FC">
              <w:rPr>
                <w:sz w:val="20"/>
                <w:bdr w:val="nil"/>
              </w:rPr>
              <w:t>Non-admitted Services</w:t>
            </w:r>
            <w:r w:rsidRPr="009832FC">
              <w:rPr>
                <w:sz w:val="20"/>
                <w:bdr w:val="nil"/>
                <w:vertAlign w:val="superscript"/>
                <w:lang w:eastAsia="en-AU"/>
              </w:rPr>
              <w:t>1</w:t>
            </w:r>
          </w:p>
        </w:tc>
        <w:tc>
          <w:tcPr>
            <w:tcW w:w="727" w:type="pct"/>
            <w:tcBorders>
              <w:top w:val="nil"/>
              <w:left w:val="nil"/>
              <w:bottom w:val="nil"/>
              <w:right w:val="nil"/>
            </w:tcBorders>
          </w:tcPr>
          <w:p w14:paraId="29DB1896"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28,815</w:t>
            </w:r>
          </w:p>
        </w:tc>
        <w:tc>
          <w:tcPr>
            <w:tcW w:w="728" w:type="pct"/>
            <w:tcBorders>
              <w:top w:val="nil"/>
              <w:left w:val="nil"/>
              <w:bottom w:val="nil"/>
              <w:right w:val="nil"/>
            </w:tcBorders>
          </w:tcPr>
          <w:p w14:paraId="554AFEB1"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31,069</w:t>
            </w:r>
          </w:p>
        </w:tc>
        <w:tc>
          <w:tcPr>
            <w:tcW w:w="689" w:type="pct"/>
            <w:tcBorders>
              <w:top w:val="nil"/>
              <w:left w:val="nil"/>
              <w:bottom w:val="nil"/>
              <w:right w:val="nil"/>
            </w:tcBorders>
          </w:tcPr>
          <w:p w14:paraId="3919C217"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31,600</w:t>
            </w:r>
          </w:p>
        </w:tc>
      </w:tr>
      <w:tr w:rsidR="009832FC" w:rsidRPr="009832FC" w14:paraId="5A8AC535" w14:textId="77777777" w:rsidTr="00EB585F">
        <w:trPr>
          <w:trHeight w:val="283"/>
        </w:trPr>
        <w:tc>
          <w:tcPr>
            <w:tcW w:w="2856" w:type="pct"/>
            <w:tcBorders>
              <w:top w:val="nil"/>
              <w:left w:val="nil"/>
              <w:bottom w:val="nil"/>
              <w:right w:val="nil"/>
            </w:tcBorders>
            <w:hideMark/>
          </w:tcPr>
          <w:p w14:paraId="7014DC5B" w14:textId="77777777" w:rsidR="009832FC" w:rsidRPr="009832FC" w:rsidRDefault="009832FC" w:rsidP="00812F22">
            <w:pPr>
              <w:numPr>
                <w:ilvl w:val="0"/>
                <w:numId w:val="52"/>
              </w:numPr>
              <w:pBdr>
                <w:top w:val="nil"/>
                <w:left w:val="nil"/>
                <w:bottom w:val="nil"/>
                <w:right w:val="nil"/>
                <w:between w:val="nil"/>
                <w:bar w:val="nil"/>
              </w:pBdr>
              <w:spacing w:before="0" w:after="0"/>
              <w:ind w:left="357" w:hanging="357"/>
              <w:rPr>
                <w:sz w:val="20"/>
                <w:bdr w:val="nil"/>
              </w:rPr>
            </w:pPr>
            <w:r w:rsidRPr="009832FC">
              <w:rPr>
                <w:sz w:val="20"/>
                <w:bdr w:val="nil"/>
              </w:rPr>
              <w:t>Emergency Services</w:t>
            </w:r>
          </w:p>
        </w:tc>
        <w:tc>
          <w:tcPr>
            <w:tcW w:w="727" w:type="pct"/>
            <w:tcBorders>
              <w:top w:val="nil"/>
              <w:left w:val="nil"/>
              <w:bottom w:val="nil"/>
              <w:right w:val="nil"/>
            </w:tcBorders>
          </w:tcPr>
          <w:p w14:paraId="6B5675EF"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19,324</w:t>
            </w:r>
          </w:p>
        </w:tc>
        <w:tc>
          <w:tcPr>
            <w:tcW w:w="728" w:type="pct"/>
            <w:tcBorders>
              <w:top w:val="nil"/>
              <w:left w:val="nil"/>
              <w:bottom w:val="nil"/>
              <w:right w:val="nil"/>
            </w:tcBorders>
          </w:tcPr>
          <w:p w14:paraId="6EF73ACC"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20,022</w:t>
            </w:r>
          </w:p>
        </w:tc>
        <w:tc>
          <w:tcPr>
            <w:tcW w:w="689" w:type="pct"/>
            <w:tcBorders>
              <w:top w:val="nil"/>
              <w:left w:val="nil"/>
              <w:bottom w:val="nil"/>
              <w:right w:val="nil"/>
            </w:tcBorders>
          </w:tcPr>
          <w:p w14:paraId="1D979062"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20,300</w:t>
            </w:r>
          </w:p>
        </w:tc>
      </w:tr>
      <w:tr w:rsidR="009832FC" w:rsidRPr="009832FC" w14:paraId="4789ADE1" w14:textId="77777777" w:rsidTr="00EB585F">
        <w:trPr>
          <w:trHeight w:val="283"/>
        </w:trPr>
        <w:tc>
          <w:tcPr>
            <w:tcW w:w="2856" w:type="pct"/>
            <w:tcBorders>
              <w:top w:val="nil"/>
              <w:left w:val="nil"/>
              <w:bottom w:val="nil"/>
              <w:right w:val="nil"/>
            </w:tcBorders>
            <w:hideMark/>
          </w:tcPr>
          <w:p w14:paraId="18BC78A5" w14:textId="77777777" w:rsidR="009832FC" w:rsidRPr="009832FC" w:rsidRDefault="009832FC" w:rsidP="00812F22">
            <w:pPr>
              <w:numPr>
                <w:ilvl w:val="0"/>
                <w:numId w:val="52"/>
              </w:numPr>
              <w:pBdr>
                <w:top w:val="nil"/>
                <w:left w:val="nil"/>
                <w:bottom w:val="nil"/>
                <w:right w:val="nil"/>
                <w:between w:val="nil"/>
                <w:bar w:val="nil"/>
              </w:pBdr>
              <w:spacing w:before="0" w:after="0"/>
              <w:ind w:left="357" w:hanging="357"/>
              <w:rPr>
                <w:sz w:val="20"/>
                <w:bdr w:val="nil"/>
              </w:rPr>
            </w:pPr>
            <w:r w:rsidRPr="009832FC">
              <w:rPr>
                <w:sz w:val="20"/>
                <w:bdr w:val="nil"/>
              </w:rPr>
              <w:t>Acute Admitted Mental Health Services</w:t>
            </w:r>
          </w:p>
        </w:tc>
        <w:tc>
          <w:tcPr>
            <w:tcW w:w="727" w:type="pct"/>
            <w:tcBorders>
              <w:top w:val="nil"/>
              <w:left w:val="nil"/>
              <w:bottom w:val="nil"/>
              <w:right w:val="nil"/>
            </w:tcBorders>
          </w:tcPr>
          <w:p w14:paraId="116D051F"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10,384</w:t>
            </w:r>
          </w:p>
        </w:tc>
        <w:tc>
          <w:tcPr>
            <w:tcW w:w="728" w:type="pct"/>
            <w:tcBorders>
              <w:top w:val="nil"/>
              <w:left w:val="nil"/>
              <w:bottom w:val="nil"/>
              <w:right w:val="nil"/>
            </w:tcBorders>
          </w:tcPr>
          <w:p w14:paraId="1E6A2C10"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10,793</w:t>
            </w:r>
          </w:p>
        </w:tc>
        <w:tc>
          <w:tcPr>
            <w:tcW w:w="689" w:type="pct"/>
            <w:tcBorders>
              <w:top w:val="nil"/>
              <w:left w:val="nil"/>
              <w:bottom w:val="nil"/>
              <w:right w:val="nil"/>
            </w:tcBorders>
          </w:tcPr>
          <w:p w14:paraId="6A292552"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11,000</w:t>
            </w:r>
          </w:p>
        </w:tc>
      </w:tr>
      <w:tr w:rsidR="009832FC" w:rsidRPr="009832FC" w14:paraId="55ECDD86" w14:textId="77777777" w:rsidTr="00EB585F">
        <w:trPr>
          <w:trHeight w:val="283"/>
        </w:trPr>
        <w:tc>
          <w:tcPr>
            <w:tcW w:w="2856" w:type="pct"/>
            <w:tcBorders>
              <w:top w:val="nil"/>
              <w:left w:val="nil"/>
              <w:bottom w:val="nil"/>
              <w:right w:val="nil"/>
            </w:tcBorders>
            <w:hideMark/>
          </w:tcPr>
          <w:p w14:paraId="07E06A95" w14:textId="77777777" w:rsidR="009832FC" w:rsidRPr="009832FC" w:rsidRDefault="009832FC" w:rsidP="00812F22">
            <w:pPr>
              <w:numPr>
                <w:ilvl w:val="0"/>
                <w:numId w:val="52"/>
              </w:numPr>
              <w:pBdr>
                <w:top w:val="nil"/>
                <w:left w:val="nil"/>
                <w:bottom w:val="nil"/>
                <w:right w:val="nil"/>
                <w:between w:val="nil"/>
                <w:bar w:val="nil"/>
              </w:pBdr>
              <w:spacing w:before="0" w:after="0"/>
              <w:ind w:left="357" w:hanging="357"/>
              <w:rPr>
                <w:sz w:val="20"/>
                <w:bdr w:val="nil"/>
              </w:rPr>
            </w:pPr>
            <w:r w:rsidRPr="009832FC">
              <w:rPr>
                <w:sz w:val="20"/>
                <w:bdr w:val="nil"/>
              </w:rPr>
              <w:t>Sub-Acute Services</w:t>
            </w:r>
          </w:p>
        </w:tc>
        <w:tc>
          <w:tcPr>
            <w:tcW w:w="727" w:type="pct"/>
            <w:tcBorders>
              <w:top w:val="nil"/>
              <w:left w:val="nil"/>
              <w:bottom w:val="nil"/>
              <w:right w:val="nil"/>
            </w:tcBorders>
          </w:tcPr>
          <w:p w14:paraId="47658170"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14,124</w:t>
            </w:r>
          </w:p>
        </w:tc>
        <w:tc>
          <w:tcPr>
            <w:tcW w:w="728" w:type="pct"/>
            <w:tcBorders>
              <w:top w:val="nil"/>
              <w:left w:val="nil"/>
              <w:bottom w:val="nil"/>
              <w:right w:val="nil"/>
            </w:tcBorders>
          </w:tcPr>
          <w:p w14:paraId="1C237F14"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13,803</w:t>
            </w:r>
          </w:p>
        </w:tc>
        <w:tc>
          <w:tcPr>
            <w:tcW w:w="689" w:type="pct"/>
            <w:tcBorders>
              <w:top w:val="nil"/>
              <w:left w:val="nil"/>
              <w:bottom w:val="nil"/>
              <w:right w:val="nil"/>
            </w:tcBorders>
          </w:tcPr>
          <w:p w14:paraId="18CEF07E"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14,000</w:t>
            </w:r>
          </w:p>
        </w:tc>
      </w:tr>
      <w:tr w:rsidR="009832FC" w:rsidRPr="009832FC" w14:paraId="2B9CA8D5" w14:textId="77777777" w:rsidTr="00EB585F">
        <w:trPr>
          <w:trHeight w:val="283"/>
        </w:trPr>
        <w:tc>
          <w:tcPr>
            <w:tcW w:w="2856" w:type="pct"/>
            <w:tcBorders>
              <w:top w:val="nil"/>
              <w:left w:val="nil"/>
              <w:bottom w:val="single" w:sz="4" w:space="0" w:color="auto"/>
              <w:right w:val="nil"/>
            </w:tcBorders>
            <w:hideMark/>
          </w:tcPr>
          <w:p w14:paraId="7AFB5004" w14:textId="77777777" w:rsidR="009832FC" w:rsidRPr="009832FC" w:rsidRDefault="009832FC" w:rsidP="00812F22">
            <w:pPr>
              <w:numPr>
                <w:ilvl w:val="0"/>
                <w:numId w:val="52"/>
              </w:numPr>
              <w:pBdr>
                <w:top w:val="nil"/>
                <w:left w:val="nil"/>
                <w:bottom w:val="nil"/>
                <w:right w:val="nil"/>
                <w:between w:val="nil"/>
                <w:bar w:val="nil"/>
              </w:pBdr>
              <w:spacing w:before="0" w:after="0"/>
              <w:ind w:left="357" w:hanging="357"/>
              <w:rPr>
                <w:sz w:val="20"/>
                <w:bdr w:val="nil"/>
              </w:rPr>
            </w:pPr>
            <w:r w:rsidRPr="009832FC">
              <w:rPr>
                <w:sz w:val="20"/>
                <w:bdr w:val="nil"/>
              </w:rPr>
              <w:t>Total in Scope</w:t>
            </w:r>
          </w:p>
        </w:tc>
        <w:tc>
          <w:tcPr>
            <w:tcW w:w="727" w:type="pct"/>
            <w:tcBorders>
              <w:top w:val="nil"/>
              <w:left w:val="nil"/>
              <w:bottom w:val="single" w:sz="4" w:space="0" w:color="auto"/>
              <w:right w:val="nil"/>
            </w:tcBorders>
          </w:tcPr>
          <w:p w14:paraId="1639B0B4"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176,976</w:t>
            </w:r>
          </w:p>
        </w:tc>
        <w:tc>
          <w:tcPr>
            <w:tcW w:w="728" w:type="pct"/>
            <w:tcBorders>
              <w:top w:val="nil"/>
              <w:left w:val="nil"/>
              <w:bottom w:val="single" w:sz="4" w:space="0" w:color="auto"/>
              <w:right w:val="nil"/>
            </w:tcBorders>
          </w:tcPr>
          <w:p w14:paraId="3E3C979F"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179,134</w:t>
            </w:r>
          </w:p>
        </w:tc>
        <w:tc>
          <w:tcPr>
            <w:tcW w:w="689" w:type="pct"/>
            <w:tcBorders>
              <w:top w:val="nil"/>
              <w:left w:val="nil"/>
              <w:bottom w:val="single" w:sz="4" w:space="0" w:color="auto"/>
              <w:right w:val="nil"/>
            </w:tcBorders>
          </w:tcPr>
          <w:p w14:paraId="35918B60" w14:textId="77777777" w:rsidR="009832FC" w:rsidRPr="009832FC" w:rsidRDefault="009832FC" w:rsidP="009832FC">
            <w:pPr>
              <w:pBdr>
                <w:top w:val="nil"/>
                <w:left w:val="nil"/>
                <w:bottom w:val="nil"/>
                <w:right w:val="nil"/>
                <w:between w:val="nil"/>
                <w:bar w:val="nil"/>
              </w:pBdr>
              <w:spacing w:before="0" w:after="0"/>
              <w:ind w:left="227" w:hanging="227"/>
              <w:jc w:val="right"/>
              <w:rPr>
                <w:rFonts w:cs="Calibri"/>
                <w:sz w:val="20"/>
                <w:bdr w:val="nil"/>
              </w:rPr>
            </w:pPr>
            <w:r w:rsidRPr="009832FC">
              <w:rPr>
                <w:rFonts w:cs="Calibri"/>
                <w:sz w:val="20"/>
                <w:bdr w:val="nil"/>
              </w:rPr>
              <w:t>182,000</w:t>
            </w:r>
          </w:p>
        </w:tc>
      </w:tr>
    </w:tbl>
    <w:p w14:paraId="3405CDBE" w14:textId="77777777" w:rsidR="009832FC" w:rsidRPr="009832FC" w:rsidRDefault="009832FC" w:rsidP="009832FC">
      <w:pPr>
        <w:keepNext/>
        <w:keepLines/>
        <w:pBdr>
          <w:top w:val="nil"/>
          <w:left w:val="nil"/>
          <w:bottom w:val="nil"/>
          <w:right w:val="nil"/>
          <w:between w:val="nil"/>
          <w:bar w:val="nil"/>
        </w:pBdr>
        <w:spacing w:before="120" w:after="0"/>
        <w:rPr>
          <w:rFonts w:cs="Calibri"/>
          <w:b/>
          <w:sz w:val="18"/>
          <w:szCs w:val="18"/>
          <w:bdr w:val="nil"/>
        </w:rPr>
      </w:pPr>
      <w:r w:rsidRPr="009832FC">
        <w:rPr>
          <w:rFonts w:cs="Calibri"/>
          <w:b/>
          <w:sz w:val="18"/>
          <w:szCs w:val="18"/>
          <w:bdr w:val="nil"/>
          <w:lang w:eastAsia="en-AU"/>
        </w:rPr>
        <w:t>Notes:</w:t>
      </w:r>
    </w:p>
    <w:p w14:paraId="5DB2CE1C" w14:textId="77777777" w:rsidR="009832FC" w:rsidRPr="009832FC" w:rsidRDefault="009832FC" w:rsidP="009832FC">
      <w:pPr>
        <w:keepLines/>
        <w:widowControl w:val="0"/>
        <w:pBdr>
          <w:top w:val="nil"/>
          <w:left w:val="nil"/>
          <w:bottom w:val="nil"/>
          <w:right w:val="nil"/>
          <w:between w:val="nil"/>
          <w:bar w:val="nil"/>
        </w:pBdr>
        <w:spacing w:before="0" w:after="0"/>
        <w:ind w:left="284"/>
        <w:jc w:val="both"/>
        <w:rPr>
          <w:rFonts w:cs="Calibri"/>
          <w:bCs/>
          <w:sz w:val="18"/>
          <w:szCs w:val="18"/>
          <w:bdr w:val="nil"/>
          <w:lang w:eastAsia="en-AU"/>
        </w:rPr>
      </w:pPr>
      <w:r w:rsidRPr="009832FC">
        <w:rPr>
          <w:rFonts w:cs="Calibri"/>
          <w:sz w:val="18"/>
          <w:szCs w:val="18"/>
          <w:bdr w:val="nil"/>
          <w:lang w:eastAsia="en-AU"/>
        </w:rPr>
        <w:t xml:space="preserve">Activity funded by the LHN is consistent with the criteria in the National Health Reform Agreement. National Weighted Activity Unit (NWAU) is the measure that is used to express the price weights for all services that are funded on an activity basis.  NWAU {21} is the measure as defined by the Independent Hospital Pricing Authority in the National Price Determination 2021-22.  NWAU {21} is not directly comparable to NWAU {20}. </w:t>
      </w:r>
      <w:r w:rsidRPr="009832FC">
        <w:rPr>
          <w:rFonts w:cs="Calibri"/>
          <w:bCs/>
          <w:sz w:val="18"/>
          <w:szCs w:val="18"/>
          <w:bdr w:val="nil"/>
          <w:lang w:eastAsia="en-AU"/>
        </w:rPr>
        <w:t>These measures combine the results for Canberra Hospital, University of Canberra Hospital, Calvary Public Hospital and Clare Holland House for services that meet the Independent Hospital Pricing Authority's criteria for inclusion on the ‘General List of In-Scope Public Hospital Services’.</w:t>
      </w:r>
    </w:p>
    <w:p w14:paraId="2F99EB14" w14:textId="77777777" w:rsidR="009832FC" w:rsidRPr="009832FC" w:rsidRDefault="009832FC" w:rsidP="009832FC">
      <w:pPr>
        <w:pBdr>
          <w:top w:val="nil"/>
          <w:left w:val="nil"/>
          <w:bottom w:val="nil"/>
          <w:right w:val="nil"/>
          <w:between w:val="nil"/>
          <w:bar w:val="nil"/>
        </w:pBdr>
        <w:tabs>
          <w:tab w:val="left" w:pos="283"/>
          <w:tab w:val="left" w:pos="567"/>
        </w:tabs>
        <w:suppressAutoHyphens/>
        <w:autoSpaceDE w:val="0"/>
        <w:autoSpaceDN w:val="0"/>
        <w:adjustRightInd w:val="0"/>
        <w:spacing w:before="0" w:after="0"/>
        <w:jc w:val="both"/>
        <w:rPr>
          <w:rFonts w:cs="Calibri"/>
          <w:bCs/>
          <w:color w:val="000000"/>
          <w:sz w:val="18"/>
          <w:szCs w:val="18"/>
          <w:bdr w:val="nil"/>
          <w:lang w:eastAsia="en-AU"/>
        </w:rPr>
      </w:pPr>
      <w:r w:rsidRPr="009832FC">
        <w:rPr>
          <w:rFonts w:cs="Calibri"/>
          <w:bCs/>
          <w:color w:val="000000"/>
          <w:sz w:val="18"/>
          <w:szCs w:val="18"/>
          <w:bdr w:val="nil"/>
          <w:lang w:eastAsia="en-AU"/>
        </w:rPr>
        <w:t>a.</w:t>
      </w:r>
      <w:r w:rsidRPr="009832FC">
        <w:rPr>
          <w:rFonts w:cs="Calibri"/>
          <w:bCs/>
          <w:color w:val="000000"/>
          <w:sz w:val="18"/>
          <w:szCs w:val="18"/>
          <w:bdr w:val="nil"/>
          <w:lang w:eastAsia="en-AU"/>
        </w:rPr>
        <w:tab/>
        <w:t xml:space="preserve">Excludes mental health and sub-acute services.  </w:t>
      </w:r>
    </w:p>
    <w:p w14:paraId="3EDC2F1D" w14:textId="77777777" w:rsidR="009832FC" w:rsidRPr="009832FC" w:rsidRDefault="009832FC" w:rsidP="009832FC">
      <w:pPr>
        <w:pBdr>
          <w:top w:val="nil"/>
          <w:left w:val="nil"/>
          <w:bottom w:val="nil"/>
          <w:right w:val="nil"/>
          <w:between w:val="nil"/>
          <w:bar w:val="nil"/>
        </w:pBdr>
        <w:tabs>
          <w:tab w:val="left" w:pos="283"/>
          <w:tab w:val="left" w:pos="567"/>
        </w:tabs>
        <w:suppressAutoHyphens/>
        <w:autoSpaceDE w:val="0"/>
        <w:autoSpaceDN w:val="0"/>
        <w:adjustRightInd w:val="0"/>
        <w:spacing w:before="0" w:after="0"/>
        <w:jc w:val="both"/>
        <w:rPr>
          <w:rFonts w:cs="Calibri"/>
          <w:bCs/>
          <w:color w:val="000000"/>
          <w:sz w:val="18"/>
          <w:szCs w:val="18"/>
          <w:bdr w:val="nil"/>
          <w:lang w:eastAsia="en-AU"/>
        </w:rPr>
      </w:pPr>
      <w:r w:rsidRPr="009832FC">
        <w:rPr>
          <w:rFonts w:cs="Calibri"/>
          <w:bCs/>
          <w:color w:val="000000"/>
          <w:sz w:val="18"/>
          <w:szCs w:val="18"/>
          <w:bdr w:val="nil"/>
          <w:lang w:eastAsia="en-AU"/>
        </w:rPr>
        <w:t xml:space="preserve">b. </w:t>
      </w:r>
      <w:r w:rsidRPr="009832FC">
        <w:rPr>
          <w:rFonts w:cs="Calibri"/>
          <w:bCs/>
          <w:color w:val="000000"/>
          <w:sz w:val="18"/>
          <w:szCs w:val="18"/>
          <w:bdr w:val="nil"/>
          <w:lang w:eastAsia="en-AU"/>
        </w:rPr>
        <w:tab/>
        <w:t xml:space="preserve">Excludes community mental health services. </w:t>
      </w:r>
    </w:p>
    <w:p w14:paraId="20084500" w14:textId="77777777" w:rsidR="009832FC" w:rsidRPr="009832FC" w:rsidRDefault="009832FC" w:rsidP="009832FC">
      <w:pPr>
        <w:keepNext/>
        <w:keepLines/>
        <w:pBdr>
          <w:top w:val="nil"/>
          <w:left w:val="nil"/>
          <w:bottom w:val="nil"/>
          <w:right w:val="nil"/>
          <w:between w:val="nil"/>
          <w:bar w:val="nil"/>
        </w:pBdr>
        <w:spacing w:before="120" w:after="0"/>
        <w:rPr>
          <w:rFonts w:cs="Calibri"/>
          <w:b/>
          <w:sz w:val="18"/>
          <w:szCs w:val="18"/>
          <w:bdr w:val="nil"/>
        </w:rPr>
      </w:pPr>
      <w:r w:rsidRPr="009832FC">
        <w:rPr>
          <w:rFonts w:cs="Calibri"/>
          <w:b/>
          <w:sz w:val="18"/>
          <w:szCs w:val="18"/>
          <w:bdr w:val="nil"/>
          <w:lang w:eastAsia="en-AU"/>
        </w:rPr>
        <w:t>Variances between the 2020-21 Target and Interim Outcome:</w:t>
      </w:r>
    </w:p>
    <w:p w14:paraId="784BE631" w14:textId="77777777" w:rsidR="009832FC" w:rsidRPr="009832FC" w:rsidRDefault="009832FC" w:rsidP="009832FC">
      <w:pPr>
        <w:pBdr>
          <w:top w:val="nil"/>
          <w:left w:val="nil"/>
          <w:bottom w:val="nil"/>
          <w:right w:val="nil"/>
          <w:between w:val="nil"/>
          <w:bar w:val="nil"/>
        </w:pBdr>
        <w:tabs>
          <w:tab w:val="left" w:pos="283"/>
          <w:tab w:val="left" w:pos="567"/>
        </w:tabs>
        <w:suppressAutoHyphens/>
        <w:autoSpaceDE w:val="0"/>
        <w:autoSpaceDN w:val="0"/>
        <w:adjustRightInd w:val="0"/>
        <w:spacing w:before="0" w:after="0"/>
        <w:ind w:left="283" w:hanging="283"/>
        <w:jc w:val="both"/>
        <w:rPr>
          <w:rFonts w:cs="Calibri"/>
          <w:bCs/>
          <w:color w:val="000000"/>
          <w:sz w:val="18"/>
          <w:szCs w:val="18"/>
          <w:bdr w:val="nil"/>
          <w:lang w:eastAsia="en-AU"/>
        </w:rPr>
      </w:pPr>
      <w:r w:rsidRPr="009832FC">
        <w:rPr>
          <w:rFonts w:cs="Calibri"/>
          <w:bCs/>
          <w:color w:val="000000"/>
          <w:sz w:val="18"/>
          <w:szCs w:val="18"/>
          <w:bdr w:val="nil"/>
          <w:lang w:eastAsia="en-AU"/>
        </w:rPr>
        <w:t>1.</w:t>
      </w:r>
      <w:r w:rsidRPr="009832FC">
        <w:rPr>
          <w:rFonts w:cs="Calibri"/>
          <w:bCs/>
          <w:color w:val="000000"/>
          <w:sz w:val="18"/>
          <w:szCs w:val="18"/>
          <w:bdr w:val="nil"/>
          <w:lang w:eastAsia="en-AU"/>
        </w:rPr>
        <w:tab/>
        <w:t xml:space="preserve">The 2020-21 result is not finalised and is subject to change once validations have been completed. The preliminary result is above target and reflects an increase in non-admitted activity due to the opening of additional non-admitted clinics at the University of Canberra Hospital and the Canberra Hospital and improved data capture of non-admitted community-based services.  </w:t>
      </w:r>
    </w:p>
    <w:p w14:paraId="12CAD3CC" w14:textId="77777777" w:rsidR="009832FC" w:rsidRPr="009832FC" w:rsidRDefault="009832FC" w:rsidP="009832FC">
      <w:pPr>
        <w:pBdr>
          <w:top w:val="nil"/>
          <w:left w:val="nil"/>
          <w:bottom w:val="nil"/>
          <w:right w:val="nil"/>
          <w:between w:val="nil"/>
          <w:bar w:val="nil"/>
        </w:pBdr>
        <w:tabs>
          <w:tab w:val="left" w:pos="283"/>
          <w:tab w:val="left" w:pos="567"/>
        </w:tabs>
        <w:suppressAutoHyphens/>
        <w:autoSpaceDE w:val="0"/>
        <w:autoSpaceDN w:val="0"/>
        <w:adjustRightInd w:val="0"/>
        <w:spacing w:before="0" w:after="0"/>
        <w:jc w:val="both"/>
        <w:rPr>
          <w:rFonts w:cs="Calibri"/>
          <w:bCs/>
          <w:color w:val="000000"/>
          <w:sz w:val="18"/>
          <w:szCs w:val="18"/>
          <w:bdr w:val="nil"/>
          <w:lang w:eastAsia="en-AU"/>
        </w:rPr>
      </w:pPr>
    </w:p>
    <w:p w14:paraId="0A2C0577" w14:textId="77777777" w:rsidR="009832FC" w:rsidRPr="009832FC" w:rsidRDefault="009832FC" w:rsidP="009832FC">
      <w:pPr>
        <w:pBdr>
          <w:top w:val="nil"/>
          <w:left w:val="nil"/>
          <w:bottom w:val="nil"/>
          <w:right w:val="nil"/>
          <w:between w:val="nil"/>
          <w:bar w:val="nil"/>
        </w:pBdr>
        <w:spacing w:before="0" w:after="0"/>
        <w:ind w:left="360"/>
        <w:rPr>
          <w:sz w:val="18"/>
          <w:szCs w:val="24"/>
          <w:bdr w:val="nil"/>
        </w:rPr>
      </w:pPr>
      <w:r w:rsidRPr="009832FC">
        <w:rPr>
          <w:sz w:val="18"/>
          <w:szCs w:val="24"/>
        </w:rPr>
        <w:t xml:space="preserve"> </w:t>
      </w:r>
    </w:p>
    <w:p w14:paraId="55DA5D3A" w14:textId="77777777" w:rsidR="009832FC" w:rsidRPr="009832FC" w:rsidRDefault="009832FC" w:rsidP="009832FC">
      <w:pPr>
        <w:keepNext/>
        <w:pageBreakBefore/>
        <w:pBdr>
          <w:top w:val="nil"/>
          <w:left w:val="nil"/>
          <w:bottom w:val="nil"/>
          <w:right w:val="nil"/>
          <w:between w:val="nil"/>
          <w:bar w:val="nil"/>
        </w:pBdr>
        <w:spacing w:before="360"/>
        <w:outlineLvl w:val="1"/>
        <w:rPr>
          <w:b/>
          <w:snapToGrid w:val="0"/>
          <w:sz w:val="32"/>
          <w:bdr w:val="nil"/>
        </w:rPr>
      </w:pPr>
      <w:bookmarkStart w:id="95" w:name="_Toc83910762"/>
      <w:r w:rsidRPr="009832FC">
        <w:rPr>
          <w:b/>
          <w:snapToGrid w:val="0"/>
          <w:sz w:val="32"/>
          <w:bdr w:val="nil"/>
        </w:rPr>
        <w:lastRenderedPageBreak/>
        <w:t>Changes to Appropriation</w:t>
      </w:r>
      <w:bookmarkEnd w:id="95"/>
    </w:p>
    <w:p w14:paraId="35376059" w14:textId="77777777" w:rsidR="009832FC" w:rsidRPr="009832FC" w:rsidRDefault="009832FC" w:rsidP="009832FC">
      <w:pPr>
        <w:keepNext/>
        <w:pBdr>
          <w:top w:val="nil"/>
          <w:left w:val="nil"/>
          <w:bottom w:val="nil"/>
          <w:right w:val="nil"/>
          <w:between w:val="nil"/>
          <w:bar w:val="nil"/>
        </w:pBdr>
        <w:spacing w:before="240"/>
        <w:rPr>
          <w:b/>
          <w:bCs/>
          <w:color w:val="000000"/>
          <w:sz w:val="22"/>
          <w:szCs w:val="18"/>
          <w:bdr w:val="nil"/>
        </w:rPr>
      </w:pPr>
      <w:r w:rsidRPr="009832FC">
        <w:rPr>
          <w:b/>
          <w:bCs/>
          <w:color w:val="000000"/>
          <w:sz w:val="22"/>
          <w:szCs w:val="18"/>
          <w:bdr w:val="nil"/>
        </w:rPr>
        <w:t>Table 4: Changes to appropriation –</w:t>
      </w:r>
      <w:r w:rsidRPr="009832FC">
        <w:rPr>
          <w:b/>
          <w:bCs/>
          <w:color w:val="000000"/>
          <w:sz w:val="22"/>
          <w:bdr w:val="nil"/>
        </w:rPr>
        <w:t xml:space="preserve"> </w:t>
      </w:r>
      <w:r w:rsidRPr="009832FC">
        <w:rPr>
          <w:b/>
          <w:bCs/>
          <w:color w:val="000000"/>
          <w:sz w:val="22"/>
          <w:szCs w:val="18"/>
          <w:bdr w:val="nil"/>
        </w:rPr>
        <w:t>Controlled Recurrent Payments</w:t>
      </w:r>
    </w:p>
    <w:tbl>
      <w:tblPr>
        <w:tblStyle w:val="CDMRange1"/>
        <w:tblW w:w="9781" w:type="dxa"/>
        <w:tblLayout w:type="fixed"/>
        <w:tblLook w:val="0600" w:firstRow="0" w:lastRow="0" w:firstColumn="0" w:lastColumn="0" w:noHBand="1" w:noVBand="1"/>
      </w:tblPr>
      <w:tblGrid>
        <w:gridCol w:w="5070"/>
        <w:gridCol w:w="942"/>
        <w:gridCol w:w="942"/>
        <w:gridCol w:w="942"/>
        <w:gridCol w:w="942"/>
        <w:gridCol w:w="943"/>
      </w:tblGrid>
      <w:tr w:rsidR="009832FC" w:rsidRPr="009832FC" w14:paraId="6C8F9799" w14:textId="77777777" w:rsidTr="00EB585F">
        <w:trPr>
          <w:trHeight w:val="945"/>
        </w:trPr>
        <w:tc>
          <w:tcPr>
            <w:tcW w:w="507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28780DDA"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0B81DA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2020-21 Interim Outcome</w:t>
            </w:r>
          </w:p>
          <w:p w14:paraId="5256E8C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94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B2E362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2021-22 Budget</w:t>
            </w:r>
          </w:p>
          <w:p w14:paraId="66E1222E" w14:textId="77777777" w:rsidR="009832FC" w:rsidRPr="009832FC" w:rsidRDefault="009832FC" w:rsidP="009832FC">
            <w:pPr>
              <w:spacing w:before="0" w:after="0"/>
              <w:jc w:val="right"/>
              <w:rPr>
                <w:rFonts w:eastAsia="Calibri" w:cs="Calibri"/>
                <w:b/>
                <w:color w:val="000000"/>
                <w:sz w:val="18"/>
                <w:szCs w:val="24"/>
                <w:lang w:eastAsia="en-AU"/>
              </w:rPr>
            </w:pPr>
          </w:p>
          <w:p w14:paraId="65E923A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94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C0917C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2022-23 Estimate</w:t>
            </w:r>
          </w:p>
          <w:p w14:paraId="43E12466" w14:textId="77777777" w:rsidR="009832FC" w:rsidRPr="009832FC" w:rsidRDefault="009832FC" w:rsidP="009832FC">
            <w:pPr>
              <w:spacing w:before="0" w:after="0"/>
              <w:jc w:val="right"/>
              <w:rPr>
                <w:rFonts w:eastAsia="Calibri" w:cs="Calibri"/>
                <w:b/>
                <w:color w:val="000000"/>
                <w:sz w:val="18"/>
                <w:szCs w:val="24"/>
                <w:lang w:eastAsia="en-AU"/>
              </w:rPr>
            </w:pPr>
          </w:p>
          <w:p w14:paraId="2F3E3C5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94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19E976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2023-24 Estimate</w:t>
            </w:r>
          </w:p>
          <w:p w14:paraId="3C23E9B2" w14:textId="77777777" w:rsidR="009832FC" w:rsidRPr="009832FC" w:rsidRDefault="009832FC" w:rsidP="009832FC">
            <w:pPr>
              <w:spacing w:before="0" w:after="0"/>
              <w:jc w:val="right"/>
              <w:rPr>
                <w:rFonts w:eastAsia="Calibri" w:cs="Calibri"/>
                <w:b/>
                <w:color w:val="000000"/>
                <w:sz w:val="18"/>
                <w:szCs w:val="24"/>
                <w:lang w:eastAsia="en-AU"/>
              </w:rPr>
            </w:pPr>
          </w:p>
          <w:p w14:paraId="48C914E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943"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532B80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2024-25 Estimate</w:t>
            </w:r>
          </w:p>
          <w:p w14:paraId="65CBD364" w14:textId="77777777" w:rsidR="009832FC" w:rsidRPr="009832FC" w:rsidRDefault="009832FC" w:rsidP="009832FC">
            <w:pPr>
              <w:spacing w:before="0" w:after="0"/>
              <w:jc w:val="right"/>
              <w:rPr>
                <w:rFonts w:eastAsia="Calibri" w:cs="Calibri"/>
                <w:b/>
                <w:color w:val="000000"/>
                <w:sz w:val="18"/>
                <w:szCs w:val="24"/>
                <w:lang w:eastAsia="en-AU"/>
              </w:rPr>
            </w:pPr>
          </w:p>
          <w:p w14:paraId="5779892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r>
      <w:tr w:rsidR="009832FC" w:rsidRPr="009832FC" w14:paraId="2E77A70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07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BB7C124"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37965F5"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34946B6"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D2AA4BC"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7FE9A5D" w14:textId="77777777" w:rsidR="009832FC" w:rsidRPr="009832FC" w:rsidRDefault="009832FC" w:rsidP="009832FC">
            <w:pPr>
              <w:spacing w:before="0" w:after="0"/>
              <w:rPr>
                <w:rFonts w:eastAsia="Calibri" w:cs="Calibri"/>
                <w:color w:val="000000"/>
                <w:sz w:val="18"/>
                <w:szCs w:val="24"/>
                <w:lang w:eastAsia="en-AU"/>
              </w:rPr>
            </w:pPr>
          </w:p>
        </w:tc>
        <w:tc>
          <w:tcPr>
            <w:tcW w:w="943"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D74A1FF"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148C53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3"/>
        </w:trPr>
        <w:tc>
          <w:tcPr>
            <w:tcW w:w="5070" w:type="dxa"/>
            <w:tcBorders>
              <w:top w:val="nil"/>
              <w:left w:val="nil"/>
              <w:bottom w:val="nil"/>
              <w:right w:val="nil"/>
              <w:tl2br w:val="nil"/>
              <w:tr2bl w:val="nil"/>
            </w:tcBorders>
            <w:shd w:val="clear" w:color="auto" w:fill="auto"/>
            <w:noWrap/>
            <w:tcMar>
              <w:left w:w="101" w:type="dxa"/>
              <w:right w:w="101" w:type="dxa"/>
            </w:tcMar>
            <w:vAlign w:val="bottom"/>
          </w:tcPr>
          <w:p w14:paraId="3F4F86E4"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2020-21 Budget</w:t>
            </w:r>
          </w:p>
        </w:tc>
        <w:tc>
          <w:tcPr>
            <w:tcW w:w="942" w:type="dxa"/>
            <w:tcBorders>
              <w:top w:val="nil"/>
              <w:left w:val="nil"/>
              <w:bottom w:val="nil"/>
              <w:right w:val="nil"/>
              <w:tl2br w:val="nil"/>
              <w:tr2bl w:val="nil"/>
            </w:tcBorders>
            <w:shd w:val="clear" w:color="auto" w:fill="auto"/>
            <w:noWrap/>
            <w:tcMar>
              <w:left w:w="101" w:type="dxa"/>
              <w:right w:w="101" w:type="dxa"/>
            </w:tcMar>
            <w:vAlign w:val="bottom"/>
          </w:tcPr>
          <w:p w14:paraId="68F6C06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900,173</w:t>
            </w:r>
          </w:p>
        </w:tc>
        <w:tc>
          <w:tcPr>
            <w:tcW w:w="942" w:type="dxa"/>
            <w:tcBorders>
              <w:top w:val="nil"/>
              <w:left w:val="nil"/>
              <w:bottom w:val="nil"/>
              <w:right w:val="nil"/>
              <w:tl2br w:val="nil"/>
              <w:tr2bl w:val="nil"/>
            </w:tcBorders>
            <w:shd w:val="clear" w:color="auto" w:fill="auto"/>
            <w:noWrap/>
            <w:tcMar>
              <w:left w:w="101" w:type="dxa"/>
              <w:right w:w="101" w:type="dxa"/>
            </w:tcMar>
            <w:vAlign w:val="bottom"/>
          </w:tcPr>
          <w:p w14:paraId="5D3F242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821,874</w:t>
            </w:r>
          </w:p>
        </w:tc>
        <w:tc>
          <w:tcPr>
            <w:tcW w:w="942" w:type="dxa"/>
            <w:tcBorders>
              <w:top w:val="nil"/>
              <w:left w:val="nil"/>
              <w:bottom w:val="nil"/>
              <w:right w:val="nil"/>
              <w:tl2br w:val="nil"/>
              <w:tr2bl w:val="nil"/>
            </w:tcBorders>
            <w:shd w:val="clear" w:color="auto" w:fill="auto"/>
            <w:noWrap/>
            <w:tcMar>
              <w:left w:w="101" w:type="dxa"/>
              <w:right w:w="101" w:type="dxa"/>
            </w:tcMar>
            <w:vAlign w:val="bottom"/>
          </w:tcPr>
          <w:p w14:paraId="5A59C62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799,058</w:t>
            </w:r>
          </w:p>
        </w:tc>
        <w:tc>
          <w:tcPr>
            <w:tcW w:w="942" w:type="dxa"/>
            <w:tcBorders>
              <w:top w:val="nil"/>
              <w:left w:val="nil"/>
              <w:bottom w:val="nil"/>
              <w:right w:val="nil"/>
              <w:tl2br w:val="nil"/>
              <w:tr2bl w:val="nil"/>
            </w:tcBorders>
            <w:shd w:val="clear" w:color="auto" w:fill="auto"/>
            <w:noWrap/>
            <w:tcMar>
              <w:left w:w="101" w:type="dxa"/>
              <w:right w:w="101" w:type="dxa"/>
            </w:tcMar>
            <w:vAlign w:val="bottom"/>
          </w:tcPr>
          <w:p w14:paraId="4112A60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788,192</w:t>
            </w:r>
          </w:p>
        </w:tc>
        <w:tc>
          <w:tcPr>
            <w:tcW w:w="943" w:type="dxa"/>
            <w:tcBorders>
              <w:top w:val="nil"/>
              <w:left w:val="nil"/>
              <w:bottom w:val="nil"/>
              <w:right w:val="nil"/>
              <w:tl2br w:val="nil"/>
              <w:tr2bl w:val="nil"/>
            </w:tcBorders>
            <w:shd w:val="clear" w:color="auto" w:fill="auto"/>
            <w:noWrap/>
            <w:tcMar>
              <w:left w:w="101" w:type="dxa"/>
              <w:right w:w="101" w:type="dxa"/>
            </w:tcMar>
            <w:vAlign w:val="bottom"/>
          </w:tcPr>
          <w:p w14:paraId="0378EDD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775,515</w:t>
            </w:r>
          </w:p>
        </w:tc>
      </w:tr>
      <w:tr w:rsidR="009832FC" w:rsidRPr="009832FC" w14:paraId="30F73B4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3"/>
        </w:trPr>
        <w:tc>
          <w:tcPr>
            <w:tcW w:w="5070" w:type="dxa"/>
            <w:tcBorders>
              <w:top w:val="nil"/>
              <w:left w:val="nil"/>
              <w:bottom w:val="nil"/>
              <w:right w:val="nil"/>
              <w:tl2br w:val="nil"/>
              <w:tr2bl w:val="nil"/>
            </w:tcBorders>
            <w:shd w:val="clear" w:color="auto" w:fill="auto"/>
            <w:noWrap/>
            <w:tcMar>
              <w:left w:w="0" w:type="dxa"/>
              <w:right w:w="0" w:type="dxa"/>
            </w:tcMar>
            <w:vAlign w:val="bottom"/>
          </w:tcPr>
          <w:p w14:paraId="6FC1C735"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7804375C"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54CCAF0B"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4B64251E"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5BF0CDDB" w14:textId="77777777" w:rsidR="009832FC" w:rsidRPr="009832FC" w:rsidRDefault="009832FC" w:rsidP="009832FC">
            <w:pPr>
              <w:spacing w:before="0" w:after="0"/>
              <w:rPr>
                <w:rFonts w:eastAsia="Calibri" w:cs="Calibri"/>
                <w:color w:val="000000"/>
                <w:sz w:val="18"/>
                <w:szCs w:val="24"/>
                <w:lang w:eastAsia="en-AU"/>
              </w:rPr>
            </w:pPr>
          </w:p>
        </w:tc>
        <w:tc>
          <w:tcPr>
            <w:tcW w:w="943" w:type="dxa"/>
            <w:tcBorders>
              <w:top w:val="nil"/>
              <w:left w:val="nil"/>
              <w:bottom w:val="nil"/>
              <w:right w:val="nil"/>
              <w:tl2br w:val="nil"/>
              <w:tr2bl w:val="nil"/>
            </w:tcBorders>
            <w:shd w:val="clear" w:color="auto" w:fill="auto"/>
            <w:noWrap/>
            <w:tcMar>
              <w:left w:w="0" w:type="dxa"/>
              <w:right w:w="0" w:type="dxa"/>
            </w:tcMar>
            <w:vAlign w:val="bottom"/>
          </w:tcPr>
          <w:p w14:paraId="40164238"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4C90FC4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vAlign w:val="bottom"/>
          </w:tcPr>
          <w:p w14:paraId="17A90F72"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2nd Appropriation</w:t>
            </w: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4BC2524B"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78DBE4D4"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26E69433"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76D033AD" w14:textId="77777777" w:rsidR="009832FC" w:rsidRPr="009832FC" w:rsidRDefault="009832FC" w:rsidP="009832FC">
            <w:pPr>
              <w:spacing w:before="0" w:after="0"/>
              <w:rPr>
                <w:rFonts w:eastAsia="Calibri" w:cs="Calibri"/>
                <w:color w:val="FFFFFF"/>
                <w:sz w:val="18"/>
                <w:szCs w:val="24"/>
                <w:lang w:eastAsia="en-AU"/>
              </w:rPr>
            </w:pPr>
          </w:p>
        </w:tc>
        <w:tc>
          <w:tcPr>
            <w:tcW w:w="943" w:type="dxa"/>
            <w:tcBorders>
              <w:top w:val="nil"/>
              <w:left w:val="nil"/>
              <w:bottom w:val="nil"/>
              <w:right w:val="nil"/>
              <w:tl2br w:val="nil"/>
              <w:tr2bl w:val="nil"/>
            </w:tcBorders>
            <w:shd w:val="clear" w:color="auto" w:fill="auto"/>
            <w:noWrap/>
            <w:tcMar>
              <w:left w:w="0" w:type="dxa"/>
              <w:right w:w="0" w:type="dxa"/>
            </w:tcMar>
            <w:vAlign w:val="bottom"/>
          </w:tcPr>
          <w:p w14:paraId="2C5B7B2B" w14:textId="77777777" w:rsidR="009832FC" w:rsidRPr="009832FC" w:rsidRDefault="009832FC" w:rsidP="009832FC">
            <w:pPr>
              <w:spacing w:before="0" w:after="0"/>
              <w:rPr>
                <w:rFonts w:eastAsia="Calibri" w:cs="Calibri"/>
                <w:color w:val="FFFFFF"/>
                <w:sz w:val="18"/>
                <w:szCs w:val="24"/>
                <w:lang w:eastAsia="en-AU"/>
              </w:rPr>
            </w:pPr>
          </w:p>
        </w:tc>
      </w:tr>
      <w:tr w:rsidR="009832FC" w:rsidRPr="009832FC" w14:paraId="138480D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712A4F6F"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Treasurers Advance</w:t>
            </w:r>
          </w:p>
        </w:tc>
        <w:tc>
          <w:tcPr>
            <w:tcW w:w="942" w:type="dxa"/>
            <w:tcBorders>
              <w:top w:val="nil"/>
              <w:left w:val="nil"/>
              <w:bottom w:val="nil"/>
              <w:right w:val="nil"/>
              <w:tl2br w:val="nil"/>
              <w:tr2bl w:val="nil"/>
            </w:tcBorders>
            <w:shd w:val="clear" w:color="auto" w:fill="auto"/>
            <w:noWrap/>
            <w:tcMar>
              <w:left w:w="101" w:type="dxa"/>
              <w:right w:w="101" w:type="dxa"/>
            </w:tcMar>
          </w:tcPr>
          <w:p w14:paraId="7F363EE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13,000</w:t>
            </w:r>
          </w:p>
        </w:tc>
        <w:tc>
          <w:tcPr>
            <w:tcW w:w="942" w:type="dxa"/>
            <w:tcBorders>
              <w:top w:val="nil"/>
              <w:left w:val="nil"/>
              <w:bottom w:val="nil"/>
              <w:right w:val="nil"/>
              <w:tl2br w:val="nil"/>
              <w:tr2bl w:val="nil"/>
            </w:tcBorders>
            <w:shd w:val="clear" w:color="auto" w:fill="auto"/>
            <w:noWrap/>
            <w:tcMar>
              <w:left w:w="101" w:type="dxa"/>
              <w:right w:w="101" w:type="dxa"/>
            </w:tcMar>
          </w:tcPr>
          <w:p w14:paraId="5F17D4D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304D53D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21960BC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144E1B9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5973302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0" w:type="dxa"/>
              <w:right w:w="0" w:type="dxa"/>
            </w:tcMar>
            <w:vAlign w:val="bottom"/>
          </w:tcPr>
          <w:p w14:paraId="5D4E7E0F"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2746DEC4"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64DCCC75"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059C9ABF"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63E936A0" w14:textId="77777777" w:rsidR="009832FC" w:rsidRPr="009832FC" w:rsidRDefault="009832FC" w:rsidP="009832FC">
            <w:pPr>
              <w:spacing w:before="0" w:after="0"/>
              <w:rPr>
                <w:rFonts w:eastAsia="Calibri" w:cs="Calibri"/>
                <w:color w:val="000000"/>
                <w:sz w:val="18"/>
                <w:szCs w:val="24"/>
                <w:lang w:eastAsia="en-AU"/>
              </w:rPr>
            </w:pPr>
          </w:p>
        </w:tc>
        <w:tc>
          <w:tcPr>
            <w:tcW w:w="943" w:type="dxa"/>
            <w:tcBorders>
              <w:top w:val="nil"/>
              <w:left w:val="nil"/>
              <w:bottom w:val="nil"/>
              <w:right w:val="nil"/>
              <w:tl2br w:val="nil"/>
              <w:tr2bl w:val="nil"/>
            </w:tcBorders>
            <w:shd w:val="clear" w:color="auto" w:fill="auto"/>
            <w:noWrap/>
            <w:tcMar>
              <w:left w:w="0" w:type="dxa"/>
              <w:right w:w="0" w:type="dxa"/>
            </w:tcMar>
            <w:vAlign w:val="bottom"/>
          </w:tcPr>
          <w:p w14:paraId="04E17C88"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B0B2A0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vAlign w:val="bottom"/>
          </w:tcPr>
          <w:p w14:paraId="330BB564"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2021-22 Budget Policy Adjustments</w:t>
            </w: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633A9A03"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5A335961"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7EF8B47A"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2630AF26" w14:textId="77777777" w:rsidR="009832FC" w:rsidRPr="009832FC" w:rsidRDefault="009832FC" w:rsidP="009832FC">
            <w:pPr>
              <w:spacing w:before="0" w:after="0"/>
              <w:rPr>
                <w:rFonts w:eastAsia="Calibri" w:cs="Calibri"/>
                <w:color w:val="FFFFFF"/>
                <w:sz w:val="18"/>
                <w:szCs w:val="24"/>
                <w:lang w:eastAsia="en-AU"/>
              </w:rPr>
            </w:pPr>
          </w:p>
        </w:tc>
        <w:tc>
          <w:tcPr>
            <w:tcW w:w="943" w:type="dxa"/>
            <w:tcBorders>
              <w:top w:val="nil"/>
              <w:left w:val="nil"/>
              <w:bottom w:val="nil"/>
              <w:right w:val="nil"/>
              <w:tl2br w:val="nil"/>
              <w:tr2bl w:val="nil"/>
            </w:tcBorders>
            <w:shd w:val="clear" w:color="auto" w:fill="auto"/>
            <w:noWrap/>
            <w:tcMar>
              <w:left w:w="0" w:type="dxa"/>
              <w:right w:w="0" w:type="dxa"/>
            </w:tcMar>
            <w:vAlign w:val="bottom"/>
          </w:tcPr>
          <w:p w14:paraId="34BBFDFA" w14:textId="77777777" w:rsidR="009832FC" w:rsidRPr="009832FC" w:rsidRDefault="009832FC" w:rsidP="009832FC">
            <w:pPr>
              <w:spacing w:before="0" w:after="0"/>
              <w:rPr>
                <w:rFonts w:eastAsia="Calibri" w:cs="Calibri"/>
                <w:color w:val="FFFFFF"/>
                <w:sz w:val="18"/>
                <w:szCs w:val="24"/>
                <w:lang w:eastAsia="en-AU"/>
              </w:rPr>
            </w:pPr>
          </w:p>
        </w:tc>
      </w:tr>
      <w:tr w:rsidR="009832FC" w:rsidRPr="009832FC" w14:paraId="765AE25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vAlign w:val="bottom"/>
          </w:tcPr>
          <w:p w14:paraId="66571518" w14:textId="77777777" w:rsidR="009832FC" w:rsidRPr="009832FC" w:rsidRDefault="009832FC" w:rsidP="009832FC">
            <w:pPr>
              <w:spacing w:before="0" w:after="0"/>
              <w:rPr>
                <w:rFonts w:eastAsia="Calibri" w:cs="Calibri"/>
                <w:b/>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35D1246B"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336EE986"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41018C8D"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7379D303" w14:textId="77777777" w:rsidR="009832FC" w:rsidRPr="009832FC" w:rsidRDefault="009832FC" w:rsidP="009832FC">
            <w:pPr>
              <w:spacing w:before="0" w:after="0"/>
              <w:rPr>
                <w:rFonts w:eastAsia="Calibri" w:cs="Calibri"/>
                <w:color w:val="FFFFFF"/>
                <w:sz w:val="18"/>
                <w:szCs w:val="24"/>
                <w:lang w:eastAsia="en-AU"/>
              </w:rPr>
            </w:pPr>
          </w:p>
        </w:tc>
        <w:tc>
          <w:tcPr>
            <w:tcW w:w="943" w:type="dxa"/>
            <w:tcBorders>
              <w:top w:val="nil"/>
              <w:left w:val="nil"/>
              <w:bottom w:val="nil"/>
              <w:right w:val="nil"/>
              <w:tl2br w:val="nil"/>
              <w:tr2bl w:val="nil"/>
            </w:tcBorders>
            <w:shd w:val="clear" w:color="auto" w:fill="auto"/>
            <w:noWrap/>
            <w:tcMar>
              <w:left w:w="0" w:type="dxa"/>
              <w:right w:w="0" w:type="dxa"/>
            </w:tcMar>
            <w:vAlign w:val="bottom"/>
          </w:tcPr>
          <w:p w14:paraId="23A11978" w14:textId="77777777" w:rsidR="009832FC" w:rsidRPr="009832FC" w:rsidRDefault="009832FC" w:rsidP="009832FC">
            <w:pPr>
              <w:spacing w:before="0" w:after="0"/>
              <w:rPr>
                <w:rFonts w:eastAsia="Calibri" w:cs="Calibri"/>
                <w:color w:val="FFFFFF"/>
                <w:sz w:val="18"/>
                <w:szCs w:val="24"/>
                <w:lang w:eastAsia="en-AU"/>
              </w:rPr>
            </w:pPr>
          </w:p>
        </w:tc>
      </w:tr>
      <w:tr w:rsidR="009832FC" w:rsidRPr="009832FC" w14:paraId="0905DC0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5070" w:type="dxa"/>
            <w:tcBorders>
              <w:top w:val="nil"/>
              <w:left w:val="nil"/>
              <w:bottom w:val="nil"/>
              <w:right w:val="nil"/>
              <w:tl2br w:val="nil"/>
              <w:tr2bl w:val="nil"/>
            </w:tcBorders>
            <w:shd w:val="clear" w:color="auto" w:fill="auto"/>
            <w:tcMar>
              <w:left w:w="101" w:type="dxa"/>
              <w:right w:w="101" w:type="dxa"/>
            </w:tcMar>
          </w:tcPr>
          <w:p w14:paraId="17AA03F7" w14:textId="77777777" w:rsidR="009832FC" w:rsidRPr="009832FC" w:rsidRDefault="009832FC" w:rsidP="009832FC">
            <w:pPr>
              <w:spacing w:before="0" w:after="0"/>
              <w:rPr>
                <w:rFonts w:eastAsia="Calibri" w:cs="Calibri"/>
                <w:color w:val="000000"/>
                <w:sz w:val="18"/>
                <w:szCs w:val="24"/>
                <w:u w:val="single"/>
                <w:lang w:eastAsia="en-AU"/>
              </w:rPr>
            </w:pPr>
            <w:r w:rsidRPr="009832FC">
              <w:rPr>
                <w:rFonts w:eastAsia="Calibri" w:cs="Calibri"/>
                <w:color w:val="000000"/>
                <w:sz w:val="18"/>
                <w:szCs w:val="24"/>
                <w:u w:val="single"/>
                <w:lang w:eastAsia="en-AU"/>
              </w:rPr>
              <w:t>Better care in the community</w:t>
            </w:r>
          </w:p>
        </w:tc>
        <w:tc>
          <w:tcPr>
            <w:tcW w:w="942" w:type="dxa"/>
            <w:tcBorders>
              <w:top w:val="nil"/>
              <w:left w:val="nil"/>
              <w:bottom w:val="nil"/>
              <w:right w:val="nil"/>
              <w:tl2br w:val="nil"/>
              <w:tr2bl w:val="nil"/>
            </w:tcBorders>
            <w:shd w:val="clear" w:color="auto" w:fill="auto"/>
            <w:noWrap/>
            <w:tcMar>
              <w:left w:w="101" w:type="dxa"/>
              <w:right w:w="101" w:type="dxa"/>
            </w:tcMar>
          </w:tcPr>
          <w:p w14:paraId="7066E4FB"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366B719D"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52F25466"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359CA805"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55E68EEC" w14:textId="77777777" w:rsidR="009832FC" w:rsidRPr="009832FC" w:rsidRDefault="009832FC" w:rsidP="009832FC">
            <w:pPr>
              <w:spacing w:before="0" w:after="0"/>
              <w:jc w:val="right"/>
              <w:rPr>
                <w:rFonts w:eastAsia="Calibri" w:cs="Calibri"/>
                <w:color w:val="000000"/>
                <w:sz w:val="18"/>
                <w:szCs w:val="24"/>
                <w:u w:val="single"/>
                <w:lang w:eastAsia="en-AU"/>
              </w:rPr>
            </w:pPr>
          </w:p>
        </w:tc>
      </w:tr>
      <w:tr w:rsidR="009832FC" w:rsidRPr="009832FC" w14:paraId="4D2BC59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70" w:type="dxa"/>
            <w:tcBorders>
              <w:top w:val="nil"/>
              <w:left w:val="nil"/>
              <w:bottom w:val="nil"/>
              <w:right w:val="nil"/>
              <w:tl2br w:val="nil"/>
              <w:tr2bl w:val="nil"/>
            </w:tcBorders>
            <w:shd w:val="clear" w:color="auto" w:fill="auto"/>
            <w:tcMar>
              <w:left w:w="101" w:type="dxa"/>
              <w:right w:w="101" w:type="dxa"/>
            </w:tcMar>
          </w:tcPr>
          <w:p w14:paraId="40D7191D"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Continuing to support the Home Assessment and Acute Response Team</w:t>
            </w:r>
          </w:p>
        </w:tc>
        <w:tc>
          <w:tcPr>
            <w:tcW w:w="942" w:type="dxa"/>
            <w:tcBorders>
              <w:top w:val="nil"/>
              <w:left w:val="nil"/>
              <w:bottom w:val="nil"/>
              <w:right w:val="nil"/>
              <w:tl2br w:val="nil"/>
              <w:tr2bl w:val="nil"/>
            </w:tcBorders>
            <w:shd w:val="clear" w:color="auto" w:fill="auto"/>
            <w:noWrap/>
            <w:tcMar>
              <w:left w:w="101" w:type="dxa"/>
              <w:right w:w="101" w:type="dxa"/>
            </w:tcMar>
          </w:tcPr>
          <w:p w14:paraId="16EB513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5C968E9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1,223</w:t>
            </w:r>
          </w:p>
        </w:tc>
        <w:tc>
          <w:tcPr>
            <w:tcW w:w="942" w:type="dxa"/>
            <w:tcBorders>
              <w:top w:val="nil"/>
              <w:left w:val="nil"/>
              <w:bottom w:val="nil"/>
              <w:right w:val="nil"/>
              <w:tl2br w:val="nil"/>
              <w:tr2bl w:val="nil"/>
            </w:tcBorders>
            <w:shd w:val="clear" w:color="auto" w:fill="auto"/>
            <w:noWrap/>
            <w:tcMar>
              <w:left w:w="101" w:type="dxa"/>
              <w:right w:w="101" w:type="dxa"/>
            </w:tcMar>
          </w:tcPr>
          <w:p w14:paraId="16E9A6E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1CB5AB0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006F696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6F0A2FD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70" w:type="dxa"/>
            <w:tcBorders>
              <w:top w:val="nil"/>
              <w:left w:val="nil"/>
              <w:bottom w:val="nil"/>
              <w:right w:val="nil"/>
              <w:tl2br w:val="nil"/>
              <w:tr2bl w:val="nil"/>
            </w:tcBorders>
            <w:shd w:val="clear" w:color="auto" w:fill="auto"/>
            <w:tcMar>
              <w:left w:w="101" w:type="dxa"/>
              <w:right w:w="101" w:type="dxa"/>
            </w:tcMar>
          </w:tcPr>
          <w:p w14:paraId="234954D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Drug and Alcohol Court - more support</w:t>
            </w:r>
          </w:p>
        </w:tc>
        <w:tc>
          <w:tcPr>
            <w:tcW w:w="942" w:type="dxa"/>
            <w:tcBorders>
              <w:top w:val="nil"/>
              <w:left w:val="nil"/>
              <w:bottom w:val="nil"/>
              <w:right w:val="nil"/>
              <w:tl2br w:val="nil"/>
              <w:tr2bl w:val="nil"/>
            </w:tcBorders>
            <w:shd w:val="clear" w:color="auto" w:fill="auto"/>
            <w:noWrap/>
            <w:tcMar>
              <w:left w:w="101" w:type="dxa"/>
              <w:right w:w="101" w:type="dxa"/>
            </w:tcMar>
          </w:tcPr>
          <w:p w14:paraId="4F4930A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45DD0B8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2,402</w:t>
            </w:r>
          </w:p>
        </w:tc>
        <w:tc>
          <w:tcPr>
            <w:tcW w:w="942" w:type="dxa"/>
            <w:tcBorders>
              <w:top w:val="nil"/>
              <w:left w:val="nil"/>
              <w:bottom w:val="nil"/>
              <w:right w:val="nil"/>
              <w:tl2br w:val="nil"/>
              <w:tr2bl w:val="nil"/>
            </w:tcBorders>
            <w:shd w:val="clear" w:color="auto" w:fill="auto"/>
            <w:noWrap/>
            <w:tcMar>
              <w:left w:w="101" w:type="dxa"/>
              <w:right w:w="101" w:type="dxa"/>
            </w:tcMar>
          </w:tcPr>
          <w:p w14:paraId="4C101A1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2,382</w:t>
            </w:r>
          </w:p>
        </w:tc>
        <w:tc>
          <w:tcPr>
            <w:tcW w:w="942" w:type="dxa"/>
            <w:tcBorders>
              <w:top w:val="nil"/>
              <w:left w:val="nil"/>
              <w:bottom w:val="nil"/>
              <w:right w:val="nil"/>
              <w:tl2br w:val="nil"/>
              <w:tr2bl w:val="nil"/>
            </w:tcBorders>
            <w:shd w:val="clear" w:color="auto" w:fill="auto"/>
            <w:noWrap/>
            <w:tcMar>
              <w:left w:w="101" w:type="dxa"/>
              <w:right w:w="101" w:type="dxa"/>
            </w:tcMar>
          </w:tcPr>
          <w:p w14:paraId="20C62C0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6D94583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1FA2488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070" w:type="dxa"/>
            <w:tcBorders>
              <w:top w:val="nil"/>
              <w:left w:val="nil"/>
              <w:bottom w:val="nil"/>
              <w:right w:val="nil"/>
              <w:tl2br w:val="nil"/>
              <w:tr2bl w:val="nil"/>
            </w:tcBorders>
            <w:shd w:val="clear" w:color="auto" w:fill="auto"/>
            <w:tcMar>
              <w:left w:w="101" w:type="dxa"/>
              <w:right w:w="101" w:type="dxa"/>
            </w:tcMar>
          </w:tcPr>
          <w:p w14:paraId="74DA4BE8"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Expansion of palliative care services at Clare Holland House Hospice</w:t>
            </w:r>
          </w:p>
        </w:tc>
        <w:tc>
          <w:tcPr>
            <w:tcW w:w="942" w:type="dxa"/>
            <w:tcBorders>
              <w:top w:val="nil"/>
              <w:left w:val="nil"/>
              <w:bottom w:val="nil"/>
              <w:right w:val="nil"/>
              <w:tl2br w:val="nil"/>
              <w:tr2bl w:val="nil"/>
            </w:tcBorders>
            <w:shd w:val="clear" w:color="auto" w:fill="auto"/>
            <w:noWrap/>
            <w:tcMar>
              <w:left w:w="101" w:type="dxa"/>
              <w:right w:w="101" w:type="dxa"/>
            </w:tcMar>
          </w:tcPr>
          <w:p w14:paraId="759EE66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6BFA2FF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1,474</w:t>
            </w:r>
          </w:p>
        </w:tc>
        <w:tc>
          <w:tcPr>
            <w:tcW w:w="942" w:type="dxa"/>
            <w:tcBorders>
              <w:top w:val="nil"/>
              <w:left w:val="nil"/>
              <w:bottom w:val="nil"/>
              <w:right w:val="nil"/>
              <w:tl2br w:val="nil"/>
              <w:tr2bl w:val="nil"/>
            </w:tcBorders>
            <w:shd w:val="clear" w:color="auto" w:fill="auto"/>
            <w:noWrap/>
            <w:tcMar>
              <w:left w:w="101" w:type="dxa"/>
              <w:right w:w="101" w:type="dxa"/>
            </w:tcMar>
          </w:tcPr>
          <w:p w14:paraId="780F379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4,509</w:t>
            </w:r>
          </w:p>
        </w:tc>
        <w:tc>
          <w:tcPr>
            <w:tcW w:w="942" w:type="dxa"/>
            <w:tcBorders>
              <w:top w:val="nil"/>
              <w:left w:val="nil"/>
              <w:bottom w:val="nil"/>
              <w:right w:val="nil"/>
              <w:tl2br w:val="nil"/>
              <w:tr2bl w:val="nil"/>
            </w:tcBorders>
            <w:shd w:val="clear" w:color="auto" w:fill="auto"/>
            <w:noWrap/>
            <w:tcMar>
              <w:left w:w="101" w:type="dxa"/>
              <w:right w:w="101" w:type="dxa"/>
            </w:tcMar>
          </w:tcPr>
          <w:p w14:paraId="7AD4E82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4,772</w:t>
            </w:r>
          </w:p>
        </w:tc>
        <w:tc>
          <w:tcPr>
            <w:tcW w:w="943" w:type="dxa"/>
            <w:tcBorders>
              <w:top w:val="nil"/>
              <w:left w:val="nil"/>
              <w:bottom w:val="nil"/>
              <w:right w:val="nil"/>
              <w:tl2br w:val="nil"/>
              <w:tr2bl w:val="nil"/>
            </w:tcBorders>
            <w:shd w:val="clear" w:color="auto" w:fill="auto"/>
            <w:noWrap/>
            <w:tcMar>
              <w:left w:w="101" w:type="dxa"/>
              <w:right w:w="101" w:type="dxa"/>
            </w:tcMar>
          </w:tcPr>
          <w:p w14:paraId="54DC39C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5,302</w:t>
            </w:r>
          </w:p>
        </w:tc>
      </w:tr>
      <w:tr w:rsidR="009832FC" w:rsidRPr="009832FC" w14:paraId="1D82EFA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70" w:type="dxa"/>
            <w:tcBorders>
              <w:top w:val="nil"/>
              <w:left w:val="nil"/>
              <w:bottom w:val="nil"/>
              <w:right w:val="nil"/>
              <w:tl2br w:val="nil"/>
              <w:tr2bl w:val="nil"/>
            </w:tcBorders>
            <w:shd w:val="clear" w:color="auto" w:fill="auto"/>
            <w:tcMar>
              <w:left w:w="101" w:type="dxa"/>
              <w:right w:w="101" w:type="dxa"/>
            </w:tcMar>
          </w:tcPr>
          <w:p w14:paraId="2FC497AB"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More support for community sector organisations</w:t>
            </w:r>
          </w:p>
        </w:tc>
        <w:tc>
          <w:tcPr>
            <w:tcW w:w="942" w:type="dxa"/>
            <w:tcBorders>
              <w:top w:val="nil"/>
              <w:left w:val="nil"/>
              <w:bottom w:val="nil"/>
              <w:right w:val="nil"/>
              <w:tl2br w:val="nil"/>
              <w:tr2bl w:val="nil"/>
            </w:tcBorders>
            <w:shd w:val="clear" w:color="auto" w:fill="auto"/>
            <w:noWrap/>
            <w:tcMar>
              <w:left w:w="101" w:type="dxa"/>
              <w:right w:w="101" w:type="dxa"/>
            </w:tcMar>
          </w:tcPr>
          <w:p w14:paraId="23FB38F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77C4236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101</w:t>
            </w:r>
          </w:p>
        </w:tc>
        <w:tc>
          <w:tcPr>
            <w:tcW w:w="942" w:type="dxa"/>
            <w:tcBorders>
              <w:top w:val="nil"/>
              <w:left w:val="nil"/>
              <w:bottom w:val="nil"/>
              <w:right w:val="nil"/>
              <w:tl2br w:val="nil"/>
              <w:tr2bl w:val="nil"/>
            </w:tcBorders>
            <w:shd w:val="clear" w:color="auto" w:fill="auto"/>
            <w:noWrap/>
            <w:tcMar>
              <w:left w:w="101" w:type="dxa"/>
              <w:right w:w="101" w:type="dxa"/>
            </w:tcMar>
          </w:tcPr>
          <w:p w14:paraId="3A8F2CE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102</w:t>
            </w:r>
          </w:p>
        </w:tc>
        <w:tc>
          <w:tcPr>
            <w:tcW w:w="942" w:type="dxa"/>
            <w:tcBorders>
              <w:top w:val="nil"/>
              <w:left w:val="nil"/>
              <w:bottom w:val="nil"/>
              <w:right w:val="nil"/>
              <w:tl2br w:val="nil"/>
              <w:tr2bl w:val="nil"/>
            </w:tcBorders>
            <w:shd w:val="clear" w:color="auto" w:fill="auto"/>
            <w:noWrap/>
            <w:tcMar>
              <w:left w:w="101" w:type="dxa"/>
              <w:right w:w="101" w:type="dxa"/>
            </w:tcMar>
          </w:tcPr>
          <w:p w14:paraId="21BAE8A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103</w:t>
            </w:r>
          </w:p>
        </w:tc>
        <w:tc>
          <w:tcPr>
            <w:tcW w:w="943" w:type="dxa"/>
            <w:tcBorders>
              <w:top w:val="nil"/>
              <w:left w:val="nil"/>
              <w:bottom w:val="nil"/>
              <w:right w:val="nil"/>
              <w:tl2br w:val="nil"/>
              <w:tr2bl w:val="nil"/>
            </w:tcBorders>
            <w:shd w:val="clear" w:color="auto" w:fill="auto"/>
            <w:noWrap/>
            <w:tcMar>
              <w:left w:w="101" w:type="dxa"/>
              <w:right w:w="101" w:type="dxa"/>
            </w:tcMar>
          </w:tcPr>
          <w:p w14:paraId="1A7BE16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115</w:t>
            </w:r>
          </w:p>
        </w:tc>
      </w:tr>
      <w:tr w:rsidR="009832FC" w:rsidRPr="009832FC" w14:paraId="5B20100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70" w:type="dxa"/>
            <w:tcBorders>
              <w:top w:val="nil"/>
              <w:left w:val="nil"/>
              <w:bottom w:val="nil"/>
              <w:right w:val="nil"/>
              <w:tl2br w:val="nil"/>
              <w:tr2bl w:val="nil"/>
            </w:tcBorders>
            <w:shd w:val="clear" w:color="auto" w:fill="auto"/>
            <w:tcMar>
              <w:left w:w="101" w:type="dxa"/>
              <w:right w:w="101" w:type="dxa"/>
            </w:tcMar>
          </w:tcPr>
          <w:p w14:paraId="432FCAB4"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Planning for additional supported accommodation houses</w:t>
            </w:r>
          </w:p>
        </w:tc>
        <w:tc>
          <w:tcPr>
            <w:tcW w:w="942" w:type="dxa"/>
            <w:tcBorders>
              <w:top w:val="nil"/>
              <w:left w:val="nil"/>
              <w:bottom w:val="nil"/>
              <w:right w:val="nil"/>
              <w:tl2br w:val="nil"/>
              <w:tr2bl w:val="nil"/>
            </w:tcBorders>
            <w:shd w:val="clear" w:color="auto" w:fill="auto"/>
            <w:noWrap/>
            <w:tcMar>
              <w:left w:w="101" w:type="dxa"/>
              <w:right w:w="101" w:type="dxa"/>
            </w:tcMar>
          </w:tcPr>
          <w:p w14:paraId="1B8045B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22FF4DA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184</w:t>
            </w:r>
          </w:p>
        </w:tc>
        <w:tc>
          <w:tcPr>
            <w:tcW w:w="942" w:type="dxa"/>
            <w:tcBorders>
              <w:top w:val="nil"/>
              <w:left w:val="nil"/>
              <w:bottom w:val="nil"/>
              <w:right w:val="nil"/>
              <w:tl2br w:val="nil"/>
              <w:tr2bl w:val="nil"/>
            </w:tcBorders>
            <w:shd w:val="clear" w:color="auto" w:fill="auto"/>
            <w:noWrap/>
            <w:tcMar>
              <w:left w:w="101" w:type="dxa"/>
              <w:right w:w="101" w:type="dxa"/>
            </w:tcMar>
          </w:tcPr>
          <w:p w14:paraId="3752E72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027A4A5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2883960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4449751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5070" w:type="dxa"/>
            <w:tcBorders>
              <w:top w:val="nil"/>
              <w:left w:val="nil"/>
              <w:bottom w:val="nil"/>
              <w:right w:val="nil"/>
              <w:tl2br w:val="nil"/>
              <w:tr2bl w:val="nil"/>
            </w:tcBorders>
            <w:shd w:val="clear" w:color="auto" w:fill="auto"/>
            <w:tcMar>
              <w:left w:w="101" w:type="dxa"/>
              <w:right w:w="101" w:type="dxa"/>
            </w:tcMar>
          </w:tcPr>
          <w:p w14:paraId="781463FD"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414CD3A0"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3B5F7E90"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59872132"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30114E90" w14:textId="77777777" w:rsidR="009832FC" w:rsidRPr="009832FC" w:rsidRDefault="009832FC" w:rsidP="009832FC">
            <w:pPr>
              <w:spacing w:before="0" w:after="0"/>
              <w:jc w:val="right"/>
              <w:rPr>
                <w:rFonts w:eastAsia="Calibri" w:cs="Calibri"/>
                <w:color w:val="000000"/>
                <w:sz w:val="18"/>
                <w:szCs w:val="24"/>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22FFA429" w14:textId="77777777" w:rsidR="009832FC" w:rsidRPr="009832FC" w:rsidRDefault="009832FC" w:rsidP="009832FC">
            <w:pPr>
              <w:spacing w:before="0" w:after="0"/>
              <w:jc w:val="right"/>
              <w:rPr>
                <w:rFonts w:eastAsia="Calibri" w:cs="Calibri"/>
                <w:color w:val="000000"/>
                <w:sz w:val="18"/>
                <w:szCs w:val="24"/>
                <w:lang w:eastAsia="en-AU"/>
              </w:rPr>
            </w:pPr>
          </w:p>
        </w:tc>
      </w:tr>
      <w:tr w:rsidR="009832FC" w:rsidRPr="009832FC" w14:paraId="0601BD4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70" w:type="dxa"/>
            <w:tcBorders>
              <w:top w:val="nil"/>
              <w:left w:val="nil"/>
              <w:bottom w:val="nil"/>
              <w:right w:val="nil"/>
              <w:tl2br w:val="nil"/>
              <w:tr2bl w:val="nil"/>
            </w:tcBorders>
            <w:shd w:val="clear" w:color="auto" w:fill="auto"/>
            <w:tcMar>
              <w:left w:w="101" w:type="dxa"/>
              <w:right w:w="101" w:type="dxa"/>
            </w:tcMar>
          </w:tcPr>
          <w:p w14:paraId="511CBB2E" w14:textId="77777777" w:rsidR="009832FC" w:rsidRPr="009832FC" w:rsidRDefault="009832FC" w:rsidP="009832FC">
            <w:pPr>
              <w:spacing w:before="0" w:after="0"/>
              <w:rPr>
                <w:rFonts w:eastAsia="Calibri" w:cs="Calibri"/>
                <w:color w:val="000000"/>
                <w:sz w:val="18"/>
                <w:szCs w:val="24"/>
                <w:u w:val="single"/>
                <w:lang w:eastAsia="en-AU"/>
              </w:rPr>
            </w:pPr>
            <w:r w:rsidRPr="009832FC">
              <w:rPr>
                <w:rFonts w:eastAsia="Calibri" w:cs="Calibri"/>
                <w:color w:val="000000"/>
                <w:sz w:val="18"/>
                <w:szCs w:val="24"/>
                <w:u w:val="single"/>
                <w:lang w:eastAsia="en-AU"/>
              </w:rPr>
              <w:t>COVID-19 Response</w:t>
            </w:r>
          </w:p>
        </w:tc>
        <w:tc>
          <w:tcPr>
            <w:tcW w:w="942" w:type="dxa"/>
            <w:tcBorders>
              <w:top w:val="nil"/>
              <w:left w:val="nil"/>
              <w:bottom w:val="nil"/>
              <w:right w:val="nil"/>
              <w:tl2br w:val="nil"/>
              <w:tr2bl w:val="nil"/>
            </w:tcBorders>
            <w:shd w:val="clear" w:color="auto" w:fill="auto"/>
            <w:noWrap/>
            <w:tcMar>
              <w:left w:w="101" w:type="dxa"/>
              <w:right w:w="101" w:type="dxa"/>
            </w:tcMar>
          </w:tcPr>
          <w:p w14:paraId="5645C1C8"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4D27E8FA"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0F219810"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16D35E1B"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45CDDF71" w14:textId="77777777" w:rsidR="009832FC" w:rsidRPr="009832FC" w:rsidRDefault="009832FC" w:rsidP="009832FC">
            <w:pPr>
              <w:spacing w:before="0" w:after="0"/>
              <w:jc w:val="right"/>
              <w:rPr>
                <w:rFonts w:eastAsia="Calibri" w:cs="Calibri"/>
                <w:color w:val="000000"/>
                <w:sz w:val="18"/>
                <w:szCs w:val="24"/>
                <w:u w:val="single"/>
                <w:lang w:eastAsia="en-AU"/>
              </w:rPr>
            </w:pPr>
          </w:p>
        </w:tc>
      </w:tr>
      <w:tr w:rsidR="009832FC" w:rsidRPr="009832FC" w14:paraId="325CF25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0BC734B9"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Continuing the COVID-19 public health support package</w:t>
            </w:r>
          </w:p>
        </w:tc>
        <w:tc>
          <w:tcPr>
            <w:tcW w:w="942" w:type="dxa"/>
            <w:tcBorders>
              <w:top w:val="nil"/>
              <w:left w:val="nil"/>
              <w:bottom w:val="nil"/>
              <w:right w:val="nil"/>
              <w:tl2br w:val="nil"/>
              <w:tr2bl w:val="nil"/>
            </w:tcBorders>
            <w:shd w:val="clear" w:color="auto" w:fill="auto"/>
            <w:noWrap/>
            <w:tcMar>
              <w:left w:w="101" w:type="dxa"/>
              <w:right w:w="101" w:type="dxa"/>
            </w:tcMar>
          </w:tcPr>
          <w:p w14:paraId="743E4E3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154B3F8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17,469</w:t>
            </w:r>
          </w:p>
        </w:tc>
        <w:tc>
          <w:tcPr>
            <w:tcW w:w="942" w:type="dxa"/>
            <w:tcBorders>
              <w:top w:val="nil"/>
              <w:left w:val="nil"/>
              <w:bottom w:val="nil"/>
              <w:right w:val="nil"/>
              <w:tl2br w:val="nil"/>
              <w:tr2bl w:val="nil"/>
            </w:tcBorders>
            <w:shd w:val="clear" w:color="auto" w:fill="auto"/>
            <w:noWrap/>
            <w:tcMar>
              <w:left w:w="101" w:type="dxa"/>
              <w:right w:w="101" w:type="dxa"/>
            </w:tcMar>
          </w:tcPr>
          <w:p w14:paraId="02D072F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11D7103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02953D4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4C704F4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32C8A3E8"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Continuing the COVID-19 public health support package - Savings</w:t>
            </w:r>
          </w:p>
        </w:tc>
        <w:tc>
          <w:tcPr>
            <w:tcW w:w="942" w:type="dxa"/>
            <w:tcBorders>
              <w:top w:val="nil"/>
              <w:left w:val="nil"/>
              <w:bottom w:val="nil"/>
              <w:right w:val="nil"/>
              <w:tl2br w:val="nil"/>
              <w:tr2bl w:val="nil"/>
            </w:tcBorders>
            <w:shd w:val="clear" w:color="auto" w:fill="auto"/>
            <w:noWrap/>
            <w:tcMar>
              <w:left w:w="101" w:type="dxa"/>
              <w:right w:w="101" w:type="dxa"/>
            </w:tcMar>
          </w:tcPr>
          <w:p w14:paraId="5644D8A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2A37F1D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-1,562</w:t>
            </w:r>
          </w:p>
        </w:tc>
        <w:tc>
          <w:tcPr>
            <w:tcW w:w="942" w:type="dxa"/>
            <w:tcBorders>
              <w:top w:val="nil"/>
              <w:left w:val="nil"/>
              <w:bottom w:val="nil"/>
              <w:right w:val="nil"/>
              <w:tl2br w:val="nil"/>
              <w:tr2bl w:val="nil"/>
            </w:tcBorders>
            <w:shd w:val="clear" w:color="auto" w:fill="auto"/>
            <w:noWrap/>
            <w:tcMar>
              <w:left w:w="101" w:type="dxa"/>
              <w:right w:w="101" w:type="dxa"/>
            </w:tcMar>
          </w:tcPr>
          <w:p w14:paraId="3F46361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039556B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132D505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25EA17F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0B9F4F89"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Expanded COVID-19 vaccination program</w:t>
            </w:r>
          </w:p>
        </w:tc>
        <w:tc>
          <w:tcPr>
            <w:tcW w:w="942" w:type="dxa"/>
            <w:tcBorders>
              <w:top w:val="nil"/>
              <w:left w:val="nil"/>
              <w:bottom w:val="nil"/>
              <w:right w:val="nil"/>
              <w:tl2br w:val="nil"/>
              <w:tr2bl w:val="nil"/>
            </w:tcBorders>
            <w:shd w:val="clear" w:color="auto" w:fill="auto"/>
            <w:noWrap/>
            <w:tcMar>
              <w:left w:w="101" w:type="dxa"/>
              <w:right w:w="101" w:type="dxa"/>
            </w:tcMar>
          </w:tcPr>
          <w:p w14:paraId="79BAF95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14FC256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14,031</w:t>
            </w:r>
          </w:p>
        </w:tc>
        <w:tc>
          <w:tcPr>
            <w:tcW w:w="942" w:type="dxa"/>
            <w:tcBorders>
              <w:top w:val="nil"/>
              <w:left w:val="nil"/>
              <w:bottom w:val="nil"/>
              <w:right w:val="nil"/>
              <w:tl2br w:val="nil"/>
              <w:tr2bl w:val="nil"/>
            </w:tcBorders>
            <w:shd w:val="clear" w:color="auto" w:fill="auto"/>
            <w:noWrap/>
            <w:tcMar>
              <w:left w:w="101" w:type="dxa"/>
              <w:right w:w="101" w:type="dxa"/>
            </w:tcMar>
          </w:tcPr>
          <w:p w14:paraId="2834574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7B06389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38B57F8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784FBFB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5070" w:type="dxa"/>
            <w:tcBorders>
              <w:top w:val="nil"/>
              <w:left w:val="nil"/>
              <w:bottom w:val="nil"/>
              <w:right w:val="nil"/>
              <w:tl2br w:val="nil"/>
              <w:tr2bl w:val="nil"/>
            </w:tcBorders>
            <w:shd w:val="clear" w:color="auto" w:fill="auto"/>
            <w:tcMar>
              <w:left w:w="101" w:type="dxa"/>
              <w:right w:w="101" w:type="dxa"/>
            </w:tcMar>
          </w:tcPr>
          <w:p w14:paraId="20A621DE"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Mental health support package</w:t>
            </w:r>
          </w:p>
        </w:tc>
        <w:tc>
          <w:tcPr>
            <w:tcW w:w="942" w:type="dxa"/>
            <w:tcBorders>
              <w:top w:val="nil"/>
              <w:left w:val="nil"/>
              <w:bottom w:val="nil"/>
              <w:right w:val="nil"/>
              <w:tl2br w:val="nil"/>
              <w:tr2bl w:val="nil"/>
            </w:tcBorders>
            <w:shd w:val="clear" w:color="auto" w:fill="auto"/>
            <w:noWrap/>
            <w:tcMar>
              <w:left w:w="101" w:type="dxa"/>
              <w:right w:w="101" w:type="dxa"/>
            </w:tcMar>
          </w:tcPr>
          <w:p w14:paraId="206E11E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39B16CA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w:t>
            </w:r>
          </w:p>
        </w:tc>
        <w:tc>
          <w:tcPr>
            <w:tcW w:w="942" w:type="dxa"/>
            <w:tcBorders>
              <w:top w:val="nil"/>
              <w:left w:val="nil"/>
              <w:bottom w:val="nil"/>
              <w:right w:val="nil"/>
              <w:tl2br w:val="nil"/>
              <w:tr2bl w:val="nil"/>
            </w:tcBorders>
            <w:shd w:val="clear" w:color="auto" w:fill="auto"/>
            <w:noWrap/>
            <w:tcMar>
              <w:left w:w="101" w:type="dxa"/>
              <w:right w:w="101" w:type="dxa"/>
            </w:tcMar>
          </w:tcPr>
          <w:p w14:paraId="66A1790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5BAC531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7CFC5B8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504781F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5070" w:type="dxa"/>
            <w:tcBorders>
              <w:top w:val="nil"/>
              <w:left w:val="nil"/>
              <w:bottom w:val="nil"/>
              <w:right w:val="nil"/>
              <w:tl2br w:val="nil"/>
              <w:tr2bl w:val="nil"/>
            </w:tcBorders>
            <w:shd w:val="clear" w:color="auto" w:fill="auto"/>
            <w:tcMar>
              <w:left w:w="101" w:type="dxa"/>
              <w:right w:w="101" w:type="dxa"/>
            </w:tcMar>
          </w:tcPr>
          <w:p w14:paraId="267A33D5"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39234B52"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1A0D5392"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0C4BC628"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51FDB643" w14:textId="77777777" w:rsidR="009832FC" w:rsidRPr="009832FC" w:rsidRDefault="009832FC" w:rsidP="009832FC">
            <w:pPr>
              <w:spacing w:before="0" w:after="0"/>
              <w:jc w:val="right"/>
              <w:rPr>
                <w:rFonts w:eastAsia="Calibri" w:cs="Calibri"/>
                <w:color w:val="000000"/>
                <w:sz w:val="18"/>
                <w:szCs w:val="24"/>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0D45F7FE" w14:textId="77777777" w:rsidR="009832FC" w:rsidRPr="009832FC" w:rsidRDefault="009832FC" w:rsidP="009832FC">
            <w:pPr>
              <w:spacing w:before="0" w:after="0"/>
              <w:jc w:val="right"/>
              <w:rPr>
                <w:rFonts w:eastAsia="Calibri" w:cs="Calibri"/>
                <w:color w:val="000000"/>
                <w:sz w:val="18"/>
                <w:szCs w:val="24"/>
                <w:lang w:eastAsia="en-AU"/>
              </w:rPr>
            </w:pPr>
          </w:p>
        </w:tc>
      </w:tr>
      <w:tr w:rsidR="009832FC" w:rsidRPr="009832FC" w14:paraId="3ED92F0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5070" w:type="dxa"/>
            <w:tcBorders>
              <w:top w:val="nil"/>
              <w:left w:val="nil"/>
              <w:bottom w:val="nil"/>
              <w:right w:val="nil"/>
              <w:tl2br w:val="nil"/>
              <w:tr2bl w:val="nil"/>
            </w:tcBorders>
            <w:shd w:val="clear" w:color="auto" w:fill="auto"/>
            <w:tcMar>
              <w:left w:w="101" w:type="dxa"/>
              <w:right w:w="101" w:type="dxa"/>
            </w:tcMar>
          </w:tcPr>
          <w:p w14:paraId="6251F7DC" w14:textId="77777777" w:rsidR="009832FC" w:rsidRPr="009832FC" w:rsidRDefault="009832FC" w:rsidP="009832FC">
            <w:pPr>
              <w:spacing w:before="0" w:after="0"/>
              <w:rPr>
                <w:rFonts w:eastAsia="Calibri" w:cs="Calibri"/>
                <w:color w:val="000000"/>
                <w:sz w:val="18"/>
                <w:szCs w:val="24"/>
                <w:u w:val="single"/>
                <w:lang w:eastAsia="en-AU"/>
              </w:rPr>
            </w:pPr>
            <w:r w:rsidRPr="009832FC">
              <w:rPr>
                <w:rFonts w:eastAsia="Calibri" w:cs="Calibri"/>
                <w:color w:val="000000"/>
                <w:sz w:val="18"/>
                <w:szCs w:val="24"/>
                <w:u w:val="single"/>
                <w:lang w:eastAsia="en-AU"/>
              </w:rPr>
              <w:t>Expanding critical public hospital services</w:t>
            </w:r>
          </w:p>
        </w:tc>
        <w:tc>
          <w:tcPr>
            <w:tcW w:w="942" w:type="dxa"/>
            <w:tcBorders>
              <w:top w:val="nil"/>
              <w:left w:val="nil"/>
              <w:bottom w:val="nil"/>
              <w:right w:val="nil"/>
              <w:tl2br w:val="nil"/>
              <w:tr2bl w:val="nil"/>
            </w:tcBorders>
            <w:shd w:val="clear" w:color="auto" w:fill="auto"/>
            <w:noWrap/>
            <w:tcMar>
              <w:left w:w="101" w:type="dxa"/>
              <w:right w:w="101" w:type="dxa"/>
            </w:tcMar>
          </w:tcPr>
          <w:p w14:paraId="7D9E9AEB"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48AA2E12"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43B63664"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4051699A"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0E4D1988" w14:textId="77777777" w:rsidR="009832FC" w:rsidRPr="009832FC" w:rsidRDefault="009832FC" w:rsidP="009832FC">
            <w:pPr>
              <w:spacing w:before="0" w:after="0"/>
              <w:jc w:val="right"/>
              <w:rPr>
                <w:rFonts w:eastAsia="Calibri" w:cs="Calibri"/>
                <w:color w:val="000000"/>
                <w:sz w:val="18"/>
                <w:szCs w:val="24"/>
                <w:u w:val="single"/>
                <w:lang w:eastAsia="en-AU"/>
              </w:rPr>
            </w:pPr>
          </w:p>
        </w:tc>
      </w:tr>
      <w:tr w:rsidR="009832FC" w:rsidRPr="009832FC" w14:paraId="63E9D68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070" w:type="dxa"/>
            <w:tcBorders>
              <w:top w:val="nil"/>
              <w:left w:val="nil"/>
              <w:bottom w:val="nil"/>
              <w:right w:val="nil"/>
              <w:tl2br w:val="nil"/>
              <w:tr2bl w:val="nil"/>
            </w:tcBorders>
            <w:shd w:val="clear" w:color="auto" w:fill="auto"/>
            <w:tcMar>
              <w:left w:w="101" w:type="dxa"/>
              <w:right w:w="101" w:type="dxa"/>
            </w:tcMar>
          </w:tcPr>
          <w:p w14:paraId="2CEEEBDA"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Additional ICU capacity</w:t>
            </w:r>
          </w:p>
        </w:tc>
        <w:tc>
          <w:tcPr>
            <w:tcW w:w="942" w:type="dxa"/>
            <w:tcBorders>
              <w:top w:val="nil"/>
              <w:left w:val="nil"/>
              <w:bottom w:val="nil"/>
              <w:right w:val="nil"/>
              <w:tl2br w:val="nil"/>
              <w:tr2bl w:val="nil"/>
            </w:tcBorders>
            <w:shd w:val="clear" w:color="auto" w:fill="auto"/>
            <w:noWrap/>
            <w:tcMar>
              <w:left w:w="101" w:type="dxa"/>
              <w:right w:w="101" w:type="dxa"/>
            </w:tcMar>
          </w:tcPr>
          <w:p w14:paraId="64DAD3C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39FB3B0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2,373</w:t>
            </w:r>
          </w:p>
        </w:tc>
        <w:tc>
          <w:tcPr>
            <w:tcW w:w="942" w:type="dxa"/>
            <w:tcBorders>
              <w:top w:val="nil"/>
              <w:left w:val="nil"/>
              <w:bottom w:val="nil"/>
              <w:right w:val="nil"/>
              <w:tl2br w:val="nil"/>
              <w:tr2bl w:val="nil"/>
            </w:tcBorders>
            <w:shd w:val="clear" w:color="auto" w:fill="auto"/>
            <w:noWrap/>
            <w:tcMar>
              <w:left w:w="101" w:type="dxa"/>
              <w:right w:w="101" w:type="dxa"/>
            </w:tcMar>
          </w:tcPr>
          <w:p w14:paraId="76137AA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7,123</w:t>
            </w:r>
          </w:p>
        </w:tc>
        <w:tc>
          <w:tcPr>
            <w:tcW w:w="942" w:type="dxa"/>
            <w:tcBorders>
              <w:top w:val="nil"/>
              <w:left w:val="nil"/>
              <w:bottom w:val="nil"/>
              <w:right w:val="nil"/>
              <w:tl2br w:val="nil"/>
              <w:tr2bl w:val="nil"/>
            </w:tcBorders>
            <w:shd w:val="clear" w:color="auto" w:fill="auto"/>
            <w:noWrap/>
            <w:tcMar>
              <w:left w:w="101" w:type="dxa"/>
              <w:right w:w="101" w:type="dxa"/>
            </w:tcMar>
          </w:tcPr>
          <w:p w14:paraId="6455BBC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9,357</w:t>
            </w:r>
          </w:p>
        </w:tc>
        <w:tc>
          <w:tcPr>
            <w:tcW w:w="943" w:type="dxa"/>
            <w:tcBorders>
              <w:top w:val="nil"/>
              <w:left w:val="nil"/>
              <w:bottom w:val="nil"/>
              <w:right w:val="nil"/>
              <w:tl2br w:val="nil"/>
              <w:tr2bl w:val="nil"/>
            </w:tcBorders>
            <w:shd w:val="clear" w:color="auto" w:fill="auto"/>
            <w:noWrap/>
            <w:tcMar>
              <w:left w:w="101" w:type="dxa"/>
              <w:right w:w="101" w:type="dxa"/>
            </w:tcMar>
          </w:tcPr>
          <w:p w14:paraId="48118A0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9,501</w:t>
            </w:r>
          </w:p>
        </w:tc>
      </w:tr>
      <w:tr w:rsidR="009832FC" w:rsidRPr="009832FC" w14:paraId="76175AE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5070" w:type="dxa"/>
            <w:tcBorders>
              <w:top w:val="nil"/>
              <w:left w:val="nil"/>
              <w:bottom w:val="nil"/>
              <w:right w:val="nil"/>
              <w:tl2br w:val="nil"/>
              <w:tr2bl w:val="nil"/>
            </w:tcBorders>
            <w:shd w:val="clear" w:color="auto" w:fill="auto"/>
            <w:tcMar>
              <w:left w:w="101" w:type="dxa"/>
              <w:right w:w="101" w:type="dxa"/>
            </w:tcMar>
          </w:tcPr>
          <w:p w14:paraId="1CD72580"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Additional neonatology cots</w:t>
            </w:r>
          </w:p>
        </w:tc>
        <w:tc>
          <w:tcPr>
            <w:tcW w:w="942" w:type="dxa"/>
            <w:tcBorders>
              <w:top w:val="nil"/>
              <w:left w:val="nil"/>
              <w:bottom w:val="nil"/>
              <w:right w:val="nil"/>
              <w:tl2br w:val="nil"/>
              <w:tr2bl w:val="nil"/>
            </w:tcBorders>
            <w:shd w:val="clear" w:color="auto" w:fill="auto"/>
            <w:noWrap/>
            <w:tcMar>
              <w:left w:w="101" w:type="dxa"/>
              <w:right w:w="101" w:type="dxa"/>
            </w:tcMar>
          </w:tcPr>
          <w:p w14:paraId="04C6650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4A1ED35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2,468</w:t>
            </w:r>
          </w:p>
        </w:tc>
        <w:tc>
          <w:tcPr>
            <w:tcW w:w="942" w:type="dxa"/>
            <w:tcBorders>
              <w:top w:val="nil"/>
              <w:left w:val="nil"/>
              <w:bottom w:val="nil"/>
              <w:right w:val="nil"/>
              <w:tl2br w:val="nil"/>
              <w:tr2bl w:val="nil"/>
            </w:tcBorders>
            <w:shd w:val="clear" w:color="auto" w:fill="auto"/>
            <w:noWrap/>
            <w:tcMar>
              <w:left w:w="101" w:type="dxa"/>
              <w:right w:w="101" w:type="dxa"/>
            </w:tcMar>
          </w:tcPr>
          <w:p w14:paraId="1B9DF4D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3,589</w:t>
            </w:r>
          </w:p>
        </w:tc>
        <w:tc>
          <w:tcPr>
            <w:tcW w:w="942" w:type="dxa"/>
            <w:tcBorders>
              <w:top w:val="nil"/>
              <w:left w:val="nil"/>
              <w:bottom w:val="nil"/>
              <w:right w:val="nil"/>
              <w:tl2br w:val="nil"/>
              <w:tr2bl w:val="nil"/>
            </w:tcBorders>
            <w:shd w:val="clear" w:color="auto" w:fill="auto"/>
            <w:noWrap/>
            <w:tcMar>
              <w:left w:w="101" w:type="dxa"/>
              <w:right w:w="101" w:type="dxa"/>
            </w:tcMar>
          </w:tcPr>
          <w:p w14:paraId="15C5AB5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4,579</w:t>
            </w:r>
          </w:p>
        </w:tc>
        <w:tc>
          <w:tcPr>
            <w:tcW w:w="943" w:type="dxa"/>
            <w:tcBorders>
              <w:top w:val="nil"/>
              <w:left w:val="nil"/>
              <w:bottom w:val="nil"/>
              <w:right w:val="nil"/>
              <w:tl2br w:val="nil"/>
              <w:tr2bl w:val="nil"/>
            </w:tcBorders>
            <w:shd w:val="clear" w:color="auto" w:fill="auto"/>
            <w:noWrap/>
            <w:tcMar>
              <w:left w:w="101" w:type="dxa"/>
              <w:right w:w="101" w:type="dxa"/>
            </w:tcMar>
          </w:tcPr>
          <w:p w14:paraId="5B4B62B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4,646</w:t>
            </w:r>
          </w:p>
        </w:tc>
      </w:tr>
      <w:tr w:rsidR="009832FC" w:rsidRPr="009832FC" w14:paraId="2BA4558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70" w:type="dxa"/>
            <w:tcBorders>
              <w:top w:val="nil"/>
              <w:left w:val="nil"/>
              <w:bottom w:val="nil"/>
              <w:right w:val="nil"/>
              <w:tl2br w:val="nil"/>
              <w:tr2bl w:val="nil"/>
            </w:tcBorders>
            <w:shd w:val="clear" w:color="auto" w:fill="auto"/>
            <w:tcMar>
              <w:left w:w="101" w:type="dxa"/>
              <w:right w:w="101" w:type="dxa"/>
            </w:tcMar>
          </w:tcPr>
          <w:p w14:paraId="790727E1"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Delivering a better Canberra Hospital emergency department</w:t>
            </w:r>
          </w:p>
        </w:tc>
        <w:tc>
          <w:tcPr>
            <w:tcW w:w="942" w:type="dxa"/>
            <w:tcBorders>
              <w:top w:val="nil"/>
              <w:left w:val="nil"/>
              <w:bottom w:val="nil"/>
              <w:right w:val="nil"/>
              <w:tl2br w:val="nil"/>
              <w:tr2bl w:val="nil"/>
            </w:tcBorders>
            <w:shd w:val="clear" w:color="auto" w:fill="auto"/>
            <w:noWrap/>
            <w:tcMar>
              <w:left w:w="101" w:type="dxa"/>
              <w:right w:w="101" w:type="dxa"/>
            </w:tcMar>
          </w:tcPr>
          <w:p w14:paraId="2291EC8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FFFFFF" w:themeFill="background1"/>
            <w:noWrap/>
            <w:tcMar>
              <w:left w:w="101" w:type="dxa"/>
              <w:right w:w="101" w:type="dxa"/>
            </w:tcMar>
          </w:tcPr>
          <w:p w14:paraId="532BF8B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5,180</w:t>
            </w:r>
          </w:p>
        </w:tc>
        <w:tc>
          <w:tcPr>
            <w:tcW w:w="942" w:type="dxa"/>
            <w:tcBorders>
              <w:top w:val="nil"/>
              <w:left w:val="nil"/>
              <w:bottom w:val="nil"/>
              <w:right w:val="nil"/>
              <w:tl2br w:val="nil"/>
              <w:tr2bl w:val="nil"/>
            </w:tcBorders>
            <w:shd w:val="clear" w:color="auto" w:fill="auto"/>
            <w:noWrap/>
            <w:tcMar>
              <w:left w:w="101" w:type="dxa"/>
              <w:right w:w="101" w:type="dxa"/>
            </w:tcMar>
          </w:tcPr>
          <w:p w14:paraId="58F27AF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5,833</w:t>
            </w:r>
          </w:p>
        </w:tc>
        <w:tc>
          <w:tcPr>
            <w:tcW w:w="942" w:type="dxa"/>
            <w:tcBorders>
              <w:top w:val="nil"/>
              <w:left w:val="nil"/>
              <w:bottom w:val="nil"/>
              <w:right w:val="nil"/>
              <w:tl2br w:val="nil"/>
              <w:tr2bl w:val="nil"/>
            </w:tcBorders>
            <w:shd w:val="clear" w:color="auto" w:fill="auto"/>
            <w:noWrap/>
            <w:tcMar>
              <w:left w:w="101" w:type="dxa"/>
              <w:right w:w="101" w:type="dxa"/>
            </w:tcMar>
          </w:tcPr>
          <w:p w14:paraId="6964762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5,899</w:t>
            </w:r>
          </w:p>
        </w:tc>
        <w:tc>
          <w:tcPr>
            <w:tcW w:w="943" w:type="dxa"/>
            <w:tcBorders>
              <w:top w:val="nil"/>
              <w:left w:val="nil"/>
              <w:bottom w:val="nil"/>
              <w:right w:val="nil"/>
              <w:tl2br w:val="nil"/>
              <w:tr2bl w:val="nil"/>
            </w:tcBorders>
            <w:shd w:val="clear" w:color="auto" w:fill="auto"/>
            <w:noWrap/>
            <w:tcMar>
              <w:left w:w="101" w:type="dxa"/>
              <w:right w:w="101" w:type="dxa"/>
            </w:tcMar>
          </w:tcPr>
          <w:p w14:paraId="4E158BE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5,967</w:t>
            </w:r>
          </w:p>
        </w:tc>
      </w:tr>
      <w:tr w:rsidR="009832FC" w:rsidRPr="009832FC" w14:paraId="4DD8A6C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070" w:type="dxa"/>
            <w:tcBorders>
              <w:top w:val="nil"/>
              <w:left w:val="nil"/>
              <w:bottom w:val="nil"/>
              <w:right w:val="nil"/>
              <w:tl2br w:val="nil"/>
              <w:tr2bl w:val="nil"/>
            </w:tcBorders>
            <w:shd w:val="clear" w:color="auto" w:fill="auto"/>
            <w:tcMar>
              <w:left w:w="101" w:type="dxa"/>
              <w:right w:w="101" w:type="dxa"/>
            </w:tcMar>
          </w:tcPr>
          <w:p w14:paraId="5A715875"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Delivering more elective surgeries</w:t>
            </w:r>
          </w:p>
        </w:tc>
        <w:tc>
          <w:tcPr>
            <w:tcW w:w="942" w:type="dxa"/>
            <w:tcBorders>
              <w:top w:val="nil"/>
              <w:left w:val="nil"/>
              <w:bottom w:val="nil"/>
              <w:right w:val="nil"/>
              <w:tl2br w:val="nil"/>
              <w:tr2bl w:val="nil"/>
            </w:tcBorders>
            <w:shd w:val="clear" w:color="auto" w:fill="auto"/>
            <w:noWrap/>
            <w:tcMar>
              <w:left w:w="101" w:type="dxa"/>
              <w:right w:w="101" w:type="dxa"/>
            </w:tcMar>
          </w:tcPr>
          <w:p w14:paraId="495B607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5191690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5,385</w:t>
            </w:r>
          </w:p>
        </w:tc>
        <w:tc>
          <w:tcPr>
            <w:tcW w:w="942" w:type="dxa"/>
            <w:tcBorders>
              <w:top w:val="nil"/>
              <w:left w:val="nil"/>
              <w:bottom w:val="nil"/>
              <w:right w:val="nil"/>
              <w:tl2br w:val="nil"/>
              <w:tr2bl w:val="nil"/>
            </w:tcBorders>
            <w:shd w:val="clear" w:color="auto" w:fill="auto"/>
            <w:noWrap/>
            <w:tcMar>
              <w:left w:w="101" w:type="dxa"/>
              <w:right w:w="101" w:type="dxa"/>
            </w:tcMar>
          </w:tcPr>
          <w:p w14:paraId="52775F0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1,020</w:t>
            </w:r>
          </w:p>
        </w:tc>
        <w:tc>
          <w:tcPr>
            <w:tcW w:w="942" w:type="dxa"/>
            <w:tcBorders>
              <w:top w:val="nil"/>
              <w:left w:val="nil"/>
              <w:bottom w:val="nil"/>
              <w:right w:val="nil"/>
              <w:tl2br w:val="nil"/>
              <w:tr2bl w:val="nil"/>
            </w:tcBorders>
            <w:shd w:val="clear" w:color="auto" w:fill="auto"/>
            <w:noWrap/>
            <w:tcMar>
              <w:left w:w="101" w:type="dxa"/>
              <w:right w:w="101" w:type="dxa"/>
            </w:tcMar>
          </w:tcPr>
          <w:p w14:paraId="48846FF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266</w:t>
            </w:r>
          </w:p>
        </w:tc>
        <w:tc>
          <w:tcPr>
            <w:tcW w:w="943" w:type="dxa"/>
            <w:tcBorders>
              <w:top w:val="nil"/>
              <w:left w:val="nil"/>
              <w:bottom w:val="nil"/>
              <w:right w:val="nil"/>
              <w:tl2br w:val="nil"/>
              <w:tr2bl w:val="nil"/>
            </w:tcBorders>
            <w:shd w:val="clear" w:color="auto" w:fill="auto"/>
            <w:noWrap/>
            <w:tcMar>
              <w:left w:w="101" w:type="dxa"/>
              <w:right w:w="101" w:type="dxa"/>
            </w:tcMar>
          </w:tcPr>
          <w:p w14:paraId="1BC774C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318</w:t>
            </w:r>
          </w:p>
        </w:tc>
      </w:tr>
      <w:tr w:rsidR="009832FC" w:rsidRPr="009832FC" w14:paraId="66BF772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5070" w:type="dxa"/>
            <w:tcBorders>
              <w:top w:val="nil"/>
              <w:left w:val="nil"/>
              <w:bottom w:val="nil"/>
              <w:right w:val="nil"/>
              <w:tl2br w:val="nil"/>
              <w:tr2bl w:val="nil"/>
            </w:tcBorders>
            <w:shd w:val="clear" w:color="auto" w:fill="FFFFFF" w:themeFill="background1"/>
            <w:tcMar>
              <w:left w:w="101" w:type="dxa"/>
              <w:right w:w="101" w:type="dxa"/>
            </w:tcMar>
          </w:tcPr>
          <w:p w14:paraId="0B83E782"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More emergency surgery capacity</w:t>
            </w:r>
          </w:p>
        </w:tc>
        <w:tc>
          <w:tcPr>
            <w:tcW w:w="942" w:type="dxa"/>
            <w:tcBorders>
              <w:top w:val="nil"/>
              <w:left w:val="nil"/>
              <w:bottom w:val="nil"/>
              <w:right w:val="nil"/>
              <w:tl2br w:val="nil"/>
              <w:tr2bl w:val="nil"/>
            </w:tcBorders>
            <w:shd w:val="clear" w:color="auto" w:fill="FFFFFF" w:themeFill="background1"/>
            <w:noWrap/>
            <w:tcMar>
              <w:left w:w="101" w:type="dxa"/>
              <w:right w:w="101" w:type="dxa"/>
            </w:tcMar>
          </w:tcPr>
          <w:p w14:paraId="5E55225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FFFFFF" w:themeFill="background1"/>
            <w:noWrap/>
            <w:tcMar>
              <w:left w:w="101" w:type="dxa"/>
              <w:right w:w="101" w:type="dxa"/>
            </w:tcMar>
          </w:tcPr>
          <w:p w14:paraId="0312713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6,752</w:t>
            </w:r>
          </w:p>
        </w:tc>
        <w:tc>
          <w:tcPr>
            <w:tcW w:w="942" w:type="dxa"/>
            <w:tcBorders>
              <w:top w:val="nil"/>
              <w:left w:val="nil"/>
              <w:bottom w:val="nil"/>
              <w:right w:val="nil"/>
              <w:tl2br w:val="nil"/>
              <w:tr2bl w:val="nil"/>
            </w:tcBorders>
            <w:shd w:val="clear" w:color="auto" w:fill="FFFFFF" w:themeFill="background1"/>
            <w:noWrap/>
            <w:tcMar>
              <w:left w:w="101" w:type="dxa"/>
              <w:right w:w="101" w:type="dxa"/>
            </w:tcMar>
          </w:tcPr>
          <w:p w14:paraId="758D30A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9,075</w:t>
            </w:r>
          </w:p>
        </w:tc>
        <w:tc>
          <w:tcPr>
            <w:tcW w:w="942" w:type="dxa"/>
            <w:tcBorders>
              <w:top w:val="nil"/>
              <w:left w:val="nil"/>
              <w:bottom w:val="nil"/>
              <w:right w:val="nil"/>
              <w:tl2br w:val="nil"/>
              <w:tr2bl w:val="nil"/>
            </w:tcBorders>
            <w:shd w:val="clear" w:color="auto" w:fill="FFFFFF" w:themeFill="background1"/>
            <w:noWrap/>
            <w:tcMar>
              <w:left w:w="101" w:type="dxa"/>
              <w:right w:w="101" w:type="dxa"/>
            </w:tcMar>
          </w:tcPr>
          <w:p w14:paraId="448F637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11,463</w:t>
            </w:r>
          </w:p>
        </w:tc>
        <w:tc>
          <w:tcPr>
            <w:tcW w:w="943" w:type="dxa"/>
            <w:tcBorders>
              <w:top w:val="nil"/>
              <w:left w:val="nil"/>
              <w:bottom w:val="nil"/>
              <w:right w:val="nil"/>
              <w:tl2br w:val="nil"/>
              <w:tr2bl w:val="nil"/>
            </w:tcBorders>
            <w:shd w:val="clear" w:color="auto" w:fill="FFFFFF" w:themeFill="background1"/>
            <w:noWrap/>
            <w:tcMar>
              <w:left w:w="101" w:type="dxa"/>
              <w:right w:w="101" w:type="dxa"/>
            </w:tcMar>
          </w:tcPr>
          <w:p w14:paraId="4BE68D1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11,666</w:t>
            </w:r>
          </w:p>
        </w:tc>
      </w:tr>
      <w:tr w:rsidR="009832FC" w:rsidRPr="009832FC" w14:paraId="284D380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70" w:type="dxa"/>
            <w:tcBorders>
              <w:top w:val="nil"/>
              <w:left w:val="nil"/>
              <w:bottom w:val="nil"/>
              <w:right w:val="nil"/>
              <w:tl2br w:val="nil"/>
              <w:tr2bl w:val="nil"/>
            </w:tcBorders>
            <w:shd w:val="clear" w:color="auto" w:fill="auto"/>
            <w:tcMar>
              <w:left w:w="101" w:type="dxa"/>
              <w:right w:w="101" w:type="dxa"/>
            </w:tcMar>
          </w:tcPr>
          <w:p w14:paraId="5A4C1905"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More services at Calvary Public Hospital Bruce</w:t>
            </w:r>
          </w:p>
        </w:tc>
        <w:tc>
          <w:tcPr>
            <w:tcW w:w="942" w:type="dxa"/>
            <w:tcBorders>
              <w:top w:val="nil"/>
              <w:left w:val="nil"/>
              <w:bottom w:val="nil"/>
              <w:right w:val="nil"/>
              <w:tl2br w:val="nil"/>
              <w:tr2bl w:val="nil"/>
            </w:tcBorders>
            <w:shd w:val="clear" w:color="auto" w:fill="auto"/>
            <w:noWrap/>
            <w:tcMar>
              <w:left w:w="101" w:type="dxa"/>
              <w:right w:w="101" w:type="dxa"/>
            </w:tcMar>
          </w:tcPr>
          <w:p w14:paraId="3468B19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2F714FA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3,628</w:t>
            </w:r>
          </w:p>
        </w:tc>
        <w:tc>
          <w:tcPr>
            <w:tcW w:w="942" w:type="dxa"/>
            <w:tcBorders>
              <w:top w:val="nil"/>
              <w:left w:val="nil"/>
              <w:bottom w:val="nil"/>
              <w:right w:val="nil"/>
              <w:tl2br w:val="nil"/>
              <w:tr2bl w:val="nil"/>
            </w:tcBorders>
            <w:shd w:val="clear" w:color="auto" w:fill="auto"/>
            <w:noWrap/>
            <w:tcMar>
              <w:left w:w="101" w:type="dxa"/>
              <w:right w:w="101" w:type="dxa"/>
            </w:tcMar>
          </w:tcPr>
          <w:p w14:paraId="2909D88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3,951</w:t>
            </w:r>
          </w:p>
        </w:tc>
        <w:tc>
          <w:tcPr>
            <w:tcW w:w="942" w:type="dxa"/>
            <w:tcBorders>
              <w:top w:val="nil"/>
              <w:left w:val="nil"/>
              <w:bottom w:val="nil"/>
              <w:right w:val="nil"/>
              <w:tl2br w:val="nil"/>
              <w:tr2bl w:val="nil"/>
            </w:tcBorders>
            <w:shd w:val="clear" w:color="auto" w:fill="auto"/>
            <w:noWrap/>
            <w:tcMar>
              <w:left w:w="101" w:type="dxa"/>
              <w:right w:w="101" w:type="dxa"/>
            </w:tcMar>
          </w:tcPr>
          <w:p w14:paraId="79C41CC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4,056</w:t>
            </w:r>
          </w:p>
        </w:tc>
        <w:tc>
          <w:tcPr>
            <w:tcW w:w="943" w:type="dxa"/>
            <w:tcBorders>
              <w:top w:val="nil"/>
              <w:left w:val="nil"/>
              <w:bottom w:val="nil"/>
              <w:right w:val="nil"/>
              <w:tl2br w:val="nil"/>
              <w:tr2bl w:val="nil"/>
            </w:tcBorders>
            <w:shd w:val="clear" w:color="auto" w:fill="auto"/>
            <w:noWrap/>
            <w:tcMar>
              <w:left w:w="101" w:type="dxa"/>
              <w:right w:w="101" w:type="dxa"/>
            </w:tcMar>
          </w:tcPr>
          <w:p w14:paraId="73914D3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4,164</w:t>
            </w:r>
          </w:p>
        </w:tc>
      </w:tr>
      <w:tr w:rsidR="009832FC" w:rsidRPr="009832FC" w14:paraId="56473BE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070" w:type="dxa"/>
            <w:tcBorders>
              <w:top w:val="nil"/>
              <w:left w:val="nil"/>
              <w:bottom w:val="nil"/>
              <w:right w:val="nil"/>
              <w:tl2br w:val="nil"/>
              <w:tr2bl w:val="nil"/>
            </w:tcBorders>
            <w:shd w:val="clear" w:color="auto" w:fill="auto"/>
            <w:tcMar>
              <w:left w:w="101" w:type="dxa"/>
              <w:right w:w="101" w:type="dxa"/>
            </w:tcMar>
          </w:tcPr>
          <w:p w14:paraId="356B9C7E"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7C5F64D6"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72AC687D"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5B318243"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155F321D" w14:textId="77777777" w:rsidR="009832FC" w:rsidRPr="009832FC" w:rsidRDefault="009832FC" w:rsidP="009832FC">
            <w:pPr>
              <w:spacing w:before="0" w:after="0"/>
              <w:jc w:val="right"/>
              <w:rPr>
                <w:rFonts w:eastAsia="Calibri" w:cs="Calibri"/>
                <w:color w:val="000000"/>
                <w:sz w:val="18"/>
                <w:szCs w:val="24"/>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001239FC" w14:textId="77777777" w:rsidR="009832FC" w:rsidRPr="009832FC" w:rsidRDefault="009832FC" w:rsidP="009832FC">
            <w:pPr>
              <w:spacing w:before="0" w:after="0"/>
              <w:jc w:val="right"/>
              <w:rPr>
                <w:rFonts w:eastAsia="Calibri" w:cs="Calibri"/>
                <w:color w:val="000000"/>
                <w:sz w:val="18"/>
                <w:szCs w:val="24"/>
                <w:lang w:eastAsia="en-AU"/>
              </w:rPr>
            </w:pPr>
          </w:p>
        </w:tc>
      </w:tr>
      <w:tr w:rsidR="009832FC" w:rsidRPr="009832FC" w14:paraId="6D51D27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5070" w:type="dxa"/>
            <w:tcBorders>
              <w:top w:val="nil"/>
              <w:left w:val="nil"/>
              <w:bottom w:val="nil"/>
              <w:right w:val="nil"/>
              <w:tl2br w:val="nil"/>
              <w:tr2bl w:val="nil"/>
            </w:tcBorders>
            <w:shd w:val="clear" w:color="auto" w:fill="auto"/>
            <w:tcMar>
              <w:left w:w="101" w:type="dxa"/>
              <w:right w:w="101" w:type="dxa"/>
            </w:tcMar>
          </w:tcPr>
          <w:p w14:paraId="05D21871" w14:textId="77777777" w:rsidR="009832FC" w:rsidRPr="009832FC" w:rsidRDefault="009832FC" w:rsidP="009832FC">
            <w:pPr>
              <w:spacing w:before="0" w:after="0"/>
              <w:rPr>
                <w:rFonts w:eastAsia="Calibri" w:cs="Calibri"/>
                <w:color w:val="000000"/>
                <w:sz w:val="18"/>
                <w:szCs w:val="24"/>
                <w:u w:val="single"/>
                <w:lang w:eastAsia="en-AU"/>
              </w:rPr>
            </w:pPr>
            <w:r w:rsidRPr="009832FC">
              <w:rPr>
                <w:rFonts w:eastAsia="Calibri" w:cs="Calibri"/>
                <w:color w:val="000000"/>
                <w:sz w:val="18"/>
                <w:szCs w:val="24"/>
                <w:u w:val="single"/>
                <w:lang w:eastAsia="en-AU"/>
              </w:rPr>
              <w:t>Improving Canberra’s health infrastructure</w:t>
            </w:r>
          </w:p>
        </w:tc>
        <w:tc>
          <w:tcPr>
            <w:tcW w:w="942" w:type="dxa"/>
            <w:tcBorders>
              <w:top w:val="nil"/>
              <w:left w:val="nil"/>
              <w:bottom w:val="nil"/>
              <w:right w:val="nil"/>
              <w:tl2br w:val="nil"/>
              <w:tr2bl w:val="nil"/>
            </w:tcBorders>
            <w:shd w:val="clear" w:color="auto" w:fill="auto"/>
            <w:noWrap/>
            <w:tcMar>
              <w:left w:w="101" w:type="dxa"/>
              <w:right w:w="101" w:type="dxa"/>
            </w:tcMar>
          </w:tcPr>
          <w:p w14:paraId="68004A0A"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6E255B2A"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2A274BED"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40988BB4"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3734529B" w14:textId="77777777" w:rsidR="009832FC" w:rsidRPr="009832FC" w:rsidRDefault="009832FC" w:rsidP="009832FC">
            <w:pPr>
              <w:spacing w:before="0" w:after="0"/>
              <w:jc w:val="right"/>
              <w:rPr>
                <w:rFonts w:eastAsia="Calibri" w:cs="Calibri"/>
                <w:color w:val="000000"/>
                <w:sz w:val="18"/>
                <w:szCs w:val="24"/>
                <w:u w:val="single"/>
                <w:lang w:eastAsia="en-AU"/>
              </w:rPr>
            </w:pPr>
          </w:p>
        </w:tc>
      </w:tr>
      <w:tr w:rsidR="009832FC" w:rsidRPr="009832FC" w14:paraId="18151DB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70" w:type="dxa"/>
            <w:tcBorders>
              <w:top w:val="nil"/>
              <w:left w:val="nil"/>
              <w:bottom w:val="nil"/>
              <w:right w:val="nil"/>
              <w:tl2br w:val="nil"/>
              <w:tr2bl w:val="nil"/>
            </w:tcBorders>
            <w:shd w:val="clear" w:color="auto" w:fill="auto"/>
            <w:tcMar>
              <w:left w:w="101" w:type="dxa"/>
              <w:right w:w="101" w:type="dxa"/>
            </w:tcMar>
          </w:tcPr>
          <w:p w14:paraId="7703BDA6"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Calvary critical infrastructure</w:t>
            </w:r>
          </w:p>
        </w:tc>
        <w:tc>
          <w:tcPr>
            <w:tcW w:w="942" w:type="dxa"/>
            <w:tcBorders>
              <w:top w:val="nil"/>
              <w:left w:val="nil"/>
              <w:bottom w:val="nil"/>
              <w:right w:val="nil"/>
              <w:tl2br w:val="nil"/>
              <w:tr2bl w:val="nil"/>
            </w:tcBorders>
            <w:shd w:val="clear" w:color="auto" w:fill="auto"/>
            <w:noWrap/>
            <w:tcMar>
              <w:left w:w="101" w:type="dxa"/>
              <w:right w:w="101" w:type="dxa"/>
            </w:tcMar>
          </w:tcPr>
          <w:p w14:paraId="658F7FE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4D2B228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429</w:t>
            </w:r>
          </w:p>
        </w:tc>
        <w:tc>
          <w:tcPr>
            <w:tcW w:w="942" w:type="dxa"/>
            <w:tcBorders>
              <w:top w:val="nil"/>
              <w:left w:val="nil"/>
              <w:bottom w:val="nil"/>
              <w:right w:val="nil"/>
              <w:tl2br w:val="nil"/>
              <w:tr2bl w:val="nil"/>
            </w:tcBorders>
            <w:shd w:val="clear" w:color="auto" w:fill="auto"/>
            <w:noWrap/>
            <w:tcMar>
              <w:left w:w="101" w:type="dxa"/>
              <w:right w:w="101" w:type="dxa"/>
            </w:tcMar>
          </w:tcPr>
          <w:p w14:paraId="0AD86BD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495</w:t>
            </w:r>
          </w:p>
        </w:tc>
        <w:tc>
          <w:tcPr>
            <w:tcW w:w="942" w:type="dxa"/>
            <w:tcBorders>
              <w:top w:val="nil"/>
              <w:left w:val="nil"/>
              <w:bottom w:val="nil"/>
              <w:right w:val="nil"/>
              <w:tl2br w:val="nil"/>
              <w:tr2bl w:val="nil"/>
            </w:tcBorders>
            <w:shd w:val="clear" w:color="auto" w:fill="auto"/>
            <w:noWrap/>
            <w:tcMar>
              <w:left w:w="101" w:type="dxa"/>
              <w:right w:w="101" w:type="dxa"/>
            </w:tcMar>
          </w:tcPr>
          <w:p w14:paraId="2BACCB1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562</w:t>
            </w:r>
          </w:p>
        </w:tc>
        <w:tc>
          <w:tcPr>
            <w:tcW w:w="943" w:type="dxa"/>
            <w:tcBorders>
              <w:top w:val="nil"/>
              <w:left w:val="nil"/>
              <w:bottom w:val="nil"/>
              <w:right w:val="nil"/>
              <w:tl2br w:val="nil"/>
              <w:tr2bl w:val="nil"/>
            </w:tcBorders>
            <w:shd w:val="clear" w:color="auto" w:fill="auto"/>
            <w:noWrap/>
            <w:tcMar>
              <w:left w:w="101" w:type="dxa"/>
              <w:right w:w="101" w:type="dxa"/>
            </w:tcMar>
          </w:tcPr>
          <w:p w14:paraId="1EF780C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631</w:t>
            </w:r>
          </w:p>
        </w:tc>
      </w:tr>
      <w:tr w:rsidR="009832FC" w:rsidRPr="009832FC" w14:paraId="7D7F6A2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70" w:type="dxa"/>
            <w:tcBorders>
              <w:top w:val="nil"/>
              <w:left w:val="nil"/>
              <w:bottom w:val="nil"/>
              <w:right w:val="nil"/>
              <w:tl2br w:val="nil"/>
              <w:tr2bl w:val="nil"/>
            </w:tcBorders>
            <w:shd w:val="clear" w:color="auto" w:fill="auto"/>
            <w:tcMar>
              <w:left w:w="101" w:type="dxa"/>
              <w:right w:w="101" w:type="dxa"/>
            </w:tcMar>
          </w:tcPr>
          <w:p w14:paraId="7D214513"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Canberra Health Services warehouse and logistics facility</w:t>
            </w:r>
          </w:p>
        </w:tc>
        <w:tc>
          <w:tcPr>
            <w:tcW w:w="942" w:type="dxa"/>
            <w:tcBorders>
              <w:top w:val="nil"/>
              <w:left w:val="nil"/>
              <w:bottom w:val="nil"/>
              <w:right w:val="nil"/>
              <w:tl2br w:val="nil"/>
              <w:tr2bl w:val="nil"/>
            </w:tcBorders>
            <w:shd w:val="clear" w:color="auto" w:fill="auto"/>
            <w:noWrap/>
            <w:tcMar>
              <w:left w:w="101" w:type="dxa"/>
              <w:right w:w="101" w:type="dxa"/>
            </w:tcMar>
          </w:tcPr>
          <w:p w14:paraId="0063DD1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1224B61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533</w:t>
            </w:r>
          </w:p>
        </w:tc>
        <w:tc>
          <w:tcPr>
            <w:tcW w:w="942" w:type="dxa"/>
            <w:tcBorders>
              <w:top w:val="nil"/>
              <w:left w:val="nil"/>
              <w:bottom w:val="nil"/>
              <w:right w:val="nil"/>
              <w:tl2br w:val="nil"/>
              <w:tr2bl w:val="nil"/>
            </w:tcBorders>
            <w:shd w:val="clear" w:color="auto" w:fill="auto"/>
            <w:noWrap/>
            <w:tcMar>
              <w:left w:w="101" w:type="dxa"/>
              <w:right w:w="101" w:type="dxa"/>
            </w:tcMar>
          </w:tcPr>
          <w:p w14:paraId="256931F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480</w:t>
            </w:r>
          </w:p>
        </w:tc>
        <w:tc>
          <w:tcPr>
            <w:tcW w:w="942" w:type="dxa"/>
            <w:tcBorders>
              <w:top w:val="nil"/>
              <w:left w:val="nil"/>
              <w:bottom w:val="nil"/>
              <w:right w:val="nil"/>
              <w:tl2br w:val="nil"/>
              <w:tr2bl w:val="nil"/>
            </w:tcBorders>
            <w:shd w:val="clear" w:color="auto" w:fill="auto"/>
            <w:noWrap/>
            <w:tcMar>
              <w:left w:w="101" w:type="dxa"/>
              <w:right w:w="101" w:type="dxa"/>
            </w:tcMar>
          </w:tcPr>
          <w:p w14:paraId="4FAEDB1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498</w:t>
            </w:r>
          </w:p>
        </w:tc>
        <w:tc>
          <w:tcPr>
            <w:tcW w:w="943" w:type="dxa"/>
            <w:tcBorders>
              <w:top w:val="nil"/>
              <w:left w:val="nil"/>
              <w:bottom w:val="nil"/>
              <w:right w:val="nil"/>
              <w:tl2br w:val="nil"/>
              <w:tr2bl w:val="nil"/>
            </w:tcBorders>
            <w:shd w:val="clear" w:color="auto" w:fill="auto"/>
            <w:noWrap/>
            <w:tcMar>
              <w:left w:w="101" w:type="dxa"/>
              <w:right w:w="101" w:type="dxa"/>
            </w:tcMar>
          </w:tcPr>
          <w:p w14:paraId="021868F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517</w:t>
            </w:r>
          </w:p>
        </w:tc>
      </w:tr>
      <w:tr w:rsidR="009832FC" w:rsidRPr="009832FC" w14:paraId="039464A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70" w:type="dxa"/>
            <w:tcBorders>
              <w:top w:val="nil"/>
              <w:left w:val="nil"/>
              <w:bottom w:val="nil"/>
              <w:right w:val="nil"/>
              <w:tl2br w:val="nil"/>
              <w:tr2bl w:val="nil"/>
            </w:tcBorders>
            <w:shd w:val="clear" w:color="auto" w:fill="auto"/>
            <w:tcMar>
              <w:left w:w="101" w:type="dxa"/>
              <w:right w:w="101" w:type="dxa"/>
            </w:tcMar>
          </w:tcPr>
          <w:p w14:paraId="1C182A45"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Cancer Research Centre</w:t>
            </w:r>
          </w:p>
        </w:tc>
        <w:tc>
          <w:tcPr>
            <w:tcW w:w="942" w:type="dxa"/>
            <w:tcBorders>
              <w:top w:val="nil"/>
              <w:left w:val="nil"/>
              <w:bottom w:val="nil"/>
              <w:right w:val="nil"/>
              <w:tl2br w:val="nil"/>
              <w:tr2bl w:val="nil"/>
            </w:tcBorders>
            <w:shd w:val="clear" w:color="auto" w:fill="auto"/>
            <w:noWrap/>
            <w:tcMar>
              <w:left w:w="101" w:type="dxa"/>
              <w:right w:w="101" w:type="dxa"/>
            </w:tcMar>
          </w:tcPr>
          <w:p w14:paraId="661A6A3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1E698EF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529E11B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151A629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68</w:t>
            </w:r>
          </w:p>
        </w:tc>
        <w:tc>
          <w:tcPr>
            <w:tcW w:w="943" w:type="dxa"/>
            <w:tcBorders>
              <w:top w:val="nil"/>
              <w:left w:val="nil"/>
              <w:bottom w:val="nil"/>
              <w:right w:val="nil"/>
              <w:tl2br w:val="nil"/>
              <w:tr2bl w:val="nil"/>
            </w:tcBorders>
            <w:shd w:val="clear" w:color="auto" w:fill="auto"/>
            <w:noWrap/>
            <w:tcMar>
              <w:left w:w="101" w:type="dxa"/>
              <w:right w:w="101" w:type="dxa"/>
            </w:tcMar>
          </w:tcPr>
          <w:p w14:paraId="3045DF4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136</w:t>
            </w:r>
          </w:p>
        </w:tc>
      </w:tr>
      <w:tr w:rsidR="009832FC" w:rsidRPr="009832FC" w14:paraId="19A2EFC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70" w:type="dxa"/>
            <w:tcBorders>
              <w:top w:val="nil"/>
              <w:left w:val="nil"/>
              <w:bottom w:val="nil"/>
              <w:right w:val="nil"/>
              <w:tl2br w:val="nil"/>
              <w:tr2bl w:val="nil"/>
            </w:tcBorders>
            <w:shd w:val="clear" w:color="auto" w:fill="auto"/>
            <w:tcMar>
              <w:left w:w="101" w:type="dxa"/>
              <w:right w:w="101" w:type="dxa"/>
            </w:tcMar>
          </w:tcPr>
          <w:p w14:paraId="6EE5AEFB"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Expanding endoscopy services</w:t>
            </w:r>
          </w:p>
        </w:tc>
        <w:tc>
          <w:tcPr>
            <w:tcW w:w="942" w:type="dxa"/>
            <w:tcBorders>
              <w:top w:val="nil"/>
              <w:left w:val="nil"/>
              <w:bottom w:val="nil"/>
              <w:right w:val="nil"/>
              <w:tl2br w:val="nil"/>
              <w:tr2bl w:val="nil"/>
            </w:tcBorders>
            <w:shd w:val="clear" w:color="auto" w:fill="auto"/>
            <w:noWrap/>
            <w:tcMar>
              <w:left w:w="101" w:type="dxa"/>
              <w:right w:w="101" w:type="dxa"/>
            </w:tcMar>
          </w:tcPr>
          <w:p w14:paraId="7C76D75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7630A7C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2,233</w:t>
            </w:r>
          </w:p>
        </w:tc>
        <w:tc>
          <w:tcPr>
            <w:tcW w:w="942" w:type="dxa"/>
            <w:tcBorders>
              <w:top w:val="nil"/>
              <w:left w:val="nil"/>
              <w:bottom w:val="nil"/>
              <w:right w:val="nil"/>
              <w:tl2br w:val="nil"/>
              <w:tr2bl w:val="nil"/>
            </w:tcBorders>
            <w:shd w:val="clear" w:color="auto" w:fill="auto"/>
            <w:noWrap/>
            <w:tcMar>
              <w:left w:w="101" w:type="dxa"/>
              <w:right w:w="101" w:type="dxa"/>
            </w:tcMar>
          </w:tcPr>
          <w:p w14:paraId="43A188E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270D2F3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3FD997D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1ABFF66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5070" w:type="dxa"/>
            <w:tcBorders>
              <w:top w:val="nil"/>
              <w:left w:val="nil"/>
              <w:bottom w:val="nil"/>
              <w:right w:val="nil"/>
              <w:tl2br w:val="nil"/>
              <w:tr2bl w:val="nil"/>
            </w:tcBorders>
            <w:shd w:val="clear" w:color="auto" w:fill="auto"/>
            <w:tcMar>
              <w:left w:w="101" w:type="dxa"/>
              <w:right w:w="101" w:type="dxa"/>
            </w:tcMar>
          </w:tcPr>
          <w:p w14:paraId="1AD60CAD"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20B0F8BB"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4042D408"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5ECD164A"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7CDCF77C" w14:textId="77777777" w:rsidR="009832FC" w:rsidRPr="009832FC" w:rsidRDefault="009832FC" w:rsidP="009832FC">
            <w:pPr>
              <w:spacing w:before="0" w:after="0"/>
              <w:jc w:val="right"/>
              <w:rPr>
                <w:rFonts w:eastAsia="Calibri" w:cs="Calibri"/>
                <w:color w:val="000000"/>
                <w:sz w:val="18"/>
                <w:szCs w:val="24"/>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440F51BF" w14:textId="77777777" w:rsidR="009832FC" w:rsidRPr="009832FC" w:rsidRDefault="009832FC" w:rsidP="009832FC">
            <w:pPr>
              <w:spacing w:before="0" w:after="0"/>
              <w:jc w:val="right"/>
              <w:rPr>
                <w:rFonts w:eastAsia="Calibri" w:cs="Calibri"/>
                <w:color w:val="000000"/>
                <w:sz w:val="18"/>
                <w:szCs w:val="24"/>
                <w:lang w:eastAsia="en-AU"/>
              </w:rPr>
            </w:pPr>
          </w:p>
        </w:tc>
      </w:tr>
      <w:tr w:rsidR="009832FC" w:rsidRPr="009832FC" w14:paraId="7FF3DD8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515CF4CF" w14:textId="77777777" w:rsidR="009832FC" w:rsidRPr="009832FC" w:rsidRDefault="009832FC" w:rsidP="009832FC">
            <w:pPr>
              <w:spacing w:before="0" w:after="0"/>
              <w:rPr>
                <w:rFonts w:eastAsia="Calibri" w:cs="Calibri"/>
                <w:color w:val="000000"/>
                <w:sz w:val="18"/>
                <w:szCs w:val="24"/>
                <w:u w:val="single"/>
                <w:lang w:eastAsia="en-AU"/>
              </w:rPr>
            </w:pPr>
            <w:r w:rsidRPr="009832FC">
              <w:rPr>
                <w:rFonts w:eastAsia="Calibri" w:cs="Calibri"/>
                <w:color w:val="000000"/>
                <w:sz w:val="18"/>
                <w:szCs w:val="24"/>
                <w:u w:val="single"/>
                <w:lang w:eastAsia="en-AU"/>
              </w:rPr>
              <w:t>Improving our public health system</w:t>
            </w:r>
          </w:p>
        </w:tc>
        <w:tc>
          <w:tcPr>
            <w:tcW w:w="942" w:type="dxa"/>
            <w:tcBorders>
              <w:top w:val="nil"/>
              <w:left w:val="nil"/>
              <w:bottom w:val="nil"/>
              <w:right w:val="nil"/>
              <w:tl2br w:val="nil"/>
              <w:tr2bl w:val="nil"/>
            </w:tcBorders>
            <w:shd w:val="clear" w:color="auto" w:fill="auto"/>
            <w:noWrap/>
            <w:tcMar>
              <w:left w:w="101" w:type="dxa"/>
              <w:right w:w="101" w:type="dxa"/>
            </w:tcMar>
          </w:tcPr>
          <w:p w14:paraId="76287ACB"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09FBB689"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189651C1"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59CB247D"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6143C545" w14:textId="77777777" w:rsidR="009832FC" w:rsidRPr="009832FC" w:rsidRDefault="009832FC" w:rsidP="009832FC">
            <w:pPr>
              <w:spacing w:before="0" w:after="0"/>
              <w:jc w:val="right"/>
              <w:rPr>
                <w:rFonts w:eastAsia="Calibri" w:cs="Calibri"/>
                <w:color w:val="000000"/>
                <w:sz w:val="18"/>
                <w:szCs w:val="24"/>
                <w:u w:val="single"/>
                <w:lang w:eastAsia="en-AU"/>
              </w:rPr>
            </w:pPr>
          </w:p>
        </w:tc>
      </w:tr>
      <w:tr w:rsidR="009832FC" w:rsidRPr="009832FC" w14:paraId="27C430F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70" w:type="dxa"/>
            <w:tcBorders>
              <w:top w:val="nil"/>
              <w:left w:val="nil"/>
              <w:bottom w:val="nil"/>
              <w:right w:val="nil"/>
              <w:tl2br w:val="nil"/>
              <w:tr2bl w:val="nil"/>
            </w:tcBorders>
            <w:shd w:val="clear" w:color="auto" w:fill="auto"/>
            <w:tcMar>
              <w:left w:w="101" w:type="dxa"/>
              <w:right w:w="101" w:type="dxa"/>
            </w:tcMar>
          </w:tcPr>
          <w:p w14:paraId="4987633B"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Commonwealth Redress Scheme - continuation</w:t>
            </w:r>
          </w:p>
        </w:tc>
        <w:tc>
          <w:tcPr>
            <w:tcW w:w="942" w:type="dxa"/>
            <w:tcBorders>
              <w:top w:val="nil"/>
              <w:left w:val="nil"/>
              <w:bottom w:val="nil"/>
              <w:right w:val="nil"/>
              <w:tl2br w:val="nil"/>
              <w:tr2bl w:val="nil"/>
            </w:tcBorders>
            <w:shd w:val="clear" w:color="auto" w:fill="auto"/>
            <w:noWrap/>
            <w:tcMar>
              <w:left w:w="101" w:type="dxa"/>
              <w:right w:w="101" w:type="dxa"/>
            </w:tcMar>
          </w:tcPr>
          <w:p w14:paraId="69F6B5C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38A7BFD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32</w:t>
            </w:r>
          </w:p>
        </w:tc>
        <w:tc>
          <w:tcPr>
            <w:tcW w:w="942" w:type="dxa"/>
            <w:tcBorders>
              <w:top w:val="nil"/>
              <w:left w:val="nil"/>
              <w:bottom w:val="nil"/>
              <w:right w:val="nil"/>
              <w:tl2br w:val="nil"/>
              <w:tr2bl w:val="nil"/>
            </w:tcBorders>
            <w:shd w:val="clear" w:color="auto" w:fill="auto"/>
            <w:noWrap/>
            <w:tcMar>
              <w:left w:w="101" w:type="dxa"/>
              <w:right w:w="101" w:type="dxa"/>
            </w:tcMar>
          </w:tcPr>
          <w:p w14:paraId="1676CE2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33</w:t>
            </w:r>
          </w:p>
        </w:tc>
        <w:tc>
          <w:tcPr>
            <w:tcW w:w="942" w:type="dxa"/>
            <w:tcBorders>
              <w:top w:val="nil"/>
              <w:left w:val="nil"/>
              <w:bottom w:val="nil"/>
              <w:right w:val="nil"/>
              <w:tl2br w:val="nil"/>
              <w:tr2bl w:val="nil"/>
            </w:tcBorders>
            <w:shd w:val="clear" w:color="auto" w:fill="auto"/>
            <w:noWrap/>
            <w:tcMar>
              <w:left w:w="101" w:type="dxa"/>
              <w:right w:w="101" w:type="dxa"/>
            </w:tcMar>
          </w:tcPr>
          <w:p w14:paraId="66CF997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33</w:t>
            </w:r>
          </w:p>
        </w:tc>
        <w:tc>
          <w:tcPr>
            <w:tcW w:w="943" w:type="dxa"/>
            <w:tcBorders>
              <w:top w:val="nil"/>
              <w:left w:val="nil"/>
              <w:bottom w:val="nil"/>
              <w:right w:val="nil"/>
              <w:tl2br w:val="nil"/>
              <w:tr2bl w:val="nil"/>
            </w:tcBorders>
            <w:shd w:val="clear" w:color="auto" w:fill="auto"/>
            <w:noWrap/>
            <w:tcMar>
              <w:left w:w="101" w:type="dxa"/>
              <w:right w:w="101" w:type="dxa"/>
            </w:tcMar>
          </w:tcPr>
          <w:p w14:paraId="453F484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33</w:t>
            </w:r>
          </w:p>
        </w:tc>
      </w:tr>
      <w:tr w:rsidR="009832FC" w:rsidRPr="009832FC" w14:paraId="08D8086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5070" w:type="dxa"/>
            <w:tcBorders>
              <w:top w:val="nil"/>
              <w:left w:val="nil"/>
              <w:bottom w:val="nil"/>
              <w:right w:val="nil"/>
              <w:tl2br w:val="nil"/>
              <w:tr2bl w:val="nil"/>
            </w:tcBorders>
            <w:shd w:val="clear" w:color="auto" w:fill="auto"/>
            <w:tcMar>
              <w:left w:w="101" w:type="dxa"/>
              <w:right w:w="101" w:type="dxa"/>
            </w:tcMar>
          </w:tcPr>
          <w:p w14:paraId="2C9772E3"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Expanding acute mental health services</w:t>
            </w:r>
          </w:p>
        </w:tc>
        <w:tc>
          <w:tcPr>
            <w:tcW w:w="942" w:type="dxa"/>
            <w:tcBorders>
              <w:top w:val="nil"/>
              <w:left w:val="nil"/>
              <w:bottom w:val="nil"/>
              <w:right w:val="nil"/>
              <w:tl2br w:val="nil"/>
              <w:tr2bl w:val="nil"/>
            </w:tcBorders>
            <w:shd w:val="clear" w:color="auto" w:fill="auto"/>
            <w:noWrap/>
            <w:tcMar>
              <w:left w:w="101" w:type="dxa"/>
              <w:right w:w="101" w:type="dxa"/>
            </w:tcMar>
          </w:tcPr>
          <w:p w14:paraId="491F2B4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4BCD3C0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9,266</w:t>
            </w:r>
          </w:p>
        </w:tc>
        <w:tc>
          <w:tcPr>
            <w:tcW w:w="942" w:type="dxa"/>
            <w:tcBorders>
              <w:top w:val="nil"/>
              <w:left w:val="nil"/>
              <w:bottom w:val="nil"/>
              <w:right w:val="nil"/>
              <w:tl2br w:val="nil"/>
              <w:tr2bl w:val="nil"/>
            </w:tcBorders>
            <w:shd w:val="clear" w:color="auto" w:fill="auto"/>
            <w:noWrap/>
            <w:tcMar>
              <w:left w:w="101" w:type="dxa"/>
              <w:right w:w="101" w:type="dxa"/>
            </w:tcMar>
          </w:tcPr>
          <w:p w14:paraId="1B85D46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10,578</w:t>
            </w:r>
          </w:p>
        </w:tc>
        <w:tc>
          <w:tcPr>
            <w:tcW w:w="942" w:type="dxa"/>
            <w:tcBorders>
              <w:top w:val="nil"/>
              <w:left w:val="nil"/>
              <w:bottom w:val="nil"/>
              <w:right w:val="nil"/>
              <w:tl2br w:val="nil"/>
              <w:tr2bl w:val="nil"/>
            </w:tcBorders>
            <w:shd w:val="clear" w:color="auto" w:fill="auto"/>
            <w:noWrap/>
            <w:tcMar>
              <w:left w:w="101" w:type="dxa"/>
              <w:right w:w="101" w:type="dxa"/>
            </w:tcMar>
          </w:tcPr>
          <w:p w14:paraId="783356A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10,735</w:t>
            </w:r>
          </w:p>
        </w:tc>
        <w:tc>
          <w:tcPr>
            <w:tcW w:w="943" w:type="dxa"/>
            <w:tcBorders>
              <w:top w:val="nil"/>
              <w:left w:val="nil"/>
              <w:bottom w:val="nil"/>
              <w:right w:val="nil"/>
              <w:tl2br w:val="nil"/>
              <w:tr2bl w:val="nil"/>
            </w:tcBorders>
            <w:shd w:val="clear" w:color="auto" w:fill="auto"/>
            <w:noWrap/>
            <w:tcMar>
              <w:left w:w="101" w:type="dxa"/>
              <w:right w:w="101" w:type="dxa"/>
            </w:tcMar>
          </w:tcPr>
          <w:p w14:paraId="6490249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10,898</w:t>
            </w:r>
          </w:p>
        </w:tc>
      </w:tr>
      <w:tr w:rsidR="009832FC" w:rsidRPr="009832FC" w14:paraId="5508199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70" w:type="dxa"/>
            <w:tcBorders>
              <w:top w:val="nil"/>
              <w:left w:val="nil"/>
              <w:bottom w:val="nil"/>
              <w:right w:val="nil"/>
              <w:tl2br w:val="nil"/>
              <w:tr2bl w:val="nil"/>
            </w:tcBorders>
            <w:shd w:val="clear" w:color="auto" w:fill="auto"/>
            <w:tcMar>
              <w:left w:w="101" w:type="dxa"/>
              <w:right w:w="101" w:type="dxa"/>
            </w:tcMar>
          </w:tcPr>
          <w:p w14:paraId="62C7FC16"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Extension of temporary contract positions</w:t>
            </w:r>
          </w:p>
        </w:tc>
        <w:tc>
          <w:tcPr>
            <w:tcW w:w="942" w:type="dxa"/>
            <w:tcBorders>
              <w:top w:val="nil"/>
              <w:left w:val="nil"/>
              <w:bottom w:val="nil"/>
              <w:right w:val="nil"/>
              <w:tl2br w:val="nil"/>
              <w:tr2bl w:val="nil"/>
            </w:tcBorders>
            <w:shd w:val="clear" w:color="auto" w:fill="auto"/>
            <w:noWrap/>
            <w:tcMar>
              <w:left w:w="101" w:type="dxa"/>
              <w:right w:w="101" w:type="dxa"/>
            </w:tcMar>
          </w:tcPr>
          <w:p w14:paraId="2D1EC49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1067A9B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988</w:t>
            </w:r>
          </w:p>
        </w:tc>
        <w:tc>
          <w:tcPr>
            <w:tcW w:w="942" w:type="dxa"/>
            <w:tcBorders>
              <w:top w:val="nil"/>
              <w:left w:val="nil"/>
              <w:bottom w:val="nil"/>
              <w:right w:val="nil"/>
              <w:tl2br w:val="nil"/>
              <w:tr2bl w:val="nil"/>
            </w:tcBorders>
            <w:shd w:val="clear" w:color="auto" w:fill="auto"/>
            <w:noWrap/>
            <w:tcMar>
              <w:left w:w="101" w:type="dxa"/>
              <w:right w:w="101" w:type="dxa"/>
            </w:tcMar>
          </w:tcPr>
          <w:p w14:paraId="73E6D6C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79CA6F7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662282F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7DB3454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70" w:type="dxa"/>
            <w:tcBorders>
              <w:top w:val="nil"/>
              <w:left w:val="nil"/>
              <w:bottom w:val="nil"/>
              <w:right w:val="nil"/>
              <w:tl2br w:val="nil"/>
              <w:tr2bl w:val="nil"/>
            </w:tcBorders>
            <w:shd w:val="clear" w:color="auto" w:fill="auto"/>
            <w:tcMar>
              <w:left w:w="101" w:type="dxa"/>
              <w:right w:w="101" w:type="dxa"/>
            </w:tcMar>
          </w:tcPr>
          <w:p w14:paraId="32CBD050"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Implementing a patient navigation services</w:t>
            </w:r>
          </w:p>
        </w:tc>
        <w:tc>
          <w:tcPr>
            <w:tcW w:w="942" w:type="dxa"/>
            <w:tcBorders>
              <w:top w:val="nil"/>
              <w:left w:val="nil"/>
              <w:bottom w:val="nil"/>
              <w:right w:val="nil"/>
              <w:tl2br w:val="nil"/>
              <w:tr2bl w:val="nil"/>
            </w:tcBorders>
            <w:shd w:val="clear" w:color="auto" w:fill="auto"/>
            <w:noWrap/>
            <w:tcMar>
              <w:left w:w="101" w:type="dxa"/>
              <w:right w:w="101" w:type="dxa"/>
            </w:tcMar>
          </w:tcPr>
          <w:p w14:paraId="500367F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2DB7BBC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197</w:t>
            </w:r>
          </w:p>
        </w:tc>
        <w:tc>
          <w:tcPr>
            <w:tcW w:w="942" w:type="dxa"/>
            <w:tcBorders>
              <w:top w:val="nil"/>
              <w:left w:val="nil"/>
              <w:bottom w:val="nil"/>
              <w:right w:val="nil"/>
              <w:tl2br w:val="nil"/>
              <w:tr2bl w:val="nil"/>
            </w:tcBorders>
            <w:shd w:val="clear" w:color="auto" w:fill="auto"/>
            <w:noWrap/>
            <w:tcMar>
              <w:left w:w="101" w:type="dxa"/>
              <w:right w:w="101" w:type="dxa"/>
            </w:tcMar>
          </w:tcPr>
          <w:p w14:paraId="7CABADB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1,794</w:t>
            </w:r>
          </w:p>
        </w:tc>
        <w:tc>
          <w:tcPr>
            <w:tcW w:w="942" w:type="dxa"/>
            <w:tcBorders>
              <w:top w:val="nil"/>
              <w:left w:val="nil"/>
              <w:bottom w:val="nil"/>
              <w:right w:val="nil"/>
              <w:tl2br w:val="nil"/>
              <w:tr2bl w:val="nil"/>
            </w:tcBorders>
            <w:shd w:val="clear" w:color="auto" w:fill="auto"/>
            <w:noWrap/>
            <w:tcMar>
              <w:left w:w="101" w:type="dxa"/>
              <w:right w:w="101" w:type="dxa"/>
            </w:tcMar>
          </w:tcPr>
          <w:p w14:paraId="613418F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1,964</w:t>
            </w:r>
          </w:p>
        </w:tc>
        <w:tc>
          <w:tcPr>
            <w:tcW w:w="943" w:type="dxa"/>
            <w:tcBorders>
              <w:top w:val="nil"/>
              <w:left w:val="nil"/>
              <w:bottom w:val="nil"/>
              <w:right w:val="nil"/>
              <w:tl2br w:val="nil"/>
              <w:tr2bl w:val="nil"/>
            </w:tcBorders>
            <w:shd w:val="clear" w:color="auto" w:fill="auto"/>
            <w:noWrap/>
            <w:tcMar>
              <w:left w:w="101" w:type="dxa"/>
              <w:right w:w="101" w:type="dxa"/>
            </w:tcMar>
          </w:tcPr>
          <w:p w14:paraId="26AE099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2,385</w:t>
            </w:r>
          </w:p>
        </w:tc>
      </w:tr>
      <w:tr w:rsidR="009832FC" w:rsidRPr="009832FC" w14:paraId="405579C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70" w:type="dxa"/>
            <w:tcBorders>
              <w:top w:val="nil"/>
              <w:left w:val="nil"/>
              <w:bottom w:val="nil"/>
              <w:right w:val="nil"/>
              <w:tl2br w:val="nil"/>
              <w:tr2bl w:val="nil"/>
            </w:tcBorders>
            <w:shd w:val="clear" w:color="auto" w:fill="auto"/>
            <w:tcMar>
              <w:left w:w="101" w:type="dxa"/>
              <w:right w:w="101" w:type="dxa"/>
            </w:tcMar>
          </w:tcPr>
          <w:p w14:paraId="61761ABF"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Introduction of nursing and midwifery ratios</w:t>
            </w:r>
          </w:p>
        </w:tc>
        <w:tc>
          <w:tcPr>
            <w:tcW w:w="942" w:type="dxa"/>
            <w:tcBorders>
              <w:top w:val="nil"/>
              <w:left w:val="nil"/>
              <w:bottom w:val="nil"/>
              <w:right w:val="nil"/>
              <w:tl2br w:val="nil"/>
              <w:tr2bl w:val="nil"/>
            </w:tcBorders>
            <w:shd w:val="clear" w:color="auto" w:fill="auto"/>
            <w:noWrap/>
            <w:tcMar>
              <w:left w:w="101" w:type="dxa"/>
              <w:right w:w="101" w:type="dxa"/>
            </w:tcMar>
          </w:tcPr>
          <w:p w14:paraId="0AECFCC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40A9837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4,081</w:t>
            </w:r>
          </w:p>
        </w:tc>
        <w:tc>
          <w:tcPr>
            <w:tcW w:w="942" w:type="dxa"/>
            <w:tcBorders>
              <w:top w:val="nil"/>
              <w:left w:val="nil"/>
              <w:bottom w:val="nil"/>
              <w:right w:val="nil"/>
              <w:tl2br w:val="nil"/>
              <w:tr2bl w:val="nil"/>
            </w:tcBorders>
            <w:shd w:val="clear" w:color="auto" w:fill="auto"/>
            <w:noWrap/>
            <w:tcMar>
              <w:left w:w="101" w:type="dxa"/>
              <w:right w:w="101" w:type="dxa"/>
            </w:tcMar>
          </w:tcPr>
          <w:p w14:paraId="4225D9D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14,238</w:t>
            </w:r>
          </w:p>
        </w:tc>
        <w:tc>
          <w:tcPr>
            <w:tcW w:w="942" w:type="dxa"/>
            <w:tcBorders>
              <w:top w:val="nil"/>
              <w:left w:val="nil"/>
              <w:bottom w:val="nil"/>
              <w:right w:val="nil"/>
              <w:tl2br w:val="nil"/>
              <w:tr2bl w:val="nil"/>
            </w:tcBorders>
            <w:shd w:val="clear" w:color="auto" w:fill="auto"/>
            <w:noWrap/>
            <w:tcMar>
              <w:left w:w="101" w:type="dxa"/>
              <w:right w:w="101" w:type="dxa"/>
            </w:tcMar>
          </w:tcPr>
          <w:p w14:paraId="4122732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14,625</w:t>
            </w:r>
          </w:p>
        </w:tc>
        <w:tc>
          <w:tcPr>
            <w:tcW w:w="943" w:type="dxa"/>
            <w:tcBorders>
              <w:top w:val="nil"/>
              <w:left w:val="nil"/>
              <w:bottom w:val="nil"/>
              <w:right w:val="nil"/>
              <w:tl2br w:val="nil"/>
              <w:tr2bl w:val="nil"/>
            </w:tcBorders>
            <w:shd w:val="clear" w:color="auto" w:fill="auto"/>
            <w:noWrap/>
            <w:tcMar>
              <w:left w:w="101" w:type="dxa"/>
              <w:right w:w="101" w:type="dxa"/>
            </w:tcMar>
          </w:tcPr>
          <w:p w14:paraId="61A98B6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15,023</w:t>
            </w:r>
          </w:p>
        </w:tc>
      </w:tr>
      <w:tr w:rsidR="009832FC" w:rsidRPr="009832FC" w14:paraId="4FA9BE5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70" w:type="dxa"/>
            <w:tcBorders>
              <w:top w:val="nil"/>
              <w:left w:val="nil"/>
              <w:bottom w:val="nil"/>
              <w:right w:val="nil"/>
              <w:tl2br w:val="nil"/>
              <w:tr2bl w:val="nil"/>
            </w:tcBorders>
            <w:shd w:val="clear" w:color="auto" w:fill="auto"/>
            <w:tcMar>
              <w:left w:w="101" w:type="dxa"/>
              <w:right w:w="101" w:type="dxa"/>
            </w:tcMar>
          </w:tcPr>
          <w:p w14:paraId="2A2EC50E"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Sustainable Health Funding – Enhanced Base</w:t>
            </w:r>
          </w:p>
        </w:tc>
        <w:tc>
          <w:tcPr>
            <w:tcW w:w="942" w:type="dxa"/>
            <w:tcBorders>
              <w:top w:val="nil"/>
              <w:left w:val="nil"/>
              <w:bottom w:val="nil"/>
              <w:right w:val="nil"/>
              <w:tl2br w:val="nil"/>
              <w:tr2bl w:val="nil"/>
            </w:tcBorders>
            <w:shd w:val="clear" w:color="auto" w:fill="auto"/>
            <w:noWrap/>
            <w:tcMar>
              <w:left w:w="101" w:type="dxa"/>
              <w:right w:w="101" w:type="dxa"/>
            </w:tcMar>
          </w:tcPr>
          <w:p w14:paraId="5F4A6F2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4597B09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68,300</w:t>
            </w:r>
          </w:p>
        </w:tc>
        <w:tc>
          <w:tcPr>
            <w:tcW w:w="942" w:type="dxa"/>
            <w:tcBorders>
              <w:top w:val="nil"/>
              <w:left w:val="nil"/>
              <w:bottom w:val="nil"/>
              <w:right w:val="nil"/>
              <w:tl2br w:val="nil"/>
              <w:tr2bl w:val="nil"/>
            </w:tcBorders>
            <w:shd w:val="clear" w:color="auto" w:fill="auto"/>
            <w:noWrap/>
            <w:tcMar>
              <w:left w:w="101" w:type="dxa"/>
              <w:right w:w="101" w:type="dxa"/>
            </w:tcMar>
          </w:tcPr>
          <w:p w14:paraId="675E873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70,100</w:t>
            </w:r>
          </w:p>
        </w:tc>
        <w:tc>
          <w:tcPr>
            <w:tcW w:w="942" w:type="dxa"/>
            <w:tcBorders>
              <w:top w:val="nil"/>
              <w:left w:val="nil"/>
              <w:bottom w:val="nil"/>
              <w:right w:val="nil"/>
              <w:tl2br w:val="nil"/>
              <w:tr2bl w:val="nil"/>
            </w:tcBorders>
            <w:shd w:val="clear" w:color="auto" w:fill="auto"/>
            <w:noWrap/>
            <w:tcMar>
              <w:left w:w="101" w:type="dxa"/>
              <w:right w:w="101" w:type="dxa"/>
            </w:tcMar>
          </w:tcPr>
          <w:p w14:paraId="30772F1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71,900</w:t>
            </w:r>
          </w:p>
        </w:tc>
        <w:tc>
          <w:tcPr>
            <w:tcW w:w="943" w:type="dxa"/>
            <w:tcBorders>
              <w:top w:val="nil"/>
              <w:left w:val="nil"/>
              <w:bottom w:val="nil"/>
              <w:right w:val="nil"/>
              <w:tl2br w:val="nil"/>
              <w:tr2bl w:val="nil"/>
            </w:tcBorders>
            <w:shd w:val="clear" w:color="auto" w:fill="auto"/>
            <w:noWrap/>
            <w:tcMar>
              <w:left w:w="101" w:type="dxa"/>
              <w:right w:w="101" w:type="dxa"/>
            </w:tcMar>
          </w:tcPr>
          <w:p w14:paraId="675554F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73,800</w:t>
            </w:r>
          </w:p>
        </w:tc>
      </w:tr>
      <w:tr w:rsidR="009832FC" w:rsidRPr="009832FC" w14:paraId="3F05E51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3DF78F9B"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Winnunga Health Services for Aboriginal and Torres Strait Islander Detainees at the AMC</w:t>
            </w:r>
          </w:p>
        </w:tc>
        <w:tc>
          <w:tcPr>
            <w:tcW w:w="942" w:type="dxa"/>
            <w:tcBorders>
              <w:top w:val="nil"/>
              <w:left w:val="nil"/>
              <w:bottom w:val="nil"/>
              <w:right w:val="nil"/>
              <w:tl2br w:val="nil"/>
              <w:tr2bl w:val="nil"/>
            </w:tcBorders>
            <w:shd w:val="clear" w:color="auto" w:fill="auto"/>
            <w:noWrap/>
            <w:tcMar>
              <w:left w:w="101" w:type="dxa"/>
              <w:right w:w="101" w:type="dxa"/>
            </w:tcMar>
          </w:tcPr>
          <w:p w14:paraId="5D4D072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6F180E7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128</w:t>
            </w:r>
          </w:p>
        </w:tc>
        <w:tc>
          <w:tcPr>
            <w:tcW w:w="942" w:type="dxa"/>
            <w:tcBorders>
              <w:top w:val="nil"/>
              <w:left w:val="nil"/>
              <w:bottom w:val="nil"/>
              <w:right w:val="nil"/>
              <w:tl2br w:val="nil"/>
              <w:tr2bl w:val="nil"/>
            </w:tcBorders>
            <w:shd w:val="clear" w:color="auto" w:fill="auto"/>
            <w:noWrap/>
            <w:tcMar>
              <w:left w:w="101" w:type="dxa"/>
              <w:right w:w="101" w:type="dxa"/>
            </w:tcMar>
          </w:tcPr>
          <w:p w14:paraId="08F037B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02960F6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51DA4E9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09A7B4B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0" w:type="dxa"/>
              <w:right w:w="0" w:type="dxa"/>
            </w:tcMar>
            <w:vAlign w:val="bottom"/>
          </w:tcPr>
          <w:p w14:paraId="60320229"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7989CD30"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369192AA"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09B450B6"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65891E7F" w14:textId="77777777" w:rsidR="009832FC" w:rsidRPr="009832FC" w:rsidRDefault="009832FC" w:rsidP="009832FC">
            <w:pPr>
              <w:spacing w:before="0" w:after="0"/>
              <w:rPr>
                <w:rFonts w:eastAsia="Calibri" w:cs="Calibri"/>
                <w:color w:val="000000"/>
                <w:sz w:val="18"/>
                <w:szCs w:val="24"/>
                <w:lang w:eastAsia="en-AU"/>
              </w:rPr>
            </w:pPr>
          </w:p>
        </w:tc>
        <w:tc>
          <w:tcPr>
            <w:tcW w:w="943" w:type="dxa"/>
            <w:tcBorders>
              <w:top w:val="nil"/>
              <w:left w:val="nil"/>
              <w:bottom w:val="nil"/>
              <w:right w:val="nil"/>
              <w:tl2br w:val="nil"/>
              <w:tr2bl w:val="nil"/>
            </w:tcBorders>
            <w:shd w:val="clear" w:color="auto" w:fill="auto"/>
            <w:noWrap/>
            <w:tcMar>
              <w:left w:w="0" w:type="dxa"/>
              <w:right w:w="0" w:type="dxa"/>
            </w:tcMar>
            <w:vAlign w:val="bottom"/>
          </w:tcPr>
          <w:p w14:paraId="5863D9CF"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C524AD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vAlign w:val="bottom"/>
          </w:tcPr>
          <w:p w14:paraId="01CC9425"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2021-22 Budget Technical Adjustments</w:t>
            </w: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205C03BE"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050861A0"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2D95FA30" w14:textId="77777777" w:rsidR="009832FC" w:rsidRPr="009832FC" w:rsidRDefault="009832FC"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6DABCCB7" w14:textId="77777777" w:rsidR="009832FC" w:rsidRPr="009832FC" w:rsidRDefault="009832FC" w:rsidP="009832FC">
            <w:pPr>
              <w:spacing w:before="0" w:after="0"/>
              <w:rPr>
                <w:rFonts w:eastAsia="Calibri" w:cs="Calibri"/>
                <w:color w:val="FFFFFF"/>
                <w:sz w:val="18"/>
                <w:szCs w:val="24"/>
                <w:lang w:eastAsia="en-AU"/>
              </w:rPr>
            </w:pPr>
          </w:p>
        </w:tc>
        <w:tc>
          <w:tcPr>
            <w:tcW w:w="943" w:type="dxa"/>
            <w:tcBorders>
              <w:top w:val="nil"/>
              <w:left w:val="nil"/>
              <w:bottom w:val="nil"/>
              <w:right w:val="nil"/>
              <w:tl2br w:val="nil"/>
              <w:tr2bl w:val="nil"/>
            </w:tcBorders>
            <w:shd w:val="clear" w:color="auto" w:fill="auto"/>
            <w:noWrap/>
            <w:tcMar>
              <w:left w:w="0" w:type="dxa"/>
              <w:right w:w="0" w:type="dxa"/>
            </w:tcMar>
            <w:vAlign w:val="bottom"/>
          </w:tcPr>
          <w:p w14:paraId="72D97B0B" w14:textId="77777777" w:rsidR="009832FC" w:rsidRPr="009832FC" w:rsidRDefault="009832FC" w:rsidP="009832FC">
            <w:pPr>
              <w:spacing w:before="0" w:after="0"/>
              <w:rPr>
                <w:rFonts w:eastAsia="Calibri" w:cs="Calibri"/>
                <w:color w:val="FFFFFF"/>
                <w:sz w:val="18"/>
                <w:szCs w:val="24"/>
                <w:lang w:eastAsia="en-AU"/>
              </w:rPr>
            </w:pPr>
          </w:p>
        </w:tc>
      </w:tr>
      <w:tr w:rsidR="00677C53" w:rsidRPr="009832FC" w14:paraId="14669B5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vAlign w:val="bottom"/>
          </w:tcPr>
          <w:p w14:paraId="77A9806B" w14:textId="77777777" w:rsidR="00677C53" w:rsidRPr="009832FC" w:rsidRDefault="00677C53" w:rsidP="009832FC">
            <w:pPr>
              <w:spacing w:before="0" w:after="0"/>
              <w:rPr>
                <w:rFonts w:eastAsia="Calibri" w:cs="Calibri"/>
                <w:b/>
                <w:color w:val="000000"/>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3CB088C6" w14:textId="77777777" w:rsidR="00677C53" w:rsidRPr="009832FC" w:rsidRDefault="00677C53"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5B7BF02A" w14:textId="77777777" w:rsidR="00677C53" w:rsidRPr="009832FC" w:rsidRDefault="00677C53"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3CB96C1A" w14:textId="77777777" w:rsidR="00677C53" w:rsidRPr="009832FC" w:rsidRDefault="00677C53" w:rsidP="009832FC">
            <w:pPr>
              <w:spacing w:before="0" w:after="0"/>
              <w:rPr>
                <w:rFonts w:eastAsia="Calibri" w:cs="Calibri"/>
                <w:color w:val="FFFFFF"/>
                <w:sz w:val="18"/>
                <w:szCs w:val="24"/>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3074EA0D" w14:textId="77777777" w:rsidR="00677C53" w:rsidRPr="009832FC" w:rsidRDefault="00677C53" w:rsidP="009832FC">
            <w:pPr>
              <w:spacing w:before="0" w:after="0"/>
              <w:rPr>
                <w:rFonts w:eastAsia="Calibri" w:cs="Calibri"/>
                <w:color w:val="FFFFFF"/>
                <w:sz w:val="18"/>
                <w:szCs w:val="24"/>
                <w:lang w:eastAsia="en-AU"/>
              </w:rPr>
            </w:pPr>
          </w:p>
        </w:tc>
        <w:tc>
          <w:tcPr>
            <w:tcW w:w="943" w:type="dxa"/>
            <w:tcBorders>
              <w:top w:val="nil"/>
              <w:left w:val="nil"/>
              <w:bottom w:val="nil"/>
              <w:right w:val="nil"/>
              <w:tl2br w:val="nil"/>
              <w:tr2bl w:val="nil"/>
            </w:tcBorders>
            <w:shd w:val="clear" w:color="auto" w:fill="auto"/>
            <w:noWrap/>
            <w:tcMar>
              <w:left w:w="0" w:type="dxa"/>
              <w:right w:w="0" w:type="dxa"/>
            </w:tcMar>
            <w:vAlign w:val="bottom"/>
          </w:tcPr>
          <w:p w14:paraId="1043CEF1" w14:textId="77777777" w:rsidR="00677C53" w:rsidRPr="009832FC" w:rsidRDefault="00677C53" w:rsidP="009832FC">
            <w:pPr>
              <w:spacing w:before="0" w:after="0"/>
              <w:rPr>
                <w:rFonts w:eastAsia="Calibri" w:cs="Calibri"/>
                <w:color w:val="FFFFFF"/>
                <w:sz w:val="18"/>
                <w:szCs w:val="24"/>
                <w:lang w:eastAsia="en-AU"/>
              </w:rPr>
            </w:pPr>
          </w:p>
        </w:tc>
      </w:tr>
      <w:tr w:rsidR="009832FC" w:rsidRPr="009832FC" w14:paraId="4FB02A7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vAlign w:val="bottom"/>
          </w:tcPr>
          <w:p w14:paraId="1C0EA920" w14:textId="77777777" w:rsidR="009832FC" w:rsidRPr="009832FC" w:rsidRDefault="009832FC" w:rsidP="009832FC">
            <w:pPr>
              <w:spacing w:before="0" w:after="0"/>
              <w:rPr>
                <w:rFonts w:eastAsia="Calibri" w:cs="Calibri"/>
                <w:b/>
                <w:color w:val="000000"/>
                <w:sz w:val="18"/>
                <w:szCs w:val="24"/>
                <w:u w:val="single"/>
                <w:lang w:eastAsia="en-AU"/>
              </w:rPr>
            </w:pPr>
            <w:r w:rsidRPr="009832FC">
              <w:rPr>
                <w:rFonts w:eastAsia="Calibri" w:cs="Calibri"/>
                <w:color w:val="000000"/>
                <w:sz w:val="18"/>
                <w:szCs w:val="24"/>
                <w:u w:val="single"/>
                <w:lang w:eastAsia="en-AU"/>
              </w:rPr>
              <w:t>Commonwealth Grant</w:t>
            </w: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797AE3DF" w14:textId="77777777" w:rsidR="009832FC" w:rsidRPr="009832FC" w:rsidRDefault="009832FC" w:rsidP="009832FC">
            <w:pPr>
              <w:spacing w:before="0" w:after="0"/>
              <w:rPr>
                <w:rFonts w:eastAsia="Calibri" w:cs="Calibri"/>
                <w:color w:val="FFFFFF"/>
                <w:sz w:val="18"/>
                <w:szCs w:val="24"/>
                <w:u w:val="single"/>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7A84EB80" w14:textId="77777777" w:rsidR="009832FC" w:rsidRPr="009832FC" w:rsidRDefault="009832FC" w:rsidP="009832FC">
            <w:pPr>
              <w:spacing w:before="0" w:after="0"/>
              <w:rPr>
                <w:rFonts w:eastAsia="Calibri" w:cs="Calibri"/>
                <w:color w:val="FFFFFF"/>
                <w:sz w:val="18"/>
                <w:szCs w:val="24"/>
                <w:u w:val="single"/>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584B99B1" w14:textId="77777777" w:rsidR="009832FC" w:rsidRPr="009832FC" w:rsidRDefault="009832FC" w:rsidP="009832FC">
            <w:pPr>
              <w:spacing w:before="0" w:after="0"/>
              <w:rPr>
                <w:rFonts w:eastAsia="Calibri" w:cs="Calibri"/>
                <w:color w:val="FFFFFF"/>
                <w:sz w:val="18"/>
                <w:szCs w:val="24"/>
                <w:u w:val="single"/>
                <w:lang w:eastAsia="en-AU"/>
              </w:rPr>
            </w:pPr>
          </w:p>
        </w:tc>
        <w:tc>
          <w:tcPr>
            <w:tcW w:w="942" w:type="dxa"/>
            <w:tcBorders>
              <w:top w:val="nil"/>
              <w:left w:val="nil"/>
              <w:bottom w:val="nil"/>
              <w:right w:val="nil"/>
              <w:tl2br w:val="nil"/>
              <w:tr2bl w:val="nil"/>
            </w:tcBorders>
            <w:shd w:val="clear" w:color="auto" w:fill="auto"/>
            <w:noWrap/>
            <w:tcMar>
              <w:left w:w="0" w:type="dxa"/>
              <w:right w:w="0" w:type="dxa"/>
            </w:tcMar>
            <w:vAlign w:val="bottom"/>
          </w:tcPr>
          <w:p w14:paraId="6753EF71" w14:textId="77777777" w:rsidR="009832FC" w:rsidRPr="009832FC" w:rsidRDefault="009832FC" w:rsidP="009832FC">
            <w:pPr>
              <w:spacing w:before="0" w:after="0"/>
              <w:rPr>
                <w:rFonts w:eastAsia="Calibri" w:cs="Calibri"/>
                <w:color w:val="FFFFFF"/>
                <w:sz w:val="18"/>
                <w:szCs w:val="24"/>
                <w:u w:val="single"/>
                <w:lang w:eastAsia="en-AU"/>
              </w:rPr>
            </w:pPr>
          </w:p>
        </w:tc>
        <w:tc>
          <w:tcPr>
            <w:tcW w:w="943" w:type="dxa"/>
            <w:tcBorders>
              <w:top w:val="nil"/>
              <w:left w:val="nil"/>
              <w:bottom w:val="nil"/>
              <w:right w:val="nil"/>
              <w:tl2br w:val="nil"/>
              <w:tr2bl w:val="nil"/>
            </w:tcBorders>
            <w:shd w:val="clear" w:color="auto" w:fill="auto"/>
            <w:noWrap/>
            <w:tcMar>
              <w:left w:w="0" w:type="dxa"/>
              <w:right w:w="0" w:type="dxa"/>
            </w:tcMar>
            <w:vAlign w:val="bottom"/>
          </w:tcPr>
          <w:p w14:paraId="1A15C195" w14:textId="77777777" w:rsidR="009832FC" w:rsidRPr="009832FC" w:rsidRDefault="009832FC" w:rsidP="009832FC">
            <w:pPr>
              <w:spacing w:before="0" w:after="0"/>
              <w:rPr>
                <w:rFonts w:eastAsia="Calibri" w:cs="Calibri"/>
                <w:color w:val="FFFFFF"/>
                <w:sz w:val="18"/>
                <w:szCs w:val="24"/>
                <w:u w:val="single"/>
                <w:lang w:eastAsia="en-AU"/>
              </w:rPr>
            </w:pPr>
          </w:p>
        </w:tc>
      </w:tr>
      <w:tr w:rsidR="009832FC" w:rsidRPr="009832FC" w14:paraId="2C3EFCE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070" w:type="dxa"/>
            <w:tcBorders>
              <w:top w:val="nil"/>
              <w:left w:val="nil"/>
              <w:bottom w:val="nil"/>
              <w:right w:val="nil"/>
              <w:tl2br w:val="nil"/>
              <w:tr2bl w:val="nil"/>
            </w:tcBorders>
            <w:shd w:val="clear" w:color="auto" w:fill="auto"/>
            <w:tcMar>
              <w:left w:w="101" w:type="dxa"/>
              <w:right w:w="101" w:type="dxa"/>
            </w:tcMar>
          </w:tcPr>
          <w:p w14:paraId="345955E5"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Schedule Stillbirth Autopsies and Investigations</w:t>
            </w:r>
          </w:p>
        </w:tc>
        <w:tc>
          <w:tcPr>
            <w:tcW w:w="942" w:type="dxa"/>
            <w:tcBorders>
              <w:top w:val="nil"/>
              <w:left w:val="nil"/>
              <w:bottom w:val="nil"/>
              <w:right w:val="nil"/>
              <w:tl2br w:val="nil"/>
              <w:tr2bl w:val="nil"/>
            </w:tcBorders>
            <w:shd w:val="clear" w:color="auto" w:fill="auto"/>
            <w:noWrap/>
            <w:tcMar>
              <w:left w:w="101" w:type="dxa"/>
              <w:right w:w="101" w:type="dxa"/>
            </w:tcMar>
          </w:tcPr>
          <w:p w14:paraId="6240FD0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72387A7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83</w:t>
            </w:r>
          </w:p>
        </w:tc>
        <w:tc>
          <w:tcPr>
            <w:tcW w:w="942" w:type="dxa"/>
            <w:tcBorders>
              <w:top w:val="nil"/>
              <w:left w:val="nil"/>
              <w:bottom w:val="nil"/>
              <w:right w:val="nil"/>
              <w:tl2br w:val="nil"/>
              <w:tr2bl w:val="nil"/>
            </w:tcBorders>
            <w:shd w:val="clear" w:color="auto" w:fill="auto"/>
            <w:noWrap/>
            <w:tcMar>
              <w:left w:w="101" w:type="dxa"/>
              <w:right w:w="101" w:type="dxa"/>
            </w:tcMar>
          </w:tcPr>
          <w:p w14:paraId="7BBE2D0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49D20F4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1AA0F76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4F45941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0778503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Specialist Dementia Program</w:t>
            </w:r>
          </w:p>
        </w:tc>
        <w:tc>
          <w:tcPr>
            <w:tcW w:w="942" w:type="dxa"/>
            <w:tcBorders>
              <w:top w:val="nil"/>
              <w:left w:val="nil"/>
              <w:bottom w:val="nil"/>
              <w:right w:val="nil"/>
              <w:tl2br w:val="nil"/>
              <w:tr2bl w:val="nil"/>
            </w:tcBorders>
            <w:shd w:val="clear" w:color="auto" w:fill="auto"/>
            <w:noWrap/>
            <w:tcMar>
              <w:left w:w="101" w:type="dxa"/>
              <w:right w:w="101" w:type="dxa"/>
            </w:tcMar>
          </w:tcPr>
          <w:p w14:paraId="2DAAB10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0855A82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5921388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-268</w:t>
            </w:r>
          </w:p>
        </w:tc>
        <w:tc>
          <w:tcPr>
            <w:tcW w:w="942" w:type="dxa"/>
            <w:tcBorders>
              <w:top w:val="nil"/>
              <w:left w:val="nil"/>
              <w:bottom w:val="nil"/>
              <w:right w:val="nil"/>
              <w:tl2br w:val="nil"/>
              <w:tr2bl w:val="nil"/>
            </w:tcBorders>
            <w:shd w:val="clear" w:color="auto" w:fill="auto"/>
            <w:noWrap/>
            <w:tcMar>
              <w:left w:w="101" w:type="dxa"/>
              <w:right w:w="101" w:type="dxa"/>
            </w:tcMar>
          </w:tcPr>
          <w:p w14:paraId="6A83B5F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59E8B3C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bl>
    <w:p w14:paraId="0B1FAAC2" w14:textId="77777777" w:rsidR="009832FC" w:rsidRPr="009832FC" w:rsidRDefault="009832FC" w:rsidP="009832FC">
      <w:pPr>
        <w:keepNext/>
        <w:pBdr>
          <w:top w:val="nil"/>
          <w:left w:val="nil"/>
          <w:bottom w:val="nil"/>
          <w:right w:val="nil"/>
          <w:between w:val="nil"/>
          <w:bar w:val="nil"/>
        </w:pBdr>
        <w:spacing w:before="240"/>
        <w:rPr>
          <w:b/>
          <w:bCs/>
          <w:color w:val="000000"/>
          <w:sz w:val="22"/>
          <w:szCs w:val="18"/>
          <w:bdr w:val="nil"/>
        </w:rPr>
      </w:pPr>
      <w:r w:rsidRPr="009832FC">
        <w:rPr>
          <w:b/>
          <w:bCs/>
          <w:color w:val="000000"/>
          <w:sz w:val="22"/>
          <w:szCs w:val="18"/>
          <w:bdr w:val="nil"/>
        </w:rPr>
        <w:lastRenderedPageBreak/>
        <w:t>Table 4: Changes to appropriation –</w:t>
      </w:r>
      <w:r w:rsidRPr="009832FC">
        <w:rPr>
          <w:b/>
          <w:bCs/>
          <w:color w:val="000000"/>
          <w:sz w:val="22"/>
          <w:bdr w:val="nil"/>
        </w:rPr>
        <w:t xml:space="preserve"> </w:t>
      </w:r>
      <w:r w:rsidRPr="009832FC">
        <w:rPr>
          <w:b/>
          <w:bCs/>
          <w:color w:val="000000"/>
          <w:sz w:val="22"/>
          <w:szCs w:val="18"/>
          <w:bdr w:val="nil"/>
        </w:rPr>
        <w:t>Controlled Recurrent Payments (continued)</w:t>
      </w:r>
    </w:p>
    <w:tbl>
      <w:tblPr>
        <w:tblStyle w:val="CDMRange1"/>
        <w:tblW w:w="9781" w:type="dxa"/>
        <w:tblLayout w:type="fixed"/>
        <w:tblLook w:val="0600" w:firstRow="0" w:lastRow="0" w:firstColumn="0" w:lastColumn="0" w:noHBand="1" w:noVBand="1"/>
      </w:tblPr>
      <w:tblGrid>
        <w:gridCol w:w="5070"/>
        <w:gridCol w:w="942"/>
        <w:gridCol w:w="942"/>
        <w:gridCol w:w="942"/>
        <w:gridCol w:w="942"/>
        <w:gridCol w:w="943"/>
      </w:tblGrid>
      <w:tr w:rsidR="009832FC" w:rsidRPr="009832FC" w14:paraId="7B2654E8" w14:textId="77777777" w:rsidTr="00EB585F">
        <w:trPr>
          <w:trHeight w:val="945"/>
        </w:trPr>
        <w:tc>
          <w:tcPr>
            <w:tcW w:w="507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8E695BD"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10B558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2020-21 Interim Outcome</w:t>
            </w:r>
          </w:p>
          <w:p w14:paraId="4ADC8B5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94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9DA28A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2021-22 Budget</w:t>
            </w:r>
          </w:p>
          <w:p w14:paraId="115744CD" w14:textId="77777777" w:rsidR="009832FC" w:rsidRPr="009832FC" w:rsidRDefault="009832FC" w:rsidP="009832FC">
            <w:pPr>
              <w:spacing w:before="0" w:after="0"/>
              <w:jc w:val="right"/>
              <w:rPr>
                <w:rFonts w:eastAsia="Calibri" w:cs="Calibri"/>
                <w:b/>
                <w:color w:val="000000"/>
                <w:sz w:val="18"/>
                <w:szCs w:val="24"/>
                <w:lang w:eastAsia="en-AU"/>
              </w:rPr>
            </w:pPr>
          </w:p>
          <w:p w14:paraId="5BF718A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94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17AAB7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2022-23 Estimate</w:t>
            </w:r>
          </w:p>
          <w:p w14:paraId="4A11EA46" w14:textId="77777777" w:rsidR="009832FC" w:rsidRPr="009832FC" w:rsidRDefault="009832FC" w:rsidP="009832FC">
            <w:pPr>
              <w:spacing w:before="0" w:after="0"/>
              <w:jc w:val="right"/>
              <w:rPr>
                <w:rFonts w:eastAsia="Calibri" w:cs="Calibri"/>
                <w:b/>
                <w:color w:val="000000"/>
                <w:sz w:val="18"/>
                <w:szCs w:val="24"/>
                <w:lang w:eastAsia="en-AU"/>
              </w:rPr>
            </w:pPr>
          </w:p>
          <w:p w14:paraId="2C554FA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94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FDE8E4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2023-24 Estimate</w:t>
            </w:r>
          </w:p>
          <w:p w14:paraId="7805A30B" w14:textId="77777777" w:rsidR="009832FC" w:rsidRPr="009832FC" w:rsidRDefault="009832FC" w:rsidP="009832FC">
            <w:pPr>
              <w:spacing w:before="0" w:after="0"/>
              <w:jc w:val="right"/>
              <w:rPr>
                <w:rFonts w:eastAsia="Calibri" w:cs="Calibri"/>
                <w:b/>
                <w:color w:val="000000"/>
                <w:sz w:val="18"/>
                <w:szCs w:val="24"/>
                <w:lang w:eastAsia="en-AU"/>
              </w:rPr>
            </w:pPr>
          </w:p>
          <w:p w14:paraId="0B4CC7F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943"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BA143C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2024-25 Estimate</w:t>
            </w:r>
          </w:p>
          <w:p w14:paraId="14B2D1DD" w14:textId="77777777" w:rsidR="009832FC" w:rsidRPr="009832FC" w:rsidRDefault="009832FC" w:rsidP="009832FC">
            <w:pPr>
              <w:spacing w:before="0" w:after="0"/>
              <w:jc w:val="right"/>
              <w:rPr>
                <w:rFonts w:eastAsia="Calibri" w:cs="Calibri"/>
                <w:b/>
                <w:color w:val="000000"/>
                <w:sz w:val="18"/>
                <w:szCs w:val="24"/>
                <w:lang w:eastAsia="en-AU"/>
              </w:rPr>
            </w:pPr>
          </w:p>
          <w:p w14:paraId="2B29BC3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r>
      <w:tr w:rsidR="009832FC" w:rsidRPr="009832FC" w14:paraId="471B02E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08943AB3"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399CA697"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49AFC639"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77544A9A"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77BEE43D" w14:textId="77777777" w:rsidR="009832FC" w:rsidRPr="009832FC" w:rsidRDefault="009832FC" w:rsidP="009832FC">
            <w:pPr>
              <w:spacing w:before="0" w:after="0"/>
              <w:jc w:val="right"/>
              <w:rPr>
                <w:rFonts w:eastAsia="Calibri" w:cs="Calibri"/>
                <w:color w:val="000000"/>
                <w:sz w:val="18"/>
                <w:szCs w:val="24"/>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7146E062" w14:textId="77777777" w:rsidR="009832FC" w:rsidRPr="009832FC" w:rsidRDefault="009832FC" w:rsidP="009832FC">
            <w:pPr>
              <w:spacing w:before="0" w:after="0"/>
              <w:jc w:val="right"/>
              <w:rPr>
                <w:rFonts w:eastAsia="Calibri" w:cs="Calibri"/>
                <w:color w:val="000000"/>
                <w:sz w:val="18"/>
                <w:szCs w:val="24"/>
                <w:lang w:eastAsia="en-AU"/>
              </w:rPr>
            </w:pPr>
          </w:p>
        </w:tc>
      </w:tr>
      <w:tr w:rsidR="009832FC" w:rsidRPr="009832FC" w14:paraId="07D74B6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724BB9D3" w14:textId="77777777" w:rsidR="009832FC" w:rsidRPr="009832FC" w:rsidRDefault="009832FC" w:rsidP="009832FC">
            <w:pPr>
              <w:spacing w:before="0" w:after="0"/>
              <w:rPr>
                <w:rFonts w:eastAsia="Calibri" w:cs="Calibri"/>
                <w:color w:val="000000"/>
                <w:sz w:val="18"/>
                <w:szCs w:val="24"/>
                <w:u w:val="single"/>
                <w:lang w:eastAsia="en-AU"/>
              </w:rPr>
            </w:pPr>
            <w:r w:rsidRPr="009832FC">
              <w:rPr>
                <w:rFonts w:eastAsia="Calibri" w:cs="Calibri"/>
                <w:color w:val="000000"/>
                <w:sz w:val="18"/>
                <w:szCs w:val="24"/>
                <w:u w:val="single"/>
                <w:lang w:eastAsia="en-AU"/>
              </w:rPr>
              <w:t>Transfers</w:t>
            </w:r>
          </w:p>
        </w:tc>
        <w:tc>
          <w:tcPr>
            <w:tcW w:w="942" w:type="dxa"/>
            <w:tcBorders>
              <w:top w:val="nil"/>
              <w:left w:val="nil"/>
              <w:bottom w:val="nil"/>
              <w:right w:val="nil"/>
              <w:tl2br w:val="nil"/>
              <w:tr2bl w:val="nil"/>
            </w:tcBorders>
            <w:shd w:val="clear" w:color="auto" w:fill="auto"/>
            <w:noWrap/>
            <w:tcMar>
              <w:left w:w="101" w:type="dxa"/>
              <w:right w:w="101" w:type="dxa"/>
            </w:tcMar>
          </w:tcPr>
          <w:p w14:paraId="5E24C64B"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43D801CA"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50C9745B"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5B8195F5" w14:textId="77777777" w:rsidR="009832FC" w:rsidRPr="009832FC" w:rsidRDefault="009832FC" w:rsidP="009832FC">
            <w:pPr>
              <w:spacing w:before="0" w:after="0"/>
              <w:jc w:val="right"/>
              <w:rPr>
                <w:rFonts w:eastAsia="Calibri" w:cs="Calibri"/>
                <w:color w:val="000000"/>
                <w:sz w:val="18"/>
                <w:szCs w:val="24"/>
                <w:u w:val="single"/>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1562BC1C" w14:textId="77777777" w:rsidR="009832FC" w:rsidRPr="009832FC" w:rsidRDefault="009832FC" w:rsidP="009832FC">
            <w:pPr>
              <w:spacing w:before="0" w:after="0"/>
              <w:jc w:val="right"/>
              <w:rPr>
                <w:rFonts w:eastAsia="Calibri" w:cs="Calibri"/>
                <w:color w:val="000000"/>
                <w:sz w:val="18"/>
                <w:szCs w:val="24"/>
                <w:u w:val="single"/>
                <w:lang w:eastAsia="en-AU"/>
              </w:rPr>
            </w:pPr>
          </w:p>
        </w:tc>
      </w:tr>
      <w:tr w:rsidR="009832FC" w:rsidRPr="009832FC" w14:paraId="2CF9D79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70" w:type="dxa"/>
            <w:tcBorders>
              <w:top w:val="nil"/>
              <w:left w:val="nil"/>
              <w:bottom w:val="nil"/>
              <w:right w:val="nil"/>
              <w:tl2br w:val="nil"/>
              <w:tr2bl w:val="nil"/>
            </w:tcBorders>
            <w:shd w:val="clear" w:color="auto" w:fill="auto"/>
            <w:tcMar>
              <w:left w:w="101" w:type="dxa"/>
              <w:right w:w="101" w:type="dxa"/>
            </w:tcMar>
          </w:tcPr>
          <w:p w14:paraId="6975527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Care Closer to Home transfer to AHD</w:t>
            </w:r>
          </w:p>
        </w:tc>
        <w:tc>
          <w:tcPr>
            <w:tcW w:w="942" w:type="dxa"/>
            <w:tcBorders>
              <w:top w:val="nil"/>
              <w:left w:val="nil"/>
              <w:bottom w:val="nil"/>
              <w:right w:val="nil"/>
              <w:tl2br w:val="nil"/>
              <w:tr2bl w:val="nil"/>
            </w:tcBorders>
            <w:shd w:val="clear" w:color="auto" w:fill="auto"/>
            <w:noWrap/>
            <w:tcMar>
              <w:left w:w="101" w:type="dxa"/>
              <w:right w:w="101" w:type="dxa"/>
            </w:tcMar>
          </w:tcPr>
          <w:p w14:paraId="54EA609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3E88A99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-153</w:t>
            </w:r>
          </w:p>
        </w:tc>
        <w:tc>
          <w:tcPr>
            <w:tcW w:w="942" w:type="dxa"/>
            <w:tcBorders>
              <w:top w:val="nil"/>
              <w:left w:val="nil"/>
              <w:bottom w:val="nil"/>
              <w:right w:val="nil"/>
              <w:tl2br w:val="nil"/>
              <w:tr2bl w:val="nil"/>
            </w:tcBorders>
            <w:shd w:val="clear" w:color="auto" w:fill="auto"/>
            <w:noWrap/>
            <w:tcMar>
              <w:left w:w="101" w:type="dxa"/>
              <w:right w:w="101" w:type="dxa"/>
            </w:tcMar>
          </w:tcPr>
          <w:p w14:paraId="1BDF082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5648BB8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3F4DF69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1962C02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07CFD848"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Detention Exit Community Outreach to ACTHD</w:t>
            </w:r>
          </w:p>
        </w:tc>
        <w:tc>
          <w:tcPr>
            <w:tcW w:w="942" w:type="dxa"/>
            <w:tcBorders>
              <w:top w:val="nil"/>
              <w:left w:val="nil"/>
              <w:bottom w:val="nil"/>
              <w:right w:val="nil"/>
              <w:tl2br w:val="nil"/>
              <w:tr2bl w:val="nil"/>
            </w:tcBorders>
            <w:shd w:val="clear" w:color="auto" w:fill="auto"/>
            <w:noWrap/>
            <w:tcMar>
              <w:left w:w="101" w:type="dxa"/>
              <w:right w:w="101" w:type="dxa"/>
            </w:tcMar>
          </w:tcPr>
          <w:p w14:paraId="4BA8E64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2996D40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-275</w:t>
            </w:r>
          </w:p>
        </w:tc>
        <w:tc>
          <w:tcPr>
            <w:tcW w:w="942" w:type="dxa"/>
            <w:tcBorders>
              <w:top w:val="nil"/>
              <w:left w:val="nil"/>
              <w:bottom w:val="nil"/>
              <w:right w:val="nil"/>
              <w:tl2br w:val="nil"/>
              <w:tr2bl w:val="nil"/>
            </w:tcBorders>
            <w:shd w:val="clear" w:color="auto" w:fill="auto"/>
            <w:noWrap/>
            <w:tcMar>
              <w:left w:w="101" w:type="dxa"/>
              <w:right w:w="101" w:type="dxa"/>
            </w:tcMar>
          </w:tcPr>
          <w:p w14:paraId="1A51377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-282</w:t>
            </w:r>
          </w:p>
        </w:tc>
        <w:tc>
          <w:tcPr>
            <w:tcW w:w="942" w:type="dxa"/>
            <w:tcBorders>
              <w:top w:val="nil"/>
              <w:left w:val="nil"/>
              <w:bottom w:val="nil"/>
              <w:right w:val="nil"/>
              <w:tl2br w:val="nil"/>
              <w:tr2bl w:val="nil"/>
            </w:tcBorders>
            <w:shd w:val="clear" w:color="auto" w:fill="auto"/>
            <w:noWrap/>
            <w:tcMar>
              <w:left w:w="101" w:type="dxa"/>
              <w:right w:w="101" w:type="dxa"/>
            </w:tcMar>
          </w:tcPr>
          <w:p w14:paraId="38CA5E3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-289</w:t>
            </w:r>
          </w:p>
        </w:tc>
        <w:tc>
          <w:tcPr>
            <w:tcW w:w="943" w:type="dxa"/>
            <w:tcBorders>
              <w:top w:val="nil"/>
              <w:left w:val="nil"/>
              <w:bottom w:val="nil"/>
              <w:right w:val="nil"/>
              <w:tl2br w:val="nil"/>
              <w:tr2bl w:val="nil"/>
            </w:tcBorders>
            <w:shd w:val="clear" w:color="auto" w:fill="auto"/>
            <w:noWrap/>
            <w:tcMar>
              <w:left w:w="101" w:type="dxa"/>
              <w:right w:w="101" w:type="dxa"/>
            </w:tcMar>
          </w:tcPr>
          <w:p w14:paraId="468C8F5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-296</w:t>
            </w:r>
          </w:p>
        </w:tc>
      </w:tr>
      <w:tr w:rsidR="009832FC" w:rsidRPr="009832FC" w14:paraId="46840DB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7C72C566" w14:textId="4BD7E525" w:rsidR="009832FC" w:rsidRPr="009832FC" w:rsidRDefault="00F54F3E"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Guan</w:t>
            </w:r>
            <w:r w:rsidR="009832FC" w:rsidRPr="009832FC">
              <w:rPr>
                <w:rFonts w:eastAsia="Calibri" w:cs="Calibri"/>
                <w:color w:val="000000"/>
                <w:sz w:val="18"/>
                <w:szCs w:val="24"/>
                <w:lang w:eastAsia="en-AU"/>
              </w:rPr>
              <w:t xml:space="preserve"> Gulwan Nurse funding to ACTHD</w:t>
            </w:r>
          </w:p>
        </w:tc>
        <w:tc>
          <w:tcPr>
            <w:tcW w:w="942" w:type="dxa"/>
            <w:tcBorders>
              <w:top w:val="nil"/>
              <w:left w:val="nil"/>
              <w:bottom w:val="nil"/>
              <w:right w:val="nil"/>
              <w:tl2br w:val="nil"/>
              <w:tr2bl w:val="nil"/>
            </w:tcBorders>
            <w:shd w:val="clear" w:color="auto" w:fill="auto"/>
            <w:noWrap/>
            <w:tcMar>
              <w:left w:w="101" w:type="dxa"/>
              <w:right w:w="101" w:type="dxa"/>
            </w:tcMar>
          </w:tcPr>
          <w:p w14:paraId="5A0BD87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137BEAD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-180</w:t>
            </w:r>
          </w:p>
        </w:tc>
        <w:tc>
          <w:tcPr>
            <w:tcW w:w="942" w:type="dxa"/>
            <w:tcBorders>
              <w:top w:val="nil"/>
              <w:left w:val="nil"/>
              <w:bottom w:val="nil"/>
              <w:right w:val="nil"/>
              <w:tl2br w:val="nil"/>
              <w:tr2bl w:val="nil"/>
            </w:tcBorders>
            <w:shd w:val="clear" w:color="auto" w:fill="auto"/>
            <w:noWrap/>
            <w:tcMar>
              <w:left w:w="101" w:type="dxa"/>
              <w:right w:w="101" w:type="dxa"/>
            </w:tcMar>
          </w:tcPr>
          <w:p w14:paraId="13EC973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-180</w:t>
            </w:r>
          </w:p>
        </w:tc>
        <w:tc>
          <w:tcPr>
            <w:tcW w:w="942" w:type="dxa"/>
            <w:tcBorders>
              <w:top w:val="nil"/>
              <w:left w:val="nil"/>
              <w:bottom w:val="nil"/>
              <w:right w:val="nil"/>
              <w:tl2br w:val="nil"/>
              <w:tr2bl w:val="nil"/>
            </w:tcBorders>
            <w:shd w:val="clear" w:color="auto" w:fill="auto"/>
            <w:noWrap/>
            <w:tcMar>
              <w:left w:w="101" w:type="dxa"/>
              <w:right w:w="101" w:type="dxa"/>
            </w:tcMar>
          </w:tcPr>
          <w:p w14:paraId="7670F3E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-180</w:t>
            </w:r>
          </w:p>
        </w:tc>
        <w:tc>
          <w:tcPr>
            <w:tcW w:w="943" w:type="dxa"/>
            <w:tcBorders>
              <w:top w:val="nil"/>
              <w:left w:val="nil"/>
              <w:bottom w:val="nil"/>
              <w:right w:val="nil"/>
              <w:tl2br w:val="nil"/>
              <w:tr2bl w:val="nil"/>
            </w:tcBorders>
            <w:shd w:val="clear" w:color="auto" w:fill="auto"/>
            <w:noWrap/>
            <w:tcMar>
              <w:left w:w="101" w:type="dxa"/>
              <w:right w:w="101" w:type="dxa"/>
            </w:tcMar>
          </w:tcPr>
          <w:p w14:paraId="664A2BE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-184</w:t>
            </w:r>
          </w:p>
        </w:tc>
      </w:tr>
      <w:tr w:rsidR="009832FC" w:rsidRPr="009832FC" w14:paraId="61CFB5C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530F37E4"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Professional Standards Unit to CMTEDD</w:t>
            </w:r>
          </w:p>
        </w:tc>
        <w:tc>
          <w:tcPr>
            <w:tcW w:w="942" w:type="dxa"/>
            <w:tcBorders>
              <w:top w:val="nil"/>
              <w:left w:val="nil"/>
              <w:bottom w:val="nil"/>
              <w:right w:val="nil"/>
              <w:tl2br w:val="nil"/>
              <w:tr2bl w:val="nil"/>
            </w:tcBorders>
            <w:shd w:val="clear" w:color="auto" w:fill="auto"/>
            <w:noWrap/>
            <w:tcMar>
              <w:left w:w="101" w:type="dxa"/>
              <w:right w:w="101" w:type="dxa"/>
            </w:tcMar>
          </w:tcPr>
          <w:p w14:paraId="09DFFCD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70F2D9B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-907</w:t>
            </w:r>
          </w:p>
        </w:tc>
        <w:tc>
          <w:tcPr>
            <w:tcW w:w="942" w:type="dxa"/>
            <w:tcBorders>
              <w:top w:val="nil"/>
              <w:left w:val="nil"/>
              <w:bottom w:val="nil"/>
              <w:right w:val="nil"/>
              <w:tl2br w:val="nil"/>
              <w:tr2bl w:val="nil"/>
            </w:tcBorders>
            <w:shd w:val="clear" w:color="auto" w:fill="auto"/>
            <w:noWrap/>
            <w:tcMar>
              <w:left w:w="101" w:type="dxa"/>
              <w:right w:w="101" w:type="dxa"/>
            </w:tcMar>
          </w:tcPr>
          <w:p w14:paraId="2F96D14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-922</w:t>
            </w:r>
          </w:p>
        </w:tc>
        <w:tc>
          <w:tcPr>
            <w:tcW w:w="942" w:type="dxa"/>
            <w:tcBorders>
              <w:top w:val="nil"/>
              <w:left w:val="nil"/>
              <w:bottom w:val="nil"/>
              <w:right w:val="nil"/>
              <w:tl2br w:val="nil"/>
              <w:tr2bl w:val="nil"/>
            </w:tcBorders>
            <w:shd w:val="clear" w:color="auto" w:fill="auto"/>
            <w:noWrap/>
            <w:tcMar>
              <w:left w:w="101" w:type="dxa"/>
              <w:right w:w="101" w:type="dxa"/>
            </w:tcMar>
          </w:tcPr>
          <w:p w14:paraId="47E7EA4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-938</w:t>
            </w:r>
          </w:p>
        </w:tc>
        <w:tc>
          <w:tcPr>
            <w:tcW w:w="943" w:type="dxa"/>
            <w:tcBorders>
              <w:top w:val="nil"/>
              <w:left w:val="nil"/>
              <w:bottom w:val="nil"/>
              <w:right w:val="nil"/>
              <w:tl2br w:val="nil"/>
              <w:tr2bl w:val="nil"/>
            </w:tcBorders>
            <w:shd w:val="clear" w:color="auto" w:fill="auto"/>
            <w:noWrap/>
            <w:tcMar>
              <w:left w:w="101" w:type="dxa"/>
              <w:right w:w="101" w:type="dxa"/>
            </w:tcMar>
          </w:tcPr>
          <w:p w14:paraId="2714BE2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-955</w:t>
            </w:r>
          </w:p>
        </w:tc>
      </w:tr>
      <w:tr w:rsidR="009832FC" w:rsidRPr="009832FC" w14:paraId="0790573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787CBA46"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Winnunga Nurse funding to ACTHD</w:t>
            </w:r>
          </w:p>
        </w:tc>
        <w:tc>
          <w:tcPr>
            <w:tcW w:w="942" w:type="dxa"/>
            <w:tcBorders>
              <w:top w:val="nil"/>
              <w:left w:val="nil"/>
              <w:bottom w:val="nil"/>
              <w:right w:val="nil"/>
              <w:tl2br w:val="nil"/>
              <w:tr2bl w:val="nil"/>
            </w:tcBorders>
            <w:shd w:val="clear" w:color="auto" w:fill="auto"/>
            <w:noWrap/>
            <w:tcMar>
              <w:left w:w="101" w:type="dxa"/>
              <w:right w:w="101" w:type="dxa"/>
            </w:tcMar>
          </w:tcPr>
          <w:p w14:paraId="640317B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65B1FDA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-171</w:t>
            </w:r>
          </w:p>
        </w:tc>
        <w:tc>
          <w:tcPr>
            <w:tcW w:w="942" w:type="dxa"/>
            <w:tcBorders>
              <w:top w:val="nil"/>
              <w:left w:val="nil"/>
              <w:bottom w:val="nil"/>
              <w:right w:val="nil"/>
              <w:tl2br w:val="nil"/>
              <w:tr2bl w:val="nil"/>
            </w:tcBorders>
            <w:shd w:val="clear" w:color="auto" w:fill="auto"/>
            <w:noWrap/>
            <w:tcMar>
              <w:left w:w="101" w:type="dxa"/>
              <w:right w:w="101" w:type="dxa"/>
            </w:tcMar>
          </w:tcPr>
          <w:p w14:paraId="785BF92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-173</w:t>
            </w:r>
          </w:p>
        </w:tc>
        <w:tc>
          <w:tcPr>
            <w:tcW w:w="942" w:type="dxa"/>
            <w:tcBorders>
              <w:top w:val="nil"/>
              <w:left w:val="nil"/>
              <w:bottom w:val="nil"/>
              <w:right w:val="nil"/>
              <w:tl2br w:val="nil"/>
              <w:tr2bl w:val="nil"/>
            </w:tcBorders>
            <w:shd w:val="clear" w:color="auto" w:fill="auto"/>
            <w:noWrap/>
            <w:tcMar>
              <w:left w:w="101" w:type="dxa"/>
              <w:right w:w="101" w:type="dxa"/>
            </w:tcMar>
          </w:tcPr>
          <w:p w14:paraId="7B71598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-175</w:t>
            </w:r>
          </w:p>
        </w:tc>
        <w:tc>
          <w:tcPr>
            <w:tcW w:w="943" w:type="dxa"/>
            <w:tcBorders>
              <w:top w:val="nil"/>
              <w:left w:val="nil"/>
              <w:bottom w:val="nil"/>
              <w:right w:val="nil"/>
              <w:tl2br w:val="nil"/>
              <w:tr2bl w:val="nil"/>
            </w:tcBorders>
            <w:shd w:val="clear" w:color="auto" w:fill="auto"/>
            <w:noWrap/>
            <w:tcMar>
              <w:left w:w="101" w:type="dxa"/>
              <w:right w:w="101" w:type="dxa"/>
            </w:tcMar>
          </w:tcPr>
          <w:p w14:paraId="46856C1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-178</w:t>
            </w:r>
          </w:p>
        </w:tc>
      </w:tr>
      <w:tr w:rsidR="009832FC" w:rsidRPr="009832FC" w14:paraId="6BC703C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476DCC6A"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5A47E1A3"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12A80FF8"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54796A32" w14:textId="77777777" w:rsidR="009832FC" w:rsidRPr="009832FC" w:rsidRDefault="009832FC" w:rsidP="009832FC">
            <w:pPr>
              <w:spacing w:before="0" w:after="0"/>
              <w:jc w:val="right"/>
              <w:rPr>
                <w:rFonts w:eastAsia="Calibri" w:cs="Calibri"/>
                <w:color w:val="000000"/>
                <w:sz w:val="18"/>
                <w:szCs w:val="24"/>
                <w:lang w:eastAsia="en-AU"/>
              </w:rPr>
            </w:pPr>
          </w:p>
        </w:tc>
        <w:tc>
          <w:tcPr>
            <w:tcW w:w="942" w:type="dxa"/>
            <w:tcBorders>
              <w:top w:val="nil"/>
              <w:left w:val="nil"/>
              <w:bottom w:val="nil"/>
              <w:right w:val="nil"/>
              <w:tl2br w:val="nil"/>
              <w:tr2bl w:val="nil"/>
            </w:tcBorders>
            <w:shd w:val="clear" w:color="auto" w:fill="auto"/>
            <w:noWrap/>
            <w:tcMar>
              <w:left w:w="101" w:type="dxa"/>
              <w:right w:w="101" w:type="dxa"/>
            </w:tcMar>
          </w:tcPr>
          <w:p w14:paraId="50EBD67B" w14:textId="77777777" w:rsidR="009832FC" w:rsidRPr="009832FC" w:rsidRDefault="009832FC" w:rsidP="009832FC">
            <w:pPr>
              <w:spacing w:before="0" w:after="0"/>
              <w:jc w:val="right"/>
              <w:rPr>
                <w:rFonts w:eastAsia="Calibri" w:cs="Calibri"/>
                <w:color w:val="000000"/>
                <w:sz w:val="18"/>
                <w:szCs w:val="24"/>
                <w:lang w:eastAsia="en-AU"/>
              </w:rPr>
            </w:pPr>
          </w:p>
        </w:tc>
        <w:tc>
          <w:tcPr>
            <w:tcW w:w="943" w:type="dxa"/>
            <w:tcBorders>
              <w:top w:val="nil"/>
              <w:left w:val="nil"/>
              <w:bottom w:val="nil"/>
              <w:right w:val="nil"/>
              <w:tl2br w:val="nil"/>
              <w:tr2bl w:val="nil"/>
            </w:tcBorders>
            <w:shd w:val="clear" w:color="auto" w:fill="auto"/>
            <w:noWrap/>
            <w:tcMar>
              <w:left w:w="101" w:type="dxa"/>
              <w:right w:w="101" w:type="dxa"/>
            </w:tcMar>
          </w:tcPr>
          <w:p w14:paraId="0290101E" w14:textId="77777777" w:rsidR="009832FC" w:rsidRPr="009832FC" w:rsidRDefault="009832FC" w:rsidP="009832FC">
            <w:pPr>
              <w:spacing w:before="0" w:after="0"/>
              <w:jc w:val="right"/>
              <w:rPr>
                <w:rFonts w:eastAsia="Calibri" w:cs="Calibri"/>
                <w:color w:val="000000"/>
                <w:sz w:val="18"/>
                <w:szCs w:val="24"/>
                <w:lang w:eastAsia="en-AU"/>
              </w:rPr>
            </w:pPr>
          </w:p>
        </w:tc>
      </w:tr>
      <w:tr w:rsidR="009832FC" w:rsidRPr="009832FC" w14:paraId="0FCB111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70" w:type="dxa"/>
            <w:tcBorders>
              <w:top w:val="nil"/>
              <w:left w:val="nil"/>
              <w:bottom w:val="nil"/>
              <w:right w:val="nil"/>
              <w:tl2br w:val="nil"/>
              <w:tr2bl w:val="nil"/>
            </w:tcBorders>
            <w:shd w:val="clear" w:color="auto" w:fill="auto"/>
            <w:tcMar>
              <w:left w:w="101" w:type="dxa"/>
              <w:right w:w="101" w:type="dxa"/>
            </w:tcMar>
          </w:tcPr>
          <w:p w14:paraId="4CE98C17"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Revised Funding - Health Innovation Fund</w:t>
            </w:r>
          </w:p>
        </w:tc>
        <w:tc>
          <w:tcPr>
            <w:tcW w:w="942" w:type="dxa"/>
            <w:tcBorders>
              <w:top w:val="nil"/>
              <w:left w:val="nil"/>
              <w:bottom w:val="nil"/>
              <w:right w:val="nil"/>
              <w:tl2br w:val="nil"/>
              <w:tr2bl w:val="nil"/>
            </w:tcBorders>
            <w:shd w:val="clear" w:color="auto" w:fill="auto"/>
            <w:noWrap/>
            <w:tcMar>
              <w:left w:w="101" w:type="dxa"/>
              <w:right w:w="101" w:type="dxa"/>
            </w:tcMar>
          </w:tcPr>
          <w:p w14:paraId="36B03D2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-838</w:t>
            </w:r>
          </w:p>
        </w:tc>
        <w:tc>
          <w:tcPr>
            <w:tcW w:w="942" w:type="dxa"/>
            <w:tcBorders>
              <w:top w:val="nil"/>
              <w:left w:val="nil"/>
              <w:bottom w:val="nil"/>
              <w:right w:val="nil"/>
              <w:tl2br w:val="nil"/>
              <w:tr2bl w:val="nil"/>
            </w:tcBorders>
            <w:shd w:val="clear" w:color="auto" w:fill="auto"/>
            <w:noWrap/>
            <w:tcMar>
              <w:left w:w="101" w:type="dxa"/>
              <w:right w:w="101" w:type="dxa"/>
            </w:tcMar>
          </w:tcPr>
          <w:p w14:paraId="2227B3A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600</w:t>
            </w:r>
          </w:p>
        </w:tc>
        <w:tc>
          <w:tcPr>
            <w:tcW w:w="942" w:type="dxa"/>
            <w:tcBorders>
              <w:top w:val="nil"/>
              <w:left w:val="nil"/>
              <w:bottom w:val="nil"/>
              <w:right w:val="nil"/>
              <w:tl2br w:val="nil"/>
              <w:tr2bl w:val="nil"/>
            </w:tcBorders>
            <w:shd w:val="clear" w:color="auto" w:fill="auto"/>
            <w:noWrap/>
            <w:tcMar>
              <w:left w:w="101" w:type="dxa"/>
              <w:right w:w="101" w:type="dxa"/>
            </w:tcMar>
          </w:tcPr>
          <w:p w14:paraId="6822D78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1BB2CD5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357CCCD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313590D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070" w:type="dxa"/>
            <w:tcBorders>
              <w:top w:val="nil"/>
              <w:left w:val="nil"/>
              <w:bottom w:val="nil"/>
              <w:right w:val="nil"/>
              <w:tl2br w:val="nil"/>
              <w:tr2bl w:val="nil"/>
            </w:tcBorders>
            <w:shd w:val="clear" w:color="auto" w:fill="auto"/>
            <w:tcMar>
              <w:left w:w="101" w:type="dxa"/>
              <w:right w:w="101" w:type="dxa"/>
            </w:tcMar>
          </w:tcPr>
          <w:p w14:paraId="7C5BC05F"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Revised Indexation Parameters</w:t>
            </w:r>
          </w:p>
        </w:tc>
        <w:tc>
          <w:tcPr>
            <w:tcW w:w="942" w:type="dxa"/>
            <w:tcBorders>
              <w:top w:val="nil"/>
              <w:left w:val="nil"/>
              <w:bottom w:val="nil"/>
              <w:right w:val="nil"/>
              <w:tl2br w:val="nil"/>
              <w:tr2bl w:val="nil"/>
            </w:tcBorders>
            <w:shd w:val="clear" w:color="auto" w:fill="auto"/>
            <w:noWrap/>
            <w:tcMar>
              <w:left w:w="101" w:type="dxa"/>
              <w:right w:w="101" w:type="dxa"/>
            </w:tcMar>
          </w:tcPr>
          <w:p w14:paraId="66F009F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21BB934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7,264</w:t>
            </w:r>
          </w:p>
        </w:tc>
        <w:tc>
          <w:tcPr>
            <w:tcW w:w="942" w:type="dxa"/>
            <w:tcBorders>
              <w:top w:val="nil"/>
              <w:left w:val="nil"/>
              <w:bottom w:val="nil"/>
              <w:right w:val="nil"/>
              <w:tl2br w:val="nil"/>
              <w:tr2bl w:val="nil"/>
            </w:tcBorders>
            <w:shd w:val="clear" w:color="auto" w:fill="auto"/>
            <w:noWrap/>
            <w:tcMar>
              <w:left w:w="101" w:type="dxa"/>
              <w:right w:w="101" w:type="dxa"/>
            </w:tcMar>
          </w:tcPr>
          <w:p w14:paraId="340D4A3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15,140</w:t>
            </w:r>
          </w:p>
        </w:tc>
        <w:tc>
          <w:tcPr>
            <w:tcW w:w="942" w:type="dxa"/>
            <w:tcBorders>
              <w:top w:val="nil"/>
              <w:left w:val="nil"/>
              <w:bottom w:val="nil"/>
              <w:right w:val="nil"/>
              <w:tl2br w:val="nil"/>
              <w:tr2bl w:val="nil"/>
            </w:tcBorders>
            <w:shd w:val="clear" w:color="auto" w:fill="auto"/>
            <w:noWrap/>
            <w:tcMar>
              <w:left w:w="101" w:type="dxa"/>
              <w:right w:w="101" w:type="dxa"/>
            </w:tcMar>
          </w:tcPr>
          <w:p w14:paraId="7CE4971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23,480</w:t>
            </w:r>
          </w:p>
        </w:tc>
        <w:tc>
          <w:tcPr>
            <w:tcW w:w="943" w:type="dxa"/>
            <w:tcBorders>
              <w:top w:val="nil"/>
              <w:left w:val="nil"/>
              <w:bottom w:val="nil"/>
              <w:right w:val="nil"/>
              <w:tl2br w:val="nil"/>
              <w:tr2bl w:val="nil"/>
            </w:tcBorders>
            <w:shd w:val="clear" w:color="auto" w:fill="auto"/>
            <w:noWrap/>
            <w:tcMar>
              <w:left w:w="101" w:type="dxa"/>
              <w:right w:w="101" w:type="dxa"/>
            </w:tcMar>
          </w:tcPr>
          <w:p w14:paraId="6884296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14,629</w:t>
            </w:r>
          </w:p>
        </w:tc>
      </w:tr>
      <w:tr w:rsidR="009832FC" w:rsidRPr="009832FC" w14:paraId="66156D3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6F034174"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Superannuation Round Robin</w:t>
            </w:r>
          </w:p>
        </w:tc>
        <w:tc>
          <w:tcPr>
            <w:tcW w:w="942" w:type="dxa"/>
            <w:tcBorders>
              <w:top w:val="nil"/>
              <w:left w:val="nil"/>
              <w:bottom w:val="nil"/>
              <w:right w:val="nil"/>
              <w:tl2br w:val="nil"/>
              <w:tr2bl w:val="nil"/>
            </w:tcBorders>
            <w:shd w:val="clear" w:color="auto" w:fill="auto"/>
            <w:noWrap/>
            <w:tcMar>
              <w:left w:w="101" w:type="dxa"/>
              <w:right w:w="101" w:type="dxa"/>
            </w:tcMar>
          </w:tcPr>
          <w:p w14:paraId="6AF2F0C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050CFDC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5,988</w:t>
            </w:r>
          </w:p>
        </w:tc>
        <w:tc>
          <w:tcPr>
            <w:tcW w:w="942" w:type="dxa"/>
            <w:tcBorders>
              <w:top w:val="nil"/>
              <w:left w:val="nil"/>
              <w:bottom w:val="nil"/>
              <w:right w:val="nil"/>
              <w:tl2br w:val="nil"/>
              <w:tr2bl w:val="nil"/>
            </w:tcBorders>
            <w:shd w:val="clear" w:color="auto" w:fill="auto"/>
            <w:noWrap/>
            <w:tcMar>
              <w:left w:w="101" w:type="dxa"/>
              <w:right w:w="101" w:type="dxa"/>
            </w:tcMar>
          </w:tcPr>
          <w:p w14:paraId="5E71A21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6,519</w:t>
            </w:r>
          </w:p>
        </w:tc>
        <w:tc>
          <w:tcPr>
            <w:tcW w:w="942" w:type="dxa"/>
            <w:tcBorders>
              <w:top w:val="nil"/>
              <w:left w:val="nil"/>
              <w:bottom w:val="nil"/>
              <w:right w:val="nil"/>
              <w:tl2br w:val="nil"/>
              <w:tr2bl w:val="nil"/>
            </w:tcBorders>
            <w:shd w:val="clear" w:color="auto" w:fill="auto"/>
            <w:noWrap/>
            <w:tcMar>
              <w:left w:w="101" w:type="dxa"/>
              <w:right w:w="101" w:type="dxa"/>
            </w:tcMar>
          </w:tcPr>
          <w:p w14:paraId="48657AB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6,589</w:t>
            </w:r>
          </w:p>
        </w:tc>
        <w:tc>
          <w:tcPr>
            <w:tcW w:w="943" w:type="dxa"/>
            <w:tcBorders>
              <w:top w:val="nil"/>
              <w:left w:val="nil"/>
              <w:bottom w:val="nil"/>
              <w:right w:val="nil"/>
              <w:tl2br w:val="nil"/>
              <w:tr2bl w:val="nil"/>
            </w:tcBorders>
            <w:shd w:val="clear" w:color="auto" w:fill="auto"/>
            <w:noWrap/>
            <w:tcMar>
              <w:left w:w="101" w:type="dxa"/>
              <w:right w:w="101" w:type="dxa"/>
            </w:tcMar>
          </w:tcPr>
          <w:p w14:paraId="7822B20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8,606</w:t>
            </w:r>
          </w:p>
        </w:tc>
      </w:tr>
      <w:tr w:rsidR="009832FC" w:rsidRPr="009832FC" w14:paraId="00CE481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5070" w:type="dxa"/>
            <w:tcBorders>
              <w:top w:val="nil"/>
              <w:left w:val="nil"/>
              <w:bottom w:val="nil"/>
              <w:right w:val="nil"/>
              <w:tl2br w:val="nil"/>
              <w:tr2bl w:val="nil"/>
            </w:tcBorders>
            <w:shd w:val="clear" w:color="auto" w:fill="auto"/>
            <w:tcMar>
              <w:left w:w="101" w:type="dxa"/>
              <w:right w:w="101" w:type="dxa"/>
            </w:tcMar>
          </w:tcPr>
          <w:p w14:paraId="5F0AF44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Undrawn Funds</w:t>
            </w:r>
          </w:p>
        </w:tc>
        <w:tc>
          <w:tcPr>
            <w:tcW w:w="942" w:type="dxa"/>
            <w:tcBorders>
              <w:top w:val="nil"/>
              <w:left w:val="nil"/>
              <w:bottom w:val="nil"/>
              <w:right w:val="nil"/>
              <w:tl2br w:val="nil"/>
              <w:tr2bl w:val="nil"/>
            </w:tcBorders>
            <w:shd w:val="clear" w:color="auto" w:fill="auto"/>
            <w:noWrap/>
            <w:tcMar>
              <w:left w:w="101" w:type="dxa"/>
              <w:right w:w="101" w:type="dxa"/>
            </w:tcMar>
          </w:tcPr>
          <w:p w14:paraId="424AFF5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-4,600</w:t>
            </w:r>
          </w:p>
        </w:tc>
        <w:tc>
          <w:tcPr>
            <w:tcW w:w="942" w:type="dxa"/>
            <w:tcBorders>
              <w:top w:val="nil"/>
              <w:left w:val="nil"/>
              <w:bottom w:val="nil"/>
              <w:right w:val="nil"/>
              <w:tl2br w:val="nil"/>
              <w:tr2bl w:val="nil"/>
            </w:tcBorders>
            <w:shd w:val="clear" w:color="auto" w:fill="auto"/>
            <w:noWrap/>
            <w:tcMar>
              <w:left w:w="101" w:type="dxa"/>
              <w:right w:w="101" w:type="dxa"/>
            </w:tcMar>
          </w:tcPr>
          <w:p w14:paraId="5232B6D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7E9D818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7B7F7BB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64BB4EE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-34</w:t>
            </w:r>
          </w:p>
        </w:tc>
      </w:tr>
      <w:tr w:rsidR="009832FC" w:rsidRPr="009832FC" w14:paraId="6C37CC3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5070" w:type="dxa"/>
            <w:tcBorders>
              <w:top w:val="nil"/>
              <w:left w:val="nil"/>
              <w:bottom w:val="nil"/>
              <w:right w:val="nil"/>
              <w:tl2br w:val="nil"/>
              <w:tr2bl w:val="nil"/>
            </w:tcBorders>
            <w:shd w:val="clear" w:color="auto" w:fill="auto"/>
            <w:tcMar>
              <w:left w:w="101" w:type="dxa"/>
              <w:right w:w="101" w:type="dxa"/>
            </w:tcMar>
          </w:tcPr>
          <w:p w14:paraId="04B043DF"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Vaccination Program adjustment to Commonwealth Flows</w:t>
            </w:r>
          </w:p>
        </w:tc>
        <w:tc>
          <w:tcPr>
            <w:tcW w:w="942" w:type="dxa"/>
            <w:tcBorders>
              <w:top w:val="nil"/>
              <w:left w:val="nil"/>
              <w:bottom w:val="nil"/>
              <w:right w:val="nil"/>
              <w:tl2br w:val="nil"/>
              <w:tr2bl w:val="nil"/>
            </w:tcBorders>
            <w:shd w:val="clear" w:color="auto" w:fill="auto"/>
            <w:noWrap/>
            <w:tcMar>
              <w:left w:w="101" w:type="dxa"/>
              <w:right w:w="101" w:type="dxa"/>
            </w:tcMar>
          </w:tcPr>
          <w:p w14:paraId="7928674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1E0DF22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-4,314</w:t>
            </w:r>
          </w:p>
        </w:tc>
        <w:tc>
          <w:tcPr>
            <w:tcW w:w="942" w:type="dxa"/>
            <w:tcBorders>
              <w:top w:val="nil"/>
              <w:left w:val="nil"/>
              <w:bottom w:val="nil"/>
              <w:right w:val="nil"/>
              <w:tl2br w:val="nil"/>
              <w:tr2bl w:val="nil"/>
            </w:tcBorders>
            <w:shd w:val="clear" w:color="auto" w:fill="auto"/>
            <w:noWrap/>
            <w:tcMar>
              <w:left w:w="101" w:type="dxa"/>
              <w:right w:w="101" w:type="dxa"/>
            </w:tcMar>
          </w:tcPr>
          <w:p w14:paraId="180F8BF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2779A61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00E4FFD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1A97929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070" w:type="dxa"/>
            <w:tcBorders>
              <w:top w:val="nil"/>
              <w:left w:val="nil"/>
              <w:bottom w:val="nil"/>
              <w:right w:val="nil"/>
              <w:tl2br w:val="nil"/>
              <w:tr2bl w:val="nil"/>
            </w:tcBorders>
            <w:shd w:val="clear" w:color="auto" w:fill="auto"/>
            <w:tcMar>
              <w:left w:w="101" w:type="dxa"/>
              <w:right w:w="101" w:type="dxa"/>
            </w:tcMar>
          </w:tcPr>
          <w:p w14:paraId="33A3715E"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Workers Compensation Premium Adjustment</w:t>
            </w:r>
          </w:p>
        </w:tc>
        <w:tc>
          <w:tcPr>
            <w:tcW w:w="942" w:type="dxa"/>
            <w:tcBorders>
              <w:top w:val="nil"/>
              <w:left w:val="nil"/>
              <w:bottom w:val="nil"/>
              <w:right w:val="nil"/>
              <w:tl2br w:val="nil"/>
              <w:tr2bl w:val="nil"/>
            </w:tcBorders>
            <w:shd w:val="clear" w:color="auto" w:fill="auto"/>
            <w:noWrap/>
            <w:tcMar>
              <w:left w:w="101" w:type="dxa"/>
              <w:right w:w="101" w:type="dxa"/>
            </w:tcMar>
          </w:tcPr>
          <w:p w14:paraId="2040F87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7789CF5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-3,688</w:t>
            </w:r>
          </w:p>
        </w:tc>
        <w:tc>
          <w:tcPr>
            <w:tcW w:w="942" w:type="dxa"/>
            <w:tcBorders>
              <w:top w:val="nil"/>
              <w:left w:val="nil"/>
              <w:bottom w:val="nil"/>
              <w:right w:val="nil"/>
              <w:tl2br w:val="nil"/>
              <w:tr2bl w:val="nil"/>
            </w:tcBorders>
            <w:shd w:val="clear" w:color="auto" w:fill="auto"/>
            <w:noWrap/>
            <w:tcMar>
              <w:left w:w="101" w:type="dxa"/>
              <w:right w:w="101" w:type="dxa"/>
            </w:tcMar>
          </w:tcPr>
          <w:p w14:paraId="7CE4271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2" w:type="dxa"/>
            <w:tcBorders>
              <w:top w:val="nil"/>
              <w:left w:val="nil"/>
              <w:bottom w:val="nil"/>
              <w:right w:val="nil"/>
              <w:tl2br w:val="nil"/>
              <w:tr2bl w:val="nil"/>
            </w:tcBorders>
            <w:shd w:val="clear" w:color="auto" w:fill="auto"/>
            <w:noWrap/>
            <w:tcMar>
              <w:left w:w="101" w:type="dxa"/>
              <w:right w:w="101" w:type="dxa"/>
            </w:tcMar>
          </w:tcPr>
          <w:p w14:paraId="57BC087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943" w:type="dxa"/>
            <w:tcBorders>
              <w:top w:val="nil"/>
              <w:left w:val="nil"/>
              <w:bottom w:val="nil"/>
              <w:right w:val="nil"/>
              <w:tl2br w:val="nil"/>
              <w:tr2bl w:val="nil"/>
            </w:tcBorders>
            <w:shd w:val="clear" w:color="auto" w:fill="auto"/>
            <w:noWrap/>
            <w:tcMar>
              <w:left w:w="101" w:type="dxa"/>
              <w:right w:w="101" w:type="dxa"/>
            </w:tcMar>
          </w:tcPr>
          <w:p w14:paraId="639D0A0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625F93B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07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3DFFDC7"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317A159"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C9595F2"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1A62AC0" w14:textId="77777777" w:rsidR="009832FC" w:rsidRPr="009832FC" w:rsidRDefault="009832FC" w:rsidP="009832FC">
            <w:pPr>
              <w:spacing w:before="0" w:after="0"/>
              <w:rPr>
                <w:rFonts w:eastAsia="Calibri" w:cs="Calibri"/>
                <w:color w:val="000000"/>
                <w:sz w:val="18"/>
                <w:szCs w:val="24"/>
                <w:lang w:eastAsia="en-AU"/>
              </w:rPr>
            </w:pPr>
          </w:p>
        </w:tc>
        <w:tc>
          <w:tcPr>
            <w:tcW w:w="94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EC2DD51" w14:textId="77777777" w:rsidR="009832FC" w:rsidRPr="009832FC" w:rsidRDefault="009832FC" w:rsidP="009832FC">
            <w:pPr>
              <w:spacing w:before="0" w:after="0"/>
              <w:rPr>
                <w:rFonts w:eastAsia="Calibri" w:cs="Calibri"/>
                <w:color w:val="000000"/>
                <w:sz w:val="18"/>
                <w:szCs w:val="24"/>
                <w:lang w:eastAsia="en-AU"/>
              </w:rPr>
            </w:pPr>
          </w:p>
        </w:tc>
        <w:tc>
          <w:tcPr>
            <w:tcW w:w="943"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4B156E6"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4A14493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070"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7B39FDE"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2021-22 Budget</w:t>
            </w:r>
          </w:p>
        </w:tc>
        <w:tc>
          <w:tcPr>
            <w:tcW w:w="94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108B1D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907,735</w:t>
            </w:r>
          </w:p>
        </w:tc>
        <w:tc>
          <w:tcPr>
            <w:tcW w:w="94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59B1C5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973,456</w:t>
            </w:r>
          </w:p>
        </w:tc>
        <w:tc>
          <w:tcPr>
            <w:tcW w:w="94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7A9ACE8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954,194</w:t>
            </w:r>
          </w:p>
        </w:tc>
        <w:tc>
          <w:tcPr>
            <w:tcW w:w="94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FF30A1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957,559</w:t>
            </w:r>
          </w:p>
        </w:tc>
        <w:tc>
          <w:tcPr>
            <w:tcW w:w="943"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9D6A21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942,205</w:t>
            </w:r>
          </w:p>
        </w:tc>
      </w:tr>
    </w:tbl>
    <w:p w14:paraId="074A3B39" w14:textId="77777777" w:rsidR="009832FC" w:rsidRPr="009832FC" w:rsidRDefault="009832FC" w:rsidP="009832FC">
      <w:pPr>
        <w:keepNext/>
        <w:pageBreakBefore/>
        <w:pBdr>
          <w:top w:val="nil"/>
          <w:left w:val="nil"/>
          <w:bottom w:val="nil"/>
          <w:right w:val="nil"/>
          <w:between w:val="nil"/>
          <w:bar w:val="nil"/>
        </w:pBdr>
        <w:spacing w:before="360"/>
        <w:ind w:left="-426" w:firstLine="426"/>
        <w:outlineLvl w:val="1"/>
        <w:rPr>
          <w:b/>
          <w:snapToGrid w:val="0"/>
          <w:sz w:val="32"/>
          <w:bdr w:val="nil"/>
        </w:rPr>
      </w:pPr>
      <w:bookmarkStart w:id="96" w:name="_Toc83910763"/>
      <w:r w:rsidRPr="009832FC">
        <w:rPr>
          <w:b/>
          <w:snapToGrid w:val="0"/>
          <w:sz w:val="32"/>
          <w:bdr w:val="nil"/>
        </w:rPr>
        <w:lastRenderedPageBreak/>
        <w:t>Financial Statements – Controlled</w:t>
      </w:r>
      <w:bookmarkEnd w:id="96"/>
    </w:p>
    <w:p w14:paraId="45CEA491" w14:textId="77777777" w:rsidR="009832FC" w:rsidRPr="009832FC" w:rsidRDefault="009832FC" w:rsidP="009832FC">
      <w:pPr>
        <w:keepNext/>
        <w:pBdr>
          <w:top w:val="nil"/>
          <w:left w:val="nil"/>
          <w:bottom w:val="nil"/>
          <w:right w:val="nil"/>
          <w:between w:val="nil"/>
          <w:bar w:val="nil"/>
        </w:pBdr>
        <w:spacing w:before="240"/>
        <w:jc w:val="both"/>
        <w:rPr>
          <w:bdr w:val="nil"/>
        </w:rPr>
      </w:pPr>
      <w:r w:rsidRPr="009832FC">
        <w:rPr>
          <w:bdr w:val="nil"/>
        </w:rPr>
        <w:t>Due to the release of the 2021-22 Budget on 6 October 2021, the 2020-21 Interim Outcome column reflects the interim outcome included in the draft 2020-21 Financial Statements, which were unaudited at the time of preparing these budget statements.</w:t>
      </w:r>
    </w:p>
    <w:p w14:paraId="238C249F" w14:textId="77777777" w:rsidR="009832FC" w:rsidRPr="009832FC" w:rsidRDefault="009832FC" w:rsidP="009832FC">
      <w:pPr>
        <w:keepNext/>
        <w:pBdr>
          <w:top w:val="nil"/>
          <w:left w:val="nil"/>
          <w:bottom w:val="nil"/>
          <w:right w:val="nil"/>
          <w:between w:val="nil"/>
          <w:bar w:val="nil"/>
        </w:pBdr>
        <w:spacing w:before="240"/>
        <w:rPr>
          <w:b/>
          <w:bCs/>
          <w:color w:val="000000"/>
          <w:sz w:val="22"/>
          <w:szCs w:val="18"/>
          <w:bdr w:val="nil"/>
        </w:rPr>
      </w:pPr>
      <w:r w:rsidRPr="009832FC">
        <w:rPr>
          <w:b/>
          <w:bCs/>
          <w:color w:val="000000"/>
          <w:sz w:val="22"/>
          <w:szCs w:val="18"/>
          <w:bdr w:val="nil"/>
        </w:rPr>
        <w:t xml:space="preserve">Table 5: ACT Local Hospital Network: Operating Statement </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9832FC" w:rsidRPr="009832FC" w14:paraId="12C41B9F" w14:textId="77777777" w:rsidTr="00EB585F">
        <w:trPr>
          <w:trHeight w:val="100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265A85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2020-21 Budget            </w:t>
            </w:r>
          </w:p>
          <w:p w14:paraId="20F84E34" w14:textId="77777777" w:rsidR="009832FC" w:rsidRPr="009832FC" w:rsidRDefault="009832FC" w:rsidP="009832FC">
            <w:pPr>
              <w:spacing w:before="0" w:after="0"/>
              <w:jc w:val="right"/>
              <w:rPr>
                <w:rFonts w:eastAsia="Calibri" w:cs="Calibri"/>
                <w:b/>
                <w:color w:val="000000"/>
                <w:sz w:val="18"/>
                <w:szCs w:val="24"/>
                <w:lang w:eastAsia="en-AU"/>
              </w:rPr>
            </w:pPr>
          </w:p>
          <w:p w14:paraId="70DCDBA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3E2BF46"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CD0D02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1CE14F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2021-22 Budget            </w:t>
            </w:r>
          </w:p>
          <w:p w14:paraId="1A078620" w14:textId="77777777" w:rsidR="009832FC" w:rsidRPr="009832FC" w:rsidRDefault="009832FC" w:rsidP="009832FC">
            <w:pPr>
              <w:spacing w:before="0" w:after="0"/>
              <w:jc w:val="right"/>
              <w:rPr>
                <w:rFonts w:eastAsia="Calibri" w:cs="Calibri"/>
                <w:b/>
                <w:color w:val="000000"/>
                <w:sz w:val="18"/>
                <w:szCs w:val="24"/>
                <w:lang w:eastAsia="en-AU"/>
              </w:rPr>
            </w:pPr>
          </w:p>
          <w:p w14:paraId="2DB1422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443CBC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Var</w:t>
            </w:r>
          </w:p>
          <w:p w14:paraId="37ED639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911761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2022-23 Estimate            </w:t>
            </w:r>
          </w:p>
          <w:p w14:paraId="1DEBFD9D" w14:textId="77777777" w:rsidR="009832FC" w:rsidRPr="009832FC" w:rsidRDefault="009832FC" w:rsidP="009832FC">
            <w:pPr>
              <w:spacing w:before="0" w:after="0"/>
              <w:jc w:val="right"/>
              <w:rPr>
                <w:rFonts w:eastAsia="Calibri" w:cs="Calibri"/>
                <w:b/>
                <w:color w:val="000000"/>
                <w:sz w:val="18"/>
                <w:szCs w:val="24"/>
                <w:lang w:eastAsia="en-AU"/>
              </w:rPr>
            </w:pPr>
          </w:p>
          <w:p w14:paraId="016D3EC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70E7B3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2023-24 Estimate            </w:t>
            </w:r>
          </w:p>
          <w:p w14:paraId="6198B5EE" w14:textId="77777777" w:rsidR="009832FC" w:rsidRPr="009832FC" w:rsidRDefault="009832FC" w:rsidP="009832FC">
            <w:pPr>
              <w:spacing w:before="0" w:after="0"/>
              <w:jc w:val="right"/>
              <w:rPr>
                <w:rFonts w:eastAsia="Calibri" w:cs="Calibri"/>
                <w:b/>
                <w:color w:val="000000"/>
                <w:sz w:val="18"/>
                <w:szCs w:val="24"/>
                <w:lang w:eastAsia="en-AU"/>
              </w:rPr>
            </w:pPr>
          </w:p>
          <w:p w14:paraId="3A885A6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C02082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2024-25 Estimate            </w:t>
            </w:r>
          </w:p>
          <w:p w14:paraId="15007480" w14:textId="77777777" w:rsidR="009832FC" w:rsidRPr="009832FC" w:rsidRDefault="009832FC" w:rsidP="009832FC">
            <w:pPr>
              <w:spacing w:before="0" w:after="0"/>
              <w:jc w:val="right"/>
              <w:rPr>
                <w:rFonts w:eastAsia="Calibri" w:cs="Calibri"/>
                <w:b/>
                <w:color w:val="000000"/>
                <w:sz w:val="18"/>
                <w:szCs w:val="24"/>
                <w:lang w:eastAsia="en-AU"/>
              </w:rPr>
            </w:pPr>
          </w:p>
          <w:p w14:paraId="4D82174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r>
      <w:tr w:rsidR="009832FC" w:rsidRPr="009832FC" w14:paraId="34695CC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8645CE9" w14:textId="77777777" w:rsidR="009832FC" w:rsidRPr="009832FC" w:rsidRDefault="009832FC" w:rsidP="009832FC">
            <w:pPr>
              <w:spacing w:before="0" w:after="0"/>
              <w:jc w:val="right"/>
              <w:rPr>
                <w:rFonts w:eastAsia="Calibri" w:cs="Calibri"/>
                <w:b/>
                <w:i/>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D4D0853"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F451C09"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95174D6"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4FC2157"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797DA27"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798D1F3"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CBB3190"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732A63B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19BEC6" w14:textId="77777777" w:rsidR="009832FC" w:rsidRPr="009832FC" w:rsidRDefault="009832FC" w:rsidP="009832FC">
            <w:pPr>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BB88266"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Income</w:t>
            </w:r>
          </w:p>
        </w:tc>
        <w:tc>
          <w:tcPr>
            <w:tcW w:w="1035" w:type="dxa"/>
            <w:tcBorders>
              <w:top w:val="nil"/>
              <w:left w:val="nil"/>
              <w:bottom w:val="nil"/>
              <w:right w:val="nil"/>
              <w:tl2br w:val="nil"/>
              <w:tr2bl w:val="nil"/>
            </w:tcBorders>
            <w:shd w:val="clear" w:color="FFFFFF" w:fill="FFFFFF"/>
            <w:tcMar>
              <w:left w:w="0" w:type="dxa"/>
              <w:right w:w="0" w:type="dxa"/>
            </w:tcMar>
          </w:tcPr>
          <w:p w14:paraId="706F8667"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184074C"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118950C"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71ACE2A"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A6420A4"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E44DEF6"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41EE79D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C40A0AD" w14:textId="77777777" w:rsidR="009832FC" w:rsidRPr="009832FC" w:rsidRDefault="009832FC" w:rsidP="009832FC">
            <w:pPr>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1660D90D"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C739726"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97A54F7"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51A3823"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9E8573A"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16734F8"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F67F353"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520FD08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4C4F9E7"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3B41A17"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6F59B1E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F0AEB0B"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0E7F63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DDD611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0E18EC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2F850A"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FC8211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3BFF40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900,173</w:t>
            </w:r>
          </w:p>
        </w:tc>
        <w:tc>
          <w:tcPr>
            <w:tcW w:w="2385" w:type="dxa"/>
            <w:tcBorders>
              <w:top w:val="nil"/>
              <w:left w:val="nil"/>
              <w:bottom w:val="nil"/>
              <w:right w:val="nil"/>
              <w:tl2br w:val="nil"/>
              <w:tr2bl w:val="nil"/>
            </w:tcBorders>
            <w:shd w:val="clear" w:color="auto" w:fill="auto"/>
            <w:noWrap/>
            <w:tcMar>
              <w:left w:w="101" w:type="dxa"/>
              <w:right w:w="101" w:type="dxa"/>
            </w:tcMar>
          </w:tcPr>
          <w:p w14:paraId="3600BB35"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551AA8D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907,735</w:t>
            </w:r>
          </w:p>
        </w:tc>
        <w:tc>
          <w:tcPr>
            <w:tcW w:w="1035" w:type="dxa"/>
            <w:tcBorders>
              <w:top w:val="nil"/>
              <w:left w:val="nil"/>
              <w:bottom w:val="nil"/>
              <w:right w:val="nil"/>
              <w:tl2br w:val="nil"/>
              <w:tr2bl w:val="nil"/>
            </w:tcBorders>
            <w:shd w:val="clear" w:color="FFFFFF" w:fill="FFFFFF"/>
            <w:noWrap/>
            <w:tcMar>
              <w:left w:w="101" w:type="dxa"/>
              <w:right w:w="101" w:type="dxa"/>
            </w:tcMar>
          </w:tcPr>
          <w:p w14:paraId="7ACCDA2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973,456</w:t>
            </w:r>
          </w:p>
        </w:tc>
        <w:tc>
          <w:tcPr>
            <w:tcW w:w="600" w:type="dxa"/>
            <w:tcBorders>
              <w:top w:val="nil"/>
              <w:left w:val="nil"/>
              <w:bottom w:val="nil"/>
              <w:right w:val="nil"/>
              <w:tl2br w:val="nil"/>
              <w:tr2bl w:val="nil"/>
            </w:tcBorders>
            <w:shd w:val="clear" w:color="FFFFFF" w:fill="FFFFFF"/>
            <w:tcMar>
              <w:left w:w="101" w:type="dxa"/>
              <w:right w:w="101" w:type="dxa"/>
            </w:tcMar>
          </w:tcPr>
          <w:p w14:paraId="1FD93ED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7 </w:t>
            </w:r>
          </w:p>
        </w:tc>
        <w:tc>
          <w:tcPr>
            <w:tcW w:w="1035" w:type="dxa"/>
            <w:tcBorders>
              <w:top w:val="nil"/>
              <w:left w:val="nil"/>
              <w:bottom w:val="nil"/>
              <w:right w:val="nil"/>
              <w:tl2br w:val="nil"/>
              <w:tr2bl w:val="nil"/>
            </w:tcBorders>
            <w:shd w:val="clear" w:color="FFFFFF" w:fill="FFFFFF"/>
            <w:noWrap/>
            <w:tcMar>
              <w:left w:w="101" w:type="dxa"/>
              <w:right w:w="101" w:type="dxa"/>
            </w:tcMar>
          </w:tcPr>
          <w:p w14:paraId="6C4D8F8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954,194</w:t>
            </w:r>
          </w:p>
        </w:tc>
        <w:tc>
          <w:tcPr>
            <w:tcW w:w="1035" w:type="dxa"/>
            <w:tcBorders>
              <w:top w:val="nil"/>
              <w:left w:val="nil"/>
              <w:bottom w:val="nil"/>
              <w:right w:val="nil"/>
              <w:tl2br w:val="nil"/>
              <w:tr2bl w:val="nil"/>
            </w:tcBorders>
            <w:shd w:val="clear" w:color="FFFFFF" w:fill="FFFFFF"/>
            <w:noWrap/>
            <w:tcMar>
              <w:left w:w="101" w:type="dxa"/>
              <w:right w:w="101" w:type="dxa"/>
            </w:tcMar>
          </w:tcPr>
          <w:p w14:paraId="7687454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957,559</w:t>
            </w:r>
          </w:p>
        </w:tc>
        <w:tc>
          <w:tcPr>
            <w:tcW w:w="1035" w:type="dxa"/>
            <w:tcBorders>
              <w:top w:val="nil"/>
              <w:left w:val="nil"/>
              <w:bottom w:val="nil"/>
              <w:right w:val="nil"/>
              <w:tl2br w:val="nil"/>
              <w:tr2bl w:val="nil"/>
            </w:tcBorders>
            <w:shd w:val="clear" w:color="FFFFFF" w:fill="FFFFFF"/>
            <w:noWrap/>
            <w:tcMar>
              <w:left w:w="101" w:type="dxa"/>
              <w:right w:w="101" w:type="dxa"/>
            </w:tcMar>
          </w:tcPr>
          <w:p w14:paraId="3E7A2AC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942,205</w:t>
            </w:r>
          </w:p>
        </w:tc>
      </w:tr>
      <w:tr w:rsidR="009832FC" w:rsidRPr="009832FC" w14:paraId="66CFB55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AA081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200,685</w:t>
            </w:r>
          </w:p>
        </w:tc>
        <w:tc>
          <w:tcPr>
            <w:tcW w:w="2385" w:type="dxa"/>
            <w:tcBorders>
              <w:top w:val="nil"/>
              <w:left w:val="nil"/>
              <w:bottom w:val="nil"/>
              <w:right w:val="nil"/>
              <w:tl2br w:val="nil"/>
              <w:tr2bl w:val="nil"/>
            </w:tcBorders>
            <w:shd w:val="clear" w:color="auto" w:fill="auto"/>
            <w:noWrap/>
            <w:tcMar>
              <w:left w:w="101" w:type="dxa"/>
              <w:right w:w="101" w:type="dxa"/>
            </w:tcMar>
          </w:tcPr>
          <w:p w14:paraId="7504E55E"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57E03BF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115,079</w:t>
            </w:r>
          </w:p>
        </w:tc>
        <w:tc>
          <w:tcPr>
            <w:tcW w:w="1035" w:type="dxa"/>
            <w:tcBorders>
              <w:top w:val="nil"/>
              <w:left w:val="nil"/>
              <w:bottom w:val="nil"/>
              <w:right w:val="nil"/>
              <w:tl2br w:val="nil"/>
              <w:tr2bl w:val="nil"/>
            </w:tcBorders>
            <w:shd w:val="clear" w:color="FFFFFF" w:fill="FFFFFF"/>
            <w:tcMar>
              <w:left w:w="101" w:type="dxa"/>
              <w:right w:w="101" w:type="dxa"/>
            </w:tcMar>
          </w:tcPr>
          <w:p w14:paraId="50692D1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116,219</w:t>
            </w:r>
          </w:p>
        </w:tc>
        <w:tc>
          <w:tcPr>
            <w:tcW w:w="600" w:type="dxa"/>
            <w:tcBorders>
              <w:top w:val="nil"/>
              <w:left w:val="nil"/>
              <w:bottom w:val="nil"/>
              <w:right w:val="nil"/>
              <w:tl2br w:val="nil"/>
              <w:tr2bl w:val="nil"/>
            </w:tcBorders>
            <w:shd w:val="clear" w:color="FFFFFF" w:fill="FFFFFF"/>
            <w:tcMar>
              <w:left w:w="101" w:type="dxa"/>
              <w:right w:w="101" w:type="dxa"/>
            </w:tcMar>
          </w:tcPr>
          <w:p w14:paraId="6DF4050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4571BB6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119,124</w:t>
            </w:r>
          </w:p>
        </w:tc>
        <w:tc>
          <w:tcPr>
            <w:tcW w:w="1035" w:type="dxa"/>
            <w:tcBorders>
              <w:top w:val="nil"/>
              <w:left w:val="nil"/>
              <w:bottom w:val="nil"/>
              <w:right w:val="nil"/>
              <w:tl2br w:val="nil"/>
              <w:tr2bl w:val="nil"/>
            </w:tcBorders>
            <w:shd w:val="clear" w:color="FFFFFF" w:fill="FFFFFF"/>
            <w:tcMar>
              <w:left w:w="101" w:type="dxa"/>
              <w:right w:w="101" w:type="dxa"/>
            </w:tcMar>
          </w:tcPr>
          <w:p w14:paraId="3730355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122,102</w:t>
            </w:r>
          </w:p>
        </w:tc>
        <w:tc>
          <w:tcPr>
            <w:tcW w:w="1035" w:type="dxa"/>
            <w:tcBorders>
              <w:top w:val="nil"/>
              <w:left w:val="nil"/>
              <w:bottom w:val="nil"/>
              <w:right w:val="nil"/>
              <w:tl2br w:val="nil"/>
              <w:tr2bl w:val="nil"/>
            </w:tcBorders>
            <w:shd w:val="clear" w:color="FFFFFF" w:fill="FFFFFF"/>
            <w:tcMar>
              <w:left w:w="101" w:type="dxa"/>
              <w:right w:w="101" w:type="dxa"/>
            </w:tcMar>
          </w:tcPr>
          <w:p w14:paraId="4F7C18C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124,544</w:t>
            </w:r>
          </w:p>
        </w:tc>
      </w:tr>
      <w:tr w:rsidR="009832FC" w:rsidRPr="009832FC" w14:paraId="5B231F7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6D31D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488,965</w:t>
            </w:r>
          </w:p>
        </w:tc>
        <w:tc>
          <w:tcPr>
            <w:tcW w:w="2385" w:type="dxa"/>
            <w:tcBorders>
              <w:top w:val="nil"/>
              <w:left w:val="nil"/>
              <w:bottom w:val="nil"/>
              <w:right w:val="nil"/>
              <w:tl2br w:val="nil"/>
              <w:tr2bl w:val="nil"/>
            </w:tcBorders>
            <w:shd w:val="clear" w:color="auto" w:fill="auto"/>
            <w:noWrap/>
            <w:tcMar>
              <w:left w:w="101" w:type="dxa"/>
              <w:right w:w="101" w:type="dxa"/>
            </w:tcMar>
          </w:tcPr>
          <w:p w14:paraId="7D1DA70B"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759E5C0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465,619</w:t>
            </w:r>
          </w:p>
        </w:tc>
        <w:tc>
          <w:tcPr>
            <w:tcW w:w="1035" w:type="dxa"/>
            <w:tcBorders>
              <w:top w:val="nil"/>
              <w:left w:val="nil"/>
              <w:bottom w:val="nil"/>
              <w:right w:val="nil"/>
              <w:tl2br w:val="nil"/>
              <w:tr2bl w:val="nil"/>
            </w:tcBorders>
            <w:shd w:val="clear" w:color="FFFFFF" w:fill="FFFFFF"/>
            <w:tcMar>
              <w:left w:w="101" w:type="dxa"/>
              <w:right w:w="101" w:type="dxa"/>
            </w:tcMar>
          </w:tcPr>
          <w:p w14:paraId="573EB07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516,958</w:t>
            </w:r>
          </w:p>
        </w:tc>
        <w:tc>
          <w:tcPr>
            <w:tcW w:w="600" w:type="dxa"/>
            <w:tcBorders>
              <w:top w:val="nil"/>
              <w:left w:val="nil"/>
              <w:bottom w:val="nil"/>
              <w:right w:val="nil"/>
              <w:tl2br w:val="nil"/>
              <w:tr2bl w:val="nil"/>
            </w:tcBorders>
            <w:shd w:val="clear" w:color="FFFFFF" w:fill="FFFFFF"/>
            <w:tcMar>
              <w:left w:w="101" w:type="dxa"/>
              <w:right w:w="101" w:type="dxa"/>
            </w:tcMar>
          </w:tcPr>
          <w:p w14:paraId="1B03EF2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00F9F6D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511,779</w:t>
            </w:r>
          </w:p>
        </w:tc>
        <w:tc>
          <w:tcPr>
            <w:tcW w:w="1035" w:type="dxa"/>
            <w:tcBorders>
              <w:top w:val="nil"/>
              <w:left w:val="nil"/>
              <w:bottom w:val="nil"/>
              <w:right w:val="nil"/>
              <w:tl2br w:val="nil"/>
              <w:tr2bl w:val="nil"/>
            </w:tcBorders>
            <w:shd w:val="clear" w:color="FFFFFF" w:fill="FFFFFF"/>
            <w:tcMar>
              <w:left w:w="101" w:type="dxa"/>
              <w:right w:w="101" w:type="dxa"/>
            </w:tcMar>
          </w:tcPr>
          <w:p w14:paraId="108084B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545,045</w:t>
            </w:r>
          </w:p>
        </w:tc>
        <w:tc>
          <w:tcPr>
            <w:tcW w:w="1035" w:type="dxa"/>
            <w:tcBorders>
              <w:top w:val="nil"/>
              <w:left w:val="nil"/>
              <w:bottom w:val="nil"/>
              <w:right w:val="nil"/>
              <w:tl2br w:val="nil"/>
              <w:tr2bl w:val="nil"/>
            </w:tcBorders>
            <w:shd w:val="clear" w:color="FFFFFF" w:fill="FFFFFF"/>
            <w:tcMar>
              <w:left w:w="101" w:type="dxa"/>
              <w:right w:w="101" w:type="dxa"/>
            </w:tcMar>
          </w:tcPr>
          <w:p w14:paraId="2D70CAD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580,473</w:t>
            </w:r>
          </w:p>
        </w:tc>
      </w:tr>
      <w:tr w:rsidR="009832FC" w:rsidRPr="009832FC" w14:paraId="788D7E2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D7C047E"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49C54484"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FE267C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BB3FF62"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3590E0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A7BB13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64AEEF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3BF2F7C"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96898B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2CF99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1,589,823</w:t>
            </w:r>
          </w:p>
        </w:tc>
        <w:tc>
          <w:tcPr>
            <w:tcW w:w="2385" w:type="dxa"/>
            <w:tcBorders>
              <w:top w:val="nil"/>
              <w:left w:val="nil"/>
              <w:bottom w:val="nil"/>
              <w:right w:val="nil"/>
              <w:tl2br w:val="nil"/>
              <w:tr2bl w:val="nil"/>
            </w:tcBorders>
            <w:shd w:val="clear" w:color="FFFFFF" w:fill="FFFFFF"/>
            <w:noWrap/>
            <w:tcMar>
              <w:left w:w="101" w:type="dxa"/>
              <w:right w:w="101" w:type="dxa"/>
            </w:tcMar>
          </w:tcPr>
          <w:p w14:paraId="43707092"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4B9B72E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1,488,433</w:t>
            </w:r>
          </w:p>
        </w:tc>
        <w:tc>
          <w:tcPr>
            <w:tcW w:w="1035" w:type="dxa"/>
            <w:tcBorders>
              <w:top w:val="nil"/>
              <w:left w:val="nil"/>
              <w:bottom w:val="nil"/>
              <w:right w:val="nil"/>
              <w:tl2br w:val="nil"/>
              <w:tr2bl w:val="nil"/>
            </w:tcBorders>
            <w:shd w:val="clear" w:color="FFFFFF" w:fill="FFFFFF"/>
            <w:tcMar>
              <w:left w:w="101" w:type="dxa"/>
              <w:right w:w="101" w:type="dxa"/>
            </w:tcMar>
          </w:tcPr>
          <w:p w14:paraId="25939D9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1,606,633</w:t>
            </w:r>
          </w:p>
        </w:tc>
        <w:tc>
          <w:tcPr>
            <w:tcW w:w="600" w:type="dxa"/>
            <w:tcBorders>
              <w:top w:val="nil"/>
              <w:left w:val="nil"/>
              <w:bottom w:val="nil"/>
              <w:right w:val="nil"/>
              <w:tl2br w:val="nil"/>
              <w:tr2bl w:val="nil"/>
            </w:tcBorders>
            <w:shd w:val="clear" w:color="FFFFFF" w:fill="FFFFFF"/>
            <w:tcMar>
              <w:left w:w="101" w:type="dxa"/>
              <w:right w:w="101" w:type="dxa"/>
            </w:tcMar>
          </w:tcPr>
          <w:p w14:paraId="2B10D6D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400E9FB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1,585,097</w:t>
            </w:r>
          </w:p>
        </w:tc>
        <w:tc>
          <w:tcPr>
            <w:tcW w:w="1035" w:type="dxa"/>
            <w:tcBorders>
              <w:top w:val="nil"/>
              <w:left w:val="nil"/>
              <w:bottom w:val="nil"/>
              <w:right w:val="nil"/>
              <w:tl2br w:val="nil"/>
              <w:tr2bl w:val="nil"/>
            </w:tcBorders>
            <w:shd w:val="clear" w:color="FFFFFF" w:fill="FFFFFF"/>
            <w:tcMar>
              <w:left w:w="101" w:type="dxa"/>
              <w:right w:w="101" w:type="dxa"/>
            </w:tcMar>
          </w:tcPr>
          <w:p w14:paraId="0C111BE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1,624,706</w:t>
            </w:r>
          </w:p>
        </w:tc>
        <w:tc>
          <w:tcPr>
            <w:tcW w:w="1035" w:type="dxa"/>
            <w:tcBorders>
              <w:top w:val="nil"/>
              <w:left w:val="nil"/>
              <w:bottom w:val="nil"/>
              <w:right w:val="nil"/>
              <w:tl2br w:val="nil"/>
              <w:tr2bl w:val="nil"/>
            </w:tcBorders>
            <w:shd w:val="clear" w:color="FFFFFF" w:fill="FFFFFF"/>
            <w:tcMar>
              <w:left w:w="101" w:type="dxa"/>
              <w:right w:w="101" w:type="dxa"/>
            </w:tcMar>
          </w:tcPr>
          <w:p w14:paraId="07671A4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1,647,222</w:t>
            </w:r>
          </w:p>
        </w:tc>
      </w:tr>
      <w:tr w:rsidR="009832FC" w:rsidRPr="009832FC" w14:paraId="087243C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CB8A7A2"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3303E04C"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6C0936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4E3E7C8"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63FA5D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2C92BA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A9D632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2F12701"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5FF205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29F112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B6188D7"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77CB761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37F712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5B25DD8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6B092D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4EFEBD5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DB28E0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1F1568B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89AC17"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479B9E16"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80C808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2AB2F94"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C4D22A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636102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31621D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31E5E52"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F82A9C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35F617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1,589,823</w:t>
            </w:r>
          </w:p>
        </w:tc>
        <w:tc>
          <w:tcPr>
            <w:tcW w:w="2385" w:type="dxa"/>
            <w:tcBorders>
              <w:top w:val="nil"/>
              <w:left w:val="nil"/>
              <w:bottom w:val="nil"/>
              <w:right w:val="nil"/>
              <w:tl2br w:val="nil"/>
              <w:tr2bl w:val="nil"/>
            </w:tcBorders>
            <w:shd w:val="clear" w:color="FFFFFF" w:fill="FFFFFF"/>
            <w:noWrap/>
            <w:tcMar>
              <w:left w:w="101" w:type="dxa"/>
              <w:right w:w="101" w:type="dxa"/>
            </w:tcMar>
          </w:tcPr>
          <w:p w14:paraId="4D2BE1E9"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278677E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1,488,433</w:t>
            </w:r>
          </w:p>
        </w:tc>
        <w:tc>
          <w:tcPr>
            <w:tcW w:w="1035" w:type="dxa"/>
            <w:tcBorders>
              <w:top w:val="nil"/>
              <w:left w:val="nil"/>
              <w:bottom w:val="nil"/>
              <w:right w:val="nil"/>
              <w:tl2br w:val="nil"/>
              <w:tr2bl w:val="nil"/>
            </w:tcBorders>
            <w:shd w:val="clear" w:color="FFFFFF" w:fill="FFFFFF"/>
            <w:tcMar>
              <w:left w:w="101" w:type="dxa"/>
              <w:right w:w="101" w:type="dxa"/>
            </w:tcMar>
          </w:tcPr>
          <w:p w14:paraId="6CB2544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1,606,633</w:t>
            </w:r>
          </w:p>
        </w:tc>
        <w:tc>
          <w:tcPr>
            <w:tcW w:w="600" w:type="dxa"/>
            <w:tcBorders>
              <w:top w:val="nil"/>
              <w:left w:val="nil"/>
              <w:bottom w:val="nil"/>
              <w:right w:val="nil"/>
              <w:tl2br w:val="nil"/>
              <w:tr2bl w:val="nil"/>
            </w:tcBorders>
            <w:shd w:val="clear" w:color="FFFFFF" w:fill="FFFFFF"/>
            <w:tcMar>
              <w:left w:w="101" w:type="dxa"/>
              <w:right w:w="101" w:type="dxa"/>
            </w:tcMar>
          </w:tcPr>
          <w:p w14:paraId="1057D13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1402892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1,585,097</w:t>
            </w:r>
          </w:p>
        </w:tc>
        <w:tc>
          <w:tcPr>
            <w:tcW w:w="1035" w:type="dxa"/>
            <w:tcBorders>
              <w:top w:val="nil"/>
              <w:left w:val="nil"/>
              <w:bottom w:val="nil"/>
              <w:right w:val="nil"/>
              <w:tl2br w:val="nil"/>
              <w:tr2bl w:val="nil"/>
            </w:tcBorders>
            <w:shd w:val="clear" w:color="FFFFFF" w:fill="FFFFFF"/>
            <w:tcMar>
              <w:left w:w="101" w:type="dxa"/>
              <w:right w:w="101" w:type="dxa"/>
            </w:tcMar>
          </w:tcPr>
          <w:p w14:paraId="4054199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1,624,706</w:t>
            </w:r>
          </w:p>
        </w:tc>
        <w:tc>
          <w:tcPr>
            <w:tcW w:w="1035" w:type="dxa"/>
            <w:tcBorders>
              <w:top w:val="nil"/>
              <w:left w:val="nil"/>
              <w:bottom w:val="nil"/>
              <w:right w:val="nil"/>
              <w:tl2br w:val="nil"/>
              <w:tr2bl w:val="nil"/>
            </w:tcBorders>
            <w:shd w:val="clear" w:color="FFFFFF" w:fill="FFFFFF"/>
            <w:tcMar>
              <w:left w:w="101" w:type="dxa"/>
              <w:right w:w="101" w:type="dxa"/>
            </w:tcMar>
          </w:tcPr>
          <w:p w14:paraId="7565DAA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1,647,222</w:t>
            </w:r>
          </w:p>
        </w:tc>
      </w:tr>
      <w:tr w:rsidR="009832FC" w:rsidRPr="009832FC" w14:paraId="1B7EB7B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2B871F1"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8F7EFEF"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ABC854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D52E73C"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07DEA3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98E74A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91EFC1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4B9159C"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7C0C6A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75A0014"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2C1E5FF"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63A11C3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6C51745"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21A8B0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F53968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4C1B75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6A374B2"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B2620D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92B7E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1,571,375</w:t>
            </w:r>
          </w:p>
        </w:tc>
        <w:tc>
          <w:tcPr>
            <w:tcW w:w="2385" w:type="dxa"/>
            <w:tcBorders>
              <w:top w:val="nil"/>
              <w:left w:val="nil"/>
              <w:bottom w:val="nil"/>
              <w:right w:val="nil"/>
              <w:tl2br w:val="nil"/>
              <w:tr2bl w:val="nil"/>
            </w:tcBorders>
            <w:shd w:val="clear" w:color="FFFFFF" w:fill="FFFFFF"/>
            <w:noWrap/>
            <w:tcMar>
              <w:left w:w="101" w:type="dxa"/>
              <w:right w:w="101" w:type="dxa"/>
            </w:tcMar>
          </w:tcPr>
          <w:p w14:paraId="7CA6300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E8E245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1,473,415</w:t>
            </w:r>
          </w:p>
        </w:tc>
        <w:tc>
          <w:tcPr>
            <w:tcW w:w="1035" w:type="dxa"/>
            <w:tcBorders>
              <w:top w:val="nil"/>
              <w:left w:val="nil"/>
              <w:bottom w:val="nil"/>
              <w:right w:val="nil"/>
              <w:tl2br w:val="nil"/>
              <w:tr2bl w:val="nil"/>
            </w:tcBorders>
            <w:shd w:val="clear" w:color="FFFFFF" w:fill="FFFFFF"/>
            <w:tcMar>
              <w:left w:w="101" w:type="dxa"/>
              <w:right w:w="101" w:type="dxa"/>
            </w:tcMar>
          </w:tcPr>
          <w:p w14:paraId="7E15BBC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1,586,945</w:t>
            </w:r>
          </w:p>
        </w:tc>
        <w:tc>
          <w:tcPr>
            <w:tcW w:w="600" w:type="dxa"/>
            <w:tcBorders>
              <w:top w:val="nil"/>
              <w:left w:val="nil"/>
              <w:bottom w:val="nil"/>
              <w:right w:val="nil"/>
              <w:tl2br w:val="nil"/>
              <w:tr2bl w:val="nil"/>
            </w:tcBorders>
            <w:shd w:val="clear" w:color="FFFFFF" w:fill="FFFFFF"/>
            <w:tcMar>
              <w:left w:w="101" w:type="dxa"/>
              <w:right w:w="101" w:type="dxa"/>
            </w:tcMar>
          </w:tcPr>
          <w:p w14:paraId="22D0CF4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3FABB91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1,576,603</w:t>
            </w:r>
          </w:p>
        </w:tc>
        <w:tc>
          <w:tcPr>
            <w:tcW w:w="1035" w:type="dxa"/>
            <w:tcBorders>
              <w:top w:val="nil"/>
              <w:left w:val="nil"/>
              <w:bottom w:val="nil"/>
              <w:right w:val="nil"/>
              <w:tl2br w:val="nil"/>
              <w:tr2bl w:val="nil"/>
            </w:tcBorders>
            <w:shd w:val="clear" w:color="FFFFFF" w:fill="FFFFFF"/>
            <w:tcMar>
              <w:left w:w="101" w:type="dxa"/>
              <w:right w:w="101" w:type="dxa"/>
            </w:tcMar>
          </w:tcPr>
          <w:p w14:paraId="39E7B3D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1,615,660</w:t>
            </w:r>
          </w:p>
        </w:tc>
        <w:tc>
          <w:tcPr>
            <w:tcW w:w="1035" w:type="dxa"/>
            <w:tcBorders>
              <w:top w:val="nil"/>
              <w:left w:val="nil"/>
              <w:bottom w:val="nil"/>
              <w:right w:val="nil"/>
              <w:tl2br w:val="nil"/>
              <w:tr2bl w:val="nil"/>
            </w:tcBorders>
            <w:shd w:val="clear" w:color="FFFFFF" w:fill="FFFFFF"/>
            <w:tcMar>
              <w:left w:w="101" w:type="dxa"/>
              <w:right w:w="101" w:type="dxa"/>
            </w:tcMar>
          </w:tcPr>
          <w:p w14:paraId="08EA2F5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1,637,588</w:t>
            </w:r>
          </w:p>
        </w:tc>
      </w:tr>
      <w:tr w:rsidR="009832FC" w:rsidRPr="009832FC" w14:paraId="08082AF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C615C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18,448</w:t>
            </w:r>
          </w:p>
        </w:tc>
        <w:tc>
          <w:tcPr>
            <w:tcW w:w="2385" w:type="dxa"/>
            <w:tcBorders>
              <w:top w:val="nil"/>
              <w:left w:val="nil"/>
              <w:bottom w:val="nil"/>
              <w:right w:val="nil"/>
              <w:tl2br w:val="nil"/>
              <w:tr2bl w:val="nil"/>
            </w:tcBorders>
            <w:shd w:val="clear" w:color="FFFFFF" w:fill="FFFFFF"/>
            <w:noWrap/>
            <w:tcMar>
              <w:left w:w="101" w:type="dxa"/>
              <w:right w:w="101" w:type="dxa"/>
            </w:tcMar>
          </w:tcPr>
          <w:p w14:paraId="6A3EF019"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Payments to ACT Government Agencies</w:t>
            </w:r>
          </w:p>
        </w:tc>
        <w:tc>
          <w:tcPr>
            <w:tcW w:w="1035" w:type="dxa"/>
            <w:tcBorders>
              <w:top w:val="nil"/>
              <w:left w:val="nil"/>
              <w:bottom w:val="nil"/>
              <w:right w:val="nil"/>
              <w:tl2br w:val="nil"/>
              <w:tr2bl w:val="nil"/>
            </w:tcBorders>
            <w:shd w:val="clear" w:color="FFFFFF" w:fill="FFFFFF"/>
            <w:tcMar>
              <w:left w:w="101" w:type="dxa"/>
              <w:right w:w="101" w:type="dxa"/>
            </w:tcMar>
          </w:tcPr>
          <w:p w14:paraId="0B8DE9B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20,020</w:t>
            </w:r>
          </w:p>
        </w:tc>
        <w:tc>
          <w:tcPr>
            <w:tcW w:w="1035" w:type="dxa"/>
            <w:tcBorders>
              <w:top w:val="nil"/>
              <w:left w:val="nil"/>
              <w:bottom w:val="nil"/>
              <w:right w:val="nil"/>
              <w:tl2br w:val="nil"/>
              <w:tr2bl w:val="nil"/>
            </w:tcBorders>
            <w:shd w:val="clear" w:color="FFFFFF" w:fill="FFFFFF"/>
            <w:tcMar>
              <w:left w:w="101" w:type="dxa"/>
              <w:right w:w="101" w:type="dxa"/>
            </w:tcMar>
          </w:tcPr>
          <w:p w14:paraId="5E4CDEC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19,688</w:t>
            </w:r>
          </w:p>
        </w:tc>
        <w:tc>
          <w:tcPr>
            <w:tcW w:w="600" w:type="dxa"/>
            <w:tcBorders>
              <w:top w:val="nil"/>
              <w:left w:val="nil"/>
              <w:bottom w:val="nil"/>
              <w:right w:val="nil"/>
              <w:tl2br w:val="nil"/>
              <w:tr2bl w:val="nil"/>
            </w:tcBorders>
            <w:shd w:val="clear" w:color="FFFFFF" w:fill="FFFFFF"/>
            <w:tcMar>
              <w:left w:w="101" w:type="dxa"/>
              <w:right w:w="101" w:type="dxa"/>
            </w:tcMar>
          </w:tcPr>
          <w:p w14:paraId="460AB64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23FFC10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8,494</w:t>
            </w:r>
          </w:p>
        </w:tc>
        <w:tc>
          <w:tcPr>
            <w:tcW w:w="1035" w:type="dxa"/>
            <w:tcBorders>
              <w:top w:val="nil"/>
              <w:left w:val="nil"/>
              <w:bottom w:val="nil"/>
              <w:right w:val="nil"/>
              <w:tl2br w:val="nil"/>
              <w:tr2bl w:val="nil"/>
            </w:tcBorders>
            <w:shd w:val="clear" w:color="FFFFFF" w:fill="FFFFFF"/>
            <w:tcMar>
              <w:left w:w="101" w:type="dxa"/>
              <w:right w:w="101" w:type="dxa"/>
            </w:tcMar>
          </w:tcPr>
          <w:p w14:paraId="259CC6F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9,046</w:t>
            </w:r>
          </w:p>
        </w:tc>
        <w:tc>
          <w:tcPr>
            <w:tcW w:w="1035" w:type="dxa"/>
            <w:tcBorders>
              <w:top w:val="nil"/>
              <w:left w:val="nil"/>
              <w:bottom w:val="nil"/>
              <w:right w:val="nil"/>
              <w:tl2br w:val="nil"/>
              <w:tr2bl w:val="nil"/>
            </w:tcBorders>
            <w:shd w:val="clear" w:color="FFFFFF" w:fill="FFFFFF"/>
            <w:tcMar>
              <w:left w:w="101" w:type="dxa"/>
              <w:right w:w="101" w:type="dxa"/>
            </w:tcMar>
          </w:tcPr>
          <w:p w14:paraId="0A8AC08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9,634</w:t>
            </w:r>
          </w:p>
        </w:tc>
      </w:tr>
      <w:tr w:rsidR="009832FC" w:rsidRPr="009832FC" w14:paraId="39095AB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C645916"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70BA6C4B"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AD9682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17D0053"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382426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73B140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07B646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C858F3"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BC7471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E8E7E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1,589,823</w:t>
            </w:r>
          </w:p>
        </w:tc>
        <w:tc>
          <w:tcPr>
            <w:tcW w:w="2385" w:type="dxa"/>
            <w:tcBorders>
              <w:top w:val="nil"/>
              <w:left w:val="nil"/>
              <w:bottom w:val="nil"/>
              <w:right w:val="nil"/>
              <w:tl2br w:val="nil"/>
              <w:tr2bl w:val="nil"/>
            </w:tcBorders>
            <w:shd w:val="clear" w:color="FFFFFF" w:fill="FFFFFF"/>
            <w:noWrap/>
            <w:tcMar>
              <w:left w:w="101" w:type="dxa"/>
              <w:right w:w="101" w:type="dxa"/>
            </w:tcMar>
          </w:tcPr>
          <w:p w14:paraId="201489B1"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4EF314C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1,493,435</w:t>
            </w:r>
          </w:p>
        </w:tc>
        <w:tc>
          <w:tcPr>
            <w:tcW w:w="1035" w:type="dxa"/>
            <w:tcBorders>
              <w:top w:val="nil"/>
              <w:left w:val="nil"/>
              <w:bottom w:val="nil"/>
              <w:right w:val="nil"/>
              <w:tl2br w:val="nil"/>
              <w:tr2bl w:val="nil"/>
            </w:tcBorders>
            <w:shd w:val="clear" w:color="FFFFFF" w:fill="FFFFFF"/>
            <w:tcMar>
              <w:left w:w="101" w:type="dxa"/>
              <w:right w:w="101" w:type="dxa"/>
            </w:tcMar>
          </w:tcPr>
          <w:p w14:paraId="5E7203F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1,606,633</w:t>
            </w:r>
          </w:p>
        </w:tc>
        <w:tc>
          <w:tcPr>
            <w:tcW w:w="600" w:type="dxa"/>
            <w:tcBorders>
              <w:top w:val="nil"/>
              <w:left w:val="nil"/>
              <w:bottom w:val="nil"/>
              <w:right w:val="nil"/>
              <w:tl2br w:val="nil"/>
              <w:tr2bl w:val="nil"/>
            </w:tcBorders>
            <w:shd w:val="clear" w:color="FFFFFF" w:fill="FFFFFF"/>
            <w:tcMar>
              <w:left w:w="101" w:type="dxa"/>
              <w:right w:w="101" w:type="dxa"/>
            </w:tcMar>
          </w:tcPr>
          <w:p w14:paraId="570E1DF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53A0C91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1,585,097</w:t>
            </w:r>
          </w:p>
        </w:tc>
        <w:tc>
          <w:tcPr>
            <w:tcW w:w="1035" w:type="dxa"/>
            <w:tcBorders>
              <w:top w:val="nil"/>
              <w:left w:val="nil"/>
              <w:bottom w:val="nil"/>
              <w:right w:val="nil"/>
              <w:tl2br w:val="nil"/>
              <w:tr2bl w:val="nil"/>
            </w:tcBorders>
            <w:shd w:val="clear" w:color="FFFFFF" w:fill="FFFFFF"/>
            <w:tcMar>
              <w:left w:w="101" w:type="dxa"/>
              <w:right w:w="101" w:type="dxa"/>
            </w:tcMar>
          </w:tcPr>
          <w:p w14:paraId="5A4FB6A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1,624,706</w:t>
            </w:r>
          </w:p>
        </w:tc>
        <w:tc>
          <w:tcPr>
            <w:tcW w:w="1035" w:type="dxa"/>
            <w:tcBorders>
              <w:top w:val="nil"/>
              <w:left w:val="nil"/>
              <w:bottom w:val="nil"/>
              <w:right w:val="nil"/>
              <w:tl2br w:val="nil"/>
              <w:tr2bl w:val="nil"/>
            </w:tcBorders>
            <w:shd w:val="clear" w:color="FFFFFF" w:fill="FFFFFF"/>
            <w:tcMar>
              <w:left w:w="101" w:type="dxa"/>
              <w:right w:w="101" w:type="dxa"/>
            </w:tcMar>
          </w:tcPr>
          <w:p w14:paraId="3F1ECDB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1,647,222</w:t>
            </w:r>
          </w:p>
        </w:tc>
      </w:tr>
      <w:tr w:rsidR="009832FC" w:rsidRPr="009832FC" w14:paraId="0E245D9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FF141F"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42B3D02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744B79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44E743"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868DE6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A286F4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C41E58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70FA471"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4F3833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26475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B8B88E7"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630FFDE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-5,002</w:t>
            </w:r>
          </w:p>
        </w:tc>
        <w:tc>
          <w:tcPr>
            <w:tcW w:w="1035" w:type="dxa"/>
            <w:tcBorders>
              <w:top w:val="nil"/>
              <w:left w:val="nil"/>
              <w:bottom w:val="nil"/>
              <w:right w:val="nil"/>
              <w:tl2br w:val="nil"/>
              <w:tr2bl w:val="nil"/>
            </w:tcBorders>
            <w:shd w:val="clear" w:color="FFFFFF" w:fill="FFFFFF"/>
            <w:tcMar>
              <w:left w:w="101" w:type="dxa"/>
              <w:right w:w="101" w:type="dxa"/>
            </w:tcMar>
          </w:tcPr>
          <w:p w14:paraId="778B733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3BD09E1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4D4E85C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86F8C9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4A727B5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0C7C2AD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FCB190" w14:textId="77777777" w:rsidR="009832FC" w:rsidRPr="009832FC" w:rsidRDefault="009832FC" w:rsidP="009832FC">
            <w:pPr>
              <w:spacing w:before="0" w:after="0"/>
              <w:rPr>
                <w:rFonts w:eastAsia="Calibri" w:cs="Calibri"/>
                <w:b/>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7534B514"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213C352"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B38C86D" w14:textId="77777777" w:rsidR="009832FC" w:rsidRPr="009832FC" w:rsidRDefault="009832FC" w:rsidP="009832FC">
            <w:pPr>
              <w:spacing w:before="0" w:after="0"/>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C6DDACF"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D70268A"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2837930"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8CD066C" w14:textId="77777777" w:rsidR="009832FC" w:rsidRPr="009832FC" w:rsidRDefault="009832FC" w:rsidP="009832FC">
            <w:pPr>
              <w:spacing w:before="0" w:after="0"/>
              <w:rPr>
                <w:rFonts w:eastAsia="Calibri" w:cs="Calibri"/>
                <w:b/>
                <w:color w:val="000000"/>
                <w:sz w:val="18"/>
                <w:szCs w:val="24"/>
                <w:lang w:eastAsia="en-AU"/>
              </w:rPr>
            </w:pPr>
          </w:p>
        </w:tc>
      </w:tr>
      <w:tr w:rsidR="009832FC" w:rsidRPr="009832FC" w14:paraId="19964F7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851AA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75C659E"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4EB315E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-5,002</w:t>
            </w:r>
          </w:p>
        </w:tc>
        <w:tc>
          <w:tcPr>
            <w:tcW w:w="1035" w:type="dxa"/>
            <w:tcBorders>
              <w:top w:val="nil"/>
              <w:left w:val="nil"/>
              <w:bottom w:val="nil"/>
              <w:right w:val="nil"/>
              <w:tl2br w:val="nil"/>
              <w:tr2bl w:val="nil"/>
            </w:tcBorders>
            <w:shd w:val="clear" w:color="FFFFFF" w:fill="FFFFFF"/>
            <w:tcMar>
              <w:left w:w="101" w:type="dxa"/>
              <w:right w:w="101" w:type="dxa"/>
            </w:tcMar>
          </w:tcPr>
          <w:p w14:paraId="475CC91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4D9A4BD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35C7FE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7EA4747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6161E5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49F80B5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6733EA1"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7E367B6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B2830B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FE2060C"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3D0EAFD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77D58E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EC932F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7B44642" w14:textId="77777777" w:rsidR="009832FC" w:rsidRPr="009832FC" w:rsidRDefault="009832FC" w:rsidP="009832FC">
            <w:pPr>
              <w:spacing w:before="0" w:after="0"/>
              <w:rPr>
                <w:rFonts w:eastAsia="Calibri" w:cs="Calibri"/>
                <w:color w:val="000000"/>
                <w:sz w:val="18"/>
                <w:szCs w:val="24"/>
                <w:lang w:eastAsia="en-AU"/>
              </w:rPr>
            </w:pPr>
          </w:p>
        </w:tc>
      </w:tr>
    </w:tbl>
    <w:p w14:paraId="4A169AA8" w14:textId="77777777" w:rsidR="00B51DBE" w:rsidRDefault="00B51DBE" w:rsidP="00B51DBE">
      <w:pPr>
        <w:pStyle w:val="Caption"/>
        <w:rPr>
          <w:bdr w:val="nil"/>
        </w:rPr>
      </w:pPr>
    </w:p>
    <w:p w14:paraId="5F110C25" w14:textId="77777777" w:rsidR="00B51DBE" w:rsidRDefault="00B51DBE">
      <w:pPr>
        <w:spacing w:before="0" w:after="0"/>
        <w:rPr>
          <w:b/>
          <w:bCs/>
          <w:color w:val="000000"/>
          <w:sz w:val="22"/>
          <w:szCs w:val="18"/>
          <w:bdr w:val="nil"/>
        </w:rPr>
      </w:pPr>
      <w:r>
        <w:rPr>
          <w:bdr w:val="nil"/>
        </w:rPr>
        <w:br w:type="page"/>
      </w:r>
    </w:p>
    <w:p w14:paraId="4BD91A98" w14:textId="6037FDD0" w:rsidR="009832FC" w:rsidRPr="009832FC" w:rsidRDefault="009832FC" w:rsidP="00B51DBE">
      <w:pPr>
        <w:pStyle w:val="Caption"/>
        <w:rPr>
          <w:bdr w:val="nil"/>
        </w:rPr>
      </w:pPr>
      <w:r w:rsidRPr="009832FC">
        <w:rPr>
          <w:bdr w:val="nil"/>
        </w:rPr>
        <w:lastRenderedPageBreak/>
        <w:t xml:space="preserve">Table 6: ACT Local Hospital Network: Balance Sheet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9832FC" w:rsidRPr="009832FC" w14:paraId="120261A1" w14:textId="77777777" w:rsidTr="00EB585F">
        <w:trPr>
          <w:trHeight w:val="94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2DE265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Budget</w:t>
            </w:r>
          </w:p>
          <w:p w14:paraId="7F70B6E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2224E48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30/6/21 </w:t>
            </w:r>
          </w:p>
          <w:p w14:paraId="7C60D72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2A2ADC85"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95A9CC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Interim</w:t>
            </w:r>
          </w:p>
          <w:p w14:paraId="343D5C8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Outcome at</w:t>
            </w:r>
          </w:p>
          <w:p w14:paraId="31147A6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30/06/21</w:t>
            </w:r>
          </w:p>
          <w:p w14:paraId="79A8411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6D7003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Budget</w:t>
            </w:r>
          </w:p>
          <w:p w14:paraId="4130934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7F8FCFD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30/6/22 </w:t>
            </w:r>
          </w:p>
          <w:p w14:paraId="4B24F69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41410E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Var</w:t>
            </w:r>
          </w:p>
          <w:p w14:paraId="70DA8F1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BB15A2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2DDB4A9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50C8D82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30/6/23 </w:t>
            </w:r>
          </w:p>
          <w:p w14:paraId="4418EF1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B9A060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2EE6E46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6AD45E4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30/6/24 </w:t>
            </w:r>
          </w:p>
          <w:p w14:paraId="7031284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8E3E47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49C0A8F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7F1F99C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30/6/25 </w:t>
            </w:r>
          </w:p>
          <w:p w14:paraId="7A5B0CA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r>
      <w:tr w:rsidR="009832FC" w:rsidRPr="009832FC" w14:paraId="5A249B9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0681F0E" w14:textId="77777777" w:rsidR="009832FC" w:rsidRPr="009832FC" w:rsidRDefault="009832FC" w:rsidP="009832FC">
            <w:pPr>
              <w:spacing w:before="0" w:after="0"/>
              <w:jc w:val="right"/>
              <w:rPr>
                <w:rFonts w:eastAsia="Calibri" w:cs="Calibri"/>
                <w:b/>
                <w:i/>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57C0D17"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30EFD40"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1167CEF"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6C399E3"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8F39B17"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491A47C"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2600ECD"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6D6E3AE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712CB8"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15CD7247"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05A5C2B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32AE348"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F5E18F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7F0DDC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E79D70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33B851C"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003DEC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8D7289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313D970E"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22D8B84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2,178</w:t>
            </w:r>
          </w:p>
        </w:tc>
        <w:tc>
          <w:tcPr>
            <w:tcW w:w="1035" w:type="dxa"/>
            <w:tcBorders>
              <w:top w:val="nil"/>
              <w:left w:val="nil"/>
              <w:bottom w:val="nil"/>
              <w:right w:val="nil"/>
              <w:tl2br w:val="nil"/>
              <w:tr2bl w:val="nil"/>
            </w:tcBorders>
            <w:shd w:val="clear" w:color="FFFFFF" w:fill="FFFFFF"/>
            <w:tcMar>
              <w:left w:w="101" w:type="dxa"/>
              <w:right w:w="101" w:type="dxa"/>
            </w:tcMar>
          </w:tcPr>
          <w:p w14:paraId="6F22142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2,178</w:t>
            </w:r>
          </w:p>
        </w:tc>
        <w:tc>
          <w:tcPr>
            <w:tcW w:w="600" w:type="dxa"/>
            <w:tcBorders>
              <w:top w:val="nil"/>
              <w:left w:val="nil"/>
              <w:bottom w:val="nil"/>
              <w:right w:val="nil"/>
              <w:tl2br w:val="nil"/>
              <w:tr2bl w:val="nil"/>
            </w:tcBorders>
            <w:shd w:val="clear" w:color="FFFFFF" w:fill="FFFFFF"/>
            <w:tcMar>
              <w:left w:w="101" w:type="dxa"/>
              <w:right w:w="101" w:type="dxa"/>
            </w:tcMar>
          </w:tcPr>
          <w:p w14:paraId="096BAA8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27ADEA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2,178</w:t>
            </w:r>
          </w:p>
        </w:tc>
        <w:tc>
          <w:tcPr>
            <w:tcW w:w="1035" w:type="dxa"/>
            <w:tcBorders>
              <w:top w:val="nil"/>
              <w:left w:val="nil"/>
              <w:bottom w:val="nil"/>
              <w:right w:val="nil"/>
              <w:tl2br w:val="nil"/>
              <w:tr2bl w:val="nil"/>
            </w:tcBorders>
            <w:shd w:val="clear" w:color="FFFFFF" w:fill="FFFFFF"/>
            <w:tcMar>
              <w:left w:w="101" w:type="dxa"/>
              <w:right w:w="101" w:type="dxa"/>
            </w:tcMar>
          </w:tcPr>
          <w:p w14:paraId="3EBBA68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2,178</w:t>
            </w:r>
          </w:p>
        </w:tc>
        <w:tc>
          <w:tcPr>
            <w:tcW w:w="1035" w:type="dxa"/>
            <w:tcBorders>
              <w:top w:val="nil"/>
              <w:left w:val="nil"/>
              <w:bottom w:val="nil"/>
              <w:right w:val="nil"/>
              <w:tl2br w:val="nil"/>
              <w:tr2bl w:val="nil"/>
            </w:tcBorders>
            <w:shd w:val="clear" w:color="FFFFFF" w:fill="FFFFFF"/>
            <w:tcMar>
              <w:left w:w="101" w:type="dxa"/>
              <w:right w:w="101" w:type="dxa"/>
            </w:tcMar>
          </w:tcPr>
          <w:p w14:paraId="3FF11D7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2,178</w:t>
            </w:r>
          </w:p>
        </w:tc>
      </w:tr>
      <w:tr w:rsidR="009832FC" w:rsidRPr="009832FC" w14:paraId="58EF262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85765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63,831</w:t>
            </w:r>
          </w:p>
        </w:tc>
        <w:tc>
          <w:tcPr>
            <w:tcW w:w="2385" w:type="dxa"/>
            <w:tcBorders>
              <w:top w:val="nil"/>
              <w:left w:val="nil"/>
              <w:bottom w:val="nil"/>
              <w:right w:val="nil"/>
              <w:tl2br w:val="nil"/>
              <w:tr2bl w:val="nil"/>
            </w:tcBorders>
            <w:shd w:val="clear" w:color="auto" w:fill="auto"/>
            <w:noWrap/>
            <w:tcMar>
              <w:left w:w="101" w:type="dxa"/>
              <w:right w:w="101" w:type="dxa"/>
            </w:tcMar>
          </w:tcPr>
          <w:p w14:paraId="4E1ACF56"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7590F24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61,953</w:t>
            </w:r>
          </w:p>
        </w:tc>
        <w:tc>
          <w:tcPr>
            <w:tcW w:w="1035" w:type="dxa"/>
            <w:tcBorders>
              <w:top w:val="nil"/>
              <w:left w:val="nil"/>
              <w:bottom w:val="nil"/>
              <w:right w:val="nil"/>
              <w:tl2br w:val="nil"/>
              <w:tr2bl w:val="nil"/>
            </w:tcBorders>
            <w:shd w:val="clear" w:color="FFFFFF" w:fill="FFFFFF"/>
            <w:tcMar>
              <w:left w:w="101" w:type="dxa"/>
              <w:right w:w="101" w:type="dxa"/>
            </w:tcMar>
          </w:tcPr>
          <w:p w14:paraId="54AA838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61,953</w:t>
            </w:r>
          </w:p>
        </w:tc>
        <w:tc>
          <w:tcPr>
            <w:tcW w:w="600" w:type="dxa"/>
            <w:tcBorders>
              <w:top w:val="nil"/>
              <w:left w:val="nil"/>
              <w:bottom w:val="nil"/>
              <w:right w:val="nil"/>
              <w:tl2br w:val="nil"/>
              <w:tr2bl w:val="nil"/>
            </w:tcBorders>
            <w:shd w:val="clear" w:color="FFFFFF" w:fill="FFFFFF"/>
            <w:tcMar>
              <w:left w:w="101" w:type="dxa"/>
              <w:right w:w="101" w:type="dxa"/>
            </w:tcMar>
          </w:tcPr>
          <w:p w14:paraId="2C858D4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A8949C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61,953</w:t>
            </w:r>
          </w:p>
        </w:tc>
        <w:tc>
          <w:tcPr>
            <w:tcW w:w="1035" w:type="dxa"/>
            <w:tcBorders>
              <w:top w:val="nil"/>
              <w:left w:val="nil"/>
              <w:bottom w:val="nil"/>
              <w:right w:val="nil"/>
              <w:tl2br w:val="nil"/>
              <w:tr2bl w:val="nil"/>
            </w:tcBorders>
            <w:shd w:val="clear" w:color="FFFFFF" w:fill="FFFFFF"/>
            <w:tcMar>
              <w:left w:w="101" w:type="dxa"/>
              <w:right w:w="101" w:type="dxa"/>
            </w:tcMar>
          </w:tcPr>
          <w:p w14:paraId="1FDF927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61,953</w:t>
            </w:r>
          </w:p>
        </w:tc>
        <w:tc>
          <w:tcPr>
            <w:tcW w:w="1035" w:type="dxa"/>
            <w:tcBorders>
              <w:top w:val="nil"/>
              <w:left w:val="nil"/>
              <w:bottom w:val="nil"/>
              <w:right w:val="nil"/>
              <w:tl2br w:val="nil"/>
              <w:tr2bl w:val="nil"/>
            </w:tcBorders>
            <w:shd w:val="clear" w:color="FFFFFF" w:fill="FFFFFF"/>
            <w:tcMar>
              <w:left w:w="101" w:type="dxa"/>
              <w:right w:w="101" w:type="dxa"/>
            </w:tcMar>
          </w:tcPr>
          <w:p w14:paraId="5F0188E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61,953</w:t>
            </w:r>
          </w:p>
        </w:tc>
      </w:tr>
      <w:tr w:rsidR="009832FC" w:rsidRPr="009832FC" w14:paraId="1FF90D4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9733CD"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8AB41EC"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D0CDDA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19FAD6D"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5CD081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5BB230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73ACB5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59854C6"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A169C3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7FB62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63,831</w:t>
            </w:r>
          </w:p>
        </w:tc>
        <w:tc>
          <w:tcPr>
            <w:tcW w:w="2385" w:type="dxa"/>
            <w:tcBorders>
              <w:top w:val="nil"/>
              <w:left w:val="nil"/>
              <w:bottom w:val="nil"/>
              <w:right w:val="nil"/>
              <w:tl2br w:val="nil"/>
              <w:tr2bl w:val="nil"/>
            </w:tcBorders>
            <w:shd w:val="clear" w:color="FFFFFF" w:fill="FFFFFF"/>
            <w:tcMar>
              <w:left w:w="101" w:type="dxa"/>
              <w:right w:w="101" w:type="dxa"/>
            </w:tcMar>
          </w:tcPr>
          <w:p w14:paraId="2E7C1A6A"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6A0E0DF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64,131</w:t>
            </w:r>
          </w:p>
        </w:tc>
        <w:tc>
          <w:tcPr>
            <w:tcW w:w="1035" w:type="dxa"/>
            <w:tcBorders>
              <w:top w:val="nil"/>
              <w:left w:val="nil"/>
              <w:bottom w:val="nil"/>
              <w:right w:val="nil"/>
              <w:tl2br w:val="nil"/>
              <w:tr2bl w:val="nil"/>
            </w:tcBorders>
            <w:shd w:val="clear" w:color="FFFFFF" w:fill="FFFFFF"/>
            <w:tcMar>
              <w:left w:w="101" w:type="dxa"/>
              <w:right w:w="101" w:type="dxa"/>
            </w:tcMar>
          </w:tcPr>
          <w:p w14:paraId="383B15E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64,131</w:t>
            </w:r>
          </w:p>
        </w:tc>
        <w:tc>
          <w:tcPr>
            <w:tcW w:w="600" w:type="dxa"/>
            <w:tcBorders>
              <w:top w:val="nil"/>
              <w:left w:val="nil"/>
              <w:bottom w:val="nil"/>
              <w:right w:val="nil"/>
              <w:tl2br w:val="nil"/>
              <w:tr2bl w:val="nil"/>
            </w:tcBorders>
            <w:shd w:val="clear" w:color="FFFFFF" w:fill="FFFFFF"/>
            <w:tcMar>
              <w:left w:w="101" w:type="dxa"/>
              <w:right w:w="101" w:type="dxa"/>
            </w:tcMar>
          </w:tcPr>
          <w:p w14:paraId="4DC2F4F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B3D53B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64,131</w:t>
            </w:r>
          </w:p>
        </w:tc>
        <w:tc>
          <w:tcPr>
            <w:tcW w:w="1035" w:type="dxa"/>
            <w:tcBorders>
              <w:top w:val="nil"/>
              <w:left w:val="nil"/>
              <w:bottom w:val="nil"/>
              <w:right w:val="nil"/>
              <w:tl2br w:val="nil"/>
              <w:tr2bl w:val="nil"/>
            </w:tcBorders>
            <w:shd w:val="clear" w:color="FFFFFF" w:fill="FFFFFF"/>
            <w:tcMar>
              <w:left w:w="101" w:type="dxa"/>
              <w:right w:w="101" w:type="dxa"/>
            </w:tcMar>
          </w:tcPr>
          <w:p w14:paraId="0AC284F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64,131</w:t>
            </w:r>
          </w:p>
        </w:tc>
        <w:tc>
          <w:tcPr>
            <w:tcW w:w="1035" w:type="dxa"/>
            <w:tcBorders>
              <w:top w:val="nil"/>
              <w:left w:val="nil"/>
              <w:bottom w:val="nil"/>
              <w:right w:val="nil"/>
              <w:tl2br w:val="nil"/>
              <w:tr2bl w:val="nil"/>
            </w:tcBorders>
            <w:shd w:val="clear" w:color="FFFFFF" w:fill="FFFFFF"/>
            <w:tcMar>
              <w:left w:w="101" w:type="dxa"/>
              <w:right w:w="101" w:type="dxa"/>
            </w:tcMar>
          </w:tcPr>
          <w:p w14:paraId="637351D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64,131</w:t>
            </w:r>
          </w:p>
        </w:tc>
      </w:tr>
      <w:tr w:rsidR="009832FC" w:rsidRPr="009832FC" w14:paraId="5569C17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73A2ED"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5F3E39BC"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139C0C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FA495B0"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80F583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FB89A5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806ADD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347D2AA"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39DC97F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30AA4E"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470260A1"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4141E8B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889815C"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E3467D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B80462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310E02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972F2E2"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4369453"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BF1D6C"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4D89CA3"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4FE025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FAC975F"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B381A9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25FD45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160DE4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C3BFBC5"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69BB72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CE5133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2385" w:type="dxa"/>
            <w:tcBorders>
              <w:top w:val="nil"/>
              <w:left w:val="nil"/>
              <w:bottom w:val="nil"/>
              <w:right w:val="nil"/>
              <w:tl2br w:val="nil"/>
              <w:tr2bl w:val="nil"/>
            </w:tcBorders>
            <w:shd w:val="clear" w:color="FFFFFF" w:fill="FFFFFF"/>
            <w:tcMar>
              <w:left w:w="101" w:type="dxa"/>
              <w:right w:w="101" w:type="dxa"/>
            </w:tcMar>
          </w:tcPr>
          <w:p w14:paraId="1B1FD1E5" w14:textId="79F8BB90"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 xml:space="preserve">Total </w:t>
            </w:r>
            <w:r w:rsidR="00F54F3E" w:rsidRPr="009832FC">
              <w:rPr>
                <w:rFonts w:eastAsia="Calibri" w:cs="Calibri"/>
                <w:b/>
                <w:color w:val="000000"/>
                <w:sz w:val="18"/>
                <w:szCs w:val="24"/>
                <w:lang w:eastAsia="en-AU"/>
              </w:rPr>
              <w:t>Non-Current</w:t>
            </w:r>
            <w:r w:rsidRPr="009832FC">
              <w:rPr>
                <w:rFonts w:eastAsia="Calibri" w:cs="Calibri"/>
                <w:b/>
                <w:color w:val="000000"/>
                <w:sz w:val="18"/>
                <w:szCs w:val="24"/>
                <w:lang w:eastAsia="en-AU"/>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2EC403A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0CCDFC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3EB0D0E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04ABC9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E3250D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B54FDD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4976F71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ECEA2B8"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18454C3B"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58A2FA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153DB30"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90C840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031ADE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CE8401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4EFAAC5"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7BECA9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F14D8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63,831</w:t>
            </w:r>
          </w:p>
        </w:tc>
        <w:tc>
          <w:tcPr>
            <w:tcW w:w="2385" w:type="dxa"/>
            <w:tcBorders>
              <w:top w:val="nil"/>
              <w:left w:val="nil"/>
              <w:bottom w:val="nil"/>
              <w:right w:val="nil"/>
              <w:tl2br w:val="nil"/>
              <w:tr2bl w:val="nil"/>
            </w:tcBorders>
            <w:shd w:val="clear" w:color="FFFFFF" w:fill="FFFFFF"/>
            <w:tcMar>
              <w:left w:w="101" w:type="dxa"/>
              <w:right w:w="101" w:type="dxa"/>
            </w:tcMar>
          </w:tcPr>
          <w:p w14:paraId="0B37DB4F"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78E5201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64,131</w:t>
            </w:r>
          </w:p>
        </w:tc>
        <w:tc>
          <w:tcPr>
            <w:tcW w:w="1035" w:type="dxa"/>
            <w:tcBorders>
              <w:top w:val="nil"/>
              <w:left w:val="nil"/>
              <w:bottom w:val="nil"/>
              <w:right w:val="nil"/>
              <w:tl2br w:val="nil"/>
              <w:tr2bl w:val="nil"/>
            </w:tcBorders>
            <w:shd w:val="clear" w:color="FFFFFF" w:fill="FFFFFF"/>
            <w:tcMar>
              <w:left w:w="101" w:type="dxa"/>
              <w:right w:w="101" w:type="dxa"/>
            </w:tcMar>
          </w:tcPr>
          <w:p w14:paraId="090C192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64,131</w:t>
            </w:r>
          </w:p>
        </w:tc>
        <w:tc>
          <w:tcPr>
            <w:tcW w:w="600" w:type="dxa"/>
            <w:tcBorders>
              <w:top w:val="nil"/>
              <w:left w:val="nil"/>
              <w:bottom w:val="nil"/>
              <w:right w:val="nil"/>
              <w:tl2br w:val="nil"/>
              <w:tr2bl w:val="nil"/>
            </w:tcBorders>
            <w:shd w:val="clear" w:color="FFFFFF" w:fill="FFFFFF"/>
            <w:tcMar>
              <w:left w:w="101" w:type="dxa"/>
              <w:right w:w="101" w:type="dxa"/>
            </w:tcMar>
          </w:tcPr>
          <w:p w14:paraId="302C984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9DB73E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64,131</w:t>
            </w:r>
          </w:p>
        </w:tc>
        <w:tc>
          <w:tcPr>
            <w:tcW w:w="1035" w:type="dxa"/>
            <w:tcBorders>
              <w:top w:val="nil"/>
              <w:left w:val="nil"/>
              <w:bottom w:val="nil"/>
              <w:right w:val="nil"/>
              <w:tl2br w:val="nil"/>
              <w:tr2bl w:val="nil"/>
            </w:tcBorders>
            <w:shd w:val="clear" w:color="FFFFFF" w:fill="FFFFFF"/>
            <w:tcMar>
              <w:left w:w="101" w:type="dxa"/>
              <w:right w:w="101" w:type="dxa"/>
            </w:tcMar>
          </w:tcPr>
          <w:p w14:paraId="32F9312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64,131</w:t>
            </w:r>
          </w:p>
        </w:tc>
        <w:tc>
          <w:tcPr>
            <w:tcW w:w="1035" w:type="dxa"/>
            <w:tcBorders>
              <w:top w:val="nil"/>
              <w:left w:val="nil"/>
              <w:bottom w:val="nil"/>
              <w:right w:val="nil"/>
              <w:tl2br w:val="nil"/>
              <w:tr2bl w:val="nil"/>
            </w:tcBorders>
            <w:shd w:val="clear" w:color="FFFFFF" w:fill="FFFFFF"/>
            <w:tcMar>
              <w:left w:w="101" w:type="dxa"/>
              <w:right w:w="101" w:type="dxa"/>
            </w:tcMar>
          </w:tcPr>
          <w:p w14:paraId="1CDFFB7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64,131</w:t>
            </w:r>
          </w:p>
        </w:tc>
      </w:tr>
      <w:tr w:rsidR="009832FC" w:rsidRPr="009832FC" w14:paraId="0935C7D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D6ECBD6"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E8EA770"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1BA2D3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E661D74"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E84CFF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82C2FD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23452E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C5C3A4F"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0846D7B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F41109F"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2E278B77"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3E1E16B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3596290"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726F51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C9672B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2BAAE4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EBC48EF"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782E87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CD2CC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38,969</w:t>
            </w:r>
          </w:p>
        </w:tc>
        <w:tc>
          <w:tcPr>
            <w:tcW w:w="2385" w:type="dxa"/>
            <w:tcBorders>
              <w:top w:val="nil"/>
              <w:left w:val="nil"/>
              <w:bottom w:val="nil"/>
              <w:right w:val="nil"/>
              <w:tl2br w:val="nil"/>
              <w:tr2bl w:val="nil"/>
            </w:tcBorders>
            <w:shd w:val="clear" w:color="FFFFFF" w:fill="FFFFFF"/>
            <w:noWrap/>
            <w:tcMar>
              <w:left w:w="101" w:type="dxa"/>
              <w:right w:w="101" w:type="dxa"/>
            </w:tcMar>
          </w:tcPr>
          <w:p w14:paraId="7A3B2D06"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4B3B268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41,687</w:t>
            </w:r>
          </w:p>
        </w:tc>
        <w:tc>
          <w:tcPr>
            <w:tcW w:w="1035" w:type="dxa"/>
            <w:tcBorders>
              <w:top w:val="nil"/>
              <w:left w:val="nil"/>
              <w:bottom w:val="nil"/>
              <w:right w:val="nil"/>
              <w:tl2br w:val="nil"/>
              <w:tr2bl w:val="nil"/>
            </w:tcBorders>
            <w:shd w:val="clear" w:color="FFFFFF" w:fill="FFFFFF"/>
            <w:tcMar>
              <w:left w:w="101" w:type="dxa"/>
              <w:right w:w="101" w:type="dxa"/>
            </w:tcMar>
          </w:tcPr>
          <w:p w14:paraId="37410F4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41,687</w:t>
            </w:r>
          </w:p>
        </w:tc>
        <w:tc>
          <w:tcPr>
            <w:tcW w:w="600" w:type="dxa"/>
            <w:tcBorders>
              <w:top w:val="nil"/>
              <w:left w:val="nil"/>
              <w:bottom w:val="nil"/>
              <w:right w:val="nil"/>
              <w:tl2br w:val="nil"/>
              <w:tr2bl w:val="nil"/>
            </w:tcBorders>
            <w:shd w:val="clear" w:color="FFFFFF" w:fill="FFFFFF"/>
            <w:tcMar>
              <w:left w:w="101" w:type="dxa"/>
              <w:right w:w="101" w:type="dxa"/>
            </w:tcMar>
          </w:tcPr>
          <w:p w14:paraId="55F436F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4EE6F1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41,687</w:t>
            </w:r>
          </w:p>
        </w:tc>
        <w:tc>
          <w:tcPr>
            <w:tcW w:w="1035" w:type="dxa"/>
            <w:tcBorders>
              <w:top w:val="nil"/>
              <w:left w:val="nil"/>
              <w:bottom w:val="nil"/>
              <w:right w:val="nil"/>
              <w:tl2br w:val="nil"/>
              <w:tr2bl w:val="nil"/>
            </w:tcBorders>
            <w:shd w:val="clear" w:color="FFFFFF" w:fill="FFFFFF"/>
            <w:tcMar>
              <w:left w:w="101" w:type="dxa"/>
              <w:right w:w="101" w:type="dxa"/>
            </w:tcMar>
          </w:tcPr>
          <w:p w14:paraId="1A287D6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41,687</w:t>
            </w:r>
          </w:p>
        </w:tc>
        <w:tc>
          <w:tcPr>
            <w:tcW w:w="1035" w:type="dxa"/>
            <w:tcBorders>
              <w:top w:val="nil"/>
              <w:left w:val="nil"/>
              <w:bottom w:val="nil"/>
              <w:right w:val="nil"/>
              <w:tl2br w:val="nil"/>
              <w:tr2bl w:val="nil"/>
            </w:tcBorders>
            <w:shd w:val="clear" w:color="FFFFFF" w:fill="FFFFFF"/>
            <w:tcMar>
              <w:left w:w="101" w:type="dxa"/>
              <w:right w:w="101" w:type="dxa"/>
            </w:tcMar>
          </w:tcPr>
          <w:p w14:paraId="1E5FAD2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41,687</w:t>
            </w:r>
          </w:p>
        </w:tc>
      </w:tr>
      <w:tr w:rsidR="009832FC" w:rsidRPr="009832FC" w14:paraId="46F0B9B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1C1C2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56FF91A"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3B42F7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2,584</w:t>
            </w:r>
          </w:p>
        </w:tc>
        <w:tc>
          <w:tcPr>
            <w:tcW w:w="1035" w:type="dxa"/>
            <w:tcBorders>
              <w:top w:val="nil"/>
              <w:left w:val="nil"/>
              <w:bottom w:val="nil"/>
              <w:right w:val="nil"/>
              <w:tl2br w:val="nil"/>
              <w:tr2bl w:val="nil"/>
            </w:tcBorders>
            <w:shd w:val="clear" w:color="FFFFFF" w:fill="FFFFFF"/>
            <w:tcMar>
              <w:left w:w="101" w:type="dxa"/>
              <w:right w:w="101" w:type="dxa"/>
            </w:tcMar>
          </w:tcPr>
          <w:p w14:paraId="728EAE7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2,584</w:t>
            </w:r>
          </w:p>
        </w:tc>
        <w:tc>
          <w:tcPr>
            <w:tcW w:w="600" w:type="dxa"/>
            <w:tcBorders>
              <w:top w:val="nil"/>
              <w:left w:val="nil"/>
              <w:bottom w:val="nil"/>
              <w:right w:val="nil"/>
              <w:tl2br w:val="nil"/>
              <w:tr2bl w:val="nil"/>
            </w:tcBorders>
            <w:shd w:val="clear" w:color="FFFFFF" w:fill="FFFFFF"/>
            <w:tcMar>
              <w:left w:w="101" w:type="dxa"/>
              <w:right w:w="101" w:type="dxa"/>
            </w:tcMar>
          </w:tcPr>
          <w:p w14:paraId="66C8063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2A23C2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2,584</w:t>
            </w:r>
          </w:p>
        </w:tc>
        <w:tc>
          <w:tcPr>
            <w:tcW w:w="1035" w:type="dxa"/>
            <w:tcBorders>
              <w:top w:val="nil"/>
              <w:left w:val="nil"/>
              <w:bottom w:val="nil"/>
              <w:right w:val="nil"/>
              <w:tl2br w:val="nil"/>
              <w:tr2bl w:val="nil"/>
            </w:tcBorders>
            <w:shd w:val="clear" w:color="FFFFFF" w:fill="FFFFFF"/>
            <w:tcMar>
              <w:left w:w="101" w:type="dxa"/>
              <w:right w:w="101" w:type="dxa"/>
            </w:tcMar>
          </w:tcPr>
          <w:p w14:paraId="44E9658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2,584</w:t>
            </w:r>
          </w:p>
        </w:tc>
        <w:tc>
          <w:tcPr>
            <w:tcW w:w="1035" w:type="dxa"/>
            <w:tcBorders>
              <w:top w:val="nil"/>
              <w:left w:val="nil"/>
              <w:bottom w:val="nil"/>
              <w:right w:val="nil"/>
              <w:tl2br w:val="nil"/>
              <w:tr2bl w:val="nil"/>
            </w:tcBorders>
            <w:shd w:val="clear" w:color="FFFFFF" w:fill="FFFFFF"/>
            <w:tcMar>
              <w:left w:w="101" w:type="dxa"/>
              <w:right w:w="101" w:type="dxa"/>
            </w:tcMar>
          </w:tcPr>
          <w:p w14:paraId="48E9A87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2,584</w:t>
            </w:r>
          </w:p>
        </w:tc>
      </w:tr>
      <w:tr w:rsidR="009832FC" w:rsidRPr="009832FC" w14:paraId="5FF1EBC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109AB0"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40B0E2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72BD60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7BF744E"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6DDCE8B"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6498E2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DF37F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4732226"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7C8BB97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EEF720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38,969</w:t>
            </w:r>
          </w:p>
        </w:tc>
        <w:tc>
          <w:tcPr>
            <w:tcW w:w="2385" w:type="dxa"/>
            <w:tcBorders>
              <w:top w:val="nil"/>
              <w:left w:val="nil"/>
              <w:bottom w:val="nil"/>
              <w:right w:val="nil"/>
              <w:tl2br w:val="nil"/>
              <w:tr2bl w:val="nil"/>
            </w:tcBorders>
            <w:shd w:val="clear" w:color="FFFFFF" w:fill="FFFFFF"/>
            <w:tcMar>
              <w:left w:w="101" w:type="dxa"/>
              <w:right w:w="101" w:type="dxa"/>
            </w:tcMar>
          </w:tcPr>
          <w:p w14:paraId="22F59776"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42C0507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44,271</w:t>
            </w:r>
          </w:p>
        </w:tc>
        <w:tc>
          <w:tcPr>
            <w:tcW w:w="1035" w:type="dxa"/>
            <w:tcBorders>
              <w:top w:val="nil"/>
              <w:left w:val="nil"/>
              <w:bottom w:val="nil"/>
              <w:right w:val="nil"/>
              <w:tl2br w:val="nil"/>
              <w:tr2bl w:val="nil"/>
            </w:tcBorders>
            <w:shd w:val="clear" w:color="FFFFFF" w:fill="FFFFFF"/>
            <w:noWrap/>
            <w:tcMar>
              <w:left w:w="101" w:type="dxa"/>
              <w:right w:w="101" w:type="dxa"/>
            </w:tcMar>
          </w:tcPr>
          <w:p w14:paraId="66DB29A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44,271</w:t>
            </w:r>
          </w:p>
        </w:tc>
        <w:tc>
          <w:tcPr>
            <w:tcW w:w="600" w:type="dxa"/>
            <w:tcBorders>
              <w:top w:val="nil"/>
              <w:left w:val="nil"/>
              <w:bottom w:val="nil"/>
              <w:right w:val="nil"/>
              <w:tl2br w:val="nil"/>
              <w:tr2bl w:val="nil"/>
            </w:tcBorders>
            <w:shd w:val="clear" w:color="FFFFFF" w:fill="FFFFFF"/>
            <w:tcMar>
              <w:left w:w="101" w:type="dxa"/>
              <w:right w:w="101" w:type="dxa"/>
            </w:tcMar>
          </w:tcPr>
          <w:p w14:paraId="00DA291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C67120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44,271</w:t>
            </w:r>
          </w:p>
        </w:tc>
        <w:tc>
          <w:tcPr>
            <w:tcW w:w="1035" w:type="dxa"/>
            <w:tcBorders>
              <w:top w:val="nil"/>
              <w:left w:val="nil"/>
              <w:bottom w:val="nil"/>
              <w:right w:val="nil"/>
              <w:tl2br w:val="nil"/>
              <w:tr2bl w:val="nil"/>
            </w:tcBorders>
            <w:shd w:val="clear" w:color="FFFFFF" w:fill="FFFFFF"/>
            <w:noWrap/>
            <w:tcMar>
              <w:left w:w="101" w:type="dxa"/>
              <w:right w:w="101" w:type="dxa"/>
            </w:tcMar>
          </w:tcPr>
          <w:p w14:paraId="292B52A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44,271</w:t>
            </w:r>
          </w:p>
        </w:tc>
        <w:tc>
          <w:tcPr>
            <w:tcW w:w="1035" w:type="dxa"/>
            <w:tcBorders>
              <w:top w:val="nil"/>
              <w:left w:val="nil"/>
              <w:bottom w:val="nil"/>
              <w:right w:val="nil"/>
              <w:tl2br w:val="nil"/>
              <w:tr2bl w:val="nil"/>
            </w:tcBorders>
            <w:shd w:val="clear" w:color="FFFFFF" w:fill="FFFFFF"/>
            <w:noWrap/>
            <w:tcMar>
              <w:left w:w="101" w:type="dxa"/>
              <w:right w:w="101" w:type="dxa"/>
            </w:tcMar>
          </w:tcPr>
          <w:p w14:paraId="7E0E101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44,271</w:t>
            </w:r>
          </w:p>
        </w:tc>
      </w:tr>
      <w:tr w:rsidR="009832FC" w:rsidRPr="009832FC" w14:paraId="72B9A13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55E65D"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55734E2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38B371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ECD5B46"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733782D"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C9637D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9E8A5E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D320369"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40D8391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6AC586"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592879F9"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00DC2C9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9A64165"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A277232"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654B77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B0F943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FB57F10"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7E425C5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121A1E"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B80BBAD"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4ACC05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25B2040"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CF0E08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FE2C4D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9A5E9C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D0685A7"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587523C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2DE500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2385" w:type="dxa"/>
            <w:tcBorders>
              <w:top w:val="nil"/>
              <w:left w:val="nil"/>
              <w:bottom w:val="nil"/>
              <w:right w:val="nil"/>
              <w:tl2br w:val="nil"/>
              <w:tr2bl w:val="nil"/>
            </w:tcBorders>
            <w:shd w:val="clear" w:color="FFFFFF" w:fill="FFFFFF"/>
            <w:tcMar>
              <w:left w:w="101" w:type="dxa"/>
              <w:right w:w="101" w:type="dxa"/>
            </w:tcMar>
          </w:tcPr>
          <w:p w14:paraId="35AFDF5A"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71840E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87DF8F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53C5E86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A71F09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026BE2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959789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4F99867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EB90F2"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0824581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5549C2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9F7AC02"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D8E9DC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3476EA0"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66BC4B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66A374"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3F3E62D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FC8374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38,969</w:t>
            </w:r>
          </w:p>
        </w:tc>
        <w:tc>
          <w:tcPr>
            <w:tcW w:w="2385" w:type="dxa"/>
            <w:tcBorders>
              <w:top w:val="nil"/>
              <w:left w:val="nil"/>
              <w:bottom w:val="nil"/>
              <w:right w:val="nil"/>
              <w:tl2br w:val="nil"/>
              <w:tr2bl w:val="nil"/>
            </w:tcBorders>
            <w:shd w:val="clear" w:color="FFFFFF" w:fill="FFFFFF"/>
            <w:tcMar>
              <w:left w:w="101" w:type="dxa"/>
              <w:right w:w="101" w:type="dxa"/>
            </w:tcMar>
          </w:tcPr>
          <w:p w14:paraId="4EFE8E64"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6A9711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44,271</w:t>
            </w:r>
          </w:p>
        </w:tc>
        <w:tc>
          <w:tcPr>
            <w:tcW w:w="1035" w:type="dxa"/>
            <w:tcBorders>
              <w:top w:val="nil"/>
              <w:left w:val="nil"/>
              <w:bottom w:val="nil"/>
              <w:right w:val="nil"/>
              <w:tl2br w:val="nil"/>
              <w:tr2bl w:val="nil"/>
            </w:tcBorders>
            <w:shd w:val="clear" w:color="FFFFFF" w:fill="FFFFFF"/>
            <w:noWrap/>
            <w:tcMar>
              <w:left w:w="101" w:type="dxa"/>
              <w:right w:w="101" w:type="dxa"/>
            </w:tcMar>
          </w:tcPr>
          <w:p w14:paraId="7D6536C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44,271</w:t>
            </w:r>
          </w:p>
        </w:tc>
        <w:tc>
          <w:tcPr>
            <w:tcW w:w="600" w:type="dxa"/>
            <w:tcBorders>
              <w:top w:val="nil"/>
              <w:left w:val="nil"/>
              <w:bottom w:val="nil"/>
              <w:right w:val="nil"/>
              <w:tl2br w:val="nil"/>
              <w:tr2bl w:val="nil"/>
            </w:tcBorders>
            <w:shd w:val="clear" w:color="FFFFFF" w:fill="FFFFFF"/>
            <w:tcMar>
              <w:left w:w="101" w:type="dxa"/>
              <w:right w:w="101" w:type="dxa"/>
            </w:tcMar>
          </w:tcPr>
          <w:p w14:paraId="2EF2866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91B9DE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44,271</w:t>
            </w:r>
          </w:p>
        </w:tc>
        <w:tc>
          <w:tcPr>
            <w:tcW w:w="1035" w:type="dxa"/>
            <w:tcBorders>
              <w:top w:val="nil"/>
              <w:left w:val="nil"/>
              <w:bottom w:val="nil"/>
              <w:right w:val="nil"/>
              <w:tl2br w:val="nil"/>
              <w:tr2bl w:val="nil"/>
            </w:tcBorders>
            <w:shd w:val="clear" w:color="FFFFFF" w:fill="FFFFFF"/>
            <w:noWrap/>
            <w:tcMar>
              <w:left w:w="101" w:type="dxa"/>
              <w:right w:w="101" w:type="dxa"/>
            </w:tcMar>
          </w:tcPr>
          <w:p w14:paraId="2385510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44,271</w:t>
            </w:r>
          </w:p>
        </w:tc>
        <w:tc>
          <w:tcPr>
            <w:tcW w:w="1035" w:type="dxa"/>
            <w:tcBorders>
              <w:top w:val="nil"/>
              <w:left w:val="nil"/>
              <w:bottom w:val="nil"/>
              <w:right w:val="nil"/>
              <w:tl2br w:val="nil"/>
              <w:tr2bl w:val="nil"/>
            </w:tcBorders>
            <w:shd w:val="clear" w:color="FFFFFF" w:fill="FFFFFF"/>
            <w:noWrap/>
            <w:tcMar>
              <w:left w:w="101" w:type="dxa"/>
              <w:right w:w="101" w:type="dxa"/>
            </w:tcMar>
          </w:tcPr>
          <w:p w14:paraId="4C82568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44,271</w:t>
            </w:r>
          </w:p>
        </w:tc>
      </w:tr>
      <w:tr w:rsidR="009832FC" w:rsidRPr="009832FC" w14:paraId="64BC649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62BE3A"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0228950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9EA253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6A218CE"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39E6A4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F61198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B1C950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28CF5BF"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1977D8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A6B1A1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24,862</w:t>
            </w:r>
          </w:p>
        </w:tc>
        <w:tc>
          <w:tcPr>
            <w:tcW w:w="2385" w:type="dxa"/>
            <w:tcBorders>
              <w:top w:val="nil"/>
              <w:left w:val="nil"/>
              <w:bottom w:val="nil"/>
              <w:right w:val="nil"/>
              <w:tl2br w:val="nil"/>
              <w:tr2bl w:val="nil"/>
            </w:tcBorders>
            <w:shd w:val="clear" w:color="FFFFFF" w:fill="FFFFFF"/>
            <w:tcMar>
              <w:left w:w="101" w:type="dxa"/>
              <w:right w:w="101" w:type="dxa"/>
            </w:tcMar>
          </w:tcPr>
          <w:p w14:paraId="69D5CC02"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4A00642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0C0E4C6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600" w:type="dxa"/>
            <w:tcBorders>
              <w:top w:val="nil"/>
              <w:left w:val="nil"/>
              <w:bottom w:val="nil"/>
              <w:right w:val="nil"/>
              <w:tl2br w:val="nil"/>
              <w:tr2bl w:val="nil"/>
            </w:tcBorders>
            <w:shd w:val="clear" w:color="FFFFFF" w:fill="FFFFFF"/>
            <w:tcMar>
              <w:left w:w="101" w:type="dxa"/>
              <w:right w:w="101" w:type="dxa"/>
            </w:tcMar>
          </w:tcPr>
          <w:p w14:paraId="1B962CB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B3F2B4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716BE36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52FF276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r>
      <w:tr w:rsidR="009832FC" w:rsidRPr="009832FC" w14:paraId="5452EA0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4BB8499D" w14:textId="77777777" w:rsidR="009832FC" w:rsidRPr="009832FC" w:rsidRDefault="009832FC" w:rsidP="009832FC">
            <w:pPr>
              <w:spacing w:before="0" w:after="0"/>
              <w:rPr>
                <w:rFonts w:eastAsia="Calibri" w:cs="Calibri"/>
                <w:color w:val="000000"/>
                <w:sz w:val="18"/>
                <w:szCs w:val="24"/>
                <w:lang w:eastAsia="en-AU"/>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77ECD922"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REPRESENTED BY FUNDS EMPLOYED</w:t>
            </w:r>
          </w:p>
        </w:tc>
      </w:tr>
      <w:tr w:rsidR="009832FC" w:rsidRPr="009832FC" w14:paraId="7FE818A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BE91857"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0857768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E6A15D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6D4D748"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E53E0D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2E653D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92BBCA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DF1CA3B"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69A93F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072CC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24,862</w:t>
            </w:r>
          </w:p>
        </w:tc>
        <w:tc>
          <w:tcPr>
            <w:tcW w:w="2385" w:type="dxa"/>
            <w:tcBorders>
              <w:top w:val="nil"/>
              <w:left w:val="nil"/>
              <w:bottom w:val="nil"/>
              <w:right w:val="nil"/>
              <w:tl2br w:val="nil"/>
              <w:tr2bl w:val="nil"/>
            </w:tcBorders>
            <w:shd w:val="clear" w:color="FFFFFF" w:fill="FFFFFF"/>
            <w:noWrap/>
            <w:tcMar>
              <w:left w:w="101" w:type="dxa"/>
              <w:right w:w="101" w:type="dxa"/>
            </w:tcMar>
          </w:tcPr>
          <w:p w14:paraId="5C4E251C"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3CF29A4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c>
          <w:tcPr>
            <w:tcW w:w="1035" w:type="dxa"/>
            <w:tcBorders>
              <w:top w:val="nil"/>
              <w:left w:val="nil"/>
              <w:bottom w:val="nil"/>
              <w:right w:val="nil"/>
              <w:tl2br w:val="nil"/>
              <w:tr2bl w:val="nil"/>
            </w:tcBorders>
            <w:shd w:val="clear" w:color="FFFFFF" w:fill="FFFFFF"/>
            <w:tcMar>
              <w:left w:w="101" w:type="dxa"/>
              <w:right w:w="101" w:type="dxa"/>
            </w:tcMar>
          </w:tcPr>
          <w:p w14:paraId="42169B3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c>
          <w:tcPr>
            <w:tcW w:w="600" w:type="dxa"/>
            <w:tcBorders>
              <w:top w:val="nil"/>
              <w:left w:val="nil"/>
              <w:bottom w:val="nil"/>
              <w:right w:val="nil"/>
              <w:tl2br w:val="nil"/>
              <w:tr2bl w:val="nil"/>
            </w:tcBorders>
            <w:shd w:val="clear" w:color="FFFFFF" w:fill="FFFFFF"/>
            <w:tcMar>
              <w:left w:w="101" w:type="dxa"/>
              <w:right w:w="101" w:type="dxa"/>
            </w:tcMar>
          </w:tcPr>
          <w:p w14:paraId="784CA67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F9B83F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c>
          <w:tcPr>
            <w:tcW w:w="1035" w:type="dxa"/>
            <w:tcBorders>
              <w:top w:val="nil"/>
              <w:left w:val="nil"/>
              <w:bottom w:val="nil"/>
              <w:right w:val="nil"/>
              <w:tl2br w:val="nil"/>
              <w:tr2bl w:val="nil"/>
            </w:tcBorders>
            <w:shd w:val="clear" w:color="FFFFFF" w:fill="FFFFFF"/>
            <w:tcMar>
              <w:left w:w="101" w:type="dxa"/>
              <w:right w:w="101" w:type="dxa"/>
            </w:tcMar>
          </w:tcPr>
          <w:p w14:paraId="7C21847F"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c>
          <w:tcPr>
            <w:tcW w:w="1035" w:type="dxa"/>
            <w:tcBorders>
              <w:top w:val="nil"/>
              <w:left w:val="nil"/>
              <w:bottom w:val="nil"/>
              <w:right w:val="nil"/>
              <w:tl2br w:val="nil"/>
              <w:tr2bl w:val="nil"/>
            </w:tcBorders>
            <w:shd w:val="clear" w:color="FFFFFF" w:fill="FFFFFF"/>
            <w:tcMar>
              <w:left w:w="101" w:type="dxa"/>
              <w:right w:w="101" w:type="dxa"/>
            </w:tcMar>
          </w:tcPr>
          <w:p w14:paraId="2CE4F51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r>
      <w:tr w:rsidR="009832FC" w:rsidRPr="009832FC" w14:paraId="0246A8C5"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32B8887" w14:textId="77777777" w:rsidR="009832FC" w:rsidRPr="009832FC" w:rsidRDefault="009832FC" w:rsidP="009832FC">
            <w:pPr>
              <w:spacing w:before="0" w:after="0"/>
              <w:rPr>
                <w:rFonts w:eastAsia="Calibri" w:cs="Calibri"/>
                <w:b/>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821916A"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AD45856"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F4DCA5C" w14:textId="77777777" w:rsidR="009832FC" w:rsidRPr="009832FC" w:rsidRDefault="009832FC" w:rsidP="009832FC">
            <w:pPr>
              <w:spacing w:before="0" w:after="0"/>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6591392"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250B44F"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D2226AB"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2326483" w14:textId="77777777" w:rsidR="009832FC" w:rsidRPr="009832FC" w:rsidRDefault="009832FC" w:rsidP="009832FC">
            <w:pPr>
              <w:spacing w:before="0" w:after="0"/>
              <w:rPr>
                <w:rFonts w:eastAsia="Calibri" w:cs="Calibri"/>
                <w:b/>
                <w:color w:val="000000"/>
                <w:sz w:val="18"/>
                <w:szCs w:val="24"/>
                <w:lang w:eastAsia="en-AU"/>
              </w:rPr>
            </w:pPr>
          </w:p>
        </w:tc>
      </w:tr>
      <w:tr w:rsidR="009832FC" w:rsidRPr="009832FC" w14:paraId="22EF377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BC5435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24,862</w:t>
            </w:r>
          </w:p>
        </w:tc>
        <w:tc>
          <w:tcPr>
            <w:tcW w:w="2385" w:type="dxa"/>
            <w:tcBorders>
              <w:top w:val="nil"/>
              <w:left w:val="nil"/>
              <w:bottom w:val="nil"/>
              <w:right w:val="nil"/>
              <w:tl2br w:val="nil"/>
              <w:tr2bl w:val="nil"/>
            </w:tcBorders>
            <w:shd w:val="clear" w:color="FFFFFF" w:fill="FFFFFF"/>
            <w:tcMar>
              <w:left w:w="101" w:type="dxa"/>
              <w:right w:w="101" w:type="dxa"/>
            </w:tcMar>
          </w:tcPr>
          <w:p w14:paraId="09B630AA"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2D75A72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1599476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600" w:type="dxa"/>
            <w:tcBorders>
              <w:top w:val="nil"/>
              <w:left w:val="nil"/>
              <w:bottom w:val="nil"/>
              <w:right w:val="nil"/>
              <w:tl2br w:val="nil"/>
              <w:tr2bl w:val="nil"/>
            </w:tcBorders>
            <w:shd w:val="clear" w:color="FFFFFF" w:fill="FFFFFF"/>
            <w:tcMar>
              <w:left w:w="101" w:type="dxa"/>
              <w:right w:w="101" w:type="dxa"/>
            </w:tcMar>
          </w:tcPr>
          <w:p w14:paraId="3454E68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 </w:t>
            </w:r>
          </w:p>
        </w:tc>
        <w:tc>
          <w:tcPr>
            <w:tcW w:w="1035" w:type="dxa"/>
            <w:tcBorders>
              <w:top w:val="nil"/>
              <w:left w:val="nil"/>
              <w:bottom w:val="nil"/>
              <w:right w:val="nil"/>
              <w:tl2br w:val="nil"/>
              <w:tr2bl w:val="nil"/>
            </w:tcBorders>
            <w:shd w:val="clear" w:color="FFFFFF" w:fill="FFFFFF"/>
            <w:noWrap/>
            <w:tcMar>
              <w:left w:w="101" w:type="dxa"/>
              <w:right w:w="101" w:type="dxa"/>
            </w:tcMar>
          </w:tcPr>
          <w:p w14:paraId="381D888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600BDD6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4239153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r>
      <w:tr w:rsidR="009832FC" w:rsidRPr="009832FC" w14:paraId="1F81A6A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E30C12D"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F6FC47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DD129B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C3AA142"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0492EE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2992A2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8F3435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76BD972" w14:textId="77777777" w:rsidR="009832FC" w:rsidRPr="009832FC" w:rsidRDefault="009832FC" w:rsidP="009832FC">
            <w:pPr>
              <w:spacing w:before="0" w:after="0"/>
              <w:rPr>
                <w:rFonts w:eastAsia="Calibri" w:cs="Calibri"/>
                <w:color w:val="000000"/>
                <w:sz w:val="18"/>
                <w:szCs w:val="24"/>
                <w:lang w:eastAsia="en-AU"/>
              </w:rPr>
            </w:pPr>
          </w:p>
        </w:tc>
      </w:tr>
    </w:tbl>
    <w:p w14:paraId="7CE05F47" w14:textId="77777777" w:rsidR="00B51DBE" w:rsidRDefault="00B51DBE" w:rsidP="00B51DBE">
      <w:pPr>
        <w:pStyle w:val="Caption"/>
        <w:rPr>
          <w:bdr w:val="nil"/>
        </w:rPr>
      </w:pPr>
    </w:p>
    <w:p w14:paraId="04DEFDB4" w14:textId="77777777" w:rsidR="00B51DBE" w:rsidRDefault="00B51DBE">
      <w:pPr>
        <w:spacing w:before="0" w:after="0"/>
        <w:rPr>
          <w:b/>
          <w:bCs/>
          <w:color w:val="000000"/>
          <w:sz w:val="22"/>
          <w:szCs w:val="18"/>
          <w:bdr w:val="nil"/>
        </w:rPr>
      </w:pPr>
      <w:r>
        <w:rPr>
          <w:bdr w:val="nil"/>
        </w:rPr>
        <w:br w:type="page"/>
      </w:r>
    </w:p>
    <w:p w14:paraId="4BE3565E" w14:textId="46B41038" w:rsidR="009832FC" w:rsidRPr="009832FC" w:rsidRDefault="009832FC" w:rsidP="00B51DBE">
      <w:pPr>
        <w:pStyle w:val="Caption"/>
        <w:rPr>
          <w:bdr w:val="nil"/>
        </w:rPr>
      </w:pPr>
      <w:r w:rsidRPr="009832FC">
        <w:rPr>
          <w:bdr w:val="nil"/>
        </w:rPr>
        <w:lastRenderedPageBreak/>
        <w:t xml:space="preserve">Table 7: ACT Local Hospital Network: Statement of Changes in Equity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9832FC" w:rsidRPr="009832FC" w14:paraId="10EC37B4" w14:textId="77777777" w:rsidTr="00EB585F">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B753E1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Budget</w:t>
            </w:r>
          </w:p>
          <w:p w14:paraId="0BDC18C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15AF601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30/6/21 </w:t>
            </w:r>
          </w:p>
          <w:p w14:paraId="0406050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5FAEF78"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6C1D55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Interim</w:t>
            </w:r>
          </w:p>
          <w:p w14:paraId="45214EA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Outcome at</w:t>
            </w:r>
          </w:p>
          <w:p w14:paraId="29D4434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30/06/21</w:t>
            </w:r>
          </w:p>
          <w:p w14:paraId="4F25BB0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58408C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Budget</w:t>
            </w:r>
          </w:p>
          <w:p w14:paraId="6550A37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619BCD7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30/6/22 </w:t>
            </w:r>
          </w:p>
          <w:p w14:paraId="31273CA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94DCED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Var</w:t>
            </w:r>
          </w:p>
          <w:p w14:paraId="4906077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758705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66DB725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0BBEED5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30/6/23 </w:t>
            </w:r>
          </w:p>
          <w:p w14:paraId="36A40C1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E71380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68805F8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1FDDB43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30/6/24 </w:t>
            </w:r>
          </w:p>
          <w:p w14:paraId="175719E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38901F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Estimate</w:t>
            </w:r>
          </w:p>
          <w:p w14:paraId="3A1E2FA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at</w:t>
            </w:r>
          </w:p>
          <w:p w14:paraId="33173DB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30/6/25 </w:t>
            </w:r>
          </w:p>
          <w:p w14:paraId="1DA653D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$'000</w:t>
            </w:r>
          </w:p>
        </w:tc>
      </w:tr>
      <w:tr w:rsidR="009832FC" w:rsidRPr="009832FC" w14:paraId="5228ED2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121B5E1" w14:textId="77777777" w:rsidR="009832FC" w:rsidRPr="009832FC" w:rsidRDefault="009832FC" w:rsidP="009832FC">
            <w:pPr>
              <w:spacing w:before="0" w:after="0"/>
              <w:jc w:val="right"/>
              <w:rPr>
                <w:rFonts w:eastAsia="Calibri" w:cs="Calibri"/>
                <w:b/>
                <w:i/>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54B4924"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44199BD"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3B388DA"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995FEF0"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A624509"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6FF29E1"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5F6A51C"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3CB7525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71DC92F" w14:textId="77777777" w:rsidR="009832FC" w:rsidRPr="009832FC" w:rsidRDefault="009832FC" w:rsidP="009832FC">
            <w:pPr>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auto" w:fill="auto"/>
            <w:tcMar>
              <w:left w:w="101" w:type="dxa"/>
              <w:right w:w="101" w:type="dxa"/>
            </w:tcMar>
          </w:tcPr>
          <w:p w14:paraId="1CBBBA69"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68EB19AC"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44B8EC"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4D76FC9E"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8C60CCB"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E5A7F5"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5691E2C"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156D300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FDF34C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24,862</w:t>
            </w:r>
          </w:p>
        </w:tc>
        <w:tc>
          <w:tcPr>
            <w:tcW w:w="2385" w:type="dxa"/>
            <w:tcBorders>
              <w:top w:val="nil"/>
              <w:left w:val="nil"/>
              <w:bottom w:val="nil"/>
              <w:right w:val="nil"/>
              <w:tl2br w:val="nil"/>
              <w:tr2bl w:val="nil"/>
            </w:tcBorders>
            <w:shd w:val="clear" w:color="auto" w:fill="auto"/>
            <w:noWrap/>
            <w:tcMar>
              <w:left w:w="101" w:type="dxa"/>
              <w:right w:w="101" w:type="dxa"/>
            </w:tcMar>
          </w:tcPr>
          <w:p w14:paraId="10F81687"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884EBE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24,862</w:t>
            </w:r>
          </w:p>
        </w:tc>
        <w:tc>
          <w:tcPr>
            <w:tcW w:w="1035" w:type="dxa"/>
            <w:tcBorders>
              <w:top w:val="nil"/>
              <w:left w:val="nil"/>
              <w:bottom w:val="nil"/>
              <w:right w:val="nil"/>
              <w:tl2br w:val="nil"/>
              <w:tr2bl w:val="nil"/>
            </w:tcBorders>
            <w:shd w:val="clear" w:color="FFFFFF" w:fill="FFFFFF"/>
            <w:noWrap/>
            <w:tcMar>
              <w:left w:w="101" w:type="dxa"/>
              <w:right w:w="101" w:type="dxa"/>
            </w:tcMar>
          </w:tcPr>
          <w:p w14:paraId="3E5B7D0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c>
          <w:tcPr>
            <w:tcW w:w="600" w:type="dxa"/>
            <w:tcBorders>
              <w:top w:val="nil"/>
              <w:left w:val="nil"/>
              <w:bottom w:val="nil"/>
              <w:right w:val="nil"/>
              <w:tl2br w:val="nil"/>
              <w:tr2bl w:val="nil"/>
            </w:tcBorders>
            <w:shd w:val="clear" w:color="FFFFFF" w:fill="FFFFFF"/>
            <w:noWrap/>
            <w:tcMar>
              <w:left w:w="101" w:type="dxa"/>
              <w:right w:w="101" w:type="dxa"/>
            </w:tcMar>
          </w:tcPr>
          <w:p w14:paraId="56D8232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-20 </w:t>
            </w:r>
          </w:p>
        </w:tc>
        <w:tc>
          <w:tcPr>
            <w:tcW w:w="1035" w:type="dxa"/>
            <w:tcBorders>
              <w:top w:val="nil"/>
              <w:left w:val="nil"/>
              <w:bottom w:val="nil"/>
              <w:right w:val="nil"/>
              <w:tl2br w:val="nil"/>
              <w:tr2bl w:val="nil"/>
            </w:tcBorders>
            <w:shd w:val="clear" w:color="FFFFFF" w:fill="FFFFFF"/>
            <w:noWrap/>
            <w:tcMar>
              <w:left w:w="101" w:type="dxa"/>
              <w:right w:w="101" w:type="dxa"/>
            </w:tcMar>
          </w:tcPr>
          <w:p w14:paraId="3CCA409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361C2F5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725080E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r>
      <w:tr w:rsidR="009832FC" w:rsidRPr="009832FC" w14:paraId="4221D8A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8D73802" w14:textId="77777777" w:rsidR="009832FC" w:rsidRPr="009832FC" w:rsidRDefault="009832FC" w:rsidP="009832FC">
            <w:pPr>
              <w:spacing w:before="0" w:after="0"/>
              <w:jc w:val="right"/>
              <w:rPr>
                <w:rFonts w:eastAsia="Calibri" w:cs="Calibri"/>
                <w:b/>
                <w:color w:val="000000"/>
                <w:sz w:val="18"/>
                <w:szCs w:val="24"/>
                <w:lang w:eastAsia="en-AU"/>
              </w:rPr>
            </w:pPr>
          </w:p>
        </w:tc>
        <w:tc>
          <w:tcPr>
            <w:tcW w:w="2385" w:type="dxa"/>
            <w:tcBorders>
              <w:top w:val="nil"/>
              <w:left w:val="nil"/>
              <w:bottom w:val="nil"/>
              <w:right w:val="nil"/>
              <w:tl2br w:val="nil"/>
              <w:tr2bl w:val="nil"/>
            </w:tcBorders>
            <w:shd w:val="clear" w:color="auto" w:fill="auto"/>
            <w:tcMar>
              <w:left w:w="0" w:type="dxa"/>
              <w:right w:w="0" w:type="dxa"/>
            </w:tcMar>
          </w:tcPr>
          <w:p w14:paraId="138C6D8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D53CFB5" w14:textId="77777777" w:rsidR="009832FC" w:rsidRPr="009832FC" w:rsidRDefault="009832FC" w:rsidP="009832FC">
            <w:pPr>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54148A" w14:textId="77777777" w:rsidR="009832FC" w:rsidRPr="009832FC" w:rsidRDefault="009832FC" w:rsidP="009832FC">
            <w:pPr>
              <w:spacing w:before="0" w:after="0"/>
              <w:jc w:val="right"/>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2BA4DE68"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F50150" w14:textId="77777777" w:rsidR="009832FC" w:rsidRPr="009832FC" w:rsidRDefault="009832FC" w:rsidP="009832FC">
            <w:pPr>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40497B" w14:textId="77777777" w:rsidR="009832FC" w:rsidRPr="009832FC" w:rsidRDefault="009832FC" w:rsidP="009832FC">
            <w:pPr>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4FD16B" w14:textId="77777777" w:rsidR="009832FC" w:rsidRPr="009832FC" w:rsidRDefault="009832FC" w:rsidP="009832FC">
            <w:pPr>
              <w:spacing w:before="0" w:after="0"/>
              <w:jc w:val="right"/>
              <w:rPr>
                <w:rFonts w:eastAsia="Calibri" w:cs="Calibri"/>
                <w:b/>
                <w:color w:val="000000"/>
                <w:sz w:val="18"/>
                <w:szCs w:val="24"/>
                <w:lang w:eastAsia="en-AU"/>
              </w:rPr>
            </w:pPr>
          </w:p>
        </w:tc>
      </w:tr>
      <w:tr w:rsidR="009832FC" w:rsidRPr="009832FC" w14:paraId="539B8D4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7805B6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24,862</w:t>
            </w:r>
          </w:p>
        </w:tc>
        <w:tc>
          <w:tcPr>
            <w:tcW w:w="2385" w:type="dxa"/>
            <w:tcBorders>
              <w:top w:val="nil"/>
              <w:left w:val="nil"/>
              <w:bottom w:val="nil"/>
              <w:right w:val="nil"/>
              <w:tl2br w:val="nil"/>
              <w:tr2bl w:val="nil"/>
            </w:tcBorders>
            <w:shd w:val="clear" w:color="auto" w:fill="auto"/>
            <w:tcMar>
              <w:left w:w="101" w:type="dxa"/>
              <w:right w:w="101" w:type="dxa"/>
            </w:tcMar>
          </w:tcPr>
          <w:p w14:paraId="023F39C4"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4E97C24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24,862</w:t>
            </w:r>
          </w:p>
        </w:tc>
        <w:tc>
          <w:tcPr>
            <w:tcW w:w="1035" w:type="dxa"/>
            <w:tcBorders>
              <w:top w:val="nil"/>
              <w:left w:val="nil"/>
              <w:bottom w:val="nil"/>
              <w:right w:val="nil"/>
              <w:tl2br w:val="nil"/>
              <w:tr2bl w:val="nil"/>
            </w:tcBorders>
            <w:shd w:val="clear" w:color="FFFFFF" w:fill="FFFFFF"/>
            <w:noWrap/>
            <w:tcMar>
              <w:left w:w="101" w:type="dxa"/>
              <w:right w:w="101" w:type="dxa"/>
            </w:tcMar>
          </w:tcPr>
          <w:p w14:paraId="2F05393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600" w:type="dxa"/>
            <w:tcBorders>
              <w:top w:val="nil"/>
              <w:left w:val="nil"/>
              <w:bottom w:val="nil"/>
              <w:right w:val="nil"/>
              <w:tl2br w:val="nil"/>
              <w:tr2bl w:val="nil"/>
            </w:tcBorders>
            <w:shd w:val="clear" w:color="FFFFFF" w:fill="FFFFFF"/>
            <w:noWrap/>
            <w:tcMar>
              <w:left w:w="101" w:type="dxa"/>
              <w:right w:w="101" w:type="dxa"/>
            </w:tcMar>
          </w:tcPr>
          <w:p w14:paraId="7670195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 </w:t>
            </w:r>
          </w:p>
        </w:tc>
        <w:tc>
          <w:tcPr>
            <w:tcW w:w="1035" w:type="dxa"/>
            <w:tcBorders>
              <w:top w:val="nil"/>
              <w:left w:val="nil"/>
              <w:bottom w:val="nil"/>
              <w:right w:val="nil"/>
              <w:tl2br w:val="nil"/>
              <w:tr2bl w:val="nil"/>
            </w:tcBorders>
            <w:shd w:val="clear" w:color="FFFFFF" w:fill="FFFFFF"/>
            <w:noWrap/>
            <w:tcMar>
              <w:left w:w="101" w:type="dxa"/>
              <w:right w:w="101" w:type="dxa"/>
            </w:tcMar>
          </w:tcPr>
          <w:p w14:paraId="4589FBB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5989BFB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148BD5F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r>
      <w:tr w:rsidR="009832FC" w:rsidRPr="009832FC" w14:paraId="038A9C8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1882AB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tcMar>
              <w:left w:w="101" w:type="dxa"/>
              <w:right w:w="101" w:type="dxa"/>
            </w:tcMar>
          </w:tcPr>
          <w:p w14:paraId="2FDACE33"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782544B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-5,002</w:t>
            </w:r>
          </w:p>
        </w:tc>
        <w:tc>
          <w:tcPr>
            <w:tcW w:w="1035" w:type="dxa"/>
            <w:tcBorders>
              <w:top w:val="nil"/>
              <w:left w:val="nil"/>
              <w:bottom w:val="nil"/>
              <w:right w:val="nil"/>
              <w:tl2br w:val="nil"/>
              <w:tr2bl w:val="nil"/>
            </w:tcBorders>
            <w:shd w:val="clear" w:color="FFFFFF" w:fill="FFFFFF"/>
            <w:noWrap/>
            <w:tcMar>
              <w:left w:w="101" w:type="dxa"/>
              <w:right w:w="101" w:type="dxa"/>
            </w:tcMar>
          </w:tcPr>
          <w:p w14:paraId="48C9A6D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7B12BD9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1900B6E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B76973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F93C8C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215A3CE2"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7A33117"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A9F47F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981436"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44C3AC6"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2B77B1FF"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F4450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09CD2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102B4E"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4A7B7B9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DDE730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2385" w:type="dxa"/>
            <w:tcBorders>
              <w:top w:val="nil"/>
              <w:left w:val="nil"/>
              <w:bottom w:val="nil"/>
              <w:right w:val="nil"/>
              <w:tl2br w:val="nil"/>
              <w:tr2bl w:val="nil"/>
            </w:tcBorders>
            <w:shd w:val="clear" w:color="auto" w:fill="auto"/>
            <w:tcMar>
              <w:left w:w="101" w:type="dxa"/>
              <w:right w:w="101" w:type="dxa"/>
            </w:tcMar>
          </w:tcPr>
          <w:p w14:paraId="79EEE372"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5C9896C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4DE498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3EB8BBE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00E702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4F1681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C328DE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6E02FE7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E41160F"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1F8453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84544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A206F5"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61F18C57"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A1CD4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4E122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1B8D27"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6F054A1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3E9DBC7"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auto" w:fill="auto"/>
            <w:tcMar>
              <w:left w:w="101" w:type="dxa"/>
              <w:right w:w="101" w:type="dxa"/>
            </w:tcMar>
          </w:tcPr>
          <w:p w14:paraId="3DA1172B"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6802971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6B890D"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267591F0"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6C725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6B386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5F246D"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E4AEF7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8F8C5D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24,862</w:t>
            </w:r>
          </w:p>
        </w:tc>
        <w:tc>
          <w:tcPr>
            <w:tcW w:w="2385" w:type="dxa"/>
            <w:tcBorders>
              <w:top w:val="nil"/>
              <w:left w:val="nil"/>
              <w:bottom w:val="nil"/>
              <w:right w:val="nil"/>
              <w:tl2br w:val="nil"/>
              <w:tr2bl w:val="nil"/>
            </w:tcBorders>
            <w:shd w:val="clear" w:color="auto" w:fill="auto"/>
            <w:tcMar>
              <w:left w:w="101" w:type="dxa"/>
              <w:right w:w="101" w:type="dxa"/>
            </w:tcMar>
          </w:tcPr>
          <w:p w14:paraId="3ACB0028"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8D1CEB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43F3B6D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c>
          <w:tcPr>
            <w:tcW w:w="600" w:type="dxa"/>
            <w:tcBorders>
              <w:top w:val="nil"/>
              <w:left w:val="nil"/>
              <w:bottom w:val="nil"/>
              <w:right w:val="nil"/>
              <w:tl2br w:val="nil"/>
              <w:tr2bl w:val="nil"/>
            </w:tcBorders>
            <w:shd w:val="clear" w:color="FFFFFF" w:fill="FFFFFF"/>
            <w:noWrap/>
            <w:tcMar>
              <w:left w:w="101" w:type="dxa"/>
              <w:right w:w="101" w:type="dxa"/>
            </w:tcMar>
          </w:tcPr>
          <w:p w14:paraId="77BB369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429434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1E07A6B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269431E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19,860</w:t>
            </w:r>
          </w:p>
        </w:tc>
      </w:tr>
      <w:tr w:rsidR="009832FC" w:rsidRPr="009832FC" w14:paraId="7A7AE220"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BD26B52"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126C0B9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6069CA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6B41D2A"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56CFA913" w14:textId="77777777" w:rsidR="009832FC" w:rsidRPr="009832FC" w:rsidRDefault="009832FC" w:rsidP="009832FC">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962F6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7A5FCD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E12CA8"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0F2C652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35" w:type="dxa"/>
            <w:tcBorders>
              <w:top w:val="nil"/>
              <w:left w:val="nil"/>
              <w:bottom w:val="nil"/>
              <w:right w:val="nil"/>
              <w:tl2br w:val="nil"/>
              <w:tr2bl w:val="nil"/>
            </w:tcBorders>
            <w:shd w:val="clear" w:color="FFFFFF" w:fill="FFFFFF"/>
            <w:noWrap/>
            <w:tcMar>
              <w:left w:w="101" w:type="dxa"/>
              <w:right w:w="101" w:type="dxa"/>
            </w:tcMar>
          </w:tcPr>
          <w:p w14:paraId="5741CF3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24,862</w:t>
            </w:r>
          </w:p>
        </w:tc>
        <w:tc>
          <w:tcPr>
            <w:tcW w:w="2385" w:type="dxa"/>
            <w:tcBorders>
              <w:top w:val="nil"/>
              <w:left w:val="nil"/>
              <w:bottom w:val="nil"/>
              <w:right w:val="nil"/>
              <w:tl2br w:val="nil"/>
              <w:tr2bl w:val="nil"/>
            </w:tcBorders>
            <w:shd w:val="clear" w:color="FFFFFF" w:fill="FFFFFF"/>
            <w:tcMar>
              <w:left w:w="101" w:type="dxa"/>
              <w:right w:w="101" w:type="dxa"/>
            </w:tcMar>
          </w:tcPr>
          <w:p w14:paraId="12B6AED2"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055D793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6E00256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600" w:type="dxa"/>
            <w:tcBorders>
              <w:top w:val="nil"/>
              <w:left w:val="nil"/>
              <w:bottom w:val="nil"/>
              <w:right w:val="nil"/>
              <w:tl2br w:val="nil"/>
              <w:tr2bl w:val="nil"/>
            </w:tcBorders>
            <w:shd w:val="clear" w:color="FFFFFF" w:fill="FFFFFF"/>
            <w:noWrap/>
            <w:tcMar>
              <w:left w:w="101" w:type="dxa"/>
              <w:right w:w="101" w:type="dxa"/>
            </w:tcMar>
          </w:tcPr>
          <w:p w14:paraId="16A77B8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 </w:t>
            </w:r>
          </w:p>
        </w:tc>
        <w:tc>
          <w:tcPr>
            <w:tcW w:w="1035" w:type="dxa"/>
            <w:tcBorders>
              <w:top w:val="nil"/>
              <w:left w:val="nil"/>
              <w:bottom w:val="nil"/>
              <w:right w:val="nil"/>
              <w:tl2br w:val="nil"/>
              <w:tr2bl w:val="nil"/>
            </w:tcBorders>
            <w:shd w:val="clear" w:color="FFFFFF" w:fill="FFFFFF"/>
            <w:noWrap/>
            <w:tcMar>
              <w:left w:w="101" w:type="dxa"/>
              <w:right w:w="101" w:type="dxa"/>
            </w:tcMar>
          </w:tcPr>
          <w:p w14:paraId="323B540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29140DF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016808F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19,860</w:t>
            </w:r>
          </w:p>
        </w:tc>
      </w:tr>
      <w:tr w:rsidR="009832FC" w:rsidRPr="009832FC" w14:paraId="583CE99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530CA28" w14:textId="77777777" w:rsidR="009832FC" w:rsidRPr="009832FC" w:rsidRDefault="009832FC" w:rsidP="009832FC">
            <w:pPr>
              <w:spacing w:before="0" w:after="0"/>
              <w:rPr>
                <w:rFonts w:eastAsia="Calibri" w:cs="Calibr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BC828B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8CF2EA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F3D1B35"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649CFA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8B0A01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AF9C14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A78D2D5" w14:textId="77777777" w:rsidR="009832FC" w:rsidRPr="009832FC" w:rsidRDefault="009832FC" w:rsidP="009832FC">
            <w:pPr>
              <w:spacing w:before="0" w:after="0"/>
              <w:rPr>
                <w:rFonts w:eastAsia="Calibri" w:cs="Calibri"/>
                <w:color w:val="000000"/>
                <w:sz w:val="18"/>
                <w:szCs w:val="24"/>
                <w:lang w:eastAsia="en-AU"/>
              </w:rPr>
            </w:pPr>
          </w:p>
        </w:tc>
      </w:tr>
    </w:tbl>
    <w:p w14:paraId="7103C921" w14:textId="77777777" w:rsidR="00B51DBE" w:rsidRDefault="00B51DBE" w:rsidP="00B51DBE">
      <w:pPr>
        <w:pStyle w:val="Caption"/>
        <w:rPr>
          <w:bdr w:val="nil"/>
        </w:rPr>
      </w:pPr>
    </w:p>
    <w:p w14:paraId="187B6935" w14:textId="77777777" w:rsidR="00B51DBE" w:rsidRDefault="00B51DBE">
      <w:pPr>
        <w:spacing w:before="0" w:after="0"/>
        <w:rPr>
          <w:b/>
          <w:bCs/>
          <w:color w:val="000000"/>
          <w:sz w:val="22"/>
          <w:szCs w:val="18"/>
          <w:bdr w:val="nil"/>
        </w:rPr>
      </w:pPr>
      <w:r>
        <w:rPr>
          <w:bdr w:val="nil"/>
        </w:rPr>
        <w:br w:type="page"/>
      </w:r>
    </w:p>
    <w:p w14:paraId="33DAA9F0" w14:textId="3947F47E" w:rsidR="009832FC" w:rsidRPr="009832FC" w:rsidRDefault="009832FC" w:rsidP="00B51DBE">
      <w:pPr>
        <w:pStyle w:val="Caption"/>
        <w:rPr>
          <w:bdr w:val="nil"/>
        </w:rPr>
      </w:pPr>
      <w:r w:rsidRPr="009832FC">
        <w:rPr>
          <w:bdr w:val="nil"/>
        </w:rPr>
        <w:lastRenderedPageBreak/>
        <w:t xml:space="preserve">Table 8: ACT Local Hospital Network: Cash Flow Statement </w:t>
      </w:r>
    </w:p>
    <w:tbl>
      <w:tblPr>
        <w:tblStyle w:val="CDMRange11"/>
        <w:tblW w:w="9735" w:type="dxa"/>
        <w:tblLayout w:type="fixed"/>
        <w:tblLook w:val="0600" w:firstRow="0" w:lastRow="0" w:firstColumn="0" w:lastColumn="0" w:noHBand="1" w:noVBand="1"/>
      </w:tblPr>
      <w:tblGrid>
        <w:gridCol w:w="1035"/>
        <w:gridCol w:w="2925"/>
        <w:gridCol w:w="1035"/>
        <w:gridCol w:w="1035"/>
        <w:gridCol w:w="600"/>
        <w:gridCol w:w="1035"/>
        <w:gridCol w:w="1035"/>
        <w:gridCol w:w="1035"/>
      </w:tblGrid>
      <w:tr w:rsidR="009832FC" w:rsidRPr="009832FC" w14:paraId="55217A2F" w14:textId="77777777" w:rsidTr="00EB585F">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6B632B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2020-21 Budget            </w:t>
            </w:r>
          </w:p>
          <w:p w14:paraId="76C501E7" w14:textId="77777777" w:rsidR="009832FC" w:rsidRPr="009832FC" w:rsidRDefault="009832FC" w:rsidP="009832FC">
            <w:pPr>
              <w:spacing w:before="0" w:after="0"/>
              <w:jc w:val="right"/>
              <w:rPr>
                <w:rFonts w:eastAsia="Calibri" w:cs="Calibri"/>
                <w:b/>
                <w:color w:val="000000"/>
                <w:sz w:val="18"/>
                <w:szCs w:val="24"/>
                <w:lang w:eastAsia="en-AU"/>
              </w:rPr>
            </w:pPr>
          </w:p>
          <w:p w14:paraId="7EE6F02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292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C98F8E3"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391172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030E77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2021-22 Budget            </w:t>
            </w:r>
          </w:p>
          <w:p w14:paraId="2F2B9219" w14:textId="77777777" w:rsidR="009832FC" w:rsidRPr="009832FC" w:rsidRDefault="009832FC" w:rsidP="009832FC">
            <w:pPr>
              <w:spacing w:before="0" w:after="0"/>
              <w:jc w:val="right"/>
              <w:rPr>
                <w:rFonts w:eastAsia="Calibri" w:cs="Calibri"/>
                <w:b/>
                <w:color w:val="000000"/>
                <w:sz w:val="18"/>
                <w:szCs w:val="24"/>
                <w:lang w:eastAsia="en-AU"/>
              </w:rPr>
            </w:pPr>
          </w:p>
          <w:p w14:paraId="35909DD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803923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Var </w:t>
            </w:r>
          </w:p>
          <w:p w14:paraId="0C0C939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9877C6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2022-23 Estimate            </w:t>
            </w:r>
          </w:p>
          <w:p w14:paraId="3DBD1047" w14:textId="77777777" w:rsidR="009832FC" w:rsidRPr="009832FC" w:rsidRDefault="009832FC" w:rsidP="009832FC">
            <w:pPr>
              <w:spacing w:before="0" w:after="0"/>
              <w:jc w:val="right"/>
              <w:rPr>
                <w:rFonts w:eastAsia="Calibri" w:cs="Calibri"/>
                <w:b/>
                <w:color w:val="000000"/>
                <w:sz w:val="18"/>
                <w:szCs w:val="24"/>
                <w:lang w:eastAsia="en-AU"/>
              </w:rPr>
            </w:pPr>
          </w:p>
          <w:p w14:paraId="192653D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6BA6C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2023-24 Estimate            </w:t>
            </w:r>
          </w:p>
          <w:p w14:paraId="32EA6FFF" w14:textId="77777777" w:rsidR="009832FC" w:rsidRPr="009832FC" w:rsidRDefault="009832FC" w:rsidP="009832FC">
            <w:pPr>
              <w:spacing w:before="0" w:after="0"/>
              <w:jc w:val="right"/>
              <w:rPr>
                <w:rFonts w:eastAsia="Calibri" w:cs="Calibri"/>
                <w:b/>
                <w:color w:val="000000"/>
                <w:sz w:val="18"/>
                <w:szCs w:val="24"/>
                <w:lang w:eastAsia="en-AU"/>
              </w:rPr>
            </w:pPr>
          </w:p>
          <w:p w14:paraId="66D7509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D3BB19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2024-25 Estimate            </w:t>
            </w:r>
          </w:p>
          <w:p w14:paraId="26187D38" w14:textId="77777777" w:rsidR="009832FC" w:rsidRPr="009832FC" w:rsidRDefault="009832FC" w:rsidP="009832FC">
            <w:pPr>
              <w:spacing w:before="0" w:after="0"/>
              <w:jc w:val="right"/>
              <w:rPr>
                <w:rFonts w:eastAsia="Calibri" w:cs="Calibri"/>
                <w:b/>
                <w:color w:val="000000"/>
                <w:sz w:val="18"/>
                <w:szCs w:val="24"/>
                <w:lang w:eastAsia="en-AU"/>
              </w:rPr>
            </w:pPr>
          </w:p>
          <w:p w14:paraId="148889F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$'000</w:t>
            </w:r>
          </w:p>
        </w:tc>
      </w:tr>
      <w:tr w:rsidR="009832FC" w:rsidRPr="009832FC" w14:paraId="392852AA"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059326C" w14:textId="77777777" w:rsidR="009832FC" w:rsidRPr="009832FC" w:rsidRDefault="009832FC" w:rsidP="009832FC">
            <w:pPr>
              <w:spacing w:before="0" w:after="0"/>
              <w:jc w:val="right"/>
              <w:rPr>
                <w:rFonts w:eastAsia="Calibri" w:cs="Calibri"/>
                <w:b/>
                <w:i/>
                <w:color w:val="000000"/>
                <w:sz w:val="18"/>
                <w:szCs w:val="24"/>
                <w:lang w:eastAsia="en-AU"/>
              </w:rPr>
            </w:pPr>
          </w:p>
        </w:tc>
        <w:tc>
          <w:tcPr>
            <w:tcW w:w="2925" w:type="dxa"/>
            <w:tcBorders>
              <w:top w:val="single" w:sz="4" w:space="0" w:color="000000"/>
              <w:left w:val="nil"/>
              <w:bottom w:val="nil"/>
              <w:right w:val="nil"/>
              <w:tl2br w:val="nil"/>
              <w:tr2bl w:val="nil"/>
            </w:tcBorders>
            <w:shd w:val="clear" w:color="FFFFFF" w:fill="FFFFFF"/>
            <w:tcMar>
              <w:left w:w="0" w:type="dxa"/>
              <w:right w:w="0" w:type="dxa"/>
            </w:tcMar>
          </w:tcPr>
          <w:p w14:paraId="78F00870"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B809B2A"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FCD6076" w14:textId="77777777" w:rsidR="009832FC" w:rsidRPr="009832FC" w:rsidRDefault="009832FC" w:rsidP="009832FC">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04FA96A4"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C71CA27"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464F2F6" w14:textId="77777777" w:rsidR="009832FC" w:rsidRPr="009832FC" w:rsidRDefault="009832FC" w:rsidP="009832FC">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FC9BB6E" w14:textId="77777777" w:rsidR="009832FC" w:rsidRPr="009832FC" w:rsidRDefault="009832FC" w:rsidP="009832FC">
            <w:pPr>
              <w:spacing w:before="0" w:after="0"/>
              <w:jc w:val="right"/>
              <w:rPr>
                <w:rFonts w:eastAsia="Calibri" w:cs="Calibri"/>
                <w:b/>
                <w:i/>
                <w:color w:val="000000"/>
                <w:sz w:val="18"/>
                <w:szCs w:val="24"/>
                <w:lang w:eastAsia="en-AU"/>
              </w:rPr>
            </w:pPr>
          </w:p>
        </w:tc>
      </w:tr>
      <w:tr w:rsidR="009832FC" w:rsidRPr="009832FC" w14:paraId="1CD3B11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5AF80638" w14:textId="77777777" w:rsidR="009832FC" w:rsidRPr="009832FC" w:rsidRDefault="009832FC" w:rsidP="009832FC">
            <w:pPr>
              <w:spacing w:before="0" w:after="0"/>
              <w:rPr>
                <w:rFonts w:eastAsia="Calibri" w:cs="Calibri"/>
                <w:color w:val="000000"/>
                <w:sz w:val="18"/>
                <w:szCs w:val="24"/>
                <w:lang w:eastAsia="en-AU"/>
              </w:rPr>
            </w:pPr>
          </w:p>
        </w:tc>
        <w:tc>
          <w:tcPr>
            <w:tcW w:w="8700" w:type="dxa"/>
            <w:gridSpan w:val="7"/>
            <w:tcBorders>
              <w:top w:val="nil"/>
              <w:left w:val="nil"/>
              <w:bottom w:val="nil"/>
              <w:right w:val="nil"/>
              <w:tl2br w:val="nil"/>
              <w:tr2bl w:val="nil"/>
            </w:tcBorders>
            <w:shd w:val="clear" w:color="auto" w:fill="auto"/>
            <w:tcMar>
              <w:left w:w="101" w:type="dxa"/>
              <w:right w:w="101" w:type="dxa"/>
            </w:tcMar>
            <w:vAlign w:val="bottom"/>
          </w:tcPr>
          <w:p w14:paraId="7813709A"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CASH FLOWS FROM OPERATING ACTIVITIES</w:t>
            </w:r>
          </w:p>
        </w:tc>
      </w:tr>
      <w:tr w:rsidR="009832FC" w:rsidRPr="009832FC" w14:paraId="216B48CB"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03E9868" w14:textId="77777777" w:rsidR="009832FC" w:rsidRPr="009832FC" w:rsidRDefault="009832FC" w:rsidP="009832FC">
            <w:pPr>
              <w:spacing w:before="0" w:after="0"/>
              <w:rPr>
                <w:rFonts w:eastAsia="Calibri" w:cs="Calibri"/>
                <w:color w:val="000000"/>
                <w:sz w:val="18"/>
                <w:szCs w:val="24"/>
                <w:lang w:eastAsia="en-AU"/>
              </w:rPr>
            </w:pPr>
          </w:p>
        </w:tc>
        <w:tc>
          <w:tcPr>
            <w:tcW w:w="2925" w:type="dxa"/>
            <w:tcBorders>
              <w:top w:val="nil"/>
              <w:left w:val="nil"/>
              <w:bottom w:val="nil"/>
              <w:right w:val="nil"/>
              <w:tl2br w:val="nil"/>
              <w:tr2bl w:val="nil"/>
            </w:tcBorders>
            <w:shd w:val="clear" w:color="FFFFFF" w:fill="FFFFFF"/>
            <w:tcMar>
              <w:left w:w="101" w:type="dxa"/>
              <w:right w:w="101" w:type="dxa"/>
            </w:tcMar>
          </w:tcPr>
          <w:p w14:paraId="7C696C59"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36E96B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4996AA8"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C9DB06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886607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62FED1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7A7F4E9"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7BC1FBF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D4456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900,173</w:t>
            </w:r>
          </w:p>
        </w:tc>
        <w:tc>
          <w:tcPr>
            <w:tcW w:w="2925" w:type="dxa"/>
            <w:tcBorders>
              <w:top w:val="nil"/>
              <w:left w:val="nil"/>
              <w:bottom w:val="nil"/>
              <w:right w:val="nil"/>
              <w:tl2br w:val="nil"/>
              <w:tr2bl w:val="nil"/>
            </w:tcBorders>
            <w:shd w:val="clear" w:color="auto" w:fill="auto"/>
            <w:noWrap/>
            <w:tcMar>
              <w:left w:w="101" w:type="dxa"/>
              <w:right w:w="101" w:type="dxa"/>
            </w:tcMar>
          </w:tcPr>
          <w:p w14:paraId="09782A7D"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6202A04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907,735</w:t>
            </w:r>
          </w:p>
        </w:tc>
        <w:tc>
          <w:tcPr>
            <w:tcW w:w="1035" w:type="dxa"/>
            <w:tcBorders>
              <w:top w:val="nil"/>
              <w:left w:val="nil"/>
              <w:bottom w:val="nil"/>
              <w:right w:val="nil"/>
              <w:tl2br w:val="nil"/>
              <w:tr2bl w:val="nil"/>
            </w:tcBorders>
            <w:shd w:val="clear" w:color="FFFFFF" w:fill="FFFFFF"/>
            <w:tcMar>
              <w:left w:w="101" w:type="dxa"/>
              <w:right w:w="101" w:type="dxa"/>
            </w:tcMar>
          </w:tcPr>
          <w:p w14:paraId="19CAA2D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973,456</w:t>
            </w:r>
          </w:p>
        </w:tc>
        <w:tc>
          <w:tcPr>
            <w:tcW w:w="600" w:type="dxa"/>
            <w:tcBorders>
              <w:top w:val="nil"/>
              <w:left w:val="nil"/>
              <w:bottom w:val="nil"/>
              <w:right w:val="nil"/>
              <w:tl2br w:val="nil"/>
              <w:tr2bl w:val="nil"/>
            </w:tcBorders>
            <w:shd w:val="clear" w:color="FFFFFF" w:fill="FFFFFF"/>
            <w:tcMar>
              <w:left w:w="101" w:type="dxa"/>
              <w:right w:w="101" w:type="dxa"/>
            </w:tcMar>
          </w:tcPr>
          <w:p w14:paraId="0DD6326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6D577B0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954,194</w:t>
            </w:r>
          </w:p>
        </w:tc>
        <w:tc>
          <w:tcPr>
            <w:tcW w:w="1035" w:type="dxa"/>
            <w:tcBorders>
              <w:top w:val="nil"/>
              <w:left w:val="nil"/>
              <w:bottom w:val="nil"/>
              <w:right w:val="nil"/>
              <w:tl2br w:val="nil"/>
              <w:tr2bl w:val="nil"/>
            </w:tcBorders>
            <w:shd w:val="clear" w:color="FFFFFF" w:fill="FFFFFF"/>
            <w:tcMar>
              <w:left w:w="101" w:type="dxa"/>
              <w:right w:w="101" w:type="dxa"/>
            </w:tcMar>
          </w:tcPr>
          <w:p w14:paraId="5017491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957,559</w:t>
            </w:r>
          </w:p>
        </w:tc>
        <w:tc>
          <w:tcPr>
            <w:tcW w:w="1035" w:type="dxa"/>
            <w:tcBorders>
              <w:top w:val="nil"/>
              <w:left w:val="nil"/>
              <w:bottom w:val="nil"/>
              <w:right w:val="nil"/>
              <w:tl2br w:val="nil"/>
              <w:tr2bl w:val="nil"/>
            </w:tcBorders>
            <w:shd w:val="clear" w:color="FFFFFF" w:fill="FFFFFF"/>
            <w:tcMar>
              <w:left w:w="101" w:type="dxa"/>
              <w:right w:w="101" w:type="dxa"/>
            </w:tcMar>
          </w:tcPr>
          <w:p w14:paraId="285C660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942,205</w:t>
            </w:r>
          </w:p>
        </w:tc>
      </w:tr>
      <w:tr w:rsidR="009832FC" w:rsidRPr="009832FC" w14:paraId="6CFC793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ED31F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200,685</w:t>
            </w:r>
          </w:p>
        </w:tc>
        <w:tc>
          <w:tcPr>
            <w:tcW w:w="2925" w:type="dxa"/>
            <w:tcBorders>
              <w:top w:val="nil"/>
              <w:left w:val="nil"/>
              <w:bottom w:val="nil"/>
              <w:right w:val="nil"/>
              <w:tl2br w:val="nil"/>
              <w:tr2bl w:val="nil"/>
            </w:tcBorders>
            <w:shd w:val="clear" w:color="auto" w:fill="auto"/>
            <w:noWrap/>
            <w:tcMar>
              <w:left w:w="101" w:type="dxa"/>
              <w:right w:w="101" w:type="dxa"/>
            </w:tcMar>
          </w:tcPr>
          <w:p w14:paraId="35A39459"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5F7EE13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116,816</w:t>
            </w:r>
          </w:p>
        </w:tc>
        <w:tc>
          <w:tcPr>
            <w:tcW w:w="1035" w:type="dxa"/>
            <w:tcBorders>
              <w:top w:val="nil"/>
              <w:left w:val="nil"/>
              <w:bottom w:val="nil"/>
              <w:right w:val="nil"/>
              <w:tl2br w:val="nil"/>
              <w:tr2bl w:val="nil"/>
            </w:tcBorders>
            <w:shd w:val="clear" w:color="FFFFFF" w:fill="FFFFFF"/>
            <w:tcMar>
              <w:left w:w="101" w:type="dxa"/>
              <w:right w:w="101" w:type="dxa"/>
            </w:tcMar>
          </w:tcPr>
          <w:p w14:paraId="2192CE6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116,219</w:t>
            </w:r>
          </w:p>
        </w:tc>
        <w:tc>
          <w:tcPr>
            <w:tcW w:w="600" w:type="dxa"/>
            <w:tcBorders>
              <w:top w:val="nil"/>
              <w:left w:val="nil"/>
              <w:bottom w:val="nil"/>
              <w:right w:val="nil"/>
              <w:tl2br w:val="nil"/>
              <w:tr2bl w:val="nil"/>
            </w:tcBorders>
            <w:shd w:val="clear" w:color="FFFFFF" w:fill="FFFFFF"/>
            <w:tcMar>
              <w:left w:w="101" w:type="dxa"/>
              <w:right w:w="101" w:type="dxa"/>
            </w:tcMar>
          </w:tcPr>
          <w:p w14:paraId="18041916"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70431D2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119,124</w:t>
            </w:r>
          </w:p>
        </w:tc>
        <w:tc>
          <w:tcPr>
            <w:tcW w:w="1035" w:type="dxa"/>
            <w:tcBorders>
              <w:top w:val="nil"/>
              <w:left w:val="nil"/>
              <w:bottom w:val="nil"/>
              <w:right w:val="nil"/>
              <w:tl2br w:val="nil"/>
              <w:tr2bl w:val="nil"/>
            </w:tcBorders>
            <w:shd w:val="clear" w:color="FFFFFF" w:fill="FFFFFF"/>
            <w:tcMar>
              <w:left w:w="101" w:type="dxa"/>
              <w:right w:w="101" w:type="dxa"/>
            </w:tcMar>
          </w:tcPr>
          <w:p w14:paraId="59C2824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122,102</w:t>
            </w:r>
          </w:p>
        </w:tc>
        <w:tc>
          <w:tcPr>
            <w:tcW w:w="1035" w:type="dxa"/>
            <w:tcBorders>
              <w:top w:val="nil"/>
              <w:left w:val="nil"/>
              <w:bottom w:val="nil"/>
              <w:right w:val="nil"/>
              <w:tl2br w:val="nil"/>
              <w:tr2bl w:val="nil"/>
            </w:tcBorders>
            <w:shd w:val="clear" w:color="FFFFFF" w:fill="FFFFFF"/>
            <w:tcMar>
              <w:left w:w="101" w:type="dxa"/>
              <w:right w:w="101" w:type="dxa"/>
            </w:tcMar>
          </w:tcPr>
          <w:p w14:paraId="160C3290"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124,544</w:t>
            </w:r>
          </w:p>
        </w:tc>
      </w:tr>
      <w:tr w:rsidR="009832FC" w:rsidRPr="009832FC" w14:paraId="272F944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CC2B74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482,993</w:t>
            </w:r>
          </w:p>
        </w:tc>
        <w:tc>
          <w:tcPr>
            <w:tcW w:w="2925" w:type="dxa"/>
            <w:tcBorders>
              <w:top w:val="nil"/>
              <w:left w:val="nil"/>
              <w:bottom w:val="nil"/>
              <w:right w:val="nil"/>
              <w:tl2br w:val="nil"/>
              <w:tr2bl w:val="nil"/>
            </w:tcBorders>
            <w:shd w:val="clear" w:color="auto" w:fill="auto"/>
            <w:noWrap/>
            <w:tcMar>
              <w:left w:w="101" w:type="dxa"/>
              <w:right w:w="101" w:type="dxa"/>
            </w:tcMar>
          </w:tcPr>
          <w:p w14:paraId="44FCF9BA"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3805287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462,231</w:t>
            </w:r>
          </w:p>
        </w:tc>
        <w:tc>
          <w:tcPr>
            <w:tcW w:w="1035" w:type="dxa"/>
            <w:tcBorders>
              <w:top w:val="nil"/>
              <w:left w:val="nil"/>
              <w:bottom w:val="nil"/>
              <w:right w:val="nil"/>
              <w:tl2br w:val="nil"/>
              <w:tr2bl w:val="nil"/>
            </w:tcBorders>
            <w:shd w:val="clear" w:color="FFFFFF" w:fill="FFFFFF"/>
            <w:tcMar>
              <w:left w:w="101" w:type="dxa"/>
              <w:right w:w="101" w:type="dxa"/>
            </w:tcMar>
          </w:tcPr>
          <w:p w14:paraId="38EF2E0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516,958</w:t>
            </w:r>
          </w:p>
        </w:tc>
        <w:tc>
          <w:tcPr>
            <w:tcW w:w="600" w:type="dxa"/>
            <w:tcBorders>
              <w:top w:val="nil"/>
              <w:left w:val="nil"/>
              <w:bottom w:val="nil"/>
              <w:right w:val="nil"/>
              <w:tl2br w:val="nil"/>
              <w:tr2bl w:val="nil"/>
            </w:tcBorders>
            <w:shd w:val="clear" w:color="FFFFFF" w:fill="FFFFFF"/>
            <w:tcMar>
              <w:left w:w="101" w:type="dxa"/>
              <w:right w:w="101" w:type="dxa"/>
            </w:tcMar>
          </w:tcPr>
          <w:p w14:paraId="4AC5D4F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22876BA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511,779</w:t>
            </w:r>
          </w:p>
        </w:tc>
        <w:tc>
          <w:tcPr>
            <w:tcW w:w="1035" w:type="dxa"/>
            <w:tcBorders>
              <w:top w:val="nil"/>
              <w:left w:val="nil"/>
              <w:bottom w:val="nil"/>
              <w:right w:val="nil"/>
              <w:tl2br w:val="nil"/>
              <w:tr2bl w:val="nil"/>
            </w:tcBorders>
            <w:shd w:val="clear" w:color="FFFFFF" w:fill="FFFFFF"/>
            <w:tcMar>
              <w:left w:w="101" w:type="dxa"/>
              <w:right w:w="101" w:type="dxa"/>
            </w:tcMar>
          </w:tcPr>
          <w:p w14:paraId="4038FB4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545,045</w:t>
            </w:r>
          </w:p>
        </w:tc>
        <w:tc>
          <w:tcPr>
            <w:tcW w:w="1035" w:type="dxa"/>
            <w:tcBorders>
              <w:top w:val="nil"/>
              <w:left w:val="nil"/>
              <w:bottom w:val="nil"/>
              <w:right w:val="nil"/>
              <w:tl2br w:val="nil"/>
              <w:tr2bl w:val="nil"/>
            </w:tcBorders>
            <w:shd w:val="clear" w:color="FFFFFF" w:fill="FFFFFF"/>
            <w:tcMar>
              <w:left w:w="101" w:type="dxa"/>
              <w:right w:w="101" w:type="dxa"/>
            </w:tcMar>
          </w:tcPr>
          <w:p w14:paraId="650C629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580,473</w:t>
            </w:r>
          </w:p>
        </w:tc>
      </w:tr>
      <w:tr w:rsidR="009832FC" w:rsidRPr="009832FC" w14:paraId="5AB85D3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59061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21,994</w:t>
            </w:r>
          </w:p>
        </w:tc>
        <w:tc>
          <w:tcPr>
            <w:tcW w:w="2925" w:type="dxa"/>
            <w:tcBorders>
              <w:top w:val="nil"/>
              <w:left w:val="nil"/>
              <w:bottom w:val="nil"/>
              <w:right w:val="nil"/>
              <w:tl2br w:val="nil"/>
              <w:tr2bl w:val="nil"/>
            </w:tcBorders>
            <w:shd w:val="clear" w:color="auto" w:fill="auto"/>
            <w:noWrap/>
            <w:tcMar>
              <w:left w:w="101" w:type="dxa"/>
              <w:right w:w="101" w:type="dxa"/>
            </w:tcMar>
          </w:tcPr>
          <w:p w14:paraId="5D4BA26E"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39A33C6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113,153</w:t>
            </w:r>
          </w:p>
        </w:tc>
        <w:tc>
          <w:tcPr>
            <w:tcW w:w="1035" w:type="dxa"/>
            <w:tcBorders>
              <w:top w:val="nil"/>
              <w:left w:val="nil"/>
              <w:bottom w:val="nil"/>
              <w:right w:val="nil"/>
              <w:tl2br w:val="nil"/>
              <w:tr2bl w:val="nil"/>
            </w:tcBorders>
            <w:shd w:val="clear" w:color="FFFFFF" w:fill="FFFFFF"/>
            <w:tcMar>
              <w:left w:w="101" w:type="dxa"/>
              <w:right w:w="101" w:type="dxa"/>
            </w:tcMar>
          </w:tcPr>
          <w:p w14:paraId="4650876B"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140,772</w:t>
            </w:r>
          </w:p>
        </w:tc>
        <w:tc>
          <w:tcPr>
            <w:tcW w:w="600" w:type="dxa"/>
            <w:tcBorders>
              <w:top w:val="nil"/>
              <w:left w:val="nil"/>
              <w:bottom w:val="nil"/>
              <w:right w:val="nil"/>
              <w:tl2br w:val="nil"/>
              <w:tr2bl w:val="nil"/>
            </w:tcBorders>
            <w:shd w:val="clear" w:color="FFFFFF" w:fill="FFFFFF"/>
            <w:tcMar>
              <w:left w:w="101" w:type="dxa"/>
              <w:right w:w="101" w:type="dxa"/>
            </w:tcMar>
          </w:tcPr>
          <w:p w14:paraId="1A67EB7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24 </w:t>
            </w:r>
          </w:p>
        </w:tc>
        <w:tc>
          <w:tcPr>
            <w:tcW w:w="1035" w:type="dxa"/>
            <w:tcBorders>
              <w:top w:val="nil"/>
              <w:left w:val="nil"/>
              <w:bottom w:val="nil"/>
              <w:right w:val="nil"/>
              <w:tl2br w:val="nil"/>
              <w:tr2bl w:val="nil"/>
            </w:tcBorders>
            <w:shd w:val="clear" w:color="FFFFFF" w:fill="FFFFFF"/>
            <w:tcMar>
              <w:left w:w="101" w:type="dxa"/>
              <w:right w:w="101" w:type="dxa"/>
            </w:tcMar>
          </w:tcPr>
          <w:p w14:paraId="1FC0F4AC"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144,110</w:t>
            </w:r>
          </w:p>
        </w:tc>
        <w:tc>
          <w:tcPr>
            <w:tcW w:w="1035" w:type="dxa"/>
            <w:tcBorders>
              <w:top w:val="nil"/>
              <w:left w:val="nil"/>
              <w:bottom w:val="nil"/>
              <w:right w:val="nil"/>
              <w:tl2br w:val="nil"/>
              <w:tr2bl w:val="nil"/>
            </w:tcBorders>
            <w:shd w:val="clear" w:color="FFFFFF" w:fill="FFFFFF"/>
            <w:tcMar>
              <w:left w:w="101" w:type="dxa"/>
              <w:right w:w="101" w:type="dxa"/>
            </w:tcMar>
          </w:tcPr>
          <w:p w14:paraId="4877260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147,527</w:t>
            </w:r>
          </w:p>
        </w:tc>
        <w:tc>
          <w:tcPr>
            <w:tcW w:w="1035" w:type="dxa"/>
            <w:tcBorders>
              <w:top w:val="nil"/>
              <w:left w:val="nil"/>
              <w:bottom w:val="nil"/>
              <w:right w:val="nil"/>
              <w:tl2br w:val="nil"/>
              <w:tr2bl w:val="nil"/>
            </w:tcBorders>
            <w:shd w:val="clear" w:color="FFFFFF" w:fill="FFFFFF"/>
            <w:tcMar>
              <w:left w:w="101" w:type="dxa"/>
              <w:right w:w="101" w:type="dxa"/>
            </w:tcMar>
          </w:tcPr>
          <w:p w14:paraId="1DFBAA1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150,421</w:t>
            </w:r>
          </w:p>
        </w:tc>
      </w:tr>
      <w:tr w:rsidR="009832FC" w:rsidRPr="009832FC" w14:paraId="5FA623DD"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DCD74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1,605,845</w:t>
            </w:r>
          </w:p>
        </w:tc>
        <w:tc>
          <w:tcPr>
            <w:tcW w:w="2925" w:type="dxa"/>
            <w:tcBorders>
              <w:top w:val="nil"/>
              <w:left w:val="nil"/>
              <w:bottom w:val="nil"/>
              <w:right w:val="nil"/>
              <w:tl2br w:val="nil"/>
              <w:tr2bl w:val="nil"/>
            </w:tcBorders>
            <w:shd w:val="clear" w:color="FFFFFF" w:fill="FFFFFF"/>
            <w:tcMar>
              <w:left w:w="101" w:type="dxa"/>
              <w:right w:w="101" w:type="dxa"/>
            </w:tcMar>
          </w:tcPr>
          <w:p w14:paraId="4C3C9A63"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4BFB93B8"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1,599,935</w:t>
            </w:r>
          </w:p>
        </w:tc>
        <w:tc>
          <w:tcPr>
            <w:tcW w:w="1035" w:type="dxa"/>
            <w:tcBorders>
              <w:top w:val="nil"/>
              <w:left w:val="nil"/>
              <w:bottom w:val="nil"/>
              <w:right w:val="nil"/>
              <w:tl2br w:val="nil"/>
              <w:tr2bl w:val="nil"/>
            </w:tcBorders>
            <w:shd w:val="clear" w:color="FFFFFF" w:fill="FFFFFF"/>
            <w:tcMar>
              <w:left w:w="101" w:type="dxa"/>
              <w:right w:w="101" w:type="dxa"/>
            </w:tcMar>
          </w:tcPr>
          <w:p w14:paraId="0D5EC5D3"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1,747,405</w:t>
            </w:r>
          </w:p>
        </w:tc>
        <w:tc>
          <w:tcPr>
            <w:tcW w:w="600" w:type="dxa"/>
            <w:tcBorders>
              <w:top w:val="nil"/>
              <w:left w:val="nil"/>
              <w:bottom w:val="nil"/>
              <w:right w:val="nil"/>
              <w:tl2br w:val="nil"/>
              <w:tr2bl w:val="nil"/>
            </w:tcBorders>
            <w:shd w:val="clear" w:color="FFFFFF" w:fill="FFFFFF"/>
            <w:tcMar>
              <w:left w:w="101" w:type="dxa"/>
              <w:right w:w="101" w:type="dxa"/>
            </w:tcMar>
          </w:tcPr>
          <w:p w14:paraId="07D7EA2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013F6E82"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1,729,207</w:t>
            </w:r>
          </w:p>
        </w:tc>
        <w:tc>
          <w:tcPr>
            <w:tcW w:w="1035" w:type="dxa"/>
            <w:tcBorders>
              <w:top w:val="nil"/>
              <w:left w:val="nil"/>
              <w:bottom w:val="nil"/>
              <w:right w:val="nil"/>
              <w:tl2br w:val="nil"/>
              <w:tr2bl w:val="nil"/>
            </w:tcBorders>
            <w:shd w:val="clear" w:color="FFFFFF" w:fill="FFFFFF"/>
            <w:tcMar>
              <w:left w:w="101" w:type="dxa"/>
              <w:right w:w="101" w:type="dxa"/>
            </w:tcMar>
          </w:tcPr>
          <w:p w14:paraId="797F208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1,772,233</w:t>
            </w:r>
          </w:p>
        </w:tc>
        <w:tc>
          <w:tcPr>
            <w:tcW w:w="1035" w:type="dxa"/>
            <w:tcBorders>
              <w:top w:val="nil"/>
              <w:left w:val="nil"/>
              <w:bottom w:val="nil"/>
              <w:right w:val="nil"/>
              <w:tl2br w:val="nil"/>
              <w:tr2bl w:val="nil"/>
            </w:tcBorders>
            <w:shd w:val="clear" w:color="FFFFFF" w:fill="FFFFFF"/>
            <w:tcMar>
              <w:left w:w="101" w:type="dxa"/>
              <w:right w:w="101" w:type="dxa"/>
            </w:tcMar>
          </w:tcPr>
          <w:p w14:paraId="1D0EE64F"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1,797,643</w:t>
            </w:r>
          </w:p>
        </w:tc>
      </w:tr>
      <w:tr w:rsidR="009832FC" w:rsidRPr="009832FC" w14:paraId="7FB6A30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3BAB3D9" w14:textId="77777777" w:rsidR="009832FC" w:rsidRPr="009832FC" w:rsidRDefault="009832FC" w:rsidP="009832FC">
            <w:pPr>
              <w:spacing w:before="0" w:after="0"/>
              <w:rPr>
                <w:rFonts w:eastAsia="Calibri" w:cs="Calibri"/>
                <w:color w:val="000000"/>
                <w:sz w:val="18"/>
                <w:szCs w:val="24"/>
                <w:lang w:eastAsia="en-AU"/>
              </w:rPr>
            </w:pPr>
          </w:p>
        </w:tc>
        <w:tc>
          <w:tcPr>
            <w:tcW w:w="2925" w:type="dxa"/>
            <w:tcBorders>
              <w:top w:val="nil"/>
              <w:left w:val="nil"/>
              <w:bottom w:val="nil"/>
              <w:right w:val="nil"/>
              <w:tl2br w:val="nil"/>
              <w:tr2bl w:val="nil"/>
            </w:tcBorders>
            <w:shd w:val="clear" w:color="FFFFFF" w:fill="FFFFFF"/>
            <w:tcMar>
              <w:left w:w="0" w:type="dxa"/>
              <w:right w:w="0" w:type="dxa"/>
            </w:tcMar>
          </w:tcPr>
          <w:p w14:paraId="2C924827"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2E6BC1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8CB63FF"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DC8281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2B623B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085E46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B97F59F"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3FEA2AF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9A7B0A" w14:textId="77777777" w:rsidR="009832FC" w:rsidRPr="009832FC" w:rsidRDefault="009832FC" w:rsidP="009832FC">
            <w:pPr>
              <w:spacing w:before="0" w:after="0"/>
              <w:rPr>
                <w:rFonts w:eastAsia="Calibri" w:cs="Calibri"/>
                <w:color w:val="000000"/>
                <w:sz w:val="18"/>
                <w:szCs w:val="24"/>
                <w:lang w:eastAsia="en-AU"/>
              </w:rPr>
            </w:pPr>
          </w:p>
        </w:tc>
        <w:tc>
          <w:tcPr>
            <w:tcW w:w="2925" w:type="dxa"/>
            <w:tcBorders>
              <w:top w:val="nil"/>
              <w:left w:val="nil"/>
              <w:bottom w:val="nil"/>
              <w:right w:val="nil"/>
              <w:tl2br w:val="nil"/>
              <w:tr2bl w:val="nil"/>
            </w:tcBorders>
            <w:shd w:val="clear" w:color="FFFFFF" w:fill="FFFFFF"/>
            <w:tcMar>
              <w:left w:w="101" w:type="dxa"/>
              <w:right w:w="101" w:type="dxa"/>
            </w:tcMar>
          </w:tcPr>
          <w:p w14:paraId="6D6EDECF"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5166A38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99C8DD1"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5F97CF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F3BFB1A"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B1CF97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19A84ED"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17077FA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7F791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1,589,823</w:t>
            </w:r>
          </w:p>
        </w:tc>
        <w:tc>
          <w:tcPr>
            <w:tcW w:w="2925" w:type="dxa"/>
            <w:tcBorders>
              <w:top w:val="nil"/>
              <w:left w:val="nil"/>
              <w:bottom w:val="nil"/>
              <w:right w:val="nil"/>
              <w:tl2br w:val="nil"/>
              <w:tr2bl w:val="nil"/>
            </w:tcBorders>
            <w:shd w:val="clear" w:color="FFFFFF" w:fill="FFFFFF"/>
            <w:noWrap/>
            <w:tcMar>
              <w:left w:w="101" w:type="dxa"/>
              <w:right w:w="101" w:type="dxa"/>
            </w:tcMar>
          </w:tcPr>
          <w:p w14:paraId="5655FB2A"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B916BD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1,490,866</w:t>
            </w:r>
          </w:p>
        </w:tc>
        <w:tc>
          <w:tcPr>
            <w:tcW w:w="1035" w:type="dxa"/>
            <w:tcBorders>
              <w:top w:val="nil"/>
              <w:left w:val="nil"/>
              <w:bottom w:val="nil"/>
              <w:right w:val="nil"/>
              <w:tl2br w:val="nil"/>
              <w:tr2bl w:val="nil"/>
            </w:tcBorders>
            <w:shd w:val="clear" w:color="FFFFFF" w:fill="FFFFFF"/>
            <w:tcMar>
              <w:left w:w="101" w:type="dxa"/>
              <w:right w:w="101" w:type="dxa"/>
            </w:tcMar>
          </w:tcPr>
          <w:p w14:paraId="54E34BC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1,605,742</w:t>
            </w:r>
          </w:p>
        </w:tc>
        <w:tc>
          <w:tcPr>
            <w:tcW w:w="600" w:type="dxa"/>
            <w:tcBorders>
              <w:top w:val="nil"/>
              <w:left w:val="nil"/>
              <w:bottom w:val="nil"/>
              <w:right w:val="nil"/>
              <w:tl2br w:val="nil"/>
              <w:tr2bl w:val="nil"/>
            </w:tcBorders>
            <w:shd w:val="clear" w:color="FFFFFF" w:fill="FFFFFF"/>
            <w:tcMar>
              <w:left w:w="101" w:type="dxa"/>
              <w:right w:w="101" w:type="dxa"/>
            </w:tcMar>
          </w:tcPr>
          <w:p w14:paraId="2EDE28D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1BD1B85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1,585,097</w:t>
            </w:r>
          </w:p>
        </w:tc>
        <w:tc>
          <w:tcPr>
            <w:tcW w:w="1035" w:type="dxa"/>
            <w:tcBorders>
              <w:top w:val="nil"/>
              <w:left w:val="nil"/>
              <w:bottom w:val="nil"/>
              <w:right w:val="nil"/>
              <w:tl2br w:val="nil"/>
              <w:tr2bl w:val="nil"/>
            </w:tcBorders>
            <w:shd w:val="clear" w:color="FFFFFF" w:fill="FFFFFF"/>
            <w:tcMar>
              <w:left w:w="101" w:type="dxa"/>
              <w:right w:w="101" w:type="dxa"/>
            </w:tcMar>
          </w:tcPr>
          <w:p w14:paraId="579AB614"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1,624,706</w:t>
            </w:r>
          </w:p>
        </w:tc>
        <w:tc>
          <w:tcPr>
            <w:tcW w:w="1035" w:type="dxa"/>
            <w:tcBorders>
              <w:top w:val="nil"/>
              <w:left w:val="nil"/>
              <w:bottom w:val="nil"/>
              <w:right w:val="nil"/>
              <w:tl2br w:val="nil"/>
              <w:tr2bl w:val="nil"/>
            </w:tcBorders>
            <w:shd w:val="clear" w:color="FFFFFF" w:fill="FFFFFF"/>
            <w:tcMar>
              <w:left w:w="101" w:type="dxa"/>
              <w:right w:w="101" w:type="dxa"/>
            </w:tcMar>
          </w:tcPr>
          <w:p w14:paraId="6548057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1,647,222</w:t>
            </w:r>
          </w:p>
        </w:tc>
      </w:tr>
      <w:tr w:rsidR="009832FC" w:rsidRPr="009832FC" w14:paraId="6AA749F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B8EB1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2925" w:type="dxa"/>
            <w:tcBorders>
              <w:top w:val="nil"/>
              <w:left w:val="nil"/>
              <w:bottom w:val="nil"/>
              <w:right w:val="nil"/>
              <w:tl2br w:val="nil"/>
              <w:tr2bl w:val="nil"/>
            </w:tcBorders>
            <w:shd w:val="clear" w:color="FFFFFF" w:fill="FFFFFF"/>
            <w:noWrap/>
            <w:tcMar>
              <w:left w:w="101" w:type="dxa"/>
              <w:right w:w="101" w:type="dxa"/>
            </w:tcMar>
          </w:tcPr>
          <w:p w14:paraId="721F4E0E"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Payments to General Government Agencies for Outputs</w:t>
            </w:r>
          </w:p>
        </w:tc>
        <w:tc>
          <w:tcPr>
            <w:tcW w:w="1035" w:type="dxa"/>
            <w:tcBorders>
              <w:top w:val="nil"/>
              <w:left w:val="nil"/>
              <w:bottom w:val="nil"/>
              <w:right w:val="nil"/>
              <w:tl2br w:val="nil"/>
              <w:tr2bl w:val="nil"/>
            </w:tcBorders>
            <w:shd w:val="clear" w:color="FFFFFF" w:fill="FFFFFF"/>
            <w:tcMar>
              <w:left w:w="101" w:type="dxa"/>
              <w:right w:w="101" w:type="dxa"/>
            </w:tcMar>
          </w:tcPr>
          <w:p w14:paraId="36026F97"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67FBB1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891</w:t>
            </w:r>
          </w:p>
        </w:tc>
        <w:tc>
          <w:tcPr>
            <w:tcW w:w="600" w:type="dxa"/>
            <w:tcBorders>
              <w:top w:val="nil"/>
              <w:left w:val="nil"/>
              <w:bottom w:val="nil"/>
              <w:right w:val="nil"/>
              <w:tl2br w:val="nil"/>
              <w:tr2bl w:val="nil"/>
            </w:tcBorders>
            <w:shd w:val="clear" w:color="FFFFFF" w:fill="FFFFFF"/>
            <w:tcMar>
              <w:left w:w="101" w:type="dxa"/>
              <w:right w:w="101" w:type="dxa"/>
            </w:tcMar>
          </w:tcPr>
          <w:p w14:paraId="3D3A1769"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8A0E2BE"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4F279DCA"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DDD378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0</w:t>
            </w:r>
          </w:p>
        </w:tc>
      </w:tr>
      <w:tr w:rsidR="009832FC" w:rsidRPr="009832FC" w14:paraId="0749D27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CE9853"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21,994</w:t>
            </w:r>
          </w:p>
        </w:tc>
        <w:tc>
          <w:tcPr>
            <w:tcW w:w="2925" w:type="dxa"/>
            <w:tcBorders>
              <w:top w:val="nil"/>
              <w:left w:val="nil"/>
              <w:bottom w:val="nil"/>
              <w:right w:val="nil"/>
              <w:tl2br w:val="nil"/>
              <w:tr2bl w:val="nil"/>
            </w:tcBorders>
            <w:shd w:val="clear" w:color="FFFFFF" w:fill="FFFFFF"/>
            <w:noWrap/>
            <w:tcMar>
              <w:left w:w="101" w:type="dxa"/>
              <w:right w:w="101" w:type="dxa"/>
            </w:tcMar>
          </w:tcPr>
          <w:p w14:paraId="46B67614" w14:textId="77777777" w:rsidR="009832FC" w:rsidRPr="009832FC" w:rsidRDefault="009832FC" w:rsidP="009832FC">
            <w:pPr>
              <w:spacing w:before="0" w:after="0"/>
              <w:rPr>
                <w:rFonts w:eastAsia="Calibri" w:cs="Calibri"/>
                <w:color w:val="000000"/>
                <w:sz w:val="18"/>
                <w:szCs w:val="24"/>
                <w:lang w:eastAsia="en-AU"/>
              </w:rPr>
            </w:pPr>
            <w:r w:rsidRPr="009832FC">
              <w:rPr>
                <w:rFonts w:eastAsia="Calibri" w:cs="Calibri"/>
                <w:color w:val="000000"/>
                <w:sz w:val="18"/>
                <w:szCs w:val="24"/>
                <w:lang w:eastAsia="en-AU"/>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60DCB38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112,863</w:t>
            </w:r>
          </w:p>
        </w:tc>
        <w:tc>
          <w:tcPr>
            <w:tcW w:w="1035" w:type="dxa"/>
            <w:tcBorders>
              <w:top w:val="nil"/>
              <w:left w:val="nil"/>
              <w:bottom w:val="nil"/>
              <w:right w:val="nil"/>
              <w:tl2br w:val="nil"/>
              <w:tr2bl w:val="nil"/>
            </w:tcBorders>
            <w:shd w:val="clear" w:color="FFFFFF" w:fill="FFFFFF"/>
            <w:tcMar>
              <w:left w:w="101" w:type="dxa"/>
              <w:right w:w="101" w:type="dxa"/>
            </w:tcMar>
          </w:tcPr>
          <w:p w14:paraId="0DDF5EB1"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140,772</w:t>
            </w:r>
          </w:p>
        </w:tc>
        <w:tc>
          <w:tcPr>
            <w:tcW w:w="600" w:type="dxa"/>
            <w:tcBorders>
              <w:top w:val="nil"/>
              <w:left w:val="nil"/>
              <w:bottom w:val="nil"/>
              <w:right w:val="nil"/>
              <w:tl2br w:val="nil"/>
              <w:tr2bl w:val="nil"/>
            </w:tcBorders>
            <w:shd w:val="clear" w:color="FFFFFF" w:fill="FFFFFF"/>
            <w:tcMar>
              <w:left w:w="101" w:type="dxa"/>
              <w:right w:w="101" w:type="dxa"/>
            </w:tcMar>
          </w:tcPr>
          <w:p w14:paraId="4D406552"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3A7BDD65"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144,110</w:t>
            </w:r>
          </w:p>
        </w:tc>
        <w:tc>
          <w:tcPr>
            <w:tcW w:w="1035" w:type="dxa"/>
            <w:tcBorders>
              <w:top w:val="nil"/>
              <w:left w:val="nil"/>
              <w:bottom w:val="nil"/>
              <w:right w:val="nil"/>
              <w:tl2br w:val="nil"/>
              <w:tr2bl w:val="nil"/>
            </w:tcBorders>
            <w:shd w:val="clear" w:color="FFFFFF" w:fill="FFFFFF"/>
            <w:tcMar>
              <w:left w:w="101" w:type="dxa"/>
              <w:right w:w="101" w:type="dxa"/>
            </w:tcMar>
          </w:tcPr>
          <w:p w14:paraId="3CE94708"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147,527</w:t>
            </w:r>
          </w:p>
        </w:tc>
        <w:tc>
          <w:tcPr>
            <w:tcW w:w="1035" w:type="dxa"/>
            <w:tcBorders>
              <w:top w:val="nil"/>
              <w:left w:val="nil"/>
              <w:bottom w:val="nil"/>
              <w:right w:val="nil"/>
              <w:tl2br w:val="nil"/>
              <w:tr2bl w:val="nil"/>
            </w:tcBorders>
            <w:shd w:val="clear" w:color="FFFFFF" w:fill="FFFFFF"/>
            <w:tcMar>
              <w:left w:w="101" w:type="dxa"/>
              <w:right w:w="101" w:type="dxa"/>
            </w:tcMar>
          </w:tcPr>
          <w:p w14:paraId="5C56C17D" w14:textId="77777777" w:rsidR="009832FC" w:rsidRPr="009832FC" w:rsidRDefault="009832FC" w:rsidP="009832FC">
            <w:pPr>
              <w:spacing w:before="0" w:after="0"/>
              <w:jc w:val="right"/>
              <w:rPr>
                <w:rFonts w:eastAsia="Calibri" w:cs="Calibri"/>
                <w:color w:val="000000"/>
                <w:sz w:val="18"/>
                <w:szCs w:val="24"/>
                <w:lang w:eastAsia="en-AU"/>
              </w:rPr>
            </w:pPr>
            <w:r w:rsidRPr="009832FC">
              <w:rPr>
                <w:rFonts w:eastAsia="Calibri" w:cs="Calibri"/>
                <w:color w:val="000000"/>
                <w:sz w:val="18"/>
                <w:szCs w:val="24"/>
                <w:lang w:eastAsia="en-AU"/>
              </w:rPr>
              <w:t>150,421</w:t>
            </w:r>
          </w:p>
        </w:tc>
      </w:tr>
      <w:tr w:rsidR="009832FC" w:rsidRPr="009832FC" w14:paraId="58356649"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1C1B5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1,611,817</w:t>
            </w:r>
          </w:p>
        </w:tc>
        <w:tc>
          <w:tcPr>
            <w:tcW w:w="2925" w:type="dxa"/>
            <w:tcBorders>
              <w:top w:val="nil"/>
              <w:left w:val="nil"/>
              <w:bottom w:val="nil"/>
              <w:right w:val="nil"/>
              <w:tl2br w:val="nil"/>
              <w:tr2bl w:val="nil"/>
            </w:tcBorders>
            <w:shd w:val="clear" w:color="FFFFFF" w:fill="FFFFFF"/>
            <w:tcMar>
              <w:left w:w="101" w:type="dxa"/>
              <w:right w:w="101" w:type="dxa"/>
            </w:tcMar>
          </w:tcPr>
          <w:p w14:paraId="6F509E1B"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02CE6E0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1,603,729</w:t>
            </w:r>
          </w:p>
        </w:tc>
        <w:tc>
          <w:tcPr>
            <w:tcW w:w="1035" w:type="dxa"/>
            <w:tcBorders>
              <w:top w:val="nil"/>
              <w:left w:val="nil"/>
              <w:bottom w:val="nil"/>
              <w:right w:val="nil"/>
              <w:tl2br w:val="nil"/>
              <w:tr2bl w:val="nil"/>
            </w:tcBorders>
            <w:shd w:val="clear" w:color="FFFFFF" w:fill="FFFFFF"/>
            <w:tcMar>
              <w:left w:w="101" w:type="dxa"/>
              <w:right w:w="101" w:type="dxa"/>
            </w:tcMar>
          </w:tcPr>
          <w:p w14:paraId="446055C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1,747,405</w:t>
            </w:r>
          </w:p>
        </w:tc>
        <w:tc>
          <w:tcPr>
            <w:tcW w:w="600" w:type="dxa"/>
            <w:tcBorders>
              <w:top w:val="nil"/>
              <w:left w:val="nil"/>
              <w:bottom w:val="nil"/>
              <w:right w:val="nil"/>
              <w:tl2br w:val="nil"/>
              <w:tr2bl w:val="nil"/>
            </w:tcBorders>
            <w:shd w:val="clear" w:color="FFFFFF" w:fill="FFFFFF"/>
            <w:tcMar>
              <w:left w:w="101" w:type="dxa"/>
              <w:right w:w="101" w:type="dxa"/>
            </w:tcMar>
          </w:tcPr>
          <w:p w14:paraId="3EC71BC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77811DB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1,729,207</w:t>
            </w:r>
          </w:p>
        </w:tc>
        <w:tc>
          <w:tcPr>
            <w:tcW w:w="1035" w:type="dxa"/>
            <w:tcBorders>
              <w:top w:val="nil"/>
              <w:left w:val="nil"/>
              <w:bottom w:val="nil"/>
              <w:right w:val="nil"/>
              <w:tl2br w:val="nil"/>
              <w:tr2bl w:val="nil"/>
            </w:tcBorders>
            <w:shd w:val="clear" w:color="FFFFFF" w:fill="FFFFFF"/>
            <w:tcMar>
              <w:left w:w="101" w:type="dxa"/>
              <w:right w:w="101" w:type="dxa"/>
            </w:tcMar>
          </w:tcPr>
          <w:p w14:paraId="2F5D1A4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1,772,233</w:t>
            </w:r>
          </w:p>
        </w:tc>
        <w:tc>
          <w:tcPr>
            <w:tcW w:w="1035" w:type="dxa"/>
            <w:tcBorders>
              <w:top w:val="nil"/>
              <w:left w:val="nil"/>
              <w:bottom w:val="nil"/>
              <w:right w:val="nil"/>
              <w:tl2br w:val="nil"/>
              <w:tr2bl w:val="nil"/>
            </w:tcBorders>
            <w:shd w:val="clear" w:color="FFFFFF" w:fill="FFFFFF"/>
            <w:tcMar>
              <w:left w:w="101" w:type="dxa"/>
              <w:right w:w="101" w:type="dxa"/>
            </w:tcMar>
          </w:tcPr>
          <w:p w14:paraId="21C686FD"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1,797,643</w:t>
            </w:r>
          </w:p>
        </w:tc>
      </w:tr>
      <w:tr w:rsidR="009832FC" w:rsidRPr="009832FC" w14:paraId="00A3AAB1"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3A1D836" w14:textId="77777777" w:rsidR="009832FC" w:rsidRPr="009832FC" w:rsidRDefault="009832FC" w:rsidP="009832FC">
            <w:pPr>
              <w:spacing w:before="0" w:after="0"/>
              <w:rPr>
                <w:rFonts w:eastAsia="Calibri" w:cs="Calibri"/>
                <w:color w:val="000000"/>
                <w:sz w:val="18"/>
                <w:szCs w:val="24"/>
                <w:lang w:eastAsia="en-AU"/>
              </w:rPr>
            </w:pPr>
          </w:p>
        </w:tc>
        <w:tc>
          <w:tcPr>
            <w:tcW w:w="2925" w:type="dxa"/>
            <w:tcBorders>
              <w:top w:val="nil"/>
              <w:left w:val="nil"/>
              <w:bottom w:val="nil"/>
              <w:right w:val="nil"/>
              <w:tl2br w:val="nil"/>
              <w:tr2bl w:val="nil"/>
            </w:tcBorders>
            <w:shd w:val="clear" w:color="FFFFFF" w:fill="FFFFFF"/>
            <w:tcMar>
              <w:left w:w="0" w:type="dxa"/>
              <w:right w:w="0" w:type="dxa"/>
            </w:tcMar>
          </w:tcPr>
          <w:p w14:paraId="42F0535A" w14:textId="77777777" w:rsidR="009832FC" w:rsidRPr="009832FC" w:rsidRDefault="009832FC" w:rsidP="009832FC">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8BA8554"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699B4FE"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1C1471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ED04C5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80E68E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BDBF71B"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380207E"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1D800A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-5,972</w:t>
            </w:r>
          </w:p>
        </w:tc>
        <w:tc>
          <w:tcPr>
            <w:tcW w:w="2925" w:type="dxa"/>
            <w:tcBorders>
              <w:top w:val="nil"/>
              <w:left w:val="nil"/>
              <w:bottom w:val="nil"/>
              <w:right w:val="nil"/>
              <w:tl2br w:val="nil"/>
              <w:tr2bl w:val="nil"/>
            </w:tcBorders>
            <w:shd w:val="clear" w:color="FFFFFF" w:fill="FFFFFF"/>
            <w:noWrap/>
            <w:tcMar>
              <w:left w:w="101" w:type="dxa"/>
              <w:right w:w="101" w:type="dxa"/>
            </w:tcMar>
          </w:tcPr>
          <w:p w14:paraId="769DAA8F"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19A5158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-3,794</w:t>
            </w:r>
          </w:p>
        </w:tc>
        <w:tc>
          <w:tcPr>
            <w:tcW w:w="1035" w:type="dxa"/>
            <w:tcBorders>
              <w:top w:val="nil"/>
              <w:left w:val="nil"/>
              <w:bottom w:val="nil"/>
              <w:right w:val="nil"/>
              <w:tl2br w:val="nil"/>
              <w:tr2bl w:val="nil"/>
            </w:tcBorders>
            <w:shd w:val="clear" w:color="FFFFFF" w:fill="FFFFFF"/>
            <w:tcMar>
              <w:left w:w="101" w:type="dxa"/>
              <w:right w:w="101" w:type="dxa"/>
            </w:tcMar>
          </w:tcPr>
          <w:p w14:paraId="6D3737D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7A668A4C"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AD4793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43B640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5798F6E"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4A0C3E2F"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56B37BA" w14:textId="77777777" w:rsidR="009832FC" w:rsidRPr="009832FC" w:rsidRDefault="009832FC" w:rsidP="009832FC">
            <w:pPr>
              <w:spacing w:before="0" w:after="0"/>
              <w:rPr>
                <w:rFonts w:eastAsia="Calibri" w:cs="Calibri"/>
                <w:color w:val="000000"/>
                <w:sz w:val="18"/>
                <w:szCs w:val="24"/>
                <w:lang w:eastAsia="en-AU"/>
              </w:rPr>
            </w:pPr>
          </w:p>
        </w:tc>
        <w:tc>
          <w:tcPr>
            <w:tcW w:w="2925" w:type="dxa"/>
            <w:tcBorders>
              <w:top w:val="nil"/>
              <w:left w:val="nil"/>
              <w:bottom w:val="nil"/>
              <w:right w:val="nil"/>
              <w:tl2br w:val="nil"/>
              <w:tr2bl w:val="nil"/>
            </w:tcBorders>
            <w:shd w:val="clear" w:color="FFFFFF" w:fill="FFFFFF"/>
            <w:tcMar>
              <w:left w:w="0" w:type="dxa"/>
              <w:right w:w="0" w:type="dxa"/>
            </w:tcMar>
          </w:tcPr>
          <w:p w14:paraId="7D4585A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25428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3759CB2"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2090AF1"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FF594D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B5B0AE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BD950E"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2C632954"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BA73E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-5,972</w:t>
            </w:r>
          </w:p>
        </w:tc>
        <w:tc>
          <w:tcPr>
            <w:tcW w:w="2925" w:type="dxa"/>
            <w:tcBorders>
              <w:top w:val="nil"/>
              <w:left w:val="nil"/>
              <w:bottom w:val="nil"/>
              <w:right w:val="nil"/>
              <w:tl2br w:val="nil"/>
              <w:tr2bl w:val="nil"/>
            </w:tcBorders>
            <w:shd w:val="clear" w:color="FFFFFF" w:fill="FFFFFF"/>
            <w:noWrap/>
            <w:tcMar>
              <w:left w:w="101" w:type="dxa"/>
              <w:right w:w="101" w:type="dxa"/>
            </w:tcMar>
          </w:tcPr>
          <w:p w14:paraId="55FD5529"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72B8E37A"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-3,794</w:t>
            </w:r>
          </w:p>
        </w:tc>
        <w:tc>
          <w:tcPr>
            <w:tcW w:w="1035" w:type="dxa"/>
            <w:tcBorders>
              <w:top w:val="nil"/>
              <w:left w:val="nil"/>
              <w:bottom w:val="nil"/>
              <w:right w:val="nil"/>
              <w:tl2br w:val="nil"/>
              <w:tr2bl w:val="nil"/>
            </w:tcBorders>
            <w:shd w:val="clear" w:color="FFFFFF" w:fill="FFFFFF"/>
            <w:tcMar>
              <w:left w:w="101" w:type="dxa"/>
              <w:right w:w="101" w:type="dxa"/>
            </w:tcMar>
          </w:tcPr>
          <w:p w14:paraId="39FBBA8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092EB20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F70246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C31ABA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4892376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r>
      <w:tr w:rsidR="009832FC" w:rsidRPr="009832FC" w14:paraId="46FD95E8"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3551FB" w14:textId="77777777" w:rsidR="009832FC" w:rsidRPr="009832FC" w:rsidRDefault="009832FC" w:rsidP="009832FC">
            <w:pPr>
              <w:spacing w:before="0" w:after="0"/>
              <w:rPr>
                <w:rFonts w:eastAsia="Calibri" w:cs="Calibri"/>
                <w:color w:val="000000"/>
                <w:sz w:val="18"/>
                <w:szCs w:val="24"/>
                <w:lang w:eastAsia="en-AU"/>
              </w:rPr>
            </w:pPr>
          </w:p>
        </w:tc>
        <w:tc>
          <w:tcPr>
            <w:tcW w:w="2925" w:type="dxa"/>
            <w:tcBorders>
              <w:top w:val="nil"/>
              <w:left w:val="nil"/>
              <w:bottom w:val="nil"/>
              <w:right w:val="nil"/>
              <w:tl2br w:val="nil"/>
              <w:tr2bl w:val="nil"/>
            </w:tcBorders>
            <w:shd w:val="clear" w:color="FFFFFF" w:fill="FFFFFF"/>
            <w:tcMar>
              <w:left w:w="0" w:type="dxa"/>
              <w:right w:w="0" w:type="dxa"/>
            </w:tcMar>
          </w:tcPr>
          <w:p w14:paraId="5F96FB8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E3D235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A80C520"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9172947"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8975BAB"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1A45E8E"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9CC203D"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4D362AFC"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6CD12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5,972</w:t>
            </w:r>
          </w:p>
        </w:tc>
        <w:tc>
          <w:tcPr>
            <w:tcW w:w="2925" w:type="dxa"/>
            <w:tcBorders>
              <w:top w:val="nil"/>
              <w:left w:val="nil"/>
              <w:bottom w:val="nil"/>
              <w:right w:val="nil"/>
              <w:tl2br w:val="nil"/>
              <w:tr2bl w:val="nil"/>
            </w:tcBorders>
            <w:shd w:val="clear" w:color="auto" w:fill="auto"/>
            <w:noWrap/>
            <w:tcMar>
              <w:left w:w="101" w:type="dxa"/>
              <w:right w:w="101" w:type="dxa"/>
            </w:tcMar>
          </w:tcPr>
          <w:p w14:paraId="2EA02ACB"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519689F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5,972</w:t>
            </w:r>
          </w:p>
        </w:tc>
        <w:tc>
          <w:tcPr>
            <w:tcW w:w="1035" w:type="dxa"/>
            <w:tcBorders>
              <w:top w:val="nil"/>
              <w:left w:val="nil"/>
              <w:bottom w:val="nil"/>
              <w:right w:val="nil"/>
              <w:tl2br w:val="nil"/>
              <w:tr2bl w:val="nil"/>
            </w:tcBorders>
            <w:shd w:val="clear" w:color="FFFFFF" w:fill="FFFFFF"/>
            <w:tcMar>
              <w:left w:w="101" w:type="dxa"/>
              <w:right w:w="101" w:type="dxa"/>
            </w:tcMar>
          </w:tcPr>
          <w:p w14:paraId="1738530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2,178</w:t>
            </w:r>
          </w:p>
        </w:tc>
        <w:tc>
          <w:tcPr>
            <w:tcW w:w="600" w:type="dxa"/>
            <w:tcBorders>
              <w:top w:val="nil"/>
              <w:left w:val="nil"/>
              <w:bottom w:val="nil"/>
              <w:right w:val="nil"/>
              <w:tl2br w:val="nil"/>
              <w:tr2bl w:val="nil"/>
            </w:tcBorders>
            <w:shd w:val="clear" w:color="FFFFFF" w:fill="FFFFFF"/>
            <w:tcMar>
              <w:left w:w="101" w:type="dxa"/>
              <w:right w:w="101" w:type="dxa"/>
            </w:tcMar>
          </w:tcPr>
          <w:p w14:paraId="66D5FC2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-64 </w:t>
            </w:r>
          </w:p>
        </w:tc>
        <w:tc>
          <w:tcPr>
            <w:tcW w:w="1035" w:type="dxa"/>
            <w:tcBorders>
              <w:top w:val="nil"/>
              <w:left w:val="nil"/>
              <w:bottom w:val="nil"/>
              <w:right w:val="nil"/>
              <w:tl2br w:val="nil"/>
              <w:tr2bl w:val="nil"/>
            </w:tcBorders>
            <w:shd w:val="clear" w:color="FFFFFF" w:fill="FFFFFF"/>
            <w:tcMar>
              <w:left w:w="101" w:type="dxa"/>
              <w:right w:w="101" w:type="dxa"/>
            </w:tcMar>
          </w:tcPr>
          <w:p w14:paraId="3A37180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2,178</w:t>
            </w:r>
          </w:p>
        </w:tc>
        <w:tc>
          <w:tcPr>
            <w:tcW w:w="1035" w:type="dxa"/>
            <w:tcBorders>
              <w:top w:val="nil"/>
              <w:left w:val="nil"/>
              <w:bottom w:val="nil"/>
              <w:right w:val="nil"/>
              <w:tl2br w:val="nil"/>
              <w:tr2bl w:val="nil"/>
            </w:tcBorders>
            <w:shd w:val="clear" w:color="FFFFFF" w:fill="FFFFFF"/>
            <w:tcMar>
              <w:left w:w="101" w:type="dxa"/>
              <w:right w:w="101" w:type="dxa"/>
            </w:tcMar>
          </w:tcPr>
          <w:p w14:paraId="6EA145F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2,178</w:t>
            </w:r>
          </w:p>
        </w:tc>
        <w:tc>
          <w:tcPr>
            <w:tcW w:w="1035" w:type="dxa"/>
            <w:tcBorders>
              <w:top w:val="nil"/>
              <w:left w:val="nil"/>
              <w:bottom w:val="nil"/>
              <w:right w:val="nil"/>
              <w:tl2br w:val="nil"/>
              <w:tr2bl w:val="nil"/>
            </w:tcBorders>
            <w:shd w:val="clear" w:color="FFFFFF" w:fill="FFFFFF"/>
            <w:tcMar>
              <w:left w:w="101" w:type="dxa"/>
              <w:right w:w="101" w:type="dxa"/>
            </w:tcMar>
          </w:tcPr>
          <w:p w14:paraId="3C05FFE1"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2,178</w:t>
            </w:r>
          </w:p>
        </w:tc>
      </w:tr>
      <w:tr w:rsidR="009832FC" w:rsidRPr="009832FC" w14:paraId="4843A41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21BF3FE" w14:textId="77777777" w:rsidR="009832FC" w:rsidRPr="009832FC" w:rsidRDefault="009832FC" w:rsidP="009832FC">
            <w:pPr>
              <w:spacing w:before="0" w:after="0"/>
              <w:rPr>
                <w:rFonts w:eastAsia="Calibri" w:cs="Calibri"/>
                <w:color w:val="000000"/>
                <w:sz w:val="18"/>
                <w:szCs w:val="24"/>
                <w:lang w:eastAsia="en-AU"/>
              </w:rPr>
            </w:pPr>
          </w:p>
        </w:tc>
        <w:tc>
          <w:tcPr>
            <w:tcW w:w="2925" w:type="dxa"/>
            <w:tcBorders>
              <w:top w:val="nil"/>
              <w:left w:val="nil"/>
              <w:bottom w:val="nil"/>
              <w:right w:val="nil"/>
              <w:tl2br w:val="nil"/>
              <w:tr2bl w:val="nil"/>
            </w:tcBorders>
            <w:shd w:val="clear" w:color="auto" w:fill="auto"/>
            <w:noWrap/>
            <w:tcMar>
              <w:left w:w="0" w:type="dxa"/>
              <w:right w:w="0" w:type="dxa"/>
            </w:tcMar>
            <w:vAlign w:val="bottom"/>
          </w:tcPr>
          <w:p w14:paraId="756C2712"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123C889"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4D1184B"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49DDDFF"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75A56E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FC5B363"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E7FCF61" w14:textId="77777777" w:rsidR="009832FC" w:rsidRPr="009832FC" w:rsidRDefault="009832FC" w:rsidP="009832FC">
            <w:pPr>
              <w:spacing w:before="0" w:after="0"/>
              <w:rPr>
                <w:rFonts w:eastAsia="Calibri" w:cs="Calibri"/>
                <w:color w:val="000000"/>
                <w:sz w:val="18"/>
                <w:szCs w:val="24"/>
                <w:lang w:eastAsia="en-AU"/>
              </w:rPr>
            </w:pPr>
          </w:p>
        </w:tc>
      </w:tr>
      <w:tr w:rsidR="009832FC" w:rsidRPr="009832FC" w14:paraId="3FA7B937"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5FAD6C0"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0</w:t>
            </w:r>
          </w:p>
        </w:tc>
        <w:tc>
          <w:tcPr>
            <w:tcW w:w="2925" w:type="dxa"/>
            <w:tcBorders>
              <w:top w:val="nil"/>
              <w:left w:val="nil"/>
              <w:bottom w:val="nil"/>
              <w:right w:val="nil"/>
              <w:tl2br w:val="nil"/>
              <w:tr2bl w:val="nil"/>
            </w:tcBorders>
            <w:shd w:val="clear" w:color="auto" w:fill="auto"/>
            <w:noWrap/>
            <w:tcMar>
              <w:left w:w="101" w:type="dxa"/>
              <w:right w:w="101" w:type="dxa"/>
            </w:tcMar>
          </w:tcPr>
          <w:p w14:paraId="630D8021" w14:textId="77777777" w:rsidR="009832FC" w:rsidRPr="009832FC" w:rsidRDefault="009832FC" w:rsidP="009832FC">
            <w:pPr>
              <w:spacing w:before="0" w:after="0"/>
              <w:rPr>
                <w:rFonts w:eastAsia="Calibri" w:cs="Calibri"/>
                <w:b/>
                <w:color w:val="000000"/>
                <w:sz w:val="18"/>
                <w:szCs w:val="24"/>
                <w:lang w:eastAsia="en-AU"/>
              </w:rPr>
            </w:pPr>
            <w:r w:rsidRPr="009832FC">
              <w:rPr>
                <w:rFonts w:eastAsia="Calibri" w:cs="Calibri"/>
                <w:b/>
                <w:color w:val="000000"/>
                <w:sz w:val="18"/>
                <w:szCs w:val="24"/>
                <w:lang w:eastAsia="en-AU"/>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7F95FE9"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2,178</w:t>
            </w:r>
          </w:p>
        </w:tc>
        <w:tc>
          <w:tcPr>
            <w:tcW w:w="1035" w:type="dxa"/>
            <w:tcBorders>
              <w:top w:val="nil"/>
              <w:left w:val="nil"/>
              <w:bottom w:val="nil"/>
              <w:right w:val="nil"/>
              <w:tl2br w:val="nil"/>
              <w:tr2bl w:val="nil"/>
            </w:tcBorders>
            <w:shd w:val="clear" w:color="FFFFFF" w:fill="FFFFFF"/>
            <w:tcMar>
              <w:left w:w="101" w:type="dxa"/>
              <w:right w:w="101" w:type="dxa"/>
            </w:tcMar>
          </w:tcPr>
          <w:p w14:paraId="54E13307"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2,178</w:t>
            </w:r>
          </w:p>
        </w:tc>
        <w:tc>
          <w:tcPr>
            <w:tcW w:w="600" w:type="dxa"/>
            <w:tcBorders>
              <w:top w:val="nil"/>
              <w:left w:val="nil"/>
              <w:bottom w:val="nil"/>
              <w:right w:val="nil"/>
              <w:tl2br w:val="nil"/>
              <w:tr2bl w:val="nil"/>
            </w:tcBorders>
            <w:shd w:val="clear" w:color="FFFFFF" w:fill="FFFFFF"/>
            <w:tcMar>
              <w:left w:w="101" w:type="dxa"/>
              <w:right w:w="101" w:type="dxa"/>
            </w:tcMar>
          </w:tcPr>
          <w:p w14:paraId="5E6F7506"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4E94D14"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2,178</w:t>
            </w:r>
          </w:p>
        </w:tc>
        <w:tc>
          <w:tcPr>
            <w:tcW w:w="1035" w:type="dxa"/>
            <w:tcBorders>
              <w:top w:val="nil"/>
              <w:left w:val="nil"/>
              <w:bottom w:val="nil"/>
              <w:right w:val="nil"/>
              <w:tl2br w:val="nil"/>
              <w:tr2bl w:val="nil"/>
            </w:tcBorders>
            <w:shd w:val="clear" w:color="FFFFFF" w:fill="FFFFFF"/>
            <w:tcMar>
              <w:left w:w="101" w:type="dxa"/>
              <w:right w:w="101" w:type="dxa"/>
            </w:tcMar>
          </w:tcPr>
          <w:p w14:paraId="353EF9AB"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2,178</w:t>
            </w:r>
          </w:p>
        </w:tc>
        <w:tc>
          <w:tcPr>
            <w:tcW w:w="1035" w:type="dxa"/>
            <w:tcBorders>
              <w:top w:val="nil"/>
              <w:left w:val="nil"/>
              <w:bottom w:val="nil"/>
              <w:right w:val="nil"/>
              <w:tl2br w:val="nil"/>
              <w:tr2bl w:val="nil"/>
            </w:tcBorders>
            <w:shd w:val="clear" w:color="FFFFFF" w:fill="FFFFFF"/>
            <w:tcMar>
              <w:left w:w="101" w:type="dxa"/>
              <w:right w:w="101" w:type="dxa"/>
            </w:tcMar>
          </w:tcPr>
          <w:p w14:paraId="4BFCE345" w14:textId="77777777" w:rsidR="009832FC" w:rsidRPr="009832FC" w:rsidRDefault="009832FC" w:rsidP="009832FC">
            <w:pPr>
              <w:spacing w:before="0" w:after="0"/>
              <w:jc w:val="right"/>
              <w:rPr>
                <w:rFonts w:eastAsia="Calibri" w:cs="Calibri"/>
                <w:b/>
                <w:color w:val="000000"/>
                <w:sz w:val="18"/>
                <w:szCs w:val="24"/>
                <w:lang w:eastAsia="en-AU"/>
              </w:rPr>
            </w:pPr>
            <w:r w:rsidRPr="009832FC">
              <w:rPr>
                <w:rFonts w:eastAsia="Calibri" w:cs="Calibri"/>
                <w:b/>
                <w:color w:val="000000"/>
                <w:sz w:val="18"/>
                <w:szCs w:val="24"/>
                <w:lang w:eastAsia="en-AU"/>
              </w:rPr>
              <w:t>2,178</w:t>
            </w:r>
          </w:p>
        </w:tc>
      </w:tr>
      <w:tr w:rsidR="009832FC" w:rsidRPr="009832FC" w14:paraId="76FA92C6" w14:textId="77777777" w:rsidTr="00EB5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0794315" w14:textId="77777777" w:rsidR="009832FC" w:rsidRPr="009832FC" w:rsidRDefault="009832FC" w:rsidP="009832FC">
            <w:pPr>
              <w:spacing w:before="0" w:after="0"/>
              <w:rPr>
                <w:rFonts w:eastAsia="Calibri" w:cs="Calibri"/>
                <w:color w:val="000000"/>
                <w:sz w:val="18"/>
                <w:szCs w:val="24"/>
                <w:lang w:eastAsia="en-AU"/>
              </w:rPr>
            </w:pPr>
          </w:p>
        </w:tc>
        <w:tc>
          <w:tcPr>
            <w:tcW w:w="2925" w:type="dxa"/>
            <w:tcBorders>
              <w:top w:val="nil"/>
              <w:left w:val="nil"/>
              <w:bottom w:val="single" w:sz="4" w:space="0" w:color="000000"/>
              <w:right w:val="nil"/>
              <w:tl2br w:val="nil"/>
              <w:tr2bl w:val="nil"/>
            </w:tcBorders>
            <w:shd w:val="clear" w:color="FFFFFF" w:fill="FFFFFF"/>
            <w:tcMar>
              <w:left w:w="0" w:type="dxa"/>
              <w:right w:w="0" w:type="dxa"/>
            </w:tcMar>
          </w:tcPr>
          <w:p w14:paraId="670F36C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DB521F8"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8E51158" w14:textId="77777777" w:rsidR="009832FC" w:rsidRPr="009832FC" w:rsidRDefault="009832FC" w:rsidP="009832FC">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46D7262C"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6E05195"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6A694AD" w14:textId="77777777" w:rsidR="009832FC" w:rsidRPr="009832FC" w:rsidRDefault="009832FC" w:rsidP="009832FC">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FA278A1" w14:textId="77777777" w:rsidR="009832FC" w:rsidRPr="009832FC" w:rsidRDefault="009832FC" w:rsidP="009832FC">
            <w:pPr>
              <w:spacing w:before="0" w:after="0"/>
              <w:rPr>
                <w:rFonts w:eastAsia="Calibri" w:cs="Calibri"/>
                <w:color w:val="000000"/>
                <w:sz w:val="18"/>
                <w:szCs w:val="24"/>
                <w:lang w:eastAsia="en-AU"/>
              </w:rPr>
            </w:pPr>
          </w:p>
        </w:tc>
      </w:tr>
    </w:tbl>
    <w:p w14:paraId="05DDB16A" w14:textId="77777777" w:rsidR="009832FC" w:rsidRPr="009832FC" w:rsidRDefault="009832FC" w:rsidP="009832FC">
      <w:pPr>
        <w:keepNext/>
        <w:keepLines/>
        <w:pageBreakBefore/>
        <w:pBdr>
          <w:top w:val="nil"/>
          <w:left w:val="nil"/>
          <w:bottom w:val="nil"/>
          <w:right w:val="nil"/>
          <w:between w:val="nil"/>
          <w:bar w:val="nil"/>
        </w:pBdr>
        <w:spacing w:before="360"/>
        <w:contextualSpacing/>
        <w:outlineLvl w:val="2"/>
        <w:rPr>
          <w:b/>
          <w:bCs/>
          <w:sz w:val="28"/>
          <w:szCs w:val="26"/>
          <w:bdr w:val="nil"/>
        </w:rPr>
      </w:pPr>
      <w:r w:rsidRPr="009832FC">
        <w:rPr>
          <w:b/>
          <w:bCs/>
          <w:sz w:val="28"/>
          <w:szCs w:val="26"/>
          <w:bdr w:val="nil"/>
        </w:rPr>
        <w:lastRenderedPageBreak/>
        <w:t>Notes to the Controlled Budget Statements</w:t>
      </w:r>
    </w:p>
    <w:p w14:paraId="24EBF02C" w14:textId="77777777" w:rsidR="009832FC" w:rsidRPr="009832FC" w:rsidRDefault="009832FC" w:rsidP="009832FC">
      <w:pPr>
        <w:pBdr>
          <w:top w:val="nil"/>
          <w:left w:val="nil"/>
          <w:bottom w:val="nil"/>
          <w:right w:val="nil"/>
          <w:between w:val="nil"/>
          <w:bar w:val="nil"/>
        </w:pBdr>
        <w:rPr>
          <w:bdr w:val="nil"/>
        </w:rPr>
      </w:pPr>
      <w:r w:rsidRPr="009832FC">
        <w:rPr>
          <w:bdr w:val="nil"/>
        </w:rPr>
        <w:t>Significant variations are as follows:</w:t>
      </w:r>
    </w:p>
    <w:p w14:paraId="0A699876" w14:textId="77777777" w:rsidR="009832FC" w:rsidRPr="009832FC" w:rsidRDefault="009832FC" w:rsidP="009832FC">
      <w:pPr>
        <w:pBdr>
          <w:top w:val="nil"/>
          <w:left w:val="nil"/>
          <w:bottom w:val="nil"/>
          <w:right w:val="nil"/>
          <w:between w:val="nil"/>
          <w:bar w:val="nil"/>
        </w:pBdr>
        <w:rPr>
          <w:b/>
          <w:i/>
          <w:bdr w:val="nil"/>
        </w:rPr>
      </w:pPr>
      <w:r w:rsidRPr="009832FC">
        <w:rPr>
          <w:b/>
          <w:i/>
          <w:bdr w:val="nil"/>
        </w:rPr>
        <w:t>Operating Statement</w:t>
      </w:r>
    </w:p>
    <w:p w14:paraId="100A9D7E" w14:textId="77777777" w:rsidR="009832FC" w:rsidRPr="009832FC" w:rsidRDefault="009832FC" w:rsidP="001B50AA">
      <w:pPr>
        <w:pStyle w:val="BSbullet1"/>
        <w:numPr>
          <w:ilvl w:val="0"/>
          <w:numId w:val="30"/>
        </w:numPr>
        <w:pBdr>
          <w:top w:val="nil"/>
          <w:left w:val="nil"/>
          <w:bottom w:val="nil"/>
          <w:right w:val="nil"/>
          <w:between w:val="nil"/>
          <w:bar w:val="nil"/>
        </w:pBdr>
        <w:jc w:val="both"/>
        <w:rPr>
          <w:bdr w:val="nil"/>
        </w:rPr>
      </w:pPr>
      <w:r w:rsidRPr="009832FC">
        <w:rPr>
          <w:bdr w:val="nil"/>
        </w:rPr>
        <w:t xml:space="preserve">controlled recurrent payments: </w:t>
      </w:r>
    </w:p>
    <w:p w14:paraId="0248AE37" w14:textId="6C5D281B" w:rsidR="009832FC" w:rsidRPr="009832FC" w:rsidRDefault="009832FC" w:rsidP="001B50AA">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 xml:space="preserve">the increase of $7.562 million in the 2020-21 Interim Outcome from the original </w:t>
      </w:r>
      <w:r w:rsidR="00005011">
        <w:rPr>
          <w:bdr w:val="nil"/>
        </w:rPr>
        <w:t>B</w:t>
      </w:r>
      <w:r w:rsidRPr="009832FC">
        <w:rPr>
          <w:bdr w:val="nil"/>
        </w:rPr>
        <w:t>udget is due to additional funding to support the COVID-19 response ($8.4 million) and the reprofiling of Commonwealth Health Innovation Funding ($0.838 million); and</w:t>
      </w:r>
    </w:p>
    <w:p w14:paraId="39501360" w14:textId="77777777" w:rsidR="009832FC" w:rsidRPr="009832FC" w:rsidRDefault="009832FC" w:rsidP="001B50AA">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the increase of $65.721 million in the 2021-22 Budget from the 2020</w:t>
      </w:r>
      <w:r w:rsidRPr="009832FC">
        <w:rPr>
          <w:bdr w:val="nil"/>
        </w:rPr>
        <w:noBreakHyphen/>
        <w:t>21 Interim Outcome is mainly due to indexation and new initiatives.</w:t>
      </w:r>
    </w:p>
    <w:p w14:paraId="500427D6" w14:textId="1428FC6F" w:rsidR="009832FC" w:rsidRPr="009832FC" w:rsidRDefault="009832FC" w:rsidP="001B50AA">
      <w:pPr>
        <w:pStyle w:val="BSbullet1"/>
        <w:numPr>
          <w:ilvl w:val="0"/>
          <w:numId w:val="30"/>
        </w:numPr>
        <w:pBdr>
          <w:top w:val="nil"/>
          <w:left w:val="nil"/>
          <w:bottom w:val="nil"/>
          <w:right w:val="nil"/>
          <w:between w:val="nil"/>
          <w:bar w:val="nil"/>
        </w:pBdr>
        <w:jc w:val="both"/>
        <w:rPr>
          <w:bdr w:val="nil"/>
        </w:rPr>
      </w:pPr>
      <w:r w:rsidRPr="009832FC">
        <w:rPr>
          <w:bdr w:val="nil"/>
        </w:rPr>
        <w:t xml:space="preserve">sale of goods and services: the decrease of $85.606 million in the 2020-21 </w:t>
      </w:r>
      <w:r w:rsidR="00005011">
        <w:rPr>
          <w:bdr w:val="nil"/>
        </w:rPr>
        <w:t xml:space="preserve">Interim Outcome </w:t>
      </w:r>
      <w:r w:rsidRPr="009832FC">
        <w:rPr>
          <w:bdr w:val="nil"/>
        </w:rPr>
        <w:t xml:space="preserve">from the 2020-21 </w:t>
      </w:r>
      <w:r w:rsidR="00005011">
        <w:rPr>
          <w:bdr w:val="nil"/>
        </w:rPr>
        <w:t xml:space="preserve">original Budget </w:t>
      </w:r>
      <w:r w:rsidRPr="009832FC">
        <w:rPr>
          <w:bdr w:val="nil"/>
        </w:rPr>
        <w:t>is due to a change in treatment of cross border health revenue.  The change removes the doubling-up of these funds through this revenue category and the grants and purchased services expense category.</w:t>
      </w:r>
    </w:p>
    <w:p w14:paraId="4A79250B" w14:textId="77777777" w:rsidR="009832FC" w:rsidRPr="009832FC" w:rsidRDefault="009832FC" w:rsidP="001B50AA">
      <w:pPr>
        <w:pStyle w:val="BSbullet1"/>
        <w:numPr>
          <w:ilvl w:val="0"/>
          <w:numId w:val="30"/>
        </w:numPr>
        <w:pBdr>
          <w:top w:val="nil"/>
          <w:left w:val="nil"/>
          <w:bottom w:val="nil"/>
          <w:right w:val="nil"/>
          <w:between w:val="nil"/>
          <w:bar w:val="nil"/>
        </w:pBdr>
        <w:jc w:val="both"/>
        <w:rPr>
          <w:bdr w:val="nil"/>
        </w:rPr>
      </w:pPr>
      <w:r w:rsidRPr="009832FC">
        <w:rPr>
          <w:bdr w:val="nil"/>
        </w:rPr>
        <w:t xml:space="preserve">grants and contributions (revenue): </w:t>
      </w:r>
    </w:p>
    <w:p w14:paraId="248EEAD8" w14:textId="2723FD58" w:rsidR="009832FC" w:rsidRPr="009832FC" w:rsidRDefault="009832FC" w:rsidP="001B50AA">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 xml:space="preserve">the decrease of $23.346 million in the 2020-21 Interim Outcome from the original </w:t>
      </w:r>
      <w:r w:rsidR="00005011">
        <w:rPr>
          <w:bdr w:val="nil"/>
        </w:rPr>
        <w:t>B</w:t>
      </w:r>
      <w:r w:rsidRPr="009832FC">
        <w:rPr>
          <w:bdr w:val="nil"/>
        </w:rPr>
        <w:t xml:space="preserve">udget is due to lower Commonwealth funding received through the </w:t>
      </w:r>
      <w:r w:rsidRPr="001B50AA">
        <w:rPr>
          <w:bdr w:val="nil"/>
        </w:rPr>
        <w:t>National Partnership for COVID-19 Response (NPCR)</w:t>
      </w:r>
      <w:r w:rsidRPr="009832FC">
        <w:rPr>
          <w:bdr w:val="nil"/>
        </w:rPr>
        <w:t xml:space="preserve"> and the </w:t>
      </w:r>
      <w:r w:rsidRPr="001B50AA">
        <w:rPr>
          <w:bdr w:val="nil"/>
        </w:rPr>
        <w:t>National Health Reform Agreement</w:t>
      </w:r>
      <w:r w:rsidRPr="009832FC">
        <w:rPr>
          <w:bdr w:val="nil"/>
        </w:rPr>
        <w:t>.  The lower NPCR revenue relates mainly to the downstream repayment of funding from the 2019-20 financial year; and</w:t>
      </w:r>
    </w:p>
    <w:p w14:paraId="19D41DC3" w14:textId="77777777" w:rsidR="009832FC" w:rsidRPr="009832FC" w:rsidRDefault="009832FC" w:rsidP="001B50AA">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the increase of $51.339 million in the 2021-22 Budget from the 2020-21 Interim Outcome is mainly due indexation and activity growth in Commonwealth</w:t>
      </w:r>
      <w:r w:rsidRPr="001B50AA">
        <w:rPr>
          <w:bdr w:val="nil"/>
        </w:rPr>
        <w:t xml:space="preserve"> National Health Reform Agreement </w:t>
      </w:r>
      <w:r w:rsidRPr="009832FC">
        <w:rPr>
          <w:bdr w:val="nil"/>
        </w:rPr>
        <w:t>funding.</w:t>
      </w:r>
    </w:p>
    <w:p w14:paraId="79868BA4" w14:textId="77777777" w:rsidR="009832FC" w:rsidRPr="009832FC" w:rsidRDefault="009832FC" w:rsidP="001B50AA">
      <w:pPr>
        <w:pStyle w:val="BSbullet1"/>
        <w:numPr>
          <w:ilvl w:val="0"/>
          <w:numId w:val="30"/>
        </w:numPr>
        <w:pBdr>
          <w:top w:val="nil"/>
          <w:left w:val="nil"/>
          <w:bottom w:val="nil"/>
          <w:right w:val="nil"/>
          <w:between w:val="nil"/>
          <w:bar w:val="nil"/>
        </w:pBdr>
        <w:jc w:val="both"/>
        <w:rPr>
          <w:bdr w:val="nil"/>
        </w:rPr>
      </w:pPr>
      <w:r w:rsidRPr="009832FC">
        <w:rPr>
          <w:bdr w:val="nil"/>
        </w:rPr>
        <w:t xml:space="preserve">grants and purchased services (expenses): </w:t>
      </w:r>
    </w:p>
    <w:p w14:paraId="39A80F8F" w14:textId="77777777" w:rsidR="009832FC" w:rsidRPr="009832FC" w:rsidRDefault="009832FC" w:rsidP="001B50AA">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the decrease of $97.960 million in the 2020-21 Interim Outcome from the original Budget is mainly due to a change in treatment of cross border health expenses.  The change removes the doubling-up of these funds through this revenue category and the grants and purchased services expense category; and</w:t>
      </w:r>
    </w:p>
    <w:p w14:paraId="7F69B9E3" w14:textId="77777777" w:rsidR="009832FC" w:rsidRPr="009832FC" w:rsidRDefault="009832FC" w:rsidP="001B50AA">
      <w:pPr>
        <w:pStyle w:val="BSbullet1"/>
        <w:numPr>
          <w:ilvl w:val="1"/>
          <w:numId w:val="31"/>
        </w:numPr>
        <w:pBdr>
          <w:top w:val="nil"/>
          <w:left w:val="nil"/>
          <w:bottom w:val="nil"/>
          <w:right w:val="nil"/>
          <w:between w:val="nil"/>
          <w:bar w:val="nil"/>
        </w:pBdr>
        <w:tabs>
          <w:tab w:val="clear" w:pos="1800"/>
        </w:tabs>
        <w:ind w:left="709"/>
        <w:jc w:val="both"/>
        <w:rPr>
          <w:bdr w:val="nil"/>
        </w:rPr>
      </w:pPr>
      <w:r w:rsidRPr="009832FC">
        <w:rPr>
          <w:bdr w:val="nil"/>
        </w:rPr>
        <w:t>the increase of $113.530 million in the 2021-22 Budget from the 2020-21 Interim Outcome is mainly due to indexation, new initiatives and changes in superannuation contribution rates.</w:t>
      </w:r>
    </w:p>
    <w:p w14:paraId="160D2A9C" w14:textId="77777777" w:rsidR="009832FC" w:rsidRPr="009832FC" w:rsidRDefault="009832FC" w:rsidP="009832FC">
      <w:pPr>
        <w:keepNext/>
        <w:keepLines/>
        <w:pBdr>
          <w:top w:val="nil"/>
          <w:left w:val="nil"/>
          <w:bottom w:val="nil"/>
          <w:right w:val="nil"/>
          <w:between w:val="nil"/>
          <w:bar w:val="nil"/>
        </w:pBdr>
        <w:spacing w:before="240" w:after="120"/>
        <w:jc w:val="both"/>
        <w:outlineLvl w:val="3"/>
        <w:rPr>
          <w:b/>
          <w:bdr w:val="nil"/>
        </w:rPr>
      </w:pPr>
      <w:r w:rsidRPr="009832FC">
        <w:rPr>
          <w:b/>
          <w:i/>
          <w:bdr w:val="nil"/>
        </w:rPr>
        <w:t>Balance Sheet</w:t>
      </w:r>
    </w:p>
    <w:p w14:paraId="122860F1" w14:textId="77777777" w:rsidR="009832FC" w:rsidRPr="009832FC" w:rsidRDefault="009832FC" w:rsidP="001B50AA">
      <w:pPr>
        <w:pStyle w:val="BSbullet1"/>
        <w:numPr>
          <w:ilvl w:val="0"/>
          <w:numId w:val="30"/>
        </w:numPr>
        <w:pBdr>
          <w:top w:val="nil"/>
          <w:left w:val="nil"/>
          <w:bottom w:val="nil"/>
          <w:right w:val="nil"/>
          <w:between w:val="nil"/>
          <w:bar w:val="nil"/>
        </w:pBdr>
        <w:jc w:val="both"/>
        <w:rPr>
          <w:bdr w:val="nil"/>
        </w:rPr>
      </w:pPr>
      <w:r w:rsidRPr="009832FC">
        <w:rPr>
          <w:bdr w:val="nil"/>
        </w:rPr>
        <w:t>Receivables: the decrease of $1.878 million in the 2020-21 Interim Outcome from the original Budget relates to surplus Commonwealth private hospital financial viability payment funds held at 30 June 2020.  These funds have been either utilised or returned to the Commonwealth in 2020-21.</w:t>
      </w:r>
    </w:p>
    <w:p w14:paraId="321BAEDB" w14:textId="77777777" w:rsidR="009832FC" w:rsidRPr="009832FC" w:rsidRDefault="009832FC" w:rsidP="001B50AA">
      <w:pPr>
        <w:pStyle w:val="BSbullet1"/>
        <w:numPr>
          <w:ilvl w:val="0"/>
          <w:numId w:val="30"/>
        </w:numPr>
        <w:pBdr>
          <w:top w:val="nil"/>
          <w:left w:val="nil"/>
          <w:bottom w:val="nil"/>
          <w:right w:val="nil"/>
          <w:between w:val="nil"/>
          <w:bar w:val="nil"/>
        </w:pBdr>
        <w:jc w:val="both"/>
        <w:rPr>
          <w:bdr w:val="nil"/>
        </w:rPr>
      </w:pPr>
      <w:r w:rsidRPr="009832FC">
        <w:rPr>
          <w:bdr w:val="nil"/>
        </w:rPr>
        <w:t>payables: the increase of $2.718 million in the 2020-21 Interim Outcome from the original Budget is due to outstanding cross border health payments.</w:t>
      </w:r>
    </w:p>
    <w:p w14:paraId="6B0FCEF7" w14:textId="77777777" w:rsidR="009832FC" w:rsidRPr="009832FC" w:rsidRDefault="009832FC" w:rsidP="001B50AA">
      <w:pPr>
        <w:pStyle w:val="BSbullet1"/>
        <w:numPr>
          <w:ilvl w:val="0"/>
          <w:numId w:val="30"/>
        </w:numPr>
        <w:pBdr>
          <w:top w:val="nil"/>
          <w:left w:val="nil"/>
          <w:bottom w:val="nil"/>
          <w:right w:val="nil"/>
          <w:between w:val="nil"/>
          <w:bar w:val="nil"/>
        </w:pBdr>
        <w:jc w:val="both"/>
        <w:rPr>
          <w:bdr w:val="nil"/>
        </w:rPr>
      </w:pPr>
      <w:r w:rsidRPr="009832FC">
        <w:rPr>
          <w:bdr w:val="nil"/>
        </w:rPr>
        <w:lastRenderedPageBreak/>
        <w:t xml:space="preserve">Other Liabilities: the increase of $2.584 million in the 2020-21 Interim Outcome from the original Budget relates to outstanding funding owed to the Commonwealth which is related to the 2019-20 reconciliation of the </w:t>
      </w:r>
      <w:r w:rsidRPr="001B50AA">
        <w:rPr>
          <w:bdr w:val="nil"/>
        </w:rPr>
        <w:t>National Partnership for COVID-19 Response</w:t>
      </w:r>
      <w:r w:rsidRPr="009832FC">
        <w:rPr>
          <w:bdr w:val="nil"/>
        </w:rPr>
        <w:t>.</w:t>
      </w:r>
    </w:p>
    <w:p w14:paraId="5883B78A" w14:textId="77777777" w:rsidR="009832FC" w:rsidRPr="009832FC" w:rsidRDefault="009832FC" w:rsidP="009832FC">
      <w:pPr>
        <w:keepNext/>
        <w:keepLines/>
        <w:pBdr>
          <w:top w:val="nil"/>
          <w:left w:val="nil"/>
          <w:bottom w:val="nil"/>
          <w:right w:val="nil"/>
          <w:between w:val="nil"/>
          <w:bar w:val="nil"/>
        </w:pBdr>
        <w:spacing w:before="240" w:after="120"/>
        <w:jc w:val="both"/>
        <w:outlineLvl w:val="3"/>
        <w:rPr>
          <w:b/>
          <w:bdr w:val="nil"/>
        </w:rPr>
      </w:pPr>
      <w:r w:rsidRPr="009832FC">
        <w:rPr>
          <w:b/>
          <w:i/>
          <w:bdr w:val="nil"/>
        </w:rPr>
        <w:t>Cash Flow Statement</w:t>
      </w:r>
    </w:p>
    <w:p w14:paraId="502512DB" w14:textId="77777777" w:rsidR="009832FC" w:rsidRPr="009832FC" w:rsidRDefault="009832FC" w:rsidP="009832FC">
      <w:pPr>
        <w:pBdr>
          <w:top w:val="nil"/>
          <w:left w:val="nil"/>
          <w:bottom w:val="nil"/>
          <w:right w:val="nil"/>
          <w:between w:val="nil"/>
          <w:bar w:val="nil"/>
        </w:pBdr>
        <w:jc w:val="both"/>
        <w:rPr>
          <w:bdr w:val="nil"/>
        </w:rPr>
      </w:pPr>
      <w:r w:rsidRPr="009832FC">
        <w:rPr>
          <w:bdr w:val="nil"/>
        </w:rPr>
        <w:t>Variations in the Statement are explained in the notes above.</w:t>
      </w:r>
    </w:p>
    <w:p w14:paraId="4BE71463" w14:textId="03196D68" w:rsidR="009832FC" w:rsidRPr="0004555B" w:rsidRDefault="009832FC" w:rsidP="0014646D">
      <w:pPr>
        <w:pBdr>
          <w:top w:val="nil"/>
          <w:left w:val="nil"/>
          <w:bottom w:val="nil"/>
          <w:right w:val="nil"/>
          <w:between w:val="nil"/>
          <w:bar w:val="nil"/>
        </w:pBdr>
        <w:jc w:val="both"/>
        <w:rPr>
          <w:rFonts w:eastAsia="TimesNewRomanPS-ItalicMT"/>
          <w:bdr w:val="nil"/>
        </w:rPr>
      </w:pPr>
    </w:p>
    <w:sectPr w:rsidR="009832FC" w:rsidRPr="0004555B" w:rsidSect="009832FC">
      <w:footerReference w:type="default" r:id="rId24"/>
      <w:pgSz w:w="11906" w:h="16838"/>
      <w:pgMar w:top="1151" w:right="1440" w:bottom="1729" w:left="1440" w:header="720" w:footer="720"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4FB79" w14:textId="77777777" w:rsidR="00527C7B" w:rsidRDefault="00527C7B">
      <w:pPr>
        <w:spacing w:before="0" w:after="0"/>
      </w:pPr>
      <w:r>
        <w:separator/>
      </w:r>
    </w:p>
  </w:endnote>
  <w:endnote w:type="continuationSeparator" w:id="0">
    <w:p w14:paraId="131871F1" w14:textId="77777777" w:rsidR="00527C7B" w:rsidRDefault="00527C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062B" w14:textId="77777777" w:rsidR="00527C7B" w:rsidRPr="004B1382" w:rsidRDefault="00527C7B" w:rsidP="001F6B18">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ACT Health Directorate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460CA" w14:textId="1801CF04" w:rsidR="00527C7B" w:rsidRPr="004B1382" w:rsidRDefault="00527C7B" w:rsidP="001F6B18">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35</w:t>
    </w:r>
    <w:r>
      <w:rPr>
        <w:noProof/>
        <w:bdr w:val="nil"/>
      </w:rPr>
      <w:fldChar w:fldCharType="end"/>
    </w:r>
    <w:r>
      <w:rPr>
        <w:sz w:val="18"/>
        <w:szCs w:val="18"/>
        <w:bdr w:val="ni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05264" w14:textId="77777777" w:rsidR="00527C7B" w:rsidRDefault="00527C7B">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4196" w14:textId="77777777" w:rsidR="00527C7B" w:rsidRPr="004B1382" w:rsidRDefault="00527C7B" w:rsidP="001F6B18">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35</w:t>
    </w:r>
    <w:r>
      <w:rPr>
        <w:noProof/>
        <w:bdr w:val="nil"/>
      </w:rPr>
      <w:fldChar w:fldCharType="end"/>
    </w:r>
    <w:r>
      <w:rPr>
        <w:sz w:val="18"/>
        <w:szCs w:val="18"/>
        <w:bdr w:val="nil"/>
      </w:rPr>
      <w:tab/>
    </w:r>
    <w:r>
      <w:rPr>
        <w:bdr w:val="nil"/>
      </w:rPr>
      <w:t>ACT Health Directorate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A51E" w14:textId="77777777" w:rsidR="00527C7B" w:rsidRPr="004B1382" w:rsidRDefault="00527C7B" w:rsidP="00EB585F">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Canberra Health Services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6E21" w14:textId="77777777" w:rsidR="00527C7B" w:rsidRPr="004B1382" w:rsidRDefault="00527C7B" w:rsidP="00EB585F">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27</w:t>
    </w:r>
    <w:r>
      <w:rPr>
        <w:noProof/>
        <w:bdr w:val="nil"/>
      </w:rPr>
      <w:fldChar w:fldCharType="end"/>
    </w:r>
    <w:r>
      <w:rPr>
        <w:sz w:val="18"/>
        <w:szCs w:val="18"/>
        <w:bdr w:val="nil"/>
      </w:rPr>
      <w:tab/>
    </w:r>
    <w:r>
      <w:rPr>
        <w:bdr w:val="nil"/>
      </w:rPr>
      <w:t>Canberra Health Services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64A5" w14:textId="77777777" w:rsidR="00527C7B" w:rsidRDefault="00527C7B">
    <w:pPr>
      <w:pBdr>
        <w:top w:val="nil"/>
        <w:left w:val="nil"/>
        <w:bottom w:val="nil"/>
        <w:right w:val="nil"/>
        <w:between w:val="nil"/>
        <w:bar w:val="nil"/>
      </w:pBdr>
      <w:rPr>
        <w:bdr w:val="ni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5E0C" w14:textId="78C1E6D2" w:rsidR="00527C7B" w:rsidRPr="004B1382" w:rsidRDefault="00527C7B" w:rsidP="00EB585F">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27</w:t>
    </w:r>
    <w:r>
      <w:rPr>
        <w:noProof/>
        <w:bdr w:val="nil"/>
      </w:rPr>
      <w:fldChar w:fldCharType="end"/>
    </w:r>
    <w:r>
      <w:rPr>
        <w:sz w:val="18"/>
        <w:szCs w:val="18"/>
        <w:bdr w:val="nil"/>
      </w:rPr>
      <w:tab/>
    </w:r>
    <w:r>
      <w:rPr>
        <w:bdr w:val="nil"/>
      </w:rPr>
      <w:t>ACT Local Hospital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BCED5" w14:textId="77777777" w:rsidR="00527C7B" w:rsidRDefault="00527C7B">
      <w:pPr>
        <w:spacing w:before="0" w:after="0"/>
      </w:pPr>
      <w:r>
        <w:separator/>
      </w:r>
    </w:p>
  </w:footnote>
  <w:footnote w:type="continuationSeparator" w:id="0">
    <w:p w14:paraId="3C5C077D" w14:textId="77777777" w:rsidR="00527C7B" w:rsidRDefault="00527C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0A2A" w14:textId="77777777" w:rsidR="00527C7B" w:rsidRDefault="00527C7B">
    <w:pPr>
      <w:suppressLineNumbers/>
      <w:pBdr>
        <w:top w:val="nil"/>
        <w:left w:val="nil"/>
        <w:bottom w:val="nil"/>
        <w:right w:val="nil"/>
        <w:between w:val="nil"/>
        <w:bar w:val="nil"/>
      </w:pBdr>
      <w:spacing w:before="0" w:after="0" w:line="14" w:lineRule="exact"/>
      <w:contextualSpacing/>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C1AEB" w14:textId="77777777" w:rsidR="00527C7B" w:rsidRDefault="00527C7B">
    <w:pPr>
      <w:suppressLineNumbers/>
      <w:pBdr>
        <w:top w:val="nil"/>
        <w:left w:val="nil"/>
        <w:bottom w:val="nil"/>
        <w:right w:val="nil"/>
        <w:between w:val="nil"/>
        <w:bar w:val="nil"/>
      </w:pBdr>
      <w:spacing w:before="0" w:after="0" w:line="14" w:lineRule="exact"/>
      <w:contextualSpacing/>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48944" w14:textId="77777777" w:rsidR="00527C7B" w:rsidRDefault="00527C7B">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A5F4" w14:textId="77777777" w:rsidR="00527C7B" w:rsidRDefault="00527C7B">
    <w:pPr>
      <w:suppressLineNumbers/>
      <w:pBdr>
        <w:top w:val="nil"/>
        <w:left w:val="nil"/>
        <w:bottom w:val="nil"/>
        <w:right w:val="nil"/>
        <w:between w:val="nil"/>
        <w:bar w:val="nil"/>
      </w:pBdr>
      <w:spacing w:before="0" w:after="0" w:line="14" w:lineRule="exact"/>
      <w:contextualSpacing/>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4A2F" w14:textId="77777777" w:rsidR="00527C7B" w:rsidRDefault="00527C7B">
    <w:pPr>
      <w:suppressLineNumbers/>
      <w:pBdr>
        <w:top w:val="nil"/>
        <w:left w:val="nil"/>
        <w:bottom w:val="nil"/>
        <w:right w:val="nil"/>
        <w:between w:val="nil"/>
        <w:bar w:val="nil"/>
      </w:pBdr>
      <w:spacing w:before="0" w:after="0" w:line="14" w:lineRule="exact"/>
      <w:contextualSpacing/>
      <w:rPr>
        <w:bdr w:val="ni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A87F" w14:textId="77777777" w:rsidR="00527C7B" w:rsidRDefault="00527C7B">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CA61E9E"/>
    <w:lvl w:ilvl="0" w:tplc="6684578C">
      <w:start w:val="1"/>
      <w:numFmt w:val="bullet"/>
      <w:pStyle w:val="BSbullet1"/>
      <w:lvlText w:val=""/>
      <w:lvlJc w:val="left"/>
      <w:pPr>
        <w:tabs>
          <w:tab w:val="num" w:pos="360"/>
        </w:tabs>
        <w:ind w:left="357" w:hanging="357"/>
      </w:pPr>
      <w:rPr>
        <w:rFonts w:ascii="Symbol" w:hAnsi="Symbol" w:hint="default"/>
        <w:sz w:val="24"/>
      </w:rPr>
    </w:lvl>
    <w:lvl w:ilvl="1" w:tplc="FAB2161A">
      <w:start w:val="1"/>
      <w:numFmt w:val="bullet"/>
      <w:lvlText w:val="o"/>
      <w:lvlJc w:val="left"/>
      <w:pPr>
        <w:tabs>
          <w:tab w:val="num" w:pos="1800"/>
        </w:tabs>
        <w:ind w:left="1800" w:hanging="360"/>
      </w:pPr>
      <w:rPr>
        <w:rFonts w:ascii="Courier New" w:hAnsi="Courier New" w:hint="default"/>
      </w:rPr>
    </w:lvl>
    <w:lvl w:ilvl="2" w:tplc="249CF2C6">
      <w:start w:val="1"/>
      <w:numFmt w:val="bullet"/>
      <w:lvlText w:val=""/>
      <w:lvlJc w:val="left"/>
      <w:pPr>
        <w:tabs>
          <w:tab w:val="num" w:pos="2520"/>
        </w:tabs>
        <w:ind w:left="2520" w:hanging="360"/>
      </w:pPr>
      <w:rPr>
        <w:rFonts w:ascii="Wingdings" w:hAnsi="Wingdings" w:hint="default"/>
      </w:rPr>
    </w:lvl>
    <w:lvl w:ilvl="3" w:tplc="2AAEB840">
      <w:start w:val="1"/>
      <w:numFmt w:val="bullet"/>
      <w:lvlText w:val=""/>
      <w:lvlJc w:val="left"/>
      <w:pPr>
        <w:tabs>
          <w:tab w:val="num" w:pos="3240"/>
        </w:tabs>
        <w:ind w:left="3240" w:hanging="360"/>
      </w:pPr>
      <w:rPr>
        <w:rFonts w:ascii="Symbol" w:hAnsi="Symbol" w:hint="default"/>
      </w:rPr>
    </w:lvl>
    <w:lvl w:ilvl="4" w:tplc="FF061914">
      <w:start w:val="1"/>
      <w:numFmt w:val="bullet"/>
      <w:lvlText w:val="o"/>
      <w:lvlJc w:val="left"/>
      <w:pPr>
        <w:tabs>
          <w:tab w:val="num" w:pos="3960"/>
        </w:tabs>
        <w:ind w:left="3960" w:hanging="360"/>
      </w:pPr>
      <w:rPr>
        <w:rFonts w:ascii="Courier New" w:hAnsi="Courier New" w:hint="default"/>
      </w:rPr>
    </w:lvl>
    <w:lvl w:ilvl="5" w:tplc="8368AED0">
      <w:start w:val="1"/>
      <w:numFmt w:val="bullet"/>
      <w:lvlText w:val=""/>
      <w:lvlJc w:val="left"/>
      <w:pPr>
        <w:tabs>
          <w:tab w:val="num" w:pos="4680"/>
        </w:tabs>
        <w:ind w:left="4680" w:hanging="360"/>
      </w:pPr>
      <w:rPr>
        <w:rFonts w:ascii="Wingdings" w:hAnsi="Wingdings" w:hint="default"/>
      </w:rPr>
    </w:lvl>
    <w:lvl w:ilvl="6" w:tplc="F0E046AE">
      <w:start w:val="1"/>
      <w:numFmt w:val="bullet"/>
      <w:lvlText w:val=""/>
      <w:lvlJc w:val="left"/>
      <w:pPr>
        <w:tabs>
          <w:tab w:val="num" w:pos="5400"/>
        </w:tabs>
        <w:ind w:left="5400" w:hanging="360"/>
      </w:pPr>
      <w:rPr>
        <w:rFonts w:ascii="Symbol" w:hAnsi="Symbol" w:hint="default"/>
      </w:rPr>
    </w:lvl>
    <w:lvl w:ilvl="7" w:tplc="12A6CA14">
      <w:start w:val="1"/>
      <w:numFmt w:val="bullet"/>
      <w:lvlText w:val="o"/>
      <w:lvlJc w:val="left"/>
      <w:pPr>
        <w:tabs>
          <w:tab w:val="num" w:pos="6120"/>
        </w:tabs>
        <w:ind w:left="6120" w:hanging="360"/>
      </w:pPr>
      <w:rPr>
        <w:rFonts w:ascii="Courier New" w:hAnsi="Courier New" w:hint="default"/>
      </w:rPr>
    </w:lvl>
    <w:lvl w:ilvl="8" w:tplc="E9002366">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000002"/>
    <w:multiLevelType w:val="hybridMultilevel"/>
    <w:tmpl w:val="747AF816"/>
    <w:lvl w:ilvl="0" w:tplc="A942DDF0">
      <w:start w:val="1"/>
      <w:numFmt w:val="bullet"/>
      <w:pStyle w:val="BodyTextIndent"/>
      <w:lvlText w:val=""/>
      <w:lvlJc w:val="left"/>
      <w:pPr>
        <w:tabs>
          <w:tab w:val="num" w:pos="360"/>
        </w:tabs>
        <w:ind w:left="360" w:hanging="360"/>
      </w:pPr>
      <w:rPr>
        <w:rFonts w:ascii="Symbol" w:hAnsi="Symbol" w:cs="Times New Roman" w:hint="default"/>
      </w:rPr>
    </w:lvl>
    <w:lvl w:ilvl="1" w:tplc="D5E8C2AC">
      <w:start w:val="1"/>
      <w:numFmt w:val="bullet"/>
      <w:lvlText w:val="o"/>
      <w:lvlJc w:val="left"/>
      <w:pPr>
        <w:tabs>
          <w:tab w:val="num" w:pos="360"/>
        </w:tabs>
        <w:ind w:left="360" w:hanging="360"/>
      </w:pPr>
      <w:rPr>
        <w:rFonts w:ascii="Courier New" w:hAnsi="Courier New" w:hint="default"/>
      </w:rPr>
    </w:lvl>
    <w:lvl w:ilvl="2" w:tplc="F9943B3C" w:tentative="1">
      <w:start w:val="1"/>
      <w:numFmt w:val="bullet"/>
      <w:lvlText w:val=""/>
      <w:lvlJc w:val="left"/>
      <w:pPr>
        <w:tabs>
          <w:tab w:val="num" w:pos="1080"/>
        </w:tabs>
        <w:ind w:left="1080" w:hanging="360"/>
      </w:pPr>
      <w:rPr>
        <w:rFonts w:ascii="Wingdings" w:hAnsi="Wingdings" w:hint="default"/>
      </w:rPr>
    </w:lvl>
    <w:lvl w:ilvl="3" w:tplc="FA148F2A" w:tentative="1">
      <w:start w:val="1"/>
      <w:numFmt w:val="bullet"/>
      <w:lvlText w:val=""/>
      <w:lvlJc w:val="left"/>
      <w:pPr>
        <w:tabs>
          <w:tab w:val="num" w:pos="1800"/>
        </w:tabs>
        <w:ind w:left="1800" w:hanging="360"/>
      </w:pPr>
      <w:rPr>
        <w:rFonts w:ascii="Symbol" w:hAnsi="Symbol" w:hint="default"/>
      </w:rPr>
    </w:lvl>
    <w:lvl w:ilvl="4" w:tplc="CE981CD0" w:tentative="1">
      <w:start w:val="1"/>
      <w:numFmt w:val="bullet"/>
      <w:lvlText w:val="o"/>
      <w:lvlJc w:val="left"/>
      <w:pPr>
        <w:tabs>
          <w:tab w:val="num" w:pos="2520"/>
        </w:tabs>
        <w:ind w:left="2520" w:hanging="360"/>
      </w:pPr>
      <w:rPr>
        <w:rFonts w:ascii="Courier New" w:hAnsi="Courier New" w:hint="default"/>
      </w:rPr>
    </w:lvl>
    <w:lvl w:ilvl="5" w:tplc="9E0EFC9E" w:tentative="1">
      <w:start w:val="1"/>
      <w:numFmt w:val="bullet"/>
      <w:lvlText w:val=""/>
      <w:lvlJc w:val="left"/>
      <w:pPr>
        <w:tabs>
          <w:tab w:val="num" w:pos="3240"/>
        </w:tabs>
        <w:ind w:left="3240" w:hanging="360"/>
      </w:pPr>
      <w:rPr>
        <w:rFonts w:ascii="Wingdings" w:hAnsi="Wingdings" w:hint="default"/>
      </w:rPr>
    </w:lvl>
    <w:lvl w:ilvl="6" w:tplc="C5409A78" w:tentative="1">
      <w:start w:val="1"/>
      <w:numFmt w:val="bullet"/>
      <w:lvlText w:val=""/>
      <w:lvlJc w:val="left"/>
      <w:pPr>
        <w:tabs>
          <w:tab w:val="num" w:pos="3960"/>
        </w:tabs>
        <w:ind w:left="3960" w:hanging="360"/>
      </w:pPr>
      <w:rPr>
        <w:rFonts w:ascii="Symbol" w:hAnsi="Symbol" w:hint="default"/>
      </w:rPr>
    </w:lvl>
    <w:lvl w:ilvl="7" w:tplc="5C2A51BE" w:tentative="1">
      <w:start w:val="1"/>
      <w:numFmt w:val="bullet"/>
      <w:lvlText w:val="o"/>
      <w:lvlJc w:val="left"/>
      <w:pPr>
        <w:tabs>
          <w:tab w:val="num" w:pos="4680"/>
        </w:tabs>
        <w:ind w:left="4680" w:hanging="360"/>
      </w:pPr>
      <w:rPr>
        <w:rFonts w:ascii="Courier New" w:hAnsi="Courier New" w:hint="default"/>
      </w:rPr>
    </w:lvl>
    <w:lvl w:ilvl="8" w:tplc="67BAC1BE"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0000003"/>
    <w:multiLevelType w:val="hybridMultilevel"/>
    <w:tmpl w:val="ECA61E9E"/>
    <w:lvl w:ilvl="0" w:tplc="8672494C">
      <w:start w:val="1"/>
      <w:numFmt w:val="bullet"/>
      <w:lvlText w:val=""/>
      <w:lvlJc w:val="left"/>
      <w:pPr>
        <w:tabs>
          <w:tab w:val="num" w:pos="360"/>
        </w:tabs>
        <w:ind w:left="357" w:hanging="357"/>
      </w:pPr>
      <w:rPr>
        <w:rFonts w:ascii="Symbol" w:hAnsi="Symbol" w:hint="default"/>
        <w:sz w:val="24"/>
      </w:rPr>
    </w:lvl>
    <w:lvl w:ilvl="1" w:tplc="581A5D02">
      <w:start w:val="1"/>
      <w:numFmt w:val="bullet"/>
      <w:lvlText w:val="o"/>
      <w:lvlJc w:val="left"/>
      <w:pPr>
        <w:tabs>
          <w:tab w:val="num" w:pos="1800"/>
        </w:tabs>
        <w:ind w:left="1800" w:hanging="360"/>
      </w:pPr>
      <w:rPr>
        <w:rFonts w:ascii="Courier New" w:hAnsi="Courier New" w:cs="Times New Roman" w:hint="default"/>
      </w:rPr>
    </w:lvl>
    <w:lvl w:ilvl="2" w:tplc="92B0D868">
      <w:start w:val="1"/>
      <w:numFmt w:val="bullet"/>
      <w:lvlText w:val=""/>
      <w:lvlJc w:val="left"/>
      <w:pPr>
        <w:tabs>
          <w:tab w:val="num" w:pos="2520"/>
        </w:tabs>
        <w:ind w:left="2520" w:hanging="360"/>
      </w:pPr>
      <w:rPr>
        <w:rFonts w:ascii="Wingdings" w:hAnsi="Wingdings" w:hint="default"/>
      </w:rPr>
    </w:lvl>
    <w:lvl w:ilvl="3" w:tplc="B28646B0">
      <w:start w:val="1"/>
      <w:numFmt w:val="bullet"/>
      <w:lvlText w:val=""/>
      <w:lvlJc w:val="left"/>
      <w:pPr>
        <w:tabs>
          <w:tab w:val="num" w:pos="3240"/>
        </w:tabs>
        <w:ind w:left="3240" w:hanging="360"/>
      </w:pPr>
      <w:rPr>
        <w:rFonts w:ascii="Symbol" w:hAnsi="Symbol" w:hint="default"/>
      </w:rPr>
    </w:lvl>
    <w:lvl w:ilvl="4" w:tplc="45448FA2">
      <w:start w:val="1"/>
      <w:numFmt w:val="bullet"/>
      <w:lvlText w:val="o"/>
      <w:lvlJc w:val="left"/>
      <w:pPr>
        <w:tabs>
          <w:tab w:val="num" w:pos="3960"/>
        </w:tabs>
        <w:ind w:left="3960" w:hanging="360"/>
      </w:pPr>
      <w:rPr>
        <w:rFonts w:ascii="Courier New" w:hAnsi="Courier New" w:cs="Times New Roman" w:hint="default"/>
      </w:rPr>
    </w:lvl>
    <w:lvl w:ilvl="5" w:tplc="B274952E">
      <w:start w:val="1"/>
      <w:numFmt w:val="bullet"/>
      <w:lvlText w:val=""/>
      <w:lvlJc w:val="left"/>
      <w:pPr>
        <w:tabs>
          <w:tab w:val="num" w:pos="4680"/>
        </w:tabs>
        <w:ind w:left="4680" w:hanging="360"/>
      </w:pPr>
      <w:rPr>
        <w:rFonts w:ascii="Wingdings" w:hAnsi="Wingdings" w:hint="default"/>
      </w:rPr>
    </w:lvl>
    <w:lvl w:ilvl="6" w:tplc="84B0C7F4">
      <w:start w:val="1"/>
      <w:numFmt w:val="bullet"/>
      <w:lvlText w:val=""/>
      <w:lvlJc w:val="left"/>
      <w:pPr>
        <w:tabs>
          <w:tab w:val="num" w:pos="5400"/>
        </w:tabs>
        <w:ind w:left="5400" w:hanging="360"/>
      </w:pPr>
      <w:rPr>
        <w:rFonts w:ascii="Symbol" w:hAnsi="Symbol" w:hint="default"/>
      </w:rPr>
    </w:lvl>
    <w:lvl w:ilvl="7" w:tplc="98D0D7EA">
      <w:start w:val="1"/>
      <w:numFmt w:val="bullet"/>
      <w:lvlText w:val="o"/>
      <w:lvlJc w:val="left"/>
      <w:pPr>
        <w:tabs>
          <w:tab w:val="num" w:pos="6120"/>
        </w:tabs>
        <w:ind w:left="6120" w:hanging="360"/>
      </w:pPr>
      <w:rPr>
        <w:rFonts w:ascii="Courier New" w:hAnsi="Courier New" w:cs="Times New Roman" w:hint="default"/>
      </w:rPr>
    </w:lvl>
    <w:lvl w:ilvl="8" w:tplc="A3A8DFC2">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0000005"/>
    <w:multiLevelType w:val="hybridMultilevel"/>
    <w:tmpl w:val="E4005AAA"/>
    <w:lvl w:ilvl="0" w:tplc="5870194C">
      <w:start w:val="1"/>
      <w:numFmt w:val="decimal"/>
      <w:pStyle w:val="BSnoteslist"/>
      <w:lvlText w:val="%1."/>
      <w:lvlJc w:val="left"/>
      <w:pPr>
        <w:ind w:left="360" w:hanging="360"/>
      </w:pPr>
      <w:rPr>
        <w:rFonts w:hint="default"/>
      </w:rPr>
    </w:lvl>
    <w:lvl w:ilvl="1" w:tplc="0114B218" w:tentative="1">
      <w:start w:val="1"/>
      <w:numFmt w:val="lowerLetter"/>
      <w:lvlText w:val="%2."/>
      <w:lvlJc w:val="left"/>
      <w:pPr>
        <w:ind w:left="1080" w:hanging="360"/>
      </w:pPr>
    </w:lvl>
    <w:lvl w:ilvl="2" w:tplc="D736D016" w:tentative="1">
      <w:start w:val="1"/>
      <w:numFmt w:val="lowerRoman"/>
      <w:lvlText w:val="%3."/>
      <w:lvlJc w:val="right"/>
      <w:pPr>
        <w:ind w:left="1800" w:hanging="180"/>
      </w:pPr>
    </w:lvl>
    <w:lvl w:ilvl="3" w:tplc="67022BE2" w:tentative="1">
      <w:start w:val="1"/>
      <w:numFmt w:val="decimal"/>
      <w:lvlText w:val="%4."/>
      <w:lvlJc w:val="left"/>
      <w:pPr>
        <w:ind w:left="2520" w:hanging="360"/>
      </w:pPr>
    </w:lvl>
    <w:lvl w:ilvl="4" w:tplc="E30C05E8" w:tentative="1">
      <w:start w:val="1"/>
      <w:numFmt w:val="lowerLetter"/>
      <w:lvlText w:val="%5."/>
      <w:lvlJc w:val="left"/>
      <w:pPr>
        <w:ind w:left="3240" w:hanging="360"/>
      </w:pPr>
    </w:lvl>
    <w:lvl w:ilvl="5" w:tplc="EE861F26" w:tentative="1">
      <w:start w:val="1"/>
      <w:numFmt w:val="lowerRoman"/>
      <w:lvlText w:val="%6."/>
      <w:lvlJc w:val="right"/>
      <w:pPr>
        <w:ind w:left="3960" w:hanging="180"/>
      </w:pPr>
    </w:lvl>
    <w:lvl w:ilvl="6" w:tplc="4E6E402C" w:tentative="1">
      <w:start w:val="1"/>
      <w:numFmt w:val="decimal"/>
      <w:lvlText w:val="%7."/>
      <w:lvlJc w:val="left"/>
      <w:pPr>
        <w:ind w:left="4680" w:hanging="360"/>
      </w:pPr>
    </w:lvl>
    <w:lvl w:ilvl="7" w:tplc="5ACA86C6" w:tentative="1">
      <w:start w:val="1"/>
      <w:numFmt w:val="lowerLetter"/>
      <w:lvlText w:val="%8."/>
      <w:lvlJc w:val="left"/>
      <w:pPr>
        <w:ind w:left="5400" w:hanging="360"/>
      </w:pPr>
    </w:lvl>
    <w:lvl w:ilvl="8" w:tplc="F26472B6" w:tentative="1">
      <w:start w:val="1"/>
      <w:numFmt w:val="lowerRoman"/>
      <w:lvlText w:val="%9."/>
      <w:lvlJc w:val="right"/>
      <w:pPr>
        <w:ind w:left="6120" w:hanging="180"/>
      </w:pPr>
    </w:lvl>
  </w:abstractNum>
  <w:abstractNum w:abstractNumId="4" w15:restartNumberingAfterBreak="0">
    <w:nsid w:val="00000006"/>
    <w:multiLevelType w:val="hybridMultilevel"/>
    <w:tmpl w:val="63D67E68"/>
    <w:lvl w:ilvl="0" w:tplc="7AE4DA78">
      <w:start w:val="1"/>
      <w:numFmt w:val="decimal"/>
      <w:pStyle w:val="Alnotes"/>
      <w:lvlText w:val="%1."/>
      <w:lvlJc w:val="left"/>
      <w:pPr>
        <w:ind w:left="360" w:hanging="360"/>
      </w:pPr>
      <w:rPr>
        <w:rFonts w:hint="default"/>
      </w:rPr>
    </w:lvl>
    <w:lvl w:ilvl="1" w:tplc="AA807D7E" w:tentative="1">
      <w:start w:val="1"/>
      <w:numFmt w:val="lowerLetter"/>
      <w:lvlText w:val="%2."/>
      <w:lvlJc w:val="left"/>
      <w:pPr>
        <w:ind w:left="1080" w:hanging="360"/>
      </w:pPr>
    </w:lvl>
    <w:lvl w:ilvl="2" w:tplc="F118D424" w:tentative="1">
      <w:start w:val="1"/>
      <w:numFmt w:val="lowerRoman"/>
      <w:lvlText w:val="%3."/>
      <w:lvlJc w:val="right"/>
      <w:pPr>
        <w:ind w:left="1800" w:hanging="180"/>
      </w:pPr>
    </w:lvl>
    <w:lvl w:ilvl="3" w:tplc="058C4F2C" w:tentative="1">
      <w:start w:val="1"/>
      <w:numFmt w:val="decimal"/>
      <w:lvlText w:val="%4."/>
      <w:lvlJc w:val="left"/>
      <w:pPr>
        <w:ind w:left="2520" w:hanging="360"/>
      </w:pPr>
    </w:lvl>
    <w:lvl w:ilvl="4" w:tplc="A07C2634" w:tentative="1">
      <w:start w:val="1"/>
      <w:numFmt w:val="lowerLetter"/>
      <w:lvlText w:val="%5."/>
      <w:lvlJc w:val="left"/>
      <w:pPr>
        <w:ind w:left="3240" w:hanging="360"/>
      </w:pPr>
    </w:lvl>
    <w:lvl w:ilvl="5" w:tplc="FCF25512" w:tentative="1">
      <w:start w:val="1"/>
      <w:numFmt w:val="lowerRoman"/>
      <w:lvlText w:val="%6."/>
      <w:lvlJc w:val="right"/>
      <w:pPr>
        <w:ind w:left="3960" w:hanging="180"/>
      </w:pPr>
    </w:lvl>
    <w:lvl w:ilvl="6" w:tplc="E8B4EFC0" w:tentative="1">
      <w:start w:val="1"/>
      <w:numFmt w:val="decimal"/>
      <w:lvlText w:val="%7."/>
      <w:lvlJc w:val="left"/>
      <w:pPr>
        <w:ind w:left="4680" w:hanging="360"/>
      </w:pPr>
    </w:lvl>
    <w:lvl w:ilvl="7" w:tplc="5CC8FE76" w:tentative="1">
      <w:start w:val="1"/>
      <w:numFmt w:val="lowerLetter"/>
      <w:lvlText w:val="%8."/>
      <w:lvlJc w:val="left"/>
      <w:pPr>
        <w:ind w:left="5400" w:hanging="360"/>
      </w:pPr>
    </w:lvl>
    <w:lvl w:ilvl="8" w:tplc="880CACF4" w:tentative="1">
      <w:start w:val="1"/>
      <w:numFmt w:val="lowerRoman"/>
      <w:lvlText w:val="%9."/>
      <w:lvlJc w:val="right"/>
      <w:pPr>
        <w:ind w:left="6120" w:hanging="180"/>
      </w:pPr>
    </w:lvl>
  </w:abstractNum>
  <w:abstractNum w:abstractNumId="5" w15:restartNumberingAfterBreak="0">
    <w:nsid w:val="00000007"/>
    <w:multiLevelType w:val="hybridMultilevel"/>
    <w:tmpl w:val="6EECCE3A"/>
    <w:lvl w:ilvl="0" w:tplc="AF642974">
      <w:start w:val="1"/>
      <w:numFmt w:val="decimal"/>
      <w:lvlText w:val="%1."/>
      <w:lvlJc w:val="left"/>
      <w:pPr>
        <w:ind w:left="360" w:hanging="360"/>
      </w:pPr>
      <w:rPr>
        <w:b w:val="0"/>
        <w:bCs w:val="0"/>
        <w:i w:val="0"/>
        <w:iCs/>
        <w:sz w:val="18"/>
        <w:szCs w:val="18"/>
      </w:rPr>
    </w:lvl>
    <w:lvl w:ilvl="1" w:tplc="CE728A76">
      <w:start w:val="1"/>
      <w:numFmt w:val="lowerLetter"/>
      <w:lvlText w:val="%2."/>
      <w:lvlJc w:val="left"/>
      <w:pPr>
        <w:ind w:left="1080" w:hanging="360"/>
      </w:pPr>
    </w:lvl>
    <w:lvl w:ilvl="2" w:tplc="70F61E40">
      <w:start w:val="1"/>
      <w:numFmt w:val="lowerRoman"/>
      <w:lvlText w:val="%3."/>
      <w:lvlJc w:val="right"/>
      <w:pPr>
        <w:ind w:left="1800" w:hanging="180"/>
      </w:pPr>
    </w:lvl>
    <w:lvl w:ilvl="3" w:tplc="F5E01916">
      <w:start w:val="1"/>
      <w:numFmt w:val="decimal"/>
      <w:lvlText w:val="%4."/>
      <w:lvlJc w:val="left"/>
      <w:pPr>
        <w:ind w:left="2520" w:hanging="360"/>
      </w:pPr>
    </w:lvl>
    <w:lvl w:ilvl="4" w:tplc="C3263600">
      <w:start w:val="1"/>
      <w:numFmt w:val="lowerLetter"/>
      <w:lvlText w:val="%5."/>
      <w:lvlJc w:val="left"/>
      <w:pPr>
        <w:ind w:left="3240" w:hanging="360"/>
      </w:pPr>
    </w:lvl>
    <w:lvl w:ilvl="5" w:tplc="EAD0F5BE">
      <w:start w:val="1"/>
      <w:numFmt w:val="lowerRoman"/>
      <w:lvlText w:val="%6."/>
      <w:lvlJc w:val="right"/>
      <w:pPr>
        <w:ind w:left="3960" w:hanging="180"/>
      </w:pPr>
    </w:lvl>
    <w:lvl w:ilvl="6" w:tplc="3EB03880">
      <w:start w:val="1"/>
      <w:numFmt w:val="decimal"/>
      <w:lvlText w:val="%7."/>
      <w:lvlJc w:val="left"/>
      <w:pPr>
        <w:ind w:left="4680" w:hanging="360"/>
      </w:pPr>
    </w:lvl>
    <w:lvl w:ilvl="7" w:tplc="E3C0BA48">
      <w:start w:val="1"/>
      <w:numFmt w:val="lowerLetter"/>
      <w:lvlText w:val="%8."/>
      <w:lvlJc w:val="left"/>
      <w:pPr>
        <w:ind w:left="5400" w:hanging="360"/>
      </w:pPr>
    </w:lvl>
    <w:lvl w:ilvl="8" w:tplc="12408DB8">
      <w:start w:val="1"/>
      <w:numFmt w:val="lowerRoman"/>
      <w:lvlText w:val="%9."/>
      <w:lvlJc w:val="right"/>
      <w:pPr>
        <w:ind w:left="6120" w:hanging="180"/>
      </w:pPr>
    </w:lvl>
  </w:abstractNum>
  <w:abstractNum w:abstractNumId="6" w15:restartNumberingAfterBreak="0">
    <w:nsid w:val="00000008"/>
    <w:multiLevelType w:val="hybridMultilevel"/>
    <w:tmpl w:val="6EECCE3A"/>
    <w:lvl w:ilvl="0" w:tplc="CB88A1D4">
      <w:start w:val="1"/>
      <w:numFmt w:val="decimal"/>
      <w:lvlText w:val="%1."/>
      <w:lvlJc w:val="left"/>
      <w:pPr>
        <w:ind w:left="360" w:hanging="360"/>
      </w:pPr>
      <w:rPr>
        <w:b w:val="0"/>
        <w:bCs w:val="0"/>
        <w:i w:val="0"/>
        <w:iCs/>
        <w:sz w:val="18"/>
        <w:szCs w:val="18"/>
      </w:rPr>
    </w:lvl>
    <w:lvl w:ilvl="1" w:tplc="BB06646A">
      <w:start w:val="1"/>
      <w:numFmt w:val="lowerLetter"/>
      <w:lvlText w:val="%2."/>
      <w:lvlJc w:val="left"/>
      <w:pPr>
        <w:ind w:left="1080" w:hanging="360"/>
      </w:pPr>
    </w:lvl>
    <w:lvl w:ilvl="2" w:tplc="A1129996">
      <w:start w:val="1"/>
      <w:numFmt w:val="lowerRoman"/>
      <w:lvlText w:val="%3."/>
      <w:lvlJc w:val="right"/>
      <w:pPr>
        <w:ind w:left="1800" w:hanging="180"/>
      </w:pPr>
    </w:lvl>
    <w:lvl w:ilvl="3" w:tplc="765C3D42">
      <w:start w:val="1"/>
      <w:numFmt w:val="decimal"/>
      <w:lvlText w:val="%4."/>
      <w:lvlJc w:val="left"/>
      <w:pPr>
        <w:ind w:left="2520" w:hanging="360"/>
      </w:pPr>
    </w:lvl>
    <w:lvl w:ilvl="4" w:tplc="802EC272">
      <w:start w:val="1"/>
      <w:numFmt w:val="lowerLetter"/>
      <w:lvlText w:val="%5."/>
      <w:lvlJc w:val="left"/>
      <w:pPr>
        <w:ind w:left="3240" w:hanging="360"/>
      </w:pPr>
    </w:lvl>
    <w:lvl w:ilvl="5" w:tplc="35AA1682">
      <w:start w:val="1"/>
      <w:numFmt w:val="lowerRoman"/>
      <w:lvlText w:val="%6."/>
      <w:lvlJc w:val="right"/>
      <w:pPr>
        <w:ind w:left="3960" w:hanging="180"/>
      </w:pPr>
    </w:lvl>
    <w:lvl w:ilvl="6" w:tplc="DD989CAA">
      <w:start w:val="1"/>
      <w:numFmt w:val="decimal"/>
      <w:lvlText w:val="%7."/>
      <w:lvlJc w:val="left"/>
      <w:pPr>
        <w:ind w:left="4680" w:hanging="360"/>
      </w:pPr>
    </w:lvl>
    <w:lvl w:ilvl="7" w:tplc="D4C637EE">
      <w:start w:val="1"/>
      <w:numFmt w:val="lowerLetter"/>
      <w:lvlText w:val="%8."/>
      <w:lvlJc w:val="left"/>
      <w:pPr>
        <w:ind w:left="5400" w:hanging="360"/>
      </w:pPr>
    </w:lvl>
    <w:lvl w:ilvl="8" w:tplc="0510A242">
      <w:start w:val="1"/>
      <w:numFmt w:val="lowerRoman"/>
      <w:lvlText w:val="%9."/>
      <w:lvlJc w:val="right"/>
      <w:pPr>
        <w:ind w:left="6120" w:hanging="180"/>
      </w:pPr>
    </w:lvl>
  </w:abstractNum>
  <w:abstractNum w:abstractNumId="7" w15:restartNumberingAfterBreak="0">
    <w:nsid w:val="00000009"/>
    <w:multiLevelType w:val="hybridMultilevel"/>
    <w:tmpl w:val="6EECCE3A"/>
    <w:lvl w:ilvl="0" w:tplc="DE46B8F4">
      <w:start w:val="1"/>
      <w:numFmt w:val="decimal"/>
      <w:lvlText w:val="%1."/>
      <w:lvlJc w:val="left"/>
      <w:pPr>
        <w:ind w:left="360" w:hanging="360"/>
      </w:pPr>
      <w:rPr>
        <w:b w:val="0"/>
        <w:bCs w:val="0"/>
        <w:i w:val="0"/>
        <w:iCs/>
        <w:sz w:val="18"/>
        <w:szCs w:val="18"/>
      </w:rPr>
    </w:lvl>
    <w:lvl w:ilvl="1" w:tplc="0250189E">
      <w:start w:val="1"/>
      <w:numFmt w:val="lowerLetter"/>
      <w:lvlText w:val="%2."/>
      <w:lvlJc w:val="left"/>
      <w:pPr>
        <w:ind w:left="1080" w:hanging="360"/>
      </w:pPr>
    </w:lvl>
    <w:lvl w:ilvl="2" w:tplc="DAC8ED02">
      <w:start w:val="1"/>
      <w:numFmt w:val="lowerRoman"/>
      <w:lvlText w:val="%3."/>
      <w:lvlJc w:val="right"/>
      <w:pPr>
        <w:ind w:left="1800" w:hanging="180"/>
      </w:pPr>
    </w:lvl>
    <w:lvl w:ilvl="3" w:tplc="1D8838A8">
      <w:start w:val="1"/>
      <w:numFmt w:val="decimal"/>
      <w:lvlText w:val="%4."/>
      <w:lvlJc w:val="left"/>
      <w:pPr>
        <w:ind w:left="2520" w:hanging="360"/>
      </w:pPr>
    </w:lvl>
    <w:lvl w:ilvl="4" w:tplc="0F30E79C">
      <w:start w:val="1"/>
      <w:numFmt w:val="lowerLetter"/>
      <w:lvlText w:val="%5."/>
      <w:lvlJc w:val="left"/>
      <w:pPr>
        <w:ind w:left="3240" w:hanging="360"/>
      </w:pPr>
    </w:lvl>
    <w:lvl w:ilvl="5" w:tplc="F1C8423C">
      <w:start w:val="1"/>
      <w:numFmt w:val="lowerRoman"/>
      <w:lvlText w:val="%6."/>
      <w:lvlJc w:val="right"/>
      <w:pPr>
        <w:ind w:left="3960" w:hanging="180"/>
      </w:pPr>
    </w:lvl>
    <w:lvl w:ilvl="6" w:tplc="707A593A">
      <w:start w:val="1"/>
      <w:numFmt w:val="decimal"/>
      <w:lvlText w:val="%7."/>
      <w:lvlJc w:val="left"/>
      <w:pPr>
        <w:ind w:left="4680" w:hanging="360"/>
      </w:pPr>
    </w:lvl>
    <w:lvl w:ilvl="7" w:tplc="9998D7F8">
      <w:start w:val="1"/>
      <w:numFmt w:val="lowerLetter"/>
      <w:lvlText w:val="%8."/>
      <w:lvlJc w:val="left"/>
      <w:pPr>
        <w:ind w:left="5400" w:hanging="360"/>
      </w:pPr>
    </w:lvl>
    <w:lvl w:ilvl="8" w:tplc="BBF2A514">
      <w:start w:val="1"/>
      <w:numFmt w:val="lowerRoman"/>
      <w:lvlText w:val="%9."/>
      <w:lvlJc w:val="right"/>
      <w:pPr>
        <w:ind w:left="6120" w:hanging="180"/>
      </w:pPr>
    </w:lvl>
  </w:abstractNum>
  <w:abstractNum w:abstractNumId="8" w15:restartNumberingAfterBreak="0">
    <w:nsid w:val="0000000A"/>
    <w:multiLevelType w:val="hybridMultilevel"/>
    <w:tmpl w:val="6EECCE3A"/>
    <w:lvl w:ilvl="0" w:tplc="2500B60C">
      <w:start w:val="1"/>
      <w:numFmt w:val="decimal"/>
      <w:lvlText w:val="%1."/>
      <w:lvlJc w:val="left"/>
      <w:pPr>
        <w:ind w:left="360" w:hanging="360"/>
      </w:pPr>
      <w:rPr>
        <w:b w:val="0"/>
        <w:bCs w:val="0"/>
        <w:i w:val="0"/>
        <w:iCs/>
        <w:sz w:val="18"/>
        <w:szCs w:val="18"/>
      </w:rPr>
    </w:lvl>
    <w:lvl w:ilvl="1" w:tplc="6D7CB4C8">
      <w:start w:val="1"/>
      <w:numFmt w:val="lowerLetter"/>
      <w:lvlText w:val="%2."/>
      <w:lvlJc w:val="left"/>
      <w:pPr>
        <w:ind w:left="1080" w:hanging="360"/>
      </w:pPr>
    </w:lvl>
    <w:lvl w:ilvl="2" w:tplc="D2E63E68">
      <w:start w:val="1"/>
      <w:numFmt w:val="lowerRoman"/>
      <w:lvlText w:val="%3."/>
      <w:lvlJc w:val="right"/>
      <w:pPr>
        <w:ind w:left="1800" w:hanging="180"/>
      </w:pPr>
    </w:lvl>
    <w:lvl w:ilvl="3" w:tplc="9CA84DD2">
      <w:start w:val="1"/>
      <w:numFmt w:val="decimal"/>
      <w:lvlText w:val="%4."/>
      <w:lvlJc w:val="left"/>
      <w:pPr>
        <w:ind w:left="2520" w:hanging="360"/>
      </w:pPr>
    </w:lvl>
    <w:lvl w:ilvl="4" w:tplc="E6CA5A0C">
      <w:start w:val="1"/>
      <w:numFmt w:val="lowerLetter"/>
      <w:lvlText w:val="%5."/>
      <w:lvlJc w:val="left"/>
      <w:pPr>
        <w:ind w:left="3240" w:hanging="360"/>
      </w:pPr>
    </w:lvl>
    <w:lvl w:ilvl="5" w:tplc="12525984">
      <w:start w:val="1"/>
      <w:numFmt w:val="lowerRoman"/>
      <w:lvlText w:val="%6."/>
      <w:lvlJc w:val="right"/>
      <w:pPr>
        <w:ind w:left="3960" w:hanging="180"/>
      </w:pPr>
    </w:lvl>
    <w:lvl w:ilvl="6" w:tplc="B02C21BA">
      <w:start w:val="1"/>
      <w:numFmt w:val="decimal"/>
      <w:lvlText w:val="%7."/>
      <w:lvlJc w:val="left"/>
      <w:pPr>
        <w:ind w:left="4680" w:hanging="360"/>
      </w:pPr>
    </w:lvl>
    <w:lvl w:ilvl="7" w:tplc="37BEC1E0">
      <w:start w:val="1"/>
      <w:numFmt w:val="lowerLetter"/>
      <w:lvlText w:val="%8."/>
      <w:lvlJc w:val="left"/>
      <w:pPr>
        <w:ind w:left="5400" w:hanging="360"/>
      </w:pPr>
    </w:lvl>
    <w:lvl w:ilvl="8" w:tplc="42E4AE68">
      <w:start w:val="1"/>
      <w:numFmt w:val="lowerRoman"/>
      <w:lvlText w:val="%9."/>
      <w:lvlJc w:val="right"/>
      <w:pPr>
        <w:ind w:left="6120" w:hanging="180"/>
      </w:pPr>
    </w:lvl>
  </w:abstractNum>
  <w:abstractNum w:abstractNumId="9" w15:restartNumberingAfterBreak="0">
    <w:nsid w:val="0000000B"/>
    <w:multiLevelType w:val="hybridMultilevel"/>
    <w:tmpl w:val="6EECCE3A"/>
    <w:lvl w:ilvl="0" w:tplc="77FC96A4">
      <w:start w:val="1"/>
      <w:numFmt w:val="decimal"/>
      <w:lvlText w:val="%1."/>
      <w:lvlJc w:val="left"/>
      <w:pPr>
        <w:ind w:left="360" w:hanging="360"/>
      </w:pPr>
      <w:rPr>
        <w:b w:val="0"/>
        <w:bCs w:val="0"/>
        <w:i w:val="0"/>
        <w:iCs/>
        <w:sz w:val="18"/>
        <w:szCs w:val="18"/>
      </w:rPr>
    </w:lvl>
    <w:lvl w:ilvl="1" w:tplc="80802B98">
      <w:start w:val="1"/>
      <w:numFmt w:val="lowerLetter"/>
      <w:lvlText w:val="%2."/>
      <w:lvlJc w:val="left"/>
      <w:pPr>
        <w:ind w:left="1080" w:hanging="360"/>
      </w:pPr>
    </w:lvl>
    <w:lvl w:ilvl="2" w:tplc="ADB81CD8">
      <w:start w:val="1"/>
      <w:numFmt w:val="lowerRoman"/>
      <w:lvlText w:val="%3."/>
      <w:lvlJc w:val="right"/>
      <w:pPr>
        <w:ind w:left="1800" w:hanging="180"/>
      </w:pPr>
    </w:lvl>
    <w:lvl w:ilvl="3" w:tplc="CE8080F4">
      <w:start w:val="1"/>
      <w:numFmt w:val="decimal"/>
      <w:lvlText w:val="%4."/>
      <w:lvlJc w:val="left"/>
      <w:pPr>
        <w:ind w:left="2520" w:hanging="360"/>
      </w:pPr>
    </w:lvl>
    <w:lvl w:ilvl="4" w:tplc="B666113E">
      <w:start w:val="1"/>
      <w:numFmt w:val="lowerLetter"/>
      <w:lvlText w:val="%5."/>
      <w:lvlJc w:val="left"/>
      <w:pPr>
        <w:ind w:left="3240" w:hanging="360"/>
      </w:pPr>
    </w:lvl>
    <w:lvl w:ilvl="5" w:tplc="E36C562C">
      <w:start w:val="1"/>
      <w:numFmt w:val="lowerRoman"/>
      <w:lvlText w:val="%6."/>
      <w:lvlJc w:val="right"/>
      <w:pPr>
        <w:ind w:left="3960" w:hanging="180"/>
      </w:pPr>
    </w:lvl>
    <w:lvl w:ilvl="6" w:tplc="5C208D9C">
      <w:start w:val="1"/>
      <w:numFmt w:val="decimal"/>
      <w:lvlText w:val="%7."/>
      <w:lvlJc w:val="left"/>
      <w:pPr>
        <w:ind w:left="4680" w:hanging="360"/>
      </w:pPr>
    </w:lvl>
    <w:lvl w:ilvl="7" w:tplc="2222D658">
      <w:start w:val="1"/>
      <w:numFmt w:val="lowerLetter"/>
      <w:lvlText w:val="%8."/>
      <w:lvlJc w:val="left"/>
      <w:pPr>
        <w:ind w:left="5400" w:hanging="360"/>
      </w:pPr>
    </w:lvl>
    <w:lvl w:ilvl="8" w:tplc="682E2C66">
      <w:start w:val="1"/>
      <w:numFmt w:val="lowerRoman"/>
      <w:lvlText w:val="%9."/>
      <w:lvlJc w:val="right"/>
      <w:pPr>
        <w:ind w:left="6120" w:hanging="180"/>
      </w:pPr>
    </w:lvl>
  </w:abstractNum>
  <w:abstractNum w:abstractNumId="10" w15:restartNumberingAfterBreak="0">
    <w:nsid w:val="0000000C"/>
    <w:multiLevelType w:val="hybridMultilevel"/>
    <w:tmpl w:val="BC64D4E8"/>
    <w:lvl w:ilvl="0" w:tplc="66CC0570">
      <w:start w:val="1"/>
      <w:numFmt w:val="decimal"/>
      <w:pStyle w:val="BSnoteslist1"/>
      <w:lvlText w:val="%1."/>
      <w:lvlJc w:val="left"/>
      <w:pPr>
        <w:ind w:left="360" w:hanging="360"/>
      </w:pPr>
    </w:lvl>
    <w:lvl w:ilvl="1" w:tplc="ECEA8E6A">
      <w:start w:val="1"/>
      <w:numFmt w:val="lowerLetter"/>
      <w:lvlText w:val="%2."/>
      <w:lvlJc w:val="left"/>
      <w:pPr>
        <w:ind w:left="1080" w:hanging="360"/>
      </w:pPr>
    </w:lvl>
    <w:lvl w:ilvl="2" w:tplc="02805F46">
      <w:start w:val="1"/>
      <w:numFmt w:val="lowerRoman"/>
      <w:lvlText w:val="%3."/>
      <w:lvlJc w:val="right"/>
      <w:pPr>
        <w:ind w:left="1800" w:hanging="180"/>
      </w:pPr>
    </w:lvl>
    <w:lvl w:ilvl="3" w:tplc="7D20D318">
      <w:start w:val="1"/>
      <w:numFmt w:val="decimal"/>
      <w:lvlText w:val="%4."/>
      <w:lvlJc w:val="left"/>
      <w:pPr>
        <w:ind w:left="2520" w:hanging="360"/>
      </w:pPr>
    </w:lvl>
    <w:lvl w:ilvl="4" w:tplc="E64CAA02">
      <w:start w:val="1"/>
      <w:numFmt w:val="lowerLetter"/>
      <w:lvlText w:val="%5."/>
      <w:lvlJc w:val="left"/>
      <w:pPr>
        <w:ind w:left="3240" w:hanging="360"/>
      </w:pPr>
    </w:lvl>
    <w:lvl w:ilvl="5" w:tplc="9D36B4B0">
      <w:start w:val="1"/>
      <w:numFmt w:val="lowerRoman"/>
      <w:lvlText w:val="%6."/>
      <w:lvlJc w:val="right"/>
      <w:pPr>
        <w:ind w:left="3960" w:hanging="180"/>
      </w:pPr>
    </w:lvl>
    <w:lvl w:ilvl="6" w:tplc="7204613C">
      <w:start w:val="1"/>
      <w:numFmt w:val="decimal"/>
      <w:lvlText w:val="%7."/>
      <w:lvlJc w:val="left"/>
      <w:pPr>
        <w:ind w:left="4680" w:hanging="360"/>
      </w:pPr>
    </w:lvl>
    <w:lvl w:ilvl="7" w:tplc="9FB43410">
      <w:start w:val="1"/>
      <w:numFmt w:val="lowerLetter"/>
      <w:lvlText w:val="%8."/>
      <w:lvlJc w:val="left"/>
      <w:pPr>
        <w:ind w:left="5400" w:hanging="360"/>
      </w:pPr>
    </w:lvl>
    <w:lvl w:ilvl="8" w:tplc="A26C86E6">
      <w:start w:val="1"/>
      <w:numFmt w:val="lowerRoman"/>
      <w:lvlText w:val="%9."/>
      <w:lvlJc w:val="right"/>
      <w:pPr>
        <w:ind w:left="6120" w:hanging="180"/>
      </w:pPr>
    </w:lvl>
  </w:abstractNum>
  <w:abstractNum w:abstractNumId="11" w15:restartNumberingAfterBreak="0">
    <w:nsid w:val="0000000D"/>
    <w:multiLevelType w:val="hybridMultilevel"/>
    <w:tmpl w:val="B2A85792"/>
    <w:lvl w:ilvl="0" w:tplc="BACCC5EA">
      <w:start w:val="1"/>
      <w:numFmt w:val="lowerLetter"/>
      <w:lvlText w:val="%1."/>
      <w:lvlJc w:val="left"/>
      <w:pPr>
        <w:ind w:left="360" w:hanging="360"/>
      </w:pPr>
    </w:lvl>
    <w:lvl w:ilvl="1" w:tplc="3BD82402">
      <w:start w:val="1"/>
      <w:numFmt w:val="lowerLetter"/>
      <w:lvlText w:val="%2."/>
      <w:lvlJc w:val="left"/>
      <w:pPr>
        <w:ind w:left="1080" w:hanging="360"/>
      </w:pPr>
    </w:lvl>
    <w:lvl w:ilvl="2" w:tplc="C3148BB2">
      <w:start w:val="1"/>
      <w:numFmt w:val="lowerRoman"/>
      <w:lvlText w:val="%3."/>
      <w:lvlJc w:val="right"/>
      <w:pPr>
        <w:ind w:left="1800" w:hanging="180"/>
      </w:pPr>
    </w:lvl>
    <w:lvl w:ilvl="3" w:tplc="BEAA1F72">
      <w:start w:val="1"/>
      <w:numFmt w:val="decimal"/>
      <w:lvlText w:val="%4."/>
      <w:lvlJc w:val="left"/>
      <w:pPr>
        <w:ind w:left="2520" w:hanging="360"/>
      </w:pPr>
    </w:lvl>
    <w:lvl w:ilvl="4" w:tplc="C2781E30">
      <w:start w:val="1"/>
      <w:numFmt w:val="lowerLetter"/>
      <w:lvlText w:val="%5."/>
      <w:lvlJc w:val="left"/>
      <w:pPr>
        <w:ind w:left="3240" w:hanging="360"/>
      </w:pPr>
    </w:lvl>
    <w:lvl w:ilvl="5" w:tplc="5A76BC3A">
      <w:start w:val="1"/>
      <w:numFmt w:val="lowerRoman"/>
      <w:lvlText w:val="%6."/>
      <w:lvlJc w:val="right"/>
      <w:pPr>
        <w:ind w:left="3960" w:hanging="180"/>
      </w:pPr>
    </w:lvl>
    <w:lvl w:ilvl="6" w:tplc="B7C44890">
      <w:start w:val="1"/>
      <w:numFmt w:val="decimal"/>
      <w:lvlText w:val="%7."/>
      <w:lvlJc w:val="left"/>
      <w:pPr>
        <w:ind w:left="4680" w:hanging="360"/>
      </w:pPr>
    </w:lvl>
    <w:lvl w:ilvl="7" w:tplc="52ACFAC2">
      <w:start w:val="1"/>
      <w:numFmt w:val="lowerLetter"/>
      <w:lvlText w:val="%8."/>
      <w:lvlJc w:val="left"/>
      <w:pPr>
        <w:ind w:left="5400" w:hanging="360"/>
      </w:pPr>
    </w:lvl>
    <w:lvl w:ilvl="8" w:tplc="9D0EC034">
      <w:start w:val="1"/>
      <w:numFmt w:val="lowerRoman"/>
      <w:lvlText w:val="%9."/>
      <w:lvlJc w:val="right"/>
      <w:pPr>
        <w:ind w:left="6120" w:hanging="180"/>
      </w:pPr>
    </w:lvl>
  </w:abstractNum>
  <w:abstractNum w:abstractNumId="12" w15:restartNumberingAfterBreak="0">
    <w:nsid w:val="0000000E"/>
    <w:multiLevelType w:val="hybridMultilevel"/>
    <w:tmpl w:val="5156C316"/>
    <w:lvl w:ilvl="0" w:tplc="4508C7C0">
      <w:start w:val="1"/>
      <w:numFmt w:val="lowerLetter"/>
      <w:lvlText w:val="%1."/>
      <w:lvlJc w:val="left"/>
      <w:pPr>
        <w:ind w:left="283" w:hanging="283"/>
      </w:pPr>
      <w:rPr>
        <w:rFonts w:ascii="Calibri" w:hAnsi="Calibri" w:cs="Calibri" w:hint="default"/>
        <w:sz w:val="18"/>
        <w:szCs w:val="18"/>
      </w:rPr>
    </w:lvl>
    <w:lvl w:ilvl="1" w:tplc="B3D2F162">
      <w:start w:val="1"/>
      <w:numFmt w:val="lowerLetter"/>
      <w:lvlText w:val="%2."/>
      <w:lvlJc w:val="left"/>
      <w:pPr>
        <w:ind w:left="1440" w:hanging="360"/>
      </w:pPr>
    </w:lvl>
    <w:lvl w:ilvl="2" w:tplc="F58A586C">
      <w:start w:val="1"/>
      <w:numFmt w:val="lowerRoman"/>
      <w:lvlText w:val="%3."/>
      <w:lvlJc w:val="right"/>
      <w:pPr>
        <w:ind w:left="2160" w:hanging="180"/>
      </w:pPr>
    </w:lvl>
    <w:lvl w:ilvl="3" w:tplc="B5CA8CE8">
      <w:start w:val="1"/>
      <w:numFmt w:val="decimal"/>
      <w:lvlText w:val="%4."/>
      <w:lvlJc w:val="left"/>
      <w:pPr>
        <w:ind w:left="2880" w:hanging="360"/>
      </w:pPr>
    </w:lvl>
    <w:lvl w:ilvl="4" w:tplc="29982CBE">
      <w:start w:val="1"/>
      <w:numFmt w:val="lowerLetter"/>
      <w:lvlText w:val="%5."/>
      <w:lvlJc w:val="left"/>
      <w:pPr>
        <w:ind w:left="3600" w:hanging="360"/>
      </w:pPr>
    </w:lvl>
    <w:lvl w:ilvl="5" w:tplc="007A908E">
      <w:start w:val="1"/>
      <w:numFmt w:val="lowerRoman"/>
      <w:lvlText w:val="%6."/>
      <w:lvlJc w:val="right"/>
      <w:pPr>
        <w:ind w:left="4320" w:hanging="180"/>
      </w:pPr>
    </w:lvl>
    <w:lvl w:ilvl="6" w:tplc="2A36BF62">
      <w:start w:val="1"/>
      <w:numFmt w:val="decimal"/>
      <w:lvlText w:val="%7."/>
      <w:lvlJc w:val="left"/>
      <w:pPr>
        <w:ind w:left="5040" w:hanging="360"/>
      </w:pPr>
    </w:lvl>
    <w:lvl w:ilvl="7" w:tplc="8C8AF332">
      <w:start w:val="1"/>
      <w:numFmt w:val="lowerLetter"/>
      <w:lvlText w:val="%8."/>
      <w:lvlJc w:val="left"/>
      <w:pPr>
        <w:ind w:left="5760" w:hanging="360"/>
      </w:pPr>
    </w:lvl>
    <w:lvl w:ilvl="8" w:tplc="79C60E9E">
      <w:start w:val="1"/>
      <w:numFmt w:val="lowerRoman"/>
      <w:lvlText w:val="%9."/>
      <w:lvlJc w:val="right"/>
      <w:pPr>
        <w:ind w:left="6480" w:hanging="180"/>
      </w:pPr>
    </w:lvl>
  </w:abstractNum>
  <w:abstractNum w:abstractNumId="13" w15:restartNumberingAfterBreak="0">
    <w:nsid w:val="0000000F"/>
    <w:multiLevelType w:val="hybridMultilevel"/>
    <w:tmpl w:val="5C46786A"/>
    <w:lvl w:ilvl="0" w:tplc="B186ED0C">
      <w:start w:val="1"/>
      <w:numFmt w:val="decimal"/>
      <w:lvlText w:val="%1."/>
      <w:lvlJc w:val="left"/>
      <w:pPr>
        <w:ind w:left="720" w:hanging="360"/>
      </w:pPr>
    </w:lvl>
    <w:lvl w:ilvl="1" w:tplc="75501082" w:tentative="1">
      <w:start w:val="1"/>
      <w:numFmt w:val="lowerLetter"/>
      <w:lvlText w:val="%2."/>
      <w:lvlJc w:val="left"/>
      <w:pPr>
        <w:ind w:left="1440" w:hanging="360"/>
      </w:pPr>
    </w:lvl>
    <w:lvl w:ilvl="2" w:tplc="8A0C69A8" w:tentative="1">
      <w:start w:val="1"/>
      <w:numFmt w:val="lowerRoman"/>
      <w:lvlText w:val="%3."/>
      <w:lvlJc w:val="right"/>
      <w:pPr>
        <w:ind w:left="2160" w:hanging="180"/>
      </w:pPr>
    </w:lvl>
    <w:lvl w:ilvl="3" w:tplc="E5C0BC06" w:tentative="1">
      <w:start w:val="1"/>
      <w:numFmt w:val="decimal"/>
      <w:lvlText w:val="%4."/>
      <w:lvlJc w:val="left"/>
      <w:pPr>
        <w:ind w:left="2880" w:hanging="360"/>
      </w:pPr>
    </w:lvl>
    <w:lvl w:ilvl="4" w:tplc="AE7E8314" w:tentative="1">
      <w:start w:val="1"/>
      <w:numFmt w:val="lowerLetter"/>
      <w:lvlText w:val="%5."/>
      <w:lvlJc w:val="left"/>
      <w:pPr>
        <w:ind w:left="3600" w:hanging="360"/>
      </w:pPr>
    </w:lvl>
    <w:lvl w:ilvl="5" w:tplc="FDEC0A5E" w:tentative="1">
      <w:start w:val="1"/>
      <w:numFmt w:val="lowerRoman"/>
      <w:lvlText w:val="%6."/>
      <w:lvlJc w:val="right"/>
      <w:pPr>
        <w:ind w:left="4320" w:hanging="180"/>
      </w:pPr>
    </w:lvl>
    <w:lvl w:ilvl="6" w:tplc="366A0216" w:tentative="1">
      <w:start w:val="1"/>
      <w:numFmt w:val="decimal"/>
      <w:lvlText w:val="%7."/>
      <w:lvlJc w:val="left"/>
      <w:pPr>
        <w:ind w:left="5040" w:hanging="360"/>
      </w:pPr>
    </w:lvl>
    <w:lvl w:ilvl="7" w:tplc="80D855D0" w:tentative="1">
      <w:start w:val="1"/>
      <w:numFmt w:val="lowerLetter"/>
      <w:lvlText w:val="%8."/>
      <w:lvlJc w:val="left"/>
      <w:pPr>
        <w:ind w:left="5760" w:hanging="360"/>
      </w:pPr>
    </w:lvl>
    <w:lvl w:ilvl="8" w:tplc="99D63F66" w:tentative="1">
      <w:start w:val="1"/>
      <w:numFmt w:val="lowerRoman"/>
      <w:lvlText w:val="%9."/>
      <w:lvlJc w:val="right"/>
      <w:pPr>
        <w:ind w:left="6480" w:hanging="180"/>
      </w:pPr>
    </w:lvl>
  </w:abstractNum>
  <w:abstractNum w:abstractNumId="14" w15:restartNumberingAfterBreak="0">
    <w:nsid w:val="00000010"/>
    <w:multiLevelType w:val="hybridMultilevel"/>
    <w:tmpl w:val="76CC03DA"/>
    <w:lvl w:ilvl="0" w:tplc="62DE4160">
      <w:start w:val="1"/>
      <w:numFmt w:val="decimal"/>
      <w:pStyle w:val="BSnoteslist2"/>
      <w:lvlText w:val="%1."/>
      <w:lvlJc w:val="left"/>
      <w:pPr>
        <w:ind w:left="360" w:hanging="360"/>
      </w:pPr>
    </w:lvl>
    <w:lvl w:ilvl="1" w:tplc="8C260072">
      <w:start w:val="1"/>
      <w:numFmt w:val="lowerLetter"/>
      <w:lvlText w:val="%2."/>
      <w:lvlJc w:val="left"/>
      <w:pPr>
        <w:ind w:left="1080" w:hanging="360"/>
      </w:pPr>
    </w:lvl>
    <w:lvl w:ilvl="2" w:tplc="56D8EEF8">
      <w:start w:val="1"/>
      <w:numFmt w:val="lowerRoman"/>
      <w:lvlText w:val="%3."/>
      <w:lvlJc w:val="right"/>
      <w:pPr>
        <w:ind w:left="1800" w:hanging="180"/>
      </w:pPr>
    </w:lvl>
    <w:lvl w:ilvl="3" w:tplc="553693E2">
      <w:start w:val="1"/>
      <w:numFmt w:val="decimal"/>
      <w:lvlText w:val="%4."/>
      <w:lvlJc w:val="left"/>
      <w:pPr>
        <w:ind w:left="2520" w:hanging="360"/>
      </w:pPr>
    </w:lvl>
    <w:lvl w:ilvl="4" w:tplc="D99E315E">
      <w:start w:val="1"/>
      <w:numFmt w:val="lowerLetter"/>
      <w:lvlText w:val="%5."/>
      <w:lvlJc w:val="left"/>
      <w:pPr>
        <w:ind w:left="3240" w:hanging="360"/>
      </w:pPr>
    </w:lvl>
    <w:lvl w:ilvl="5" w:tplc="5BA42518">
      <w:start w:val="1"/>
      <w:numFmt w:val="lowerRoman"/>
      <w:lvlText w:val="%6."/>
      <w:lvlJc w:val="right"/>
      <w:pPr>
        <w:ind w:left="3960" w:hanging="180"/>
      </w:pPr>
    </w:lvl>
    <w:lvl w:ilvl="6" w:tplc="709481A0">
      <w:start w:val="1"/>
      <w:numFmt w:val="decimal"/>
      <w:lvlText w:val="%7."/>
      <w:lvlJc w:val="left"/>
      <w:pPr>
        <w:ind w:left="4680" w:hanging="360"/>
      </w:pPr>
    </w:lvl>
    <w:lvl w:ilvl="7" w:tplc="69D20500">
      <w:start w:val="1"/>
      <w:numFmt w:val="lowerLetter"/>
      <w:lvlText w:val="%8."/>
      <w:lvlJc w:val="left"/>
      <w:pPr>
        <w:ind w:left="5400" w:hanging="360"/>
      </w:pPr>
    </w:lvl>
    <w:lvl w:ilvl="8" w:tplc="40AA1FA0">
      <w:start w:val="1"/>
      <w:numFmt w:val="lowerRoman"/>
      <w:lvlText w:val="%9."/>
      <w:lvlJc w:val="right"/>
      <w:pPr>
        <w:ind w:left="6120" w:hanging="180"/>
      </w:pPr>
    </w:lvl>
  </w:abstractNum>
  <w:abstractNum w:abstractNumId="15" w15:restartNumberingAfterBreak="0">
    <w:nsid w:val="00000011"/>
    <w:multiLevelType w:val="hybridMultilevel"/>
    <w:tmpl w:val="D2CA4EDC"/>
    <w:lvl w:ilvl="0" w:tplc="35CE94EC">
      <w:start w:val="1"/>
      <w:numFmt w:val="lowerLetter"/>
      <w:lvlText w:val="%1."/>
      <w:lvlJc w:val="left"/>
      <w:pPr>
        <w:ind w:left="360" w:hanging="360"/>
      </w:pPr>
    </w:lvl>
    <w:lvl w:ilvl="1" w:tplc="8A987EF6">
      <w:start w:val="1"/>
      <w:numFmt w:val="lowerLetter"/>
      <w:lvlText w:val="%2."/>
      <w:lvlJc w:val="left"/>
      <w:pPr>
        <w:ind w:left="1440" w:hanging="360"/>
      </w:pPr>
    </w:lvl>
    <w:lvl w:ilvl="2" w:tplc="299EFC4A">
      <w:start w:val="1"/>
      <w:numFmt w:val="lowerRoman"/>
      <w:lvlText w:val="%3."/>
      <w:lvlJc w:val="right"/>
      <w:pPr>
        <w:ind w:left="2160" w:hanging="180"/>
      </w:pPr>
    </w:lvl>
    <w:lvl w:ilvl="3" w:tplc="52B8B968">
      <w:start w:val="1"/>
      <w:numFmt w:val="decimal"/>
      <w:lvlText w:val="%4."/>
      <w:lvlJc w:val="left"/>
      <w:pPr>
        <w:ind w:left="2880" w:hanging="360"/>
      </w:pPr>
    </w:lvl>
    <w:lvl w:ilvl="4" w:tplc="5A26C28C">
      <w:start w:val="1"/>
      <w:numFmt w:val="lowerLetter"/>
      <w:lvlText w:val="%5."/>
      <w:lvlJc w:val="left"/>
      <w:pPr>
        <w:ind w:left="3600" w:hanging="360"/>
      </w:pPr>
    </w:lvl>
    <w:lvl w:ilvl="5" w:tplc="FF6C951E">
      <w:start w:val="1"/>
      <w:numFmt w:val="lowerRoman"/>
      <w:lvlText w:val="%6."/>
      <w:lvlJc w:val="right"/>
      <w:pPr>
        <w:ind w:left="4320" w:hanging="180"/>
      </w:pPr>
    </w:lvl>
    <w:lvl w:ilvl="6" w:tplc="2946D63A">
      <w:start w:val="1"/>
      <w:numFmt w:val="decimal"/>
      <w:lvlText w:val="%7."/>
      <w:lvlJc w:val="left"/>
      <w:pPr>
        <w:ind w:left="5040" w:hanging="360"/>
      </w:pPr>
    </w:lvl>
    <w:lvl w:ilvl="7" w:tplc="E5ACA878">
      <w:start w:val="1"/>
      <w:numFmt w:val="lowerLetter"/>
      <w:lvlText w:val="%8."/>
      <w:lvlJc w:val="left"/>
      <w:pPr>
        <w:ind w:left="5760" w:hanging="360"/>
      </w:pPr>
    </w:lvl>
    <w:lvl w:ilvl="8" w:tplc="75A4B108">
      <w:start w:val="1"/>
      <w:numFmt w:val="lowerRoman"/>
      <w:lvlText w:val="%9."/>
      <w:lvlJc w:val="right"/>
      <w:pPr>
        <w:ind w:left="6480" w:hanging="180"/>
      </w:pPr>
    </w:lvl>
  </w:abstractNum>
  <w:abstractNum w:abstractNumId="16" w15:restartNumberingAfterBreak="0">
    <w:nsid w:val="00000012"/>
    <w:multiLevelType w:val="hybridMultilevel"/>
    <w:tmpl w:val="5C46786A"/>
    <w:lvl w:ilvl="0" w:tplc="B97EA26E">
      <w:start w:val="1"/>
      <w:numFmt w:val="decimal"/>
      <w:lvlText w:val="%1."/>
      <w:lvlJc w:val="left"/>
      <w:pPr>
        <w:ind w:left="720" w:hanging="360"/>
      </w:pPr>
    </w:lvl>
    <w:lvl w:ilvl="1" w:tplc="F8DCC5CC" w:tentative="1">
      <w:start w:val="1"/>
      <w:numFmt w:val="lowerLetter"/>
      <w:lvlText w:val="%2."/>
      <w:lvlJc w:val="left"/>
      <w:pPr>
        <w:ind w:left="1440" w:hanging="360"/>
      </w:pPr>
    </w:lvl>
    <w:lvl w:ilvl="2" w:tplc="CE68EAA6" w:tentative="1">
      <w:start w:val="1"/>
      <w:numFmt w:val="lowerRoman"/>
      <w:lvlText w:val="%3."/>
      <w:lvlJc w:val="right"/>
      <w:pPr>
        <w:ind w:left="2160" w:hanging="180"/>
      </w:pPr>
    </w:lvl>
    <w:lvl w:ilvl="3" w:tplc="A40A7D9E" w:tentative="1">
      <w:start w:val="1"/>
      <w:numFmt w:val="decimal"/>
      <w:lvlText w:val="%4."/>
      <w:lvlJc w:val="left"/>
      <w:pPr>
        <w:ind w:left="2880" w:hanging="360"/>
      </w:pPr>
    </w:lvl>
    <w:lvl w:ilvl="4" w:tplc="97CE5644" w:tentative="1">
      <w:start w:val="1"/>
      <w:numFmt w:val="lowerLetter"/>
      <w:lvlText w:val="%5."/>
      <w:lvlJc w:val="left"/>
      <w:pPr>
        <w:ind w:left="3600" w:hanging="360"/>
      </w:pPr>
    </w:lvl>
    <w:lvl w:ilvl="5" w:tplc="E37A716A" w:tentative="1">
      <w:start w:val="1"/>
      <w:numFmt w:val="lowerRoman"/>
      <w:lvlText w:val="%6."/>
      <w:lvlJc w:val="right"/>
      <w:pPr>
        <w:ind w:left="4320" w:hanging="180"/>
      </w:pPr>
    </w:lvl>
    <w:lvl w:ilvl="6" w:tplc="7368D36C" w:tentative="1">
      <w:start w:val="1"/>
      <w:numFmt w:val="decimal"/>
      <w:lvlText w:val="%7."/>
      <w:lvlJc w:val="left"/>
      <w:pPr>
        <w:ind w:left="5040" w:hanging="360"/>
      </w:pPr>
    </w:lvl>
    <w:lvl w:ilvl="7" w:tplc="7B8AE2EE" w:tentative="1">
      <w:start w:val="1"/>
      <w:numFmt w:val="lowerLetter"/>
      <w:lvlText w:val="%8."/>
      <w:lvlJc w:val="left"/>
      <w:pPr>
        <w:ind w:left="5760" w:hanging="360"/>
      </w:pPr>
    </w:lvl>
    <w:lvl w:ilvl="8" w:tplc="6DD64200" w:tentative="1">
      <w:start w:val="1"/>
      <w:numFmt w:val="lowerRoman"/>
      <w:lvlText w:val="%9."/>
      <w:lvlJc w:val="right"/>
      <w:pPr>
        <w:ind w:left="6480" w:hanging="180"/>
      </w:pPr>
    </w:lvl>
  </w:abstractNum>
  <w:abstractNum w:abstractNumId="17" w15:restartNumberingAfterBreak="0">
    <w:nsid w:val="00000013"/>
    <w:multiLevelType w:val="hybridMultilevel"/>
    <w:tmpl w:val="7130D0EA"/>
    <w:lvl w:ilvl="0" w:tplc="9A620E1C">
      <w:start w:val="1"/>
      <w:numFmt w:val="lowerLetter"/>
      <w:lvlText w:val="%1."/>
      <w:lvlJc w:val="left"/>
      <w:pPr>
        <w:ind w:left="360" w:hanging="360"/>
      </w:pPr>
    </w:lvl>
    <w:lvl w:ilvl="1" w:tplc="BD3A0C16">
      <w:start w:val="1"/>
      <w:numFmt w:val="lowerLetter"/>
      <w:lvlText w:val="%2."/>
      <w:lvlJc w:val="left"/>
      <w:pPr>
        <w:ind w:left="1440" w:hanging="360"/>
      </w:pPr>
    </w:lvl>
    <w:lvl w:ilvl="2" w:tplc="0E6EEF78">
      <w:start w:val="1"/>
      <w:numFmt w:val="lowerRoman"/>
      <w:lvlText w:val="%3."/>
      <w:lvlJc w:val="right"/>
      <w:pPr>
        <w:ind w:left="2160" w:hanging="180"/>
      </w:pPr>
    </w:lvl>
    <w:lvl w:ilvl="3" w:tplc="80D84668">
      <w:start w:val="1"/>
      <w:numFmt w:val="decimal"/>
      <w:lvlText w:val="%4."/>
      <w:lvlJc w:val="left"/>
      <w:pPr>
        <w:ind w:left="2880" w:hanging="360"/>
      </w:pPr>
    </w:lvl>
    <w:lvl w:ilvl="4" w:tplc="8C5C3278">
      <w:start w:val="1"/>
      <w:numFmt w:val="lowerLetter"/>
      <w:lvlText w:val="%5."/>
      <w:lvlJc w:val="left"/>
      <w:pPr>
        <w:ind w:left="3600" w:hanging="360"/>
      </w:pPr>
    </w:lvl>
    <w:lvl w:ilvl="5" w:tplc="7E2AB952">
      <w:start w:val="1"/>
      <w:numFmt w:val="lowerRoman"/>
      <w:lvlText w:val="%6."/>
      <w:lvlJc w:val="right"/>
      <w:pPr>
        <w:ind w:left="4320" w:hanging="180"/>
      </w:pPr>
    </w:lvl>
    <w:lvl w:ilvl="6" w:tplc="F4C825C2">
      <w:start w:val="1"/>
      <w:numFmt w:val="decimal"/>
      <w:lvlText w:val="%7."/>
      <w:lvlJc w:val="left"/>
      <w:pPr>
        <w:ind w:left="5040" w:hanging="360"/>
      </w:pPr>
    </w:lvl>
    <w:lvl w:ilvl="7" w:tplc="C776828E">
      <w:start w:val="1"/>
      <w:numFmt w:val="lowerLetter"/>
      <w:lvlText w:val="%8."/>
      <w:lvlJc w:val="left"/>
      <w:pPr>
        <w:ind w:left="5760" w:hanging="360"/>
      </w:pPr>
    </w:lvl>
    <w:lvl w:ilvl="8" w:tplc="FD985328">
      <w:start w:val="1"/>
      <w:numFmt w:val="lowerRoman"/>
      <w:lvlText w:val="%9."/>
      <w:lvlJc w:val="right"/>
      <w:pPr>
        <w:ind w:left="6480" w:hanging="180"/>
      </w:pPr>
    </w:lvl>
  </w:abstractNum>
  <w:abstractNum w:abstractNumId="18" w15:restartNumberingAfterBreak="0">
    <w:nsid w:val="00000014"/>
    <w:multiLevelType w:val="hybridMultilevel"/>
    <w:tmpl w:val="F25C5C12"/>
    <w:lvl w:ilvl="0" w:tplc="E16EB828">
      <w:start w:val="1"/>
      <w:numFmt w:val="lowerLetter"/>
      <w:lvlText w:val="%1."/>
      <w:lvlJc w:val="left"/>
      <w:pPr>
        <w:ind w:left="283" w:hanging="283"/>
      </w:pPr>
      <w:rPr>
        <w:rFonts w:ascii="Calibri" w:hAnsi="Calibri" w:cs="Calibri" w:hint="default"/>
        <w:sz w:val="18"/>
        <w:szCs w:val="18"/>
      </w:rPr>
    </w:lvl>
    <w:lvl w:ilvl="1" w:tplc="87C06B0A">
      <w:start w:val="1"/>
      <w:numFmt w:val="lowerLetter"/>
      <w:lvlText w:val="%2."/>
      <w:lvlJc w:val="left"/>
      <w:pPr>
        <w:ind w:left="1440" w:hanging="360"/>
      </w:pPr>
    </w:lvl>
    <w:lvl w:ilvl="2" w:tplc="000C3514">
      <w:start w:val="1"/>
      <w:numFmt w:val="lowerRoman"/>
      <w:lvlText w:val="%3."/>
      <w:lvlJc w:val="right"/>
      <w:pPr>
        <w:ind w:left="2160" w:hanging="180"/>
      </w:pPr>
    </w:lvl>
    <w:lvl w:ilvl="3" w:tplc="BF6E9162">
      <w:start w:val="1"/>
      <w:numFmt w:val="decimal"/>
      <w:lvlText w:val="%4."/>
      <w:lvlJc w:val="left"/>
      <w:pPr>
        <w:ind w:left="2880" w:hanging="360"/>
      </w:pPr>
    </w:lvl>
    <w:lvl w:ilvl="4" w:tplc="D4C655C8">
      <w:start w:val="1"/>
      <w:numFmt w:val="lowerLetter"/>
      <w:lvlText w:val="%5."/>
      <w:lvlJc w:val="left"/>
      <w:pPr>
        <w:ind w:left="3600" w:hanging="360"/>
      </w:pPr>
    </w:lvl>
    <w:lvl w:ilvl="5" w:tplc="5B0EAD5A">
      <w:start w:val="1"/>
      <w:numFmt w:val="lowerRoman"/>
      <w:lvlText w:val="%6."/>
      <w:lvlJc w:val="right"/>
      <w:pPr>
        <w:ind w:left="4320" w:hanging="180"/>
      </w:pPr>
    </w:lvl>
    <w:lvl w:ilvl="6" w:tplc="DD6C35D2">
      <w:start w:val="1"/>
      <w:numFmt w:val="decimal"/>
      <w:lvlText w:val="%7."/>
      <w:lvlJc w:val="left"/>
      <w:pPr>
        <w:ind w:left="5040" w:hanging="360"/>
      </w:pPr>
    </w:lvl>
    <w:lvl w:ilvl="7" w:tplc="150E2DF2">
      <w:start w:val="1"/>
      <w:numFmt w:val="lowerLetter"/>
      <w:lvlText w:val="%8."/>
      <w:lvlJc w:val="left"/>
      <w:pPr>
        <w:ind w:left="5760" w:hanging="360"/>
      </w:pPr>
    </w:lvl>
    <w:lvl w:ilvl="8" w:tplc="1BE8E4A0">
      <w:start w:val="1"/>
      <w:numFmt w:val="lowerRoman"/>
      <w:lvlText w:val="%9."/>
      <w:lvlJc w:val="right"/>
      <w:pPr>
        <w:ind w:left="6480" w:hanging="180"/>
      </w:pPr>
    </w:lvl>
  </w:abstractNum>
  <w:abstractNum w:abstractNumId="19" w15:restartNumberingAfterBreak="0">
    <w:nsid w:val="00000015"/>
    <w:multiLevelType w:val="hybridMultilevel"/>
    <w:tmpl w:val="5C46786A"/>
    <w:lvl w:ilvl="0" w:tplc="E32478EC">
      <w:start w:val="1"/>
      <w:numFmt w:val="decimal"/>
      <w:lvlText w:val="%1."/>
      <w:lvlJc w:val="left"/>
      <w:pPr>
        <w:ind w:left="720" w:hanging="360"/>
      </w:pPr>
    </w:lvl>
    <w:lvl w:ilvl="1" w:tplc="67D27564" w:tentative="1">
      <w:start w:val="1"/>
      <w:numFmt w:val="lowerLetter"/>
      <w:lvlText w:val="%2."/>
      <w:lvlJc w:val="left"/>
      <w:pPr>
        <w:ind w:left="1440" w:hanging="360"/>
      </w:pPr>
    </w:lvl>
    <w:lvl w:ilvl="2" w:tplc="1B167DFC" w:tentative="1">
      <w:start w:val="1"/>
      <w:numFmt w:val="lowerRoman"/>
      <w:lvlText w:val="%3."/>
      <w:lvlJc w:val="right"/>
      <w:pPr>
        <w:ind w:left="2160" w:hanging="180"/>
      </w:pPr>
    </w:lvl>
    <w:lvl w:ilvl="3" w:tplc="A3A2FD5A" w:tentative="1">
      <w:start w:val="1"/>
      <w:numFmt w:val="decimal"/>
      <w:lvlText w:val="%4."/>
      <w:lvlJc w:val="left"/>
      <w:pPr>
        <w:ind w:left="2880" w:hanging="360"/>
      </w:pPr>
    </w:lvl>
    <w:lvl w:ilvl="4" w:tplc="190C265E" w:tentative="1">
      <w:start w:val="1"/>
      <w:numFmt w:val="lowerLetter"/>
      <w:lvlText w:val="%5."/>
      <w:lvlJc w:val="left"/>
      <w:pPr>
        <w:ind w:left="3600" w:hanging="360"/>
      </w:pPr>
    </w:lvl>
    <w:lvl w:ilvl="5" w:tplc="36B4F5AA" w:tentative="1">
      <w:start w:val="1"/>
      <w:numFmt w:val="lowerRoman"/>
      <w:lvlText w:val="%6."/>
      <w:lvlJc w:val="right"/>
      <w:pPr>
        <w:ind w:left="4320" w:hanging="180"/>
      </w:pPr>
    </w:lvl>
    <w:lvl w:ilvl="6" w:tplc="FE465D86" w:tentative="1">
      <w:start w:val="1"/>
      <w:numFmt w:val="decimal"/>
      <w:lvlText w:val="%7."/>
      <w:lvlJc w:val="left"/>
      <w:pPr>
        <w:ind w:left="5040" w:hanging="360"/>
      </w:pPr>
    </w:lvl>
    <w:lvl w:ilvl="7" w:tplc="41EC5BE2" w:tentative="1">
      <w:start w:val="1"/>
      <w:numFmt w:val="lowerLetter"/>
      <w:lvlText w:val="%8."/>
      <w:lvlJc w:val="left"/>
      <w:pPr>
        <w:ind w:left="5760" w:hanging="360"/>
      </w:pPr>
    </w:lvl>
    <w:lvl w:ilvl="8" w:tplc="432094FC" w:tentative="1">
      <w:start w:val="1"/>
      <w:numFmt w:val="lowerRoman"/>
      <w:lvlText w:val="%9."/>
      <w:lvlJc w:val="right"/>
      <w:pPr>
        <w:ind w:left="6480" w:hanging="180"/>
      </w:pPr>
    </w:lvl>
  </w:abstractNum>
  <w:abstractNum w:abstractNumId="20" w15:restartNumberingAfterBreak="0">
    <w:nsid w:val="00000016"/>
    <w:multiLevelType w:val="hybridMultilevel"/>
    <w:tmpl w:val="FDC06AE2"/>
    <w:lvl w:ilvl="0" w:tplc="148E1488">
      <w:start w:val="1"/>
      <w:numFmt w:val="lowerLetter"/>
      <w:lvlText w:val="%1."/>
      <w:lvlJc w:val="left"/>
      <w:pPr>
        <w:ind w:left="360" w:hanging="360"/>
      </w:pPr>
    </w:lvl>
    <w:lvl w:ilvl="1" w:tplc="12849EC4">
      <w:start w:val="1"/>
      <w:numFmt w:val="lowerLetter"/>
      <w:lvlText w:val="%2."/>
      <w:lvlJc w:val="left"/>
      <w:pPr>
        <w:ind w:left="1440" w:hanging="360"/>
      </w:pPr>
    </w:lvl>
    <w:lvl w:ilvl="2" w:tplc="3DF67788">
      <w:start w:val="1"/>
      <w:numFmt w:val="lowerRoman"/>
      <w:lvlText w:val="%3."/>
      <w:lvlJc w:val="right"/>
      <w:pPr>
        <w:ind w:left="2160" w:hanging="180"/>
      </w:pPr>
    </w:lvl>
    <w:lvl w:ilvl="3" w:tplc="39781856">
      <w:start w:val="1"/>
      <w:numFmt w:val="decimal"/>
      <w:lvlText w:val="%4."/>
      <w:lvlJc w:val="left"/>
      <w:pPr>
        <w:ind w:left="2880" w:hanging="360"/>
      </w:pPr>
    </w:lvl>
    <w:lvl w:ilvl="4" w:tplc="FFAAB092">
      <w:start w:val="1"/>
      <w:numFmt w:val="lowerLetter"/>
      <w:lvlText w:val="%5."/>
      <w:lvlJc w:val="left"/>
      <w:pPr>
        <w:ind w:left="3600" w:hanging="360"/>
      </w:pPr>
    </w:lvl>
    <w:lvl w:ilvl="5" w:tplc="46B2B038">
      <w:start w:val="1"/>
      <w:numFmt w:val="lowerRoman"/>
      <w:lvlText w:val="%6."/>
      <w:lvlJc w:val="right"/>
      <w:pPr>
        <w:ind w:left="4320" w:hanging="180"/>
      </w:pPr>
    </w:lvl>
    <w:lvl w:ilvl="6" w:tplc="D6AAF8E4">
      <w:start w:val="1"/>
      <w:numFmt w:val="decimal"/>
      <w:lvlText w:val="%7."/>
      <w:lvlJc w:val="left"/>
      <w:pPr>
        <w:ind w:left="5040" w:hanging="360"/>
      </w:pPr>
    </w:lvl>
    <w:lvl w:ilvl="7" w:tplc="0C9AC124">
      <w:start w:val="1"/>
      <w:numFmt w:val="lowerLetter"/>
      <w:lvlText w:val="%8."/>
      <w:lvlJc w:val="left"/>
      <w:pPr>
        <w:ind w:left="5760" w:hanging="360"/>
      </w:pPr>
    </w:lvl>
    <w:lvl w:ilvl="8" w:tplc="1752EBD4">
      <w:start w:val="1"/>
      <w:numFmt w:val="lowerRoman"/>
      <w:lvlText w:val="%9."/>
      <w:lvlJc w:val="right"/>
      <w:pPr>
        <w:ind w:left="6480" w:hanging="180"/>
      </w:pPr>
    </w:lvl>
  </w:abstractNum>
  <w:abstractNum w:abstractNumId="21" w15:restartNumberingAfterBreak="0">
    <w:nsid w:val="00000017"/>
    <w:multiLevelType w:val="hybridMultilevel"/>
    <w:tmpl w:val="4B5C7B64"/>
    <w:lvl w:ilvl="0" w:tplc="2F1A701E">
      <w:start w:val="1"/>
      <w:numFmt w:val="lowerLetter"/>
      <w:lvlText w:val="%1."/>
      <w:lvlJc w:val="left"/>
      <w:pPr>
        <w:ind w:left="283" w:hanging="283"/>
      </w:pPr>
      <w:rPr>
        <w:rFonts w:ascii="Calibri" w:hAnsi="Calibri" w:cs="Calibri" w:hint="default"/>
        <w:sz w:val="18"/>
        <w:szCs w:val="18"/>
      </w:rPr>
    </w:lvl>
    <w:lvl w:ilvl="1" w:tplc="A17ECC5C">
      <w:start w:val="1"/>
      <w:numFmt w:val="lowerLetter"/>
      <w:lvlText w:val="%2."/>
      <w:lvlJc w:val="left"/>
      <w:pPr>
        <w:ind w:left="1440" w:hanging="360"/>
      </w:pPr>
    </w:lvl>
    <w:lvl w:ilvl="2" w:tplc="83B2B35A">
      <w:start w:val="1"/>
      <w:numFmt w:val="lowerRoman"/>
      <w:lvlText w:val="%3."/>
      <w:lvlJc w:val="right"/>
      <w:pPr>
        <w:ind w:left="2160" w:hanging="180"/>
      </w:pPr>
    </w:lvl>
    <w:lvl w:ilvl="3" w:tplc="081C8CDA">
      <w:start w:val="1"/>
      <w:numFmt w:val="decimal"/>
      <w:lvlText w:val="%4."/>
      <w:lvlJc w:val="left"/>
      <w:pPr>
        <w:ind w:left="2880" w:hanging="360"/>
      </w:pPr>
    </w:lvl>
    <w:lvl w:ilvl="4" w:tplc="F6ACF084">
      <w:start w:val="1"/>
      <w:numFmt w:val="lowerLetter"/>
      <w:lvlText w:val="%5."/>
      <w:lvlJc w:val="left"/>
      <w:pPr>
        <w:ind w:left="3600" w:hanging="360"/>
      </w:pPr>
    </w:lvl>
    <w:lvl w:ilvl="5" w:tplc="86B2CD98">
      <w:start w:val="1"/>
      <w:numFmt w:val="lowerRoman"/>
      <w:lvlText w:val="%6."/>
      <w:lvlJc w:val="right"/>
      <w:pPr>
        <w:ind w:left="4320" w:hanging="180"/>
      </w:pPr>
    </w:lvl>
    <w:lvl w:ilvl="6" w:tplc="DE063004">
      <w:start w:val="1"/>
      <w:numFmt w:val="decimal"/>
      <w:lvlText w:val="%7."/>
      <w:lvlJc w:val="left"/>
      <w:pPr>
        <w:ind w:left="5040" w:hanging="360"/>
      </w:pPr>
    </w:lvl>
    <w:lvl w:ilvl="7" w:tplc="71FE851A">
      <w:start w:val="1"/>
      <w:numFmt w:val="lowerLetter"/>
      <w:lvlText w:val="%8."/>
      <w:lvlJc w:val="left"/>
      <w:pPr>
        <w:ind w:left="5760" w:hanging="360"/>
      </w:pPr>
    </w:lvl>
    <w:lvl w:ilvl="8" w:tplc="DD30364E">
      <w:start w:val="1"/>
      <w:numFmt w:val="lowerRoman"/>
      <w:lvlText w:val="%9."/>
      <w:lvlJc w:val="right"/>
      <w:pPr>
        <w:ind w:left="6480" w:hanging="180"/>
      </w:pPr>
    </w:lvl>
  </w:abstractNum>
  <w:abstractNum w:abstractNumId="22" w15:restartNumberingAfterBreak="0">
    <w:nsid w:val="00000018"/>
    <w:multiLevelType w:val="hybridMultilevel"/>
    <w:tmpl w:val="5B9E0EC0"/>
    <w:lvl w:ilvl="0" w:tplc="3CA6315A">
      <w:start w:val="1"/>
      <w:numFmt w:val="bullet"/>
      <w:lvlText w:val=""/>
      <w:lvlJc w:val="left"/>
      <w:pPr>
        <w:tabs>
          <w:tab w:val="num" w:pos="360"/>
        </w:tabs>
        <w:ind w:left="357" w:hanging="357"/>
      </w:pPr>
      <w:rPr>
        <w:rFonts w:ascii="Symbol" w:hAnsi="Symbol" w:hint="default"/>
        <w:sz w:val="24"/>
      </w:rPr>
    </w:lvl>
    <w:lvl w:ilvl="1" w:tplc="9D1A5618">
      <w:start w:val="1"/>
      <w:numFmt w:val="bullet"/>
      <w:lvlText w:val="­"/>
      <w:lvlJc w:val="left"/>
      <w:pPr>
        <w:tabs>
          <w:tab w:val="num" w:pos="1800"/>
        </w:tabs>
        <w:ind w:left="1800" w:hanging="360"/>
      </w:pPr>
      <w:rPr>
        <w:rFonts w:ascii="Courier New" w:hAnsi="Courier New" w:hint="default"/>
      </w:rPr>
    </w:lvl>
    <w:lvl w:ilvl="2" w:tplc="6FC421D2">
      <w:start w:val="1"/>
      <w:numFmt w:val="bullet"/>
      <w:lvlText w:val=""/>
      <w:lvlJc w:val="left"/>
      <w:pPr>
        <w:tabs>
          <w:tab w:val="num" w:pos="2520"/>
        </w:tabs>
        <w:ind w:left="2520" w:hanging="360"/>
      </w:pPr>
      <w:rPr>
        <w:rFonts w:ascii="Wingdings" w:hAnsi="Wingdings" w:hint="default"/>
      </w:rPr>
    </w:lvl>
    <w:lvl w:ilvl="3" w:tplc="C5562722">
      <w:start w:val="1"/>
      <w:numFmt w:val="bullet"/>
      <w:lvlText w:val=""/>
      <w:lvlJc w:val="left"/>
      <w:pPr>
        <w:tabs>
          <w:tab w:val="num" w:pos="3240"/>
        </w:tabs>
        <w:ind w:left="3240" w:hanging="360"/>
      </w:pPr>
      <w:rPr>
        <w:rFonts w:ascii="Symbol" w:hAnsi="Symbol" w:hint="default"/>
      </w:rPr>
    </w:lvl>
    <w:lvl w:ilvl="4" w:tplc="8E90A880">
      <w:start w:val="1"/>
      <w:numFmt w:val="bullet"/>
      <w:lvlText w:val="o"/>
      <w:lvlJc w:val="left"/>
      <w:pPr>
        <w:tabs>
          <w:tab w:val="num" w:pos="3960"/>
        </w:tabs>
        <w:ind w:left="3960" w:hanging="360"/>
      </w:pPr>
      <w:rPr>
        <w:rFonts w:ascii="Courier New" w:hAnsi="Courier New" w:hint="default"/>
      </w:rPr>
    </w:lvl>
    <w:lvl w:ilvl="5" w:tplc="E77C0028">
      <w:start w:val="1"/>
      <w:numFmt w:val="bullet"/>
      <w:lvlText w:val=""/>
      <w:lvlJc w:val="left"/>
      <w:pPr>
        <w:tabs>
          <w:tab w:val="num" w:pos="4680"/>
        </w:tabs>
        <w:ind w:left="4680" w:hanging="360"/>
      </w:pPr>
      <w:rPr>
        <w:rFonts w:ascii="Wingdings" w:hAnsi="Wingdings" w:hint="default"/>
      </w:rPr>
    </w:lvl>
    <w:lvl w:ilvl="6" w:tplc="6F86C8BC">
      <w:start w:val="1"/>
      <w:numFmt w:val="bullet"/>
      <w:lvlText w:val=""/>
      <w:lvlJc w:val="left"/>
      <w:pPr>
        <w:tabs>
          <w:tab w:val="num" w:pos="5400"/>
        </w:tabs>
        <w:ind w:left="5400" w:hanging="360"/>
      </w:pPr>
      <w:rPr>
        <w:rFonts w:ascii="Symbol" w:hAnsi="Symbol" w:hint="default"/>
      </w:rPr>
    </w:lvl>
    <w:lvl w:ilvl="7" w:tplc="84AC1858">
      <w:start w:val="1"/>
      <w:numFmt w:val="bullet"/>
      <w:lvlText w:val="o"/>
      <w:lvlJc w:val="left"/>
      <w:pPr>
        <w:tabs>
          <w:tab w:val="num" w:pos="6120"/>
        </w:tabs>
        <w:ind w:left="6120" w:hanging="360"/>
      </w:pPr>
      <w:rPr>
        <w:rFonts w:ascii="Courier New" w:hAnsi="Courier New" w:hint="default"/>
      </w:rPr>
    </w:lvl>
    <w:lvl w:ilvl="8" w:tplc="512454CC">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0000019"/>
    <w:multiLevelType w:val="hybridMultilevel"/>
    <w:tmpl w:val="716479A4"/>
    <w:lvl w:ilvl="0" w:tplc="619C3972">
      <w:start w:val="1"/>
      <w:numFmt w:val="bullet"/>
      <w:lvlText w:val=""/>
      <w:lvlJc w:val="left"/>
      <w:pPr>
        <w:tabs>
          <w:tab w:val="num" w:pos="360"/>
        </w:tabs>
        <w:ind w:left="357" w:hanging="357"/>
      </w:pPr>
      <w:rPr>
        <w:rFonts w:ascii="Symbol" w:hAnsi="Symbol" w:hint="default"/>
        <w:sz w:val="24"/>
      </w:rPr>
    </w:lvl>
    <w:lvl w:ilvl="1" w:tplc="1DDCC842">
      <w:start w:val="1"/>
      <w:numFmt w:val="bullet"/>
      <w:lvlText w:val="-"/>
      <w:lvlJc w:val="left"/>
      <w:pPr>
        <w:tabs>
          <w:tab w:val="num" w:pos="1800"/>
        </w:tabs>
        <w:ind w:left="1800" w:hanging="360"/>
      </w:pPr>
      <w:rPr>
        <w:rFonts w:ascii="Courier New" w:hAnsi="Courier New" w:hint="default"/>
      </w:rPr>
    </w:lvl>
    <w:lvl w:ilvl="2" w:tplc="061A7C52">
      <w:start w:val="1"/>
      <w:numFmt w:val="bullet"/>
      <w:lvlText w:val=""/>
      <w:lvlJc w:val="left"/>
      <w:pPr>
        <w:tabs>
          <w:tab w:val="num" w:pos="2520"/>
        </w:tabs>
        <w:ind w:left="2520" w:hanging="360"/>
      </w:pPr>
      <w:rPr>
        <w:rFonts w:ascii="Wingdings" w:hAnsi="Wingdings" w:hint="default"/>
      </w:rPr>
    </w:lvl>
    <w:lvl w:ilvl="3" w:tplc="FD6003BA">
      <w:start w:val="1"/>
      <w:numFmt w:val="bullet"/>
      <w:lvlText w:val=""/>
      <w:lvlJc w:val="left"/>
      <w:pPr>
        <w:tabs>
          <w:tab w:val="num" w:pos="3240"/>
        </w:tabs>
        <w:ind w:left="3240" w:hanging="360"/>
      </w:pPr>
      <w:rPr>
        <w:rFonts w:ascii="Symbol" w:hAnsi="Symbol" w:hint="default"/>
      </w:rPr>
    </w:lvl>
    <w:lvl w:ilvl="4" w:tplc="778A6058">
      <w:start w:val="1"/>
      <w:numFmt w:val="bullet"/>
      <w:lvlText w:val="o"/>
      <w:lvlJc w:val="left"/>
      <w:pPr>
        <w:tabs>
          <w:tab w:val="num" w:pos="3960"/>
        </w:tabs>
        <w:ind w:left="3960" w:hanging="360"/>
      </w:pPr>
      <w:rPr>
        <w:rFonts w:ascii="Courier New" w:hAnsi="Courier New" w:hint="default"/>
      </w:rPr>
    </w:lvl>
    <w:lvl w:ilvl="5" w:tplc="7A9EA4C8">
      <w:start w:val="1"/>
      <w:numFmt w:val="bullet"/>
      <w:lvlText w:val=""/>
      <w:lvlJc w:val="left"/>
      <w:pPr>
        <w:tabs>
          <w:tab w:val="num" w:pos="4680"/>
        </w:tabs>
        <w:ind w:left="4680" w:hanging="360"/>
      </w:pPr>
      <w:rPr>
        <w:rFonts w:ascii="Wingdings" w:hAnsi="Wingdings" w:hint="default"/>
      </w:rPr>
    </w:lvl>
    <w:lvl w:ilvl="6" w:tplc="1E0C209C">
      <w:start w:val="1"/>
      <w:numFmt w:val="bullet"/>
      <w:lvlText w:val=""/>
      <w:lvlJc w:val="left"/>
      <w:pPr>
        <w:tabs>
          <w:tab w:val="num" w:pos="5400"/>
        </w:tabs>
        <w:ind w:left="5400" w:hanging="360"/>
      </w:pPr>
      <w:rPr>
        <w:rFonts w:ascii="Symbol" w:hAnsi="Symbol" w:hint="default"/>
      </w:rPr>
    </w:lvl>
    <w:lvl w:ilvl="7" w:tplc="8124D51E">
      <w:start w:val="1"/>
      <w:numFmt w:val="bullet"/>
      <w:lvlText w:val="o"/>
      <w:lvlJc w:val="left"/>
      <w:pPr>
        <w:tabs>
          <w:tab w:val="num" w:pos="6120"/>
        </w:tabs>
        <w:ind w:left="6120" w:hanging="360"/>
      </w:pPr>
      <w:rPr>
        <w:rFonts w:ascii="Courier New" w:hAnsi="Courier New" w:hint="default"/>
      </w:rPr>
    </w:lvl>
    <w:lvl w:ilvl="8" w:tplc="813AEB52">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000001A"/>
    <w:multiLevelType w:val="hybridMultilevel"/>
    <w:tmpl w:val="401E2546"/>
    <w:lvl w:ilvl="0" w:tplc="1EA27672">
      <w:numFmt w:val="bullet"/>
      <w:lvlText w:val="-"/>
      <w:lvlJc w:val="left"/>
      <w:pPr>
        <w:ind w:left="720" w:hanging="360"/>
      </w:pPr>
      <w:rPr>
        <w:rFonts w:ascii="Calibri" w:eastAsia="Times New Roman" w:hAnsi="Calibri" w:cs="Calibri" w:hint="default"/>
      </w:rPr>
    </w:lvl>
    <w:lvl w:ilvl="1" w:tplc="6F74590A" w:tentative="1">
      <w:start w:val="1"/>
      <w:numFmt w:val="bullet"/>
      <w:lvlText w:val="o"/>
      <w:lvlJc w:val="left"/>
      <w:pPr>
        <w:ind w:left="1440" w:hanging="360"/>
      </w:pPr>
      <w:rPr>
        <w:rFonts w:ascii="Courier New" w:hAnsi="Courier New" w:cs="Courier New" w:hint="default"/>
      </w:rPr>
    </w:lvl>
    <w:lvl w:ilvl="2" w:tplc="2A06730E" w:tentative="1">
      <w:start w:val="1"/>
      <w:numFmt w:val="bullet"/>
      <w:lvlText w:val=""/>
      <w:lvlJc w:val="left"/>
      <w:pPr>
        <w:ind w:left="2160" w:hanging="360"/>
      </w:pPr>
      <w:rPr>
        <w:rFonts w:ascii="Wingdings" w:hAnsi="Wingdings" w:hint="default"/>
      </w:rPr>
    </w:lvl>
    <w:lvl w:ilvl="3" w:tplc="48C4D496" w:tentative="1">
      <w:start w:val="1"/>
      <w:numFmt w:val="bullet"/>
      <w:lvlText w:val=""/>
      <w:lvlJc w:val="left"/>
      <w:pPr>
        <w:ind w:left="2880" w:hanging="360"/>
      </w:pPr>
      <w:rPr>
        <w:rFonts w:ascii="Symbol" w:hAnsi="Symbol" w:hint="default"/>
      </w:rPr>
    </w:lvl>
    <w:lvl w:ilvl="4" w:tplc="F75C38B4" w:tentative="1">
      <w:start w:val="1"/>
      <w:numFmt w:val="bullet"/>
      <w:lvlText w:val="o"/>
      <w:lvlJc w:val="left"/>
      <w:pPr>
        <w:ind w:left="3600" w:hanging="360"/>
      </w:pPr>
      <w:rPr>
        <w:rFonts w:ascii="Courier New" w:hAnsi="Courier New" w:cs="Courier New" w:hint="default"/>
      </w:rPr>
    </w:lvl>
    <w:lvl w:ilvl="5" w:tplc="D788002A" w:tentative="1">
      <w:start w:val="1"/>
      <w:numFmt w:val="bullet"/>
      <w:lvlText w:val=""/>
      <w:lvlJc w:val="left"/>
      <w:pPr>
        <w:ind w:left="4320" w:hanging="360"/>
      </w:pPr>
      <w:rPr>
        <w:rFonts w:ascii="Wingdings" w:hAnsi="Wingdings" w:hint="default"/>
      </w:rPr>
    </w:lvl>
    <w:lvl w:ilvl="6" w:tplc="97E6026E" w:tentative="1">
      <w:start w:val="1"/>
      <w:numFmt w:val="bullet"/>
      <w:lvlText w:val=""/>
      <w:lvlJc w:val="left"/>
      <w:pPr>
        <w:ind w:left="5040" w:hanging="360"/>
      </w:pPr>
      <w:rPr>
        <w:rFonts w:ascii="Symbol" w:hAnsi="Symbol" w:hint="default"/>
      </w:rPr>
    </w:lvl>
    <w:lvl w:ilvl="7" w:tplc="88FC8BF4" w:tentative="1">
      <w:start w:val="1"/>
      <w:numFmt w:val="bullet"/>
      <w:lvlText w:val="o"/>
      <w:lvlJc w:val="left"/>
      <w:pPr>
        <w:ind w:left="5760" w:hanging="360"/>
      </w:pPr>
      <w:rPr>
        <w:rFonts w:ascii="Courier New" w:hAnsi="Courier New" w:cs="Courier New" w:hint="default"/>
      </w:rPr>
    </w:lvl>
    <w:lvl w:ilvl="8" w:tplc="947CEEC6" w:tentative="1">
      <w:start w:val="1"/>
      <w:numFmt w:val="bullet"/>
      <w:lvlText w:val=""/>
      <w:lvlJc w:val="left"/>
      <w:pPr>
        <w:ind w:left="6480" w:hanging="360"/>
      </w:pPr>
      <w:rPr>
        <w:rFonts w:ascii="Wingdings" w:hAnsi="Wingdings" w:hint="default"/>
      </w:rPr>
    </w:lvl>
  </w:abstractNum>
  <w:abstractNum w:abstractNumId="25" w15:restartNumberingAfterBreak="0">
    <w:nsid w:val="0000001B"/>
    <w:multiLevelType w:val="hybridMultilevel"/>
    <w:tmpl w:val="53C2B3F4"/>
    <w:lvl w:ilvl="0" w:tplc="2548C3F6">
      <w:start w:val="1"/>
      <w:numFmt w:val="decimal"/>
      <w:lvlText w:val="%1."/>
      <w:lvlJc w:val="left"/>
      <w:pPr>
        <w:ind w:left="360" w:hanging="360"/>
      </w:pPr>
      <w:rPr>
        <w:rFonts w:ascii="Calibri" w:eastAsia="Times New Roman" w:hAnsi="Calibri" w:cs="Times New Roman"/>
      </w:rPr>
    </w:lvl>
    <w:lvl w:ilvl="1" w:tplc="2B98F37E">
      <w:start w:val="1"/>
      <w:numFmt w:val="lowerLetter"/>
      <w:lvlText w:val="%2."/>
      <w:lvlJc w:val="left"/>
      <w:pPr>
        <w:ind w:left="1440" w:hanging="360"/>
      </w:pPr>
    </w:lvl>
    <w:lvl w:ilvl="2" w:tplc="BF24447E">
      <w:start w:val="1"/>
      <w:numFmt w:val="lowerRoman"/>
      <w:lvlText w:val="%3."/>
      <w:lvlJc w:val="right"/>
      <w:pPr>
        <w:ind w:left="2160" w:hanging="180"/>
      </w:pPr>
    </w:lvl>
    <w:lvl w:ilvl="3" w:tplc="F760C166">
      <w:start w:val="1"/>
      <w:numFmt w:val="decimal"/>
      <w:lvlText w:val="%4."/>
      <w:lvlJc w:val="left"/>
      <w:pPr>
        <w:ind w:left="2880" w:hanging="360"/>
      </w:pPr>
    </w:lvl>
    <w:lvl w:ilvl="4" w:tplc="F702C64C">
      <w:start w:val="1"/>
      <w:numFmt w:val="lowerLetter"/>
      <w:lvlText w:val="%5."/>
      <w:lvlJc w:val="left"/>
      <w:pPr>
        <w:ind w:left="3600" w:hanging="360"/>
      </w:pPr>
    </w:lvl>
    <w:lvl w:ilvl="5" w:tplc="D0140C46">
      <w:start w:val="1"/>
      <w:numFmt w:val="lowerRoman"/>
      <w:lvlText w:val="%6."/>
      <w:lvlJc w:val="right"/>
      <w:pPr>
        <w:ind w:left="4320" w:hanging="180"/>
      </w:pPr>
    </w:lvl>
    <w:lvl w:ilvl="6" w:tplc="3F5624EC">
      <w:start w:val="1"/>
      <w:numFmt w:val="decimal"/>
      <w:lvlText w:val="%7."/>
      <w:lvlJc w:val="left"/>
      <w:pPr>
        <w:ind w:left="5040" w:hanging="360"/>
      </w:pPr>
    </w:lvl>
    <w:lvl w:ilvl="7" w:tplc="D4AECC9A">
      <w:start w:val="1"/>
      <w:numFmt w:val="lowerLetter"/>
      <w:lvlText w:val="%8."/>
      <w:lvlJc w:val="left"/>
      <w:pPr>
        <w:ind w:left="5760" w:hanging="360"/>
      </w:pPr>
    </w:lvl>
    <w:lvl w:ilvl="8" w:tplc="DBE68526">
      <w:start w:val="1"/>
      <w:numFmt w:val="lowerRoman"/>
      <w:lvlText w:val="%9."/>
      <w:lvlJc w:val="right"/>
      <w:pPr>
        <w:ind w:left="6480" w:hanging="180"/>
      </w:pPr>
    </w:lvl>
  </w:abstractNum>
  <w:abstractNum w:abstractNumId="26" w15:restartNumberingAfterBreak="0">
    <w:nsid w:val="0000001C"/>
    <w:multiLevelType w:val="hybridMultilevel"/>
    <w:tmpl w:val="7374C1BC"/>
    <w:lvl w:ilvl="0" w:tplc="1A347E94">
      <w:start w:val="1"/>
      <w:numFmt w:val="lowerLetter"/>
      <w:lvlText w:val="%1."/>
      <w:lvlJc w:val="left"/>
      <w:pPr>
        <w:ind w:left="360" w:hanging="360"/>
      </w:pPr>
    </w:lvl>
    <w:lvl w:ilvl="1" w:tplc="7D9C48E0">
      <w:start w:val="1"/>
      <w:numFmt w:val="lowerLetter"/>
      <w:lvlText w:val="%2."/>
      <w:lvlJc w:val="left"/>
      <w:pPr>
        <w:ind w:left="1440" w:hanging="360"/>
      </w:pPr>
    </w:lvl>
    <w:lvl w:ilvl="2" w:tplc="3E14D4CA">
      <w:start w:val="1"/>
      <w:numFmt w:val="lowerRoman"/>
      <w:lvlText w:val="%3."/>
      <w:lvlJc w:val="right"/>
      <w:pPr>
        <w:ind w:left="2160" w:hanging="180"/>
      </w:pPr>
    </w:lvl>
    <w:lvl w:ilvl="3" w:tplc="F68AD596">
      <w:start w:val="1"/>
      <w:numFmt w:val="decimal"/>
      <w:lvlText w:val="%4."/>
      <w:lvlJc w:val="left"/>
      <w:pPr>
        <w:ind w:left="2880" w:hanging="360"/>
      </w:pPr>
    </w:lvl>
    <w:lvl w:ilvl="4" w:tplc="799277AC">
      <w:start w:val="1"/>
      <w:numFmt w:val="lowerLetter"/>
      <w:lvlText w:val="%5."/>
      <w:lvlJc w:val="left"/>
      <w:pPr>
        <w:ind w:left="3600" w:hanging="360"/>
      </w:pPr>
    </w:lvl>
    <w:lvl w:ilvl="5" w:tplc="7E5ABF7A">
      <w:start w:val="1"/>
      <w:numFmt w:val="lowerRoman"/>
      <w:lvlText w:val="%6."/>
      <w:lvlJc w:val="right"/>
      <w:pPr>
        <w:ind w:left="4320" w:hanging="180"/>
      </w:pPr>
    </w:lvl>
    <w:lvl w:ilvl="6" w:tplc="347275C0">
      <w:start w:val="1"/>
      <w:numFmt w:val="decimal"/>
      <w:lvlText w:val="%7."/>
      <w:lvlJc w:val="left"/>
      <w:pPr>
        <w:ind w:left="5040" w:hanging="360"/>
      </w:pPr>
    </w:lvl>
    <w:lvl w:ilvl="7" w:tplc="B6D0FB40">
      <w:start w:val="1"/>
      <w:numFmt w:val="lowerLetter"/>
      <w:lvlText w:val="%8."/>
      <w:lvlJc w:val="left"/>
      <w:pPr>
        <w:ind w:left="5760" w:hanging="360"/>
      </w:pPr>
    </w:lvl>
    <w:lvl w:ilvl="8" w:tplc="5FF6C4A8">
      <w:start w:val="1"/>
      <w:numFmt w:val="lowerRoman"/>
      <w:lvlText w:val="%9."/>
      <w:lvlJc w:val="right"/>
      <w:pPr>
        <w:ind w:left="6480" w:hanging="180"/>
      </w:pPr>
    </w:lvl>
  </w:abstractNum>
  <w:abstractNum w:abstractNumId="27" w15:restartNumberingAfterBreak="0">
    <w:nsid w:val="0000001D"/>
    <w:multiLevelType w:val="hybridMultilevel"/>
    <w:tmpl w:val="53C2B3F4"/>
    <w:lvl w:ilvl="0" w:tplc="39C6B4FE">
      <w:start w:val="1"/>
      <w:numFmt w:val="decimal"/>
      <w:lvlText w:val="%1."/>
      <w:lvlJc w:val="left"/>
      <w:pPr>
        <w:ind w:left="360" w:hanging="360"/>
      </w:pPr>
      <w:rPr>
        <w:rFonts w:ascii="Calibri" w:eastAsia="Times New Roman" w:hAnsi="Calibri" w:cs="Times New Roman"/>
      </w:rPr>
    </w:lvl>
    <w:lvl w:ilvl="1" w:tplc="E3C6AFAE">
      <w:start w:val="1"/>
      <w:numFmt w:val="lowerLetter"/>
      <w:lvlText w:val="%2."/>
      <w:lvlJc w:val="left"/>
      <w:pPr>
        <w:ind w:left="1440" w:hanging="360"/>
      </w:pPr>
    </w:lvl>
    <w:lvl w:ilvl="2" w:tplc="47CA8DEE">
      <w:start w:val="1"/>
      <w:numFmt w:val="lowerRoman"/>
      <w:lvlText w:val="%3."/>
      <w:lvlJc w:val="right"/>
      <w:pPr>
        <w:ind w:left="2160" w:hanging="180"/>
      </w:pPr>
    </w:lvl>
    <w:lvl w:ilvl="3" w:tplc="522E3088">
      <w:start w:val="1"/>
      <w:numFmt w:val="decimal"/>
      <w:lvlText w:val="%4."/>
      <w:lvlJc w:val="left"/>
      <w:pPr>
        <w:ind w:left="2880" w:hanging="360"/>
      </w:pPr>
    </w:lvl>
    <w:lvl w:ilvl="4" w:tplc="372E54A0">
      <w:start w:val="1"/>
      <w:numFmt w:val="lowerLetter"/>
      <w:lvlText w:val="%5."/>
      <w:lvlJc w:val="left"/>
      <w:pPr>
        <w:ind w:left="3600" w:hanging="360"/>
      </w:pPr>
    </w:lvl>
    <w:lvl w:ilvl="5" w:tplc="FB4AE660">
      <w:start w:val="1"/>
      <w:numFmt w:val="lowerRoman"/>
      <w:lvlText w:val="%6."/>
      <w:lvlJc w:val="right"/>
      <w:pPr>
        <w:ind w:left="4320" w:hanging="180"/>
      </w:pPr>
    </w:lvl>
    <w:lvl w:ilvl="6" w:tplc="78C243E2">
      <w:start w:val="1"/>
      <w:numFmt w:val="decimal"/>
      <w:lvlText w:val="%7."/>
      <w:lvlJc w:val="left"/>
      <w:pPr>
        <w:ind w:left="5040" w:hanging="360"/>
      </w:pPr>
    </w:lvl>
    <w:lvl w:ilvl="7" w:tplc="9DDA2B46">
      <w:start w:val="1"/>
      <w:numFmt w:val="lowerLetter"/>
      <w:lvlText w:val="%8."/>
      <w:lvlJc w:val="left"/>
      <w:pPr>
        <w:ind w:left="5760" w:hanging="360"/>
      </w:pPr>
    </w:lvl>
    <w:lvl w:ilvl="8" w:tplc="84482568">
      <w:start w:val="1"/>
      <w:numFmt w:val="lowerRoman"/>
      <w:lvlText w:val="%9."/>
      <w:lvlJc w:val="right"/>
      <w:pPr>
        <w:ind w:left="6480" w:hanging="180"/>
      </w:pPr>
    </w:lvl>
  </w:abstractNum>
  <w:abstractNum w:abstractNumId="28" w15:restartNumberingAfterBreak="0">
    <w:nsid w:val="0000001E"/>
    <w:multiLevelType w:val="hybridMultilevel"/>
    <w:tmpl w:val="7374C1BC"/>
    <w:lvl w:ilvl="0" w:tplc="42A4DE3C">
      <w:start w:val="1"/>
      <w:numFmt w:val="lowerLetter"/>
      <w:lvlText w:val="%1."/>
      <w:lvlJc w:val="left"/>
      <w:pPr>
        <w:ind w:left="360" w:hanging="360"/>
      </w:pPr>
    </w:lvl>
    <w:lvl w:ilvl="1" w:tplc="63764450">
      <w:start w:val="1"/>
      <w:numFmt w:val="lowerLetter"/>
      <w:lvlText w:val="%2."/>
      <w:lvlJc w:val="left"/>
      <w:pPr>
        <w:ind w:left="1440" w:hanging="360"/>
      </w:pPr>
    </w:lvl>
    <w:lvl w:ilvl="2" w:tplc="38EABC4A">
      <w:start w:val="1"/>
      <w:numFmt w:val="lowerRoman"/>
      <w:lvlText w:val="%3."/>
      <w:lvlJc w:val="right"/>
      <w:pPr>
        <w:ind w:left="2160" w:hanging="180"/>
      </w:pPr>
    </w:lvl>
    <w:lvl w:ilvl="3" w:tplc="D3C6F818">
      <w:start w:val="1"/>
      <w:numFmt w:val="decimal"/>
      <w:lvlText w:val="%4."/>
      <w:lvlJc w:val="left"/>
      <w:pPr>
        <w:ind w:left="2880" w:hanging="360"/>
      </w:pPr>
    </w:lvl>
    <w:lvl w:ilvl="4" w:tplc="50460F92">
      <w:start w:val="1"/>
      <w:numFmt w:val="lowerLetter"/>
      <w:lvlText w:val="%5."/>
      <w:lvlJc w:val="left"/>
      <w:pPr>
        <w:ind w:left="3600" w:hanging="360"/>
      </w:pPr>
    </w:lvl>
    <w:lvl w:ilvl="5" w:tplc="B3CC4724">
      <w:start w:val="1"/>
      <w:numFmt w:val="lowerRoman"/>
      <w:lvlText w:val="%6."/>
      <w:lvlJc w:val="right"/>
      <w:pPr>
        <w:ind w:left="4320" w:hanging="180"/>
      </w:pPr>
    </w:lvl>
    <w:lvl w:ilvl="6" w:tplc="8F10C3C4">
      <w:start w:val="1"/>
      <w:numFmt w:val="decimal"/>
      <w:lvlText w:val="%7."/>
      <w:lvlJc w:val="left"/>
      <w:pPr>
        <w:ind w:left="5040" w:hanging="360"/>
      </w:pPr>
    </w:lvl>
    <w:lvl w:ilvl="7" w:tplc="EC0E9B76">
      <w:start w:val="1"/>
      <w:numFmt w:val="lowerLetter"/>
      <w:lvlText w:val="%8."/>
      <w:lvlJc w:val="left"/>
      <w:pPr>
        <w:ind w:left="5760" w:hanging="360"/>
      </w:pPr>
    </w:lvl>
    <w:lvl w:ilvl="8" w:tplc="81FAE25A">
      <w:start w:val="1"/>
      <w:numFmt w:val="lowerRoman"/>
      <w:lvlText w:val="%9."/>
      <w:lvlJc w:val="right"/>
      <w:pPr>
        <w:ind w:left="6480" w:hanging="180"/>
      </w:pPr>
    </w:lvl>
  </w:abstractNum>
  <w:abstractNum w:abstractNumId="29" w15:restartNumberingAfterBreak="0">
    <w:nsid w:val="0000001F"/>
    <w:multiLevelType w:val="hybridMultilevel"/>
    <w:tmpl w:val="53C2B3F4"/>
    <w:lvl w:ilvl="0" w:tplc="30442E40">
      <w:start w:val="1"/>
      <w:numFmt w:val="decimal"/>
      <w:lvlText w:val="%1."/>
      <w:lvlJc w:val="left"/>
      <w:pPr>
        <w:ind w:left="360" w:hanging="360"/>
      </w:pPr>
      <w:rPr>
        <w:rFonts w:ascii="Calibri" w:eastAsia="Times New Roman" w:hAnsi="Calibri" w:cs="Times New Roman"/>
      </w:rPr>
    </w:lvl>
    <w:lvl w:ilvl="1" w:tplc="A426F388">
      <w:start w:val="1"/>
      <w:numFmt w:val="lowerLetter"/>
      <w:lvlText w:val="%2."/>
      <w:lvlJc w:val="left"/>
      <w:pPr>
        <w:ind w:left="1440" w:hanging="360"/>
      </w:pPr>
    </w:lvl>
    <w:lvl w:ilvl="2" w:tplc="56D48336">
      <w:start w:val="1"/>
      <w:numFmt w:val="lowerRoman"/>
      <w:lvlText w:val="%3."/>
      <w:lvlJc w:val="right"/>
      <w:pPr>
        <w:ind w:left="2160" w:hanging="180"/>
      </w:pPr>
    </w:lvl>
    <w:lvl w:ilvl="3" w:tplc="32CC19DC">
      <w:start w:val="1"/>
      <w:numFmt w:val="decimal"/>
      <w:lvlText w:val="%4."/>
      <w:lvlJc w:val="left"/>
      <w:pPr>
        <w:ind w:left="2880" w:hanging="360"/>
      </w:pPr>
    </w:lvl>
    <w:lvl w:ilvl="4" w:tplc="7C76226A">
      <w:start w:val="1"/>
      <w:numFmt w:val="lowerLetter"/>
      <w:lvlText w:val="%5."/>
      <w:lvlJc w:val="left"/>
      <w:pPr>
        <w:ind w:left="3600" w:hanging="360"/>
      </w:pPr>
    </w:lvl>
    <w:lvl w:ilvl="5" w:tplc="8E12B218">
      <w:start w:val="1"/>
      <w:numFmt w:val="lowerRoman"/>
      <w:lvlText w:val="%6."/>
      <w:lvlJc w:val="right"/>
      <w:pPr>
        <w:ind w:left="4320" w:hanging="180"/>
      </w:pPr>
    </w:lvl>
    <w:lvl w:ilvl="6" w:tplc="AF0AA7B4">
      <w:start w:val="1"/>
      <w:numFmt w:val="decimal"/>
      <w:lvlText w:val="%7."/>
      <w:lvlJc w:val="left"/>
      <w:pPr>
        <w:ind w:left="5040" w:hanging="360"/>
      </w:pPr>
    </w:lvl>
    <w:lvl w:ilvl="7" w:tplc="22E89096">
      <w:start w:val="1"/>
      <w:numFmt w:val="lowerLetter"/>
      <w:lvlText w:val="%8."/>
      <w:lvlJc w:val="left"/>
      <w:pPr>
        <w:ind w:left="5760" w:hanging="360"/>
      </w:pPr>
    </w:lvl>
    <w:lvl w:ilvl="8" w:tplc="3126EE7C">
      <w:start w:val="1"/>
      <w:numFmt w:val="lowerRoman"/>
      <w:lvlText w:val="%9."/>
      <w:lvlJc w:val="right"/>
      <w:pPr>
        <w:ind w:left="6480" w:hanging="180"/>
      </w:pPr>
    </w:lvl>
  </w:abstractNum>
  <w:abstractNum w:abstractNumId="30" w15:restartNumberingAfterBreak="0">
    <w:nsid w:val="09F7777F"/>
    <w:multiLevelType w:val="hybridMultilevel"/>
    <w:tmpl w:val="F25C5C12"/>
    <w:lvl w:ilvl="0" w:tplc="E16EB828">
      <w:start w:val="1"/>
      <w:numFmt w:val="lowerLetter"/>
      <w:lvlText w:val="%1."/>
      <w:lvlJc w:val="left"/>
      <w:pPr>
        <w:ind w:left="283" w:hanging="283"/>
      </w:pPr>
      <w:rPr>
        <w:rFonts w:ascii="Calibri" w:hAnsi="Calibri" w:cs="Calibri" w:hint="default"/>
        <w:sz w:val="18"/>
        <w:szCs w:val="18"/>
      </w:rPr>
    </w:lvl>
    <w:lvl w:ilvl="1" w:tplc="87C06B0A">
      <w:start w:val="1"/>
      <w:numFmt w:val="lowerLetter"/>
      <w:lvlText w:val="%2."/>
      <w:lvlJc w:val="left"/>
      <w:pPr>
        <w:ind w:left="1440" w:hanging="360"/>
      </w:pPr>
    </w:lvl>
    <w:lvl w:ilvl="2" w:tplc="000C3514">
      <w:start w:val="1"/>
      <w:numFmt w:val="lowerRoman"/>
      <w:lvlText w:val="%3."/>
      <w:lvlJc w:val="right"/>
      <w:pPr>
        <w:ind w:left="2160" w:hanging="180"/>
      </w:pPr>
    </w:lvl>
    <w:lvl w:ilvl="3" w:tplc="BF6E9162">
      <w:start w:val="1"/>
      <w:numFmt w:val="decimal"/>
      <w:lvlText w:val="%4."/>
      <w:lvlJc w:val="left"/>
      <w:pPr>
        <w:ind w:left="2880" w:hanging="360"/>
      </w:pPr>
    </w:lvl>
    <w:lvl w:ilvl="4" w:tplc="D4C655C8">
      <w:start w:val="1"/>
      <w:numFmt w:val="lowerLetter"/>
      <w:lvlText w:val="%5."/>
      <w:lvlJc w:val="left"/>
      <w:pPr>
        <w:ind w:left="3600" w:hanging="360"/>
      </w:pPr>
    </w:lvl>
    <w:lvl w:ilvl="5" w:tplc="5B0EAD5A">
      <w:start w:val="1"/>
      <w:numFmt w:val="lowerRoman"/>
      <w:lvlText w:val="%6."/>
      <w:lvlJc w:val="right"/>
      <w:pPr>
        <w:ind w:left="4320" w:hanging="180"/>
      </w:pPr>
    </w:lvl>
    <w:lvl w:ilvl="6" w:tplc="DD6C35D2">
      <w:start w:val="1"/>
      <w:numFmt w:val="decimal"/>
      <w:lvlText w:val="%7."/>
      <w:lvlJc w:val="left"/>
      <w:pPr>
        <w:ind w:left="5040" w:hanging="360"/>
      </w:pPr>
    </w:lvl>
    <w:lvl w:ilvl="7" w:tplc="150E2DF2">
      <w:start w:val="1"/>
      <w:numFmt w:val="lowerLetter"/>
      <w:lvlText w:val="%8."/>
      <w:lvlJc w:val="left"/>
      <w:pPr>
        <w:ind w:left="5760" w:hanging="360"/>
      </w:pPr>
    </w:lvl>
    <w:lvl w:ilvl="8" w:tplc="1BE8E4A0">
      <w:start w:val="1"/>
      <w:numFmt w:val="lowerRoman"/>
      <w:lvlText w:val="%9."/>
      <w:lvlJc w:val="right"/>
      <w:pPr>
        <w:ind w:left="6480" w:hanging="180"/>
      </w:pPr>
    </w:lvl>
  </w:abstractNum>
  <w:abstractNum w:abstractNumId="31" w15:restartNumberingAfterBreak="0">
    <w:nsid w:val="0DF936EA"/>
    <w:multiLevelType w:val="hybridMultilevel"/>
    <w:tmpl w:val="6EECCE3A"/>
    <w:lvl w:ilvl="0" w:tplc="77FC96A4">
      <w:start w:val="1"/>
      <w:numFmt w:val="decimal"/>
      <w:lvlText w:val="%1."/>
      <w:lvlJc w:val="left"/>
      <w:pPr>
        <w:ind w:left="360" w:hanging="360"/>
      </w:pPr>
      <w:rPr>
        <w:b w:val="0"/>
        <w:bCs w:val="0"/>
        <w:i w:val="0"/>
        <w:iCs/>
        <w:sz w:val="18"/>
        <w:szCs w:val="18"/>
      </w:rPr>
    </w:lvl>
    <w:lvl w:ilvl="1" w:tplc="80802B98">
      <w:start w:val="1"/>
      <w:numFmt w:val="lowerLetter"/>
      <w:lvlText w:val="%2."/>
      <w:lvlJc w:val="left"/>
      <w:pPr>
        <w:ind w:left="1080" w:hanging="360"/>
      </w:pPr>
    </w:lvl>
    <w:lvl w:ilvl="2" w:tplc="ADB81CD8">
      <w:start w:val="1"/>
      <w:numFmt w:val="lowerRoman"/>
      <w:lvlText w:val="%3."/>
      <w:lvlJc w:val="right"/>
      <w:pPr>
        <w:ind w:left="1800" w:hanging="180"/>
      </w:pPr>
    </w:lvl>
    <w:lvl w:ilvl="3" w:tplc="CE8080F4">
      <w:start w:val="1"/>
      <w:numFmt w:val="decimal"/>
      <w:lvlText w:val="%4."/>
      <w:lvlJc w:val="left"/>
      <w:pPr>
        <w:ind w:left="2520" w:hanging="360"/>
      </w:pPr>
    </w:lvl>
    <w:lvl w:ilvl="4" w:tplc="B666113E">
      <w:start w:val="1"/>
      <w:numFmt w:val="lowerLetter"/>
      <w:lvlText w:val="%5."/>
      <w:lvlJc w:val="left"/>
      <w:pPr>
        <w:ind w:left="3240" w:hanging="360"/>
      </w:pPr>
    </w:lvl>
    <w:lvl w:ilvl="5" w:tplc="E36C562C">
      <w:start w:val="1"/>
      <w:numFmt w:val="lowerRoman"/>
      <w:lvlText w:val="%6."/>
      <w:lvlJc w:val="right"/>
      <w:pPr>
        <w:ind w:left="3960" w:hanging="180"/>
      </w:pPr>
    </w:lvl>
    <w:lvl w:ilvl="6" w:tplc="5C208D9C">
      <w:start w:val="1"/>
      <w:numFmt w:val="decimal"/>
      <w:lvlText w:val="%7."/>
      <w:lvlJc w:val="left"/>
      <w:pPr>
        <w:ind w:left="4680" w:hanging="360"/>
      </w:pPr>
    </w:lvl>
    <w:lvl w:ilvl="7" w:tplc="2222D658">
      <w:start w:val="1"/>
      <w:numFmt w:val="lowerLetter"/>
      <w:lvlText w:val="%8."/>
      <w:lvlJc w:val="left"/>
      <w:pPr>
        <w:ind w:left="5400" w:hanging="360"/>
      </w:pPr>
    </w:lvl>
    <w:lvl w:ilvl="8" w:tplc="682E2C66">
      <w:start w:val="1"/>
      <w:numFmt w:val="lowerRoman"/>
      <w:lvlText w:val="%9."/>
      <w:lvlJc w:val="right"/>
      <w:pPr>
        <w:ind w:left="6120" w:hanging="180"/>
      </w:pPr>
    </w:lvl>
  </w:abstractNum>
  <w:abstractNum w:abstractNumId="32" w15:restartNumberingAfterBreak="0">
    <w:nsid w:val="13C23F4B"/>
    <w:multiLevelType w:val="hybridMultilevel"/>
    <w:tmpl w:val="53C2B3F4"/>
    <w:lvl w:ilvl="0" w:tplc="2548C3F6">
      <w:start w:val="1"/>
      <w:numFmt w:val="decimal"/>
      <w:lvlText w:val="%1."/>
      <w:lvlJc w:val="left"/>
      <w:pPr>
        <w:ind w:left="360" w:hanging="360"/>
      </w:pPr>
      <w:rPr>
        <w:rFonts w:ascii="Calibri" w:eastAsia="Times New Roman" w:hAnsi="Calibri" w:cs="Times New Roman"/>
      </w:rPr>
    </w:lvl>
    <w:lvl w:ilvl="1" w:tplc="2B98F37E">
      <w:start w:val="1"/>
      <w:numFmt w:val="lowerLetter"/>
      <w:lvlText w:val="%2."/>
      <w:lvlJc w:val="left"/>
      <w:pPr>
        <w:ind w:left="1440" w:hanging="360"/>
      </w:pPr>
    </w:lvl>
    <w:lvl w:ilvl="2" w:tplc="BF24447E">
      <w:start w:val="1"/>
      <w:numFmt w:val="lowerRoman"/>
      <w:lvlText w:val="%3."/>
      <w:lvlJc w:val="right"/>
      <w:pPr>
        <w:ind w:left="2160" w:hanging="180"/>
      </w:pPr>
    </w:lvl>
    <w:lvl w:ilvl="3" w:tplc="F760C166">
      <w:start w:val="1"/>
      <w:numFmt w:val="decimal"/>
      <w:lvlText w:val="%4."/>
      <w:lvlJc w:val="left"/>
      <w:pPr>
        <w:ind w:left="2880" w:hanging="360"/>
      </w:pPr>
    </w:lvl>
    <w:lvl w:ilvl="4" w:tplc="F702C64C">
      <w:start w:val="1"/>
      <w:numFmt w:val="lowerLetter"/>
      <w:lvlText w:val="%5."/>
      <w:lvlJc w:val="left"/>
      <w:pPr>
        <w:ind w:left="3600" w:hanging="360"/>
      </w:pPr>
    </w:lvl>
    <w:lvl w:ilvl="5" w:tplc="D0140C46">
      <w:start w:val="1"/>
      <w:numFmt w:val="lowerRoman"/>
      <w:lvlText w:val="%6."/>
      <w:lvlJc w:val="right"/>
      <w:pPr>
        <w:ind w:left="4320" w:hanging="180"/>
      </w:pPr>
    </w:lvl>
    <w:lvl w:ilvl="6" w:tplc="3F5624EC">
      <w:start w:val="1"/>
      <w:numFmt w:val="decimal"/>
      <w:lvlText w:val="%7."/>
      <w:lvlJc w:val="left"/>
      <w:pPr>
        <w:ind w:left="5040" w:hanging="360"/>
      </w:pPr>
    </w:lvl>
    <w:lvl w:ilvl="7" w:tplc="D4AECC9A">
      <w:start w:val="1"/>
      <w:numFmt w:val="lowerLetter"/>
      <w:lvlText w:val="%8."/>
      <w:lvlJc w:val="left"/>
      <w:pPr>
        <w:ind w:left="5760" w:hanging="360"/>
      </w:pPr>
    </w:lvl>
    <w:lvl w:ilvl="8" w:tplc="DBE68526">
      <w:start w:val="1"/>
      <w:numFmt w:val="lowerRoman"/>
      <w:lvlText w:val="%9."/>
      <w:lvlJc w:val="right"/>
      <w:pPr>
        <w:ind w:left="6480" w:hanging="180"/>
      </w:pPr>
    </w:lvl>
  </w:abstractNum>
  <w:abstractNum w:abstractNumId="33" w15:restartNumberingAfterBreak="0">
    <w:nsid w:val="186043AA"/>
    <w:multiLevelType w:val="hybridMultilevel"/>
    <w:tmpl w:val="6D1A0A06"/>
    <w:lvl w:ilvl="0" w:tplc="148E1488">
      <w:start w:val="1"/>
      <w:numFmt w:val="lowerLetter"/>
      <w:lvlText w:val="%1."/>
      <w:lvlJc w:val="left"/>
      <w:pPr>
        <w:ind w:left="360" w:hanging="360"/>
      </w:pPr>
    </w:lvl>
    <w:lvl w:ilvl="1" w:tplc="12849EC4">
      <w:start w:val="1"/>
      <w:numFmt w:val="lowerLetter"/>
      <w:lvlText w:val="%2."/>
      <w:lvlJc w:val="left"/>
      <w:pPr>
        <w:ind w:left="1440" w:hanging="360"/>
      </w:pPr>
    </w:lvl>
    <w:lvl w:ilvl="2" w:tplc="3DF67788">
      <w:start w:val="1"/>
      <w:numFmt w:val="lowerRoman"/>
      <w:lvlText w:val="%3."/>
      <w:lvlJc w:val="right"/>
      <w:pPr>
        <w:ind w:left="2160" w:hanging="180"/>
      </w:pPr>
    </w:lvl>
    <w:lvl w:ilvl="3" w:tplc="39781856">
      <w:start w:val="1"/>
      <w:numFmt w:val="decimal"/>
      <w:lvlText w:val="%4."/>
      <w:lvlJc w:val="left"/>
      <w:pPr>
        <w:ind w:left="2880" w:hanging="360"/>
      </w:pPr>
    </w:lvl>
    <w:lvl w:ilvl="4" w:tplc="FFAAB092">
      <w:start w:val="1"/>
      <w:numFmt w:val="lowerLetter"/>
      <w:lvlText w:val="%5."/>
      <w:lvlJc w:val="left"/>
      <w:pPr>
        <w:ind w:left="3600" w:hanging="360"/>
      </w:pPr>
    </w:lvl>
    <w:lvl w:ilvl="5" w:tplc="46B2B038">
      <w:start w:val="1"/>
      <w:numFmt w:val="lowerRoman"/>
      <w:lvlText w:val="%6."/>
      <w:lvlJc w:val="right"/>
      <w:pPr>
        <w:ind w:left="4320" w:hanging="180"/>
      </w:pPr>
    </w:lvl>
    <w:lvl w:ilvl="6" w:tplc="D6AAF8E4">
      <w:start w:val="1"/>
      <w:numFmt w:val="decimal"/>
      <w:lvlText w:val="%7."/>
      <w:lvlJc w:val="left"/>
      <w:pPr>
        <w:ind w:left="5040" w:hanging="360"/>
      </w:pPr>
    </w:lvl>
    <w:lvl w:ilvl="7" w:tplc="0C9AC124">
      <w:start w:val="1"/>
      <w:numFmt w:val="lowerLetter"/>
      <w:lvlText w:val="%8."/>
      <w:lvlJc w:val="left"/>
      <w:pPr>
        <w:ind w:left="5760" w:hanging="360"/>
      </w:pPr>
    </w:lvl>
    <w:lvl w:ilvl="8" w:tplc="1752EBD4">
      <w:start w:val="1"/>
      <w:numFmt w:val="lowerRoman"/>
      <w:lvlText w:val="%9."/>
      <w:lvlJc w:val="right"/>
      <w:pPr>
        <w:ind w:left="6480" w:hanging="180"/>
      </w:pPr>
    </w:lvl>
  </w:abstractNum>
  <w:abstractNum w:abstractNumId="34" w15:restartNumberingAfterBreak="0">
    <w:nsid w:val="232620E5"/>
    <w:multiLevelType w:val="hybridMultilevel"/>
    <w:tmpl w:val="6EECCE3A"/>
    <w:lvl w:ilvl="0" w:tplc="77FC96A4">
      <w:start w:val="1"/>
      <w:numFmt w:val="decimal"/>
      <w:lvlText w:val="%1."/>
      <w:lvlJc w:val="left"/>
      <w:pPr>
        <w:ind w:left="360" w:hanging="360"/>
      </w:pPr>
      <w:rPr>
        <w:b w:val="0"/>
        <w:bCs w:val="0"/>
        <w:i w:val="0"/>
        <w:iCs/>
        <w:sz w:val="18"/>
        <w:szCs w:val="18"/>
      </w:rPr>
    </w:lvl>
    <w:lvl w:ilvl="1" w:tplc="80802B98">
      <w:start w:val="1"/>
      <w:numFmt w:val="lowerLetter"/>
      <w:lvlText w:val="%2."/>
      <w:lvlJc w:val="left"/>
      <w:pPr>
        <w:ind w:left="1080" w:hanging="360"/>
      </w:pPr>
    </w:lvl>
    <w:lvl w:ilvl="2" w:tplc="ADB81CD8">
      <w:start w:val="1"/>
      <w:numFmt w:val="lowerRoman"/>
      <w:lvlText w:val="%3."/>
      <w:lvlJc w:val="right"/>
      <w:pPr>
        <w:ind w:left="1800" w:hanging="180"/>
      </w:pPr>
    </w:lvl>
    <w:lvl w:ilvl="3" w:tplc="CE8080F4">
      <w:start w:val="1"/>
      <w:numFmt w:val="decimal"/>
      <w:lvlText w:val="%4."/>
      <w:lvlJc w:val="left"/>
      <w:pPr>
        <w:ind w:left="2520" w:hanging="360"/>
      </w:pPr>
    </w:lvl>
    <w:lvl w:ilvl="4" w:tplc="B666113E">
      <w:start w:val="1"/>
      <w:numFmt w:val="lowerLetter"/>
      <w:lvlText w:val="%5."/>
      <w:lvlJc w:val="left"/>
      <w:pPr>
        <w:ind w:left="3240" w:hanging="360"/>
      </w:pPr>
    </w:lvl>
    <w:lvl w:ilvl="5" w:tplc="E36C562C">
      <w:start w:val="1"/>
      <w:numFmt w:val="lowerRoman"/>
      <w:lvlText w:val="%6."/>
      <w:lvlJc w:val="right"/>
      <w:pPr>
        <w:ind w:left="3960" w:hanging="180"/>
      </w:pPr>
    </w:lvl>
    <w:lvl w:ilvl="6" w:tplc="5C208D9C">
      <w:start w:val="1"/>
      <w:numFmt w:val="decimal"/>
      <w:lvlText w:val="%7."/>
      <w:lvlJc w:val="left"/>
      <w:pPr>
        <w:ind w:left="4680" w:hanging="360"/>
      </w:pPr>
    </w:lvl>
    <w:lvl w:ilvl="7" w:tplc="2222D658">
      <w:start w:val="1"/>
      <w:numFmt w:val="lowerLetter"/>
      <w:lvlText w:val="%8."/>
      <w:lvlJc w:val="left"/>
      <w:pPr>
        <w:ind w:left="5400" w:hanging="360"/>
      </w:pPr>
    </w:lvl>
    <w:lvl w:ilvl="8" w:tplc="682E2C66">
      <w:start w:val="1"/>
      <w:numFmt w:val="lowerRoman"/>
      <w:lvlText w:val="%9."/>
      <w:lvlJc w:val="right"/>
      <w:pPr>
        <w:ind w:left="6120" w:hanging="180"/>
      </w:pPr>
    </w:lvl>
  </w:abstractNum>
  <w:abstractNum w:abstractNumId="35" w15:restartNumberingAfterBreak="0">
    <w:nsid w:val="2DBE0831"/>
    <w:multiLevelType w:val="hybridMultilevel"/>
    <w:tmpl w:val="F9ACCF82"/>
    <w:lvl w:ilvl="0" w:tplc="0C090001">
      <w:start w:val="1"/>
      <w:numFmt w:val="bullet"/>
      <w:lvlText w:val=""/>
      <w:lvlJc w:val="left"/>
      <w:pPr>
        <w:ind w:left="283" w:hanging="283"/>
      </w:pPr>
      <w:rPr>
        <w:rFonts w:ascii="Symbol" w:hAnsi="Symbol" w:hint="default"/>
        <w:sz w:val="18"/>
        <w:szCs w:val="18"/>
      </w:rPr>
    </w:lvl>
    <w:lvl w:ilvl="1" w:tplc="87C06B0A">
      <w:start w:val="1"/>
      <w:numFmt w:val="lowerLetter"/>
      <w:lvlText w:val="%2."/>
      <w:lvlJc w:val="left"/>
      <w:pPr>
        <w:ind w:left="1440" w:hanging="360"/>
      </w:pPr>
    </w:lvl>
    <w:lvl w:ilvl="2" w:tplc="000C3514">
      <w:start w:val="1"/>
      <w:numFmt w:val="lowerRoman"/>
      <w:lvlText w:val="%3."/>
      <w:lvlJc w:val="right"/>
      <w:pPr>
        <w:ind w:left="2160" w:hanging="180"/>
      </w:pPr>
    </w:lvl>
    <w:lvl w:ilvl="3" w:tplc="BF6E9162">
      <w:start w:val="1"/>
      <w:numFmt w:val="decimal"/>
      <w:lvlText w:val="%4."/>
      <w:lvlJc w:val="left"/>
      <w:pPr>
        <w:ind w:left="2880" w:hanging="360"/>
      </w:pPr>
    </w:lvl>
    <w:lvl w:ilvl="4" w:tplc="D4C655C8">
      <w:start w:val="1"/>
      <w:numFmt w:val="lowerLetter"/>
      <w:lvlText w:val="%5."/>
      <w:lvlJc w:val="left"/>
      <w:pPr>
        <w:ind w:left="3600" w:hanging="360"/>
      </w:pPr>
    </w:lvl>
    <w:lvl w:ilvl="5" w:tplc="5B0EAD5A">
      <w:start w:val="1"/>
      <w:numFmt w:val="lowerRoman"/>
      <w:lvlText w:val="%6."/>
      <w:lvlJc w:val="right"/>
      <w:pPr>
        <w:ind w:left="4320" w:hanging="180"/>
      </w:pPr>
    </w:lvl>
    <w:lvl w:ilvl="6" w:tplc="DD6C35D2">
      <w:start w:val="1"/>
      <w:numFmt w:val="decimal"/>
      <w:lvlText w:val="%7."/>
      <w:lvlJc w:val="left"/>
      <w:pPr>
        <w:ind w:left="5040" w:hanging="360"/>
      </w:pPr>
    </w:lvl>
    <w:lvl w:ilvl="7" w:tplc="150E2DF2">
      <w:start w:val="1"/>
      <w:numFmt w:val="lowerLetter"/>
      <w:lvlText w:val="%8."/>
      <w:lvlJc w:val="left"/>
      <w:pPr>
        <w:ind w:left="5760" w:hanging="360"/>
      </w:pPr>
    </w:lvl>
    <w:lvl w:ilvl="8" w:tplc="1BE8E4A0">
      <w:start w:val="1"/>
      <w:numFmt w:val="lowerRoman"/>
      <w:lvlText w:val="%9."/>
      <w:lvlJc w:val="right"/>
      <w:pPr>
        <w:ind w:left="6480" w:hanging="180"/>
      </w:pPr>
    </w:lvl>
  </w:abstractNum>
  <w:abstractNum w:abstractNumId="36" w15:restartNumberingAfterBreak="0">
    <w:nsid w:val="37445FAE"/>
    <w:multiLevelType w:val="hybridMultilevel"/>
    <w:tmpl w:val="6EECCE3A"/>
    <w:lvl w:ilvl="0" w:tplc="77FC96A4">
      <w:start w:val="1"/>
      <w:numFmt w:val="decimal"/>
      <w:lvlText w:val="%1."/>
      <w:lvlJc w:val="left"/>
      <w:pPr>
        <w:ind w:left="360" w:hanging="360"/>
      </w:pPr>
      <w:rPr>
        <w:b w:val="0"/>
        <w:bCs w:val="0"/>
        <w:i w:val="0"/>
        <w:iCs/>
        <w:sz w:val="18"/>
        <w:szCs w:val="18"/>
      </w:rPr>
    </w:lvl>
    <w:lvl w:ilvl="1" w:tplc="80802B98">
      <w:start w:val="1"/>
      <w:numFmt w:val="lowerLetter"/>
      <w:lvlText w:val="%2."/>
      <w:lvlJc w:val="left"/>
      <w:pPr>
        <w:ind w:left="1080" w:hanging="360"/>
      </w:pPr>
    </w:lvl>
    <w:lvl w:ilvl="2" w:tplc="ADB81CD8">
      <w:start w:val="1"/>
      <w:numFmt w:val="lowerRoman"/>
      <w:lvlText w:val="%3."/>
      <w:lvlJc w:val="right"/>
      <w:pPr>
        <w:ind w:left="1800" w:hanging="180"/>
      </w:pPr>
    </w:lvl>
    <w:lvl w:ilvl="3" w:tplc="CE8080F4">
      <w:start w:val="1"/>
      <w:numFmt w:val="decimal"/>
      <w:lvlText w:val="%4."/>
      <w:lvlJc w:val="left"/>
      <w:pPr>
        <w:ind w:left="2520" w:hanging="360"/>
      </w:pPr>
    </w:lvl>
    <w:lvl w:ilvl="4" w:tplc="B666113E">
      <w:start w:val="1"/>
      <w:numFmt w:val="lowerLetter"/>
      <w:lvlText w:val="%5."/>
      <w:lvlJc w:val="left"/>
      <w:pPr>
        <w:ind w:left="3240" w:hanging="360"/>
      </w:pPr>
    </w:lvl>
    <w:lvl w:ilvl="5" w:tplc="E36C562C">
      <w:start w:val="1"/>
      <w:numFmt w:val="lowerRoman"/>
      <w:lvlText w:val="%6."/>
      <w:lvlJc w:val="right"/>
      <w:pPr>
        <w:ind w:left="3960" w:hanging="180"/>
      </w:pPr>
    </w:lvl>
    <w:lvl w:ilvl="6" w:tplc="5C208D9C">
      <w:start w:val="1"/>
      <w:numFmt w:val="decimal"/>
      <w:lvlText w:val="%7."/>
      <w:lvlJc w:val="left"/>
      <w:pPr>
        <w:ind w:left="4680" w:hanging="360"/>
      </w:pPr>
    </w:lvl>
    <w:lvl w:ilvl="7" w:tplc="2222D658">
      <w:start w:val="1"/>
      <w:numFmt w:val="lowerLetter"/>
      <w:lvlText w:val="%8."/>
      <w:lvlJc w:val="left"/>
      <w:pPr>
        <w:ind w:left="5400" w:hanging="360"/>
      </w:pPr>
    </w:lvl>
    <w:lvl w:ilvl="8" w:tplc="682E2C66">
      <w:start w:val="1"/>
      <w:numFmt w:val="lowerRoman"/>
      <w:lvlText w:val="%9."/>
      <w:lvlJc w:val="right"/>
      <w:pPr>
        <w:ind w:left="6120" w:hanging="180"/>
      </w:pPr>
    </w:lvl>
  </w:abstractNum>
  <w:abstractNum w:abstractNumId="37" w15:restartNumberingAfterBreak="0">
    <w:nsid w:val="3BF6199E"/>
    <w:multiLevelType w:val="hybridMultilevel"/>
    <w:tmpl w:val="6D1A0A06"/>
    <w:lvl w:ilvl="0" w:tplc="148E1488">
      <w:start w:val="1"/>
      <w:numFmt w:val="lowerLetter"/>
      <w:lvlText w:val="%1."/>
      <w:lvlJc w:val="left"/>
      <w:pPr>
        <w:ind w:left="360" w:hanging="360"/>
      </w:pPr>
    </w:lvl>
    <w:lvl w:ilvl="1" w:tplc="12849EC4">
      <w:start w:val="1"/>
      <w:numFmt w:val="lowerLetter"/>
      <w:lvlText w:val="%2."/>
      <w:lvlJc w:val="left"/>
      <w:pPr>
        <w:ind w:left="1440" w:hanging="360"/>
      </w:pPr>
    </w:lvl>
    <w:lvl w:ilvl="2" w:tplc="3DF67788">
      <w:start w:val="1"/>
      <w:numFmt w:val="lowerRoman"/>
      <w:lvlText w:val="%3."/>
      <w:lvlJc w:val="right"/>
      <w:pPr>
        <w:ind w:left="2160" w:hanging="180"/>
      </w:pPr>
    </w:lvl>
    <w:lvl w:ilvl="3" w:tplc="39781856">
      <w:start w:val="1"/>
      <w:numFmt w:val="decimal"/>
      <w:lvlText w:val="%4."/>
      <w:lvlJc w:val="left"/>
      <w:pPr>
        <w:ind w:left="2880" w:hanging="360"/>
      </w:pPr>
    </w:lvl>
    <w:lvl w:ilvl="4" w:tplc="FFAAB092">
      <w:start w:val="1"/>
      <w:numFmt w:val="lowerLetter"/>
      <w:lvlText w:val="%5."/>
      <w:lvlJc w:val="left"/>
      <w:pPr>
        <w:ind w:left="3600" w:hanging="360"/>
      </w:pPr>
    </w:lvl>
    <w:lvl w:ilvl="5" w:tplc="46B2B038">
      <w:start w:val="1"/>
      <w:numFmt w:val="lowerRoman"/>
      <w:lvlText w:val="%6."/>
      <w:lvlJc w:val="right"/>
      <w:pPr>
        <w:ind w:left="4320" w:hanging="180"/>
      </w:pPr>
    </w:lvl>
    <w:lvl w:ilvl="6" w:tplc="D6AAF8E4">
      <w:start w:val="1"/>
      <w:numFmt w:val="decimal"/>
      <w:lvlText w:val="%7."/>
      <w:lvlJc w:val="left"/>
      <w:pPr>
        <w:ind w:left="5040" w:hanging="360"/>
      </w:pPr>
    </w:lvl>
    <w:lvl w:ilvl="7" w:tplc="0C9AC124">
      <w:start w:val="1"/>
      <w:numFmt w:val="lowerLetter"/>
      <w:lvlText w:val="%8."/>
      <w:lvlJc w:val="left"/>
      <w:pPr>
        <w:ind w:left="5760" w:hanging="360"/>
      </w:pPr>
    </w:lvl>
    <w:lvl w:ilvl="8" w:tplc="1752EBD4">
      <w:start w:val="1"/>
      <w:numFmt w:val="lowerRoman"/>
      <w:lvlText w:val="%9."/>
      <w:lvlJc w:val="right"/>
      <w:pPr>
        <w:ind w:left="6480" w:hanging="180"/>
      </w:pPr>
    </w:lvl>
  </w:abstractNum>
  <w:abstractNum w:abstractNumId="38" w15:restartNumberingAfterBreak="0">
    <w:nsid w:val="40274DC9"/>
    <w:multiLevelType w:val="hybridMultilevel"/>
    <w:tmpl w:val="B1C8DEE0"/>
    <w:lvl w:ilvl="0" w:tplc="0C090001">
      <w:start w:val="1"/>
      <w:numFmt w:val="bullet"/>
      <w:lvlText w:val=""/>
      <w:lvlJc w:val="left"/>
      <w:pPr>
        <w:ind w:left="360" w:hanging="360"/>
      </w:pPr>
      <w:rPr>
        <w:rFonts w:ascii="Symbol" w:hAnsi="Symbol" w:hint="default"/>
      </w:rPr>
    </w:lvl>
    <w:lvl w:ilvl="1" w:tplc="BD3A0C16">
      <w:start w:val="1"/>
      <w:numFmt w:val="lowerLetter"/>
      <w:lvlText w:val="%2."/>
      <w:lvlJc w:val="left"/>
      <w:pPr>
        <w:ind w:left="1440" w:hanging="360"/>
      </w:pPr>
    </w:lvl>
    <w:lvl w:ilvl="2" w:tplc="0E6EEF78">
      <w:start w:val="1"/>
      <w:numFmt w:val="lowerRoman"/>
      <w:lvlText w:val="%3."/>
      <w:lvlJc w:val="right"/>
      <w:pPr>
        <w:ind w:left="2160" w:hanging="180"/>
      </w:pPr>
    </w:lvl>
    <w:lvl w:ilvl="3" w:tplc="80D84668">
      <w:start w:val="1"/>
      <w:numFmt w:val="decimal"/>
      <w:lvlText w:val="%4."/>
      <w:lvlJc w:val="left"/>
      <w:pPr>
        <w:ind w:left="2880" w:hanging="360"/>
      </w:pPr>
    </w:lvl>
    <w:lvl w:ilvl="4" w:tplc="8C5C3278">
      <w:start w:val="1"/>
      <w:numFmt w:val="lowerLetter"/>
      <w:lvlText w:val="%5."/>
      <w:lvlJc w:val="left"/>
      <w:pPr>
        <w:ind w:left="3600" w:hanging="360"/>
      </w:pPr>
    </w:lvl>
    <w:lvl w:ilvl="5" w:tplc="7E2AB952">
      <w:start w:val="1"/>
      <w:numFmt w:val="lowerRoman"/>
      <w:lvlText w:val="%6."/>
      <w:lvlJc w:val="right"/>
      <w:pPr>
        <w:ind w:left="4320" w:hanging="180"/>
      </w:pPr>
    </w:lvl>
    <w:lvl w:ilvl="6" w:tplc="F4C825C2">
      <w:start w:val="1"/>
      <w:numFmt w:val="decimal"/>
      <w:lvlText w:val="%7."/>
      <w:lvlJc w:val="left"/>
      <w:pPr>
        <w:ind w:left="5040" w:hanging="360"/>
      </w:pPr>
    </w:lvl>
    <w:lvl w:ilvl="7" w:tplc="C776828E">
      <w:start w:val="1"/>
      <w:numFmt w:val="lowerLetter"/>
      <w:lvlText w:val="%8."/>
      <w:lvlJc w:val="left"/>
      <w:pPr>
        <w:ind w:left="5760" w:hanging="360"/>
      </w:pPr>
    </w:lvl>
    <w:lvl w:ilvl="8" w:tplc="FD985328">
      <w:start w:val="1"/>
      <w:numFmt w:val="lowerRoman"/>
      <w:lvlText w:val="%9."/>
      <w:lvlJc w:val="right"/>
      <w:pPr>
        <w:ind w:left="6480" w:hanging="180"/>
      </w:pPr>
    </w:lvl>
  </w:abstractNum>
  <w:abstractNum w:abstractNumId="39" w15:restartNumberingAfterBreak="0">
    <w:nsid w:val="54A5145D"/>
    <w:multiLevelType w:val="hybridMultilevel"/>
    <w:tmpl w:val="C19E4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D245D2"/>
    <w:multiLevelType w:val="hybridMultilevel"/>
    <w:tmpl w:val="537C3884"/>
    <w:lvl w:ilvl="0" w:tplc="CA06F01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7947F2A"/>
    <w:multiLevelType w:val="hybridMultilevel"/>
    <w:tmpl w:val="72C802BA"/>
    <w:lvl w:ilvl="0" w:tplc="0C090001">
      <w:start w:val="1"/>
      <w:numFmt w:val="bullet"/>
      <w:lvlText w:val=""/>
      <w:lvlJc w:val="left"/>
      <w:pPr>
        <w:ind w:left="360" w:hanging="360"/>
      </w:pPr>
      <w:rPr>
        <w:rFonts w:ascii="Symbol" w:hAnsi="Symbol" w:hint="default"/>
      </w:rPr>
    </w:lvl>
    <w:lvl w:ilvl="1" w:tplc="BD3A0C16">
      <w:start w:val="1"/>
      <w:numFmt w:val="lowerLetter"/>
      <w:lvlText w:val="%2."/>
      <w:lvlJc w:val="left"/>
      <w:pPr>
        <w:ind w:left="1440" w:hanging="360"/>
      </w:pPr>
    </w:lvl>
    <w:lvl w:ilvl="2" w:tplc="0E6EEF78">
      <w:start w:val="1"/>
      <w:numFmt w:val="lowerRoman"/>
      <w:lvlText w:val="%3."/>
      <w:lvlJc w:val="right"/>
      <w:pPr>
        <w:ind w:left="2160" w:hanging="180"/>
      </w:pPr>
    </w:lvl>
    <w:lvl w:ilvl="3" w:tplc="80D84668">
      <w:start w:val="1"/>
      <w:numFmt w:val="decimal"/>
      <w:lvlText w:val="%4."/>
      <w:lvlJc w:val="left"/>
      <w:pPr>
        <w:ind w:left="2880" w:hanging="360"/>
      </w:pPr>
    </w:lvl>
    <w:lvl w:ilvl="4" w:tplc="8C5C3278">
      <w:start w:val="1"/>
      <w:numFmt w:val="lowerLetter"/>
      <w:lvlText w:val="%5."/>
      <w:lvlJc w:val="left"/>
      <w:pPr>
        <w:ind w:left="3600" w:hanging="360"/>
      </w:pPr>
    </w:lvl>
    <w:lvl w:ilvl="5" w:tplc="7E2AB952">
      <w:start w:val="1"/>
      <w:numFmt w:val="lowerRoman"/>
      <w:lvlText w:val="%6."/>
      <w:lvlJc w:val="right"/>
      <w:pPr>
        <w:ind w:left="4320" w:hanging="180"/>
      </w:pPr>
    </w:lvl>
    <w:lvl w:ilvl="6" w:tplc="F4C825C2">
      <w:start w:val="1"/>
      <w:numFmt w:val="decimal"/>
      <w:lvlText w:val="%7."/>
      <w:lvlJc w:val="left"/>
      <w:pPr>
        <w:ind w:left="5040" w:hanging="360"/>
      </w:pPr>
    </w:lvl>
    <w:lvl w:ilvl="7" w:tplc="C776828E">
      <w:start w:val="1"/>
      <w:numFmt w:val="lowerLetter"/>
      <w:lvlText w:val="%8."/>
      <w:lvlJc w:val="left"/>
      <w:pPr>
        <w:ind w:left="5760" w:hanging="360"/>
      </w:pPr>
    </w:lvl>
    <w:lvl w:ilvl="8" w:tplc="FD985328">
      <w:start w:val="1"/>
      <w:numFmt w:val="lowerRoman"/>
      <w:lvlText w:val="%9."/>
      <w:lvlJc w:val="right"/>
      <w:pPr>
        <w:ind w:left="6480" w:hanging="180"/>
      </w:pPr>
    </w:lvl>
  </w:abstractNum>
  <w:abstractNum w:abstractNumId="42" w15:restartNumberingAfterBreak="0">
    <w:nsid w:val="76125E7E"/>
    <w:multiLevelType w:val="hybridMultilevel"/>
    <w:tmpl w:val="6EECCE3A"/>
    <w:lvl w:ilvl="0" w:tplc="77FC96A4">
      <w:start w:val="1"/>
      <w:numFmt w:val="decimal"/>
      <w:lvlText w:val="%1."/>
      <w:lvlJc w:val="left"/>
      <w:pPr>
        <w:ind w:left="360" w:hanging="360"/>
      </w:pPr>
      <w:rPr>
        <w:b w:val="0"/>
        <w:bCs w:val="0"/>
        <w:i w:val="0"/>
        <w:iCs/>
        <w:sz w:val="18"/>
        <w:szCs w:val="18"/>
      </w:rPr>
    </w:lvl>
    <w:lvl w:ilvl="1" w:tplc="80802B98">
      <w:start w:val="1"/>
      <w:numFmt w:val="lowerLetter"/>
      <w:lvlText w:val="%2."/>
      <w:lvlJc w:val="left"/>
      <w:pPr>
        <w:ind w:left="1080" w:hanging="360"/>
      </w:pPr>
    </w:lvl>
    <w:lvl w:ilvl="2" w:tplc="ADB81CD8">
      <w:start w:val="1"/>
      <w:numFmt w:val="lowerRoman"/>
      <w:lvlText w:val="%3."/>
      <w:lvlJc w:val="right"/>
      <w:pPr>
        <w:ind w:left="1800" w:hanging="180"/>
      </w:pPr>
    </w:lvl>
    <w:lvl w:ilvl="3" w:tplc="CE8080F4">
      <w:start w:val="1"/>
      <w:numFmt w:val="decimal"/>
      <w:lvlText w:val="%4."/>
      <w:lvlJc w:val="left"/>
      <w:pPr>
        <w:ind w:left="2520" w:hanging="360"/>
      </w:pPr>
    </w:lvl>
    <w:lvl w:ilvl="4" w:tplc="B666113E">
      <w:start w:val="1"/>
      <w:numFmt w:val="lowerLetter"/>
      <w:lvlText w:val="%5."/>
      <w:lvlJc w:val="left"/>
      <w:pPr>
        <w:ind w:left="3240" w:hanging="360"/>
      </w:pPr>
    </w:lvl>
    <w:lvl w:ilvl="5" w:tplc="E36C562C">
      <w:start w:val="1"/>
      <w:numFmt w:val="lowerRoman"/>
      <w:lvlText w:val="%6."/>
      <w:lvlJc w:val="right"/>
      <w:pPr>
        <w:ind w:left="3960" w:hanging="180"/>
      </w:pPr>
    </w:lvl>
    <w:lvl w:ilvl="6" w:tplc="5C208D9C">
      <w:start w:val="1"/>
      <w:numFmt w:val="decimal"/>
      <w:lvlText w:val="%7."/>
      <w:lvlJc w:val="left"/>
      <w:pPr>
        <w:ind w:left="4680" w:hanging="360"/>
      </w:pPr>
    </w:lvl>
    <w:lvl w:ilvl="7" w:tplc="2222D658">
      <w:start w:val="1"/>
      <w:numFmt w:val="lowerLetter"/>
      <w:lvlText w:val="%8."/>
      <w:lvlJc w:val="left"/>
      <w:pPr>
        <w:ind w:left="5400" w:hanging="360"/>
      </w:pPr>
    </w:lvl>
    <w:lvl w:ilvl="8" w:tplc="682E2C66">
      <w:start w:val="1"/>
      <w:numFmt w:val="lowerRoman"/>
      <w:lvlText w:val="%9."/>
      <w:lvlJc w:val="right"/>
      <w:pPr>
        <w:ind w:left="6120" w:hanging="180"/>
      </w:pPr>
    </w:lvl>
  </w:abstractNum>
  <w:abstractNum w:abstractNumId="43" w15:restartNumberingAfterBreak="0">
    <w:nsid w:val="7F570BC6"/>
    <w:multiLevelType w:val="hybridMultilevel"/>
    <w:tmpl w:val="9BCEA52C"/>
    <w:lvl w:ilvl="0" w:tplc="0C090001">
      <w:start w:val="1"/>
      <w:numFmt w:val="bullet"/>
      <w:lvlText w:val=""/>
      <w:lvlJc w:val="left"/>
      <w:pPr>
        <w:ind w:left="720" w:hanging="360"/>
      </w:pPr>
      <w:rPr>
        <w:rFonts w:ascii="Symbol" w:hAnsi="Symbol" w:hint="default"/>
      </w:rPr>
    </w:lvl>
    <w:lvl w:ilvl="1" w:tplc="67D27564" w:tentative="1">
      <w:start w:val="1"/>
      <w:numFmt w:val="lowerLetter"/>
      <w:lvlText w:val="%2."/>
      <w:lvlJc w:val="left"/>
      <w:pPr>
        <w:ind w:left="1440" w:hanging="360"/>
      </w:pPr>
    </w:lvl>
    <w:lvl w:ilvl="2" w:tplc="1B167DFC" w:tentative="1">
      <w:start w:val="1"/>
      <w:numFmt w:val="lowerRoman"/>
      <w:lvlText w:val="%3."/>
      <w:lvlJc w:val="right"/>
      <w:pPr>
        <w:ind w:left="2160" w:hanging="180"/>
      </w:pPr>
    </w:lvl>
    <w:lvl w:ilvl="3" w:tplc="A3A2FD5A" w:tentative="1">
      <w:start w:val="1"/>
      <w:numFmt w:val="decimal"/>
      <w:lvlText w:val="%4."/>
      <w:lvlJc w:val="left"/>
      <w:pPr>
        <w:ind w:left="2880" w:hanging="360"/>
      </w:pPr>
    </w:lvl>
    <w:lvl w:ilvl="4" w:tplc="190C265E" w:tentative="1">
      <w:start w:val="1"/>
      <w:numFmt w:val="lowerLetter"/>
      <w:lvlText w:val="%5."/>
      <w:lvlJc w:val="left"/>
      <w:pPr>
        <w:ind w:left="3600" w:hanging="360"/>
      </w:pPr>
    </w:lvl>
    <w:lvl w:ilvl="5" w:tplc="36B4F5AA" w:tentative="1">
      <w:start w:val="1"/>
      <w:numFmt w:val="lowerRoman"/>
      <w:lvlText w:val="%6."/>
      <w:lvlJc w:val="right"/>
      <w:pPr>
        <w:ind w:left="4320" w:hanging="180"/>
      </w:pPr>
    </w:lvl>
    <w:lvl w:ilvl="6" w:tplc="FE465D86" w:tentative="1">
      <w:start w:val="1"/>
      <w:numFmt w:val="decimal"/>
      <w:lvlText w:val="%7."/>
      <w:lvlJc w:val="left"/>
      <w:pPr>
        <w:ind w:left="5040" w:hanging="360"/>
      </w:pPr>
    </w:lvl>
    <w:lvl w:ilvl="7" w:tplc="41EC5BE2" w:tentative="1">
      <w:start w:val="1"/>
      <w:numFmt w:val="lowerLetter"/>
      <w:lvlText w:val="%8."/>
      <w:lvlJc w:val="left"/>
      <w:pPr>
        <w:ind w:left="5760" w:hanging="360"/>
      </w:pPr>
    </w:lvl>
    <w:lvl w:ilvl="8" w:tplc="432094FC"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9"/>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4"/>
  </w:num>
  <w:num w:numId="33">
    <w:abstractNumId w:val="3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num>
  <w:num w:numId="42">
    <w:abstractNumId w:val="16"/>
    <w:lvlOverride w:ilvl="0">
      <w:startOverride w:val="1"/>
    </w:lvlOverride>
  </w:num>
  <w:num w:numId="43">
    <w:abstractNumId w:val="25"/>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8"/>
  </w:num>
  <w:num w:numId="47">
    <w:abstractNumId w:val="29"/>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31"/>
  </w:num>
  <w:num w:numId="55">
    <w:abstractNumId w:val="36"/>
  </w:num>
  <w:num w:numId="56">
    <w:abstractNumId w:val="42"/>
  </w:num>
  <w:num w:numId="57">
    <w:abstractNumId w:val="14"/>
    <w:lvlOverride w:ilvl="0">
      <w:startOverride w:val="1"/>
    </w:lvlOverride>
  </w:num>
  <w:num w:numId="58">
    <w:abstractNumId w:val="35"/>
  </w:num>
  <w:num w:numId="59">
    <w:abstractNumId w:val="38"/>
  </w:num>
  <w:num w:numId="60">
    <w:abstractNumId w:val="41"/>
  </w:num>
  <w:num w:numId="61">
    <w:abstractNumId w:val="43"/>
  </w:num>
  <w:num w:numId="62">
    <w:abstractNumId w:val="37"/>
  </w:num>
  <w:num w:numId="63">
    <w:abstractNumId w:val="33"/>
  </w:num>
  <w:num w:numId="64">
    <w:abstractNumId w:val="32"/>
  </w:num>
  <w:num w:numId="65">
    <w:abstractNumId w:val="3"/>
    <w:lvlOverride w:ilvl="0">
      <w:startOverride w:val="1"/>
    </w:lvlOverride>
  </w:num>
  <w:num w:numId="66">
    <w:abstractNumId w:val="0"/>
  </w:num>
  <w:num w:numId="67">
    <w:abstractNumId w:val="39"/>
  </w:num>
  <w:num w:numId="68">
    <w:abstractNumId w:val="40"/>
  </w:num>
  <w:num w:numId="69">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18"/>
    <w:rsid w:val="00005011"/>
    <w:rsid w:val="00011509"/>
    <w:rsid w:val="000273A6"/>
    <w:rsid w:val="000304F0"/>
    <w:rsid w:val="000402A7"/>
    <w:rsid w:val="00044120"/>
    <w:rsid w:val="0006615B"/>
    <w:rsid w:val="00084C2E"/>
    <w:rsid w:val="00093165"/>
    <w:rsid w:val="000A4550"/>
    <w:rsid w:val="000A6A2F"/>
    <w:rsid w:val="000C26FB"/>
    <w:rsid w:val="000E5DA9"/>
    <w:rsid w:val="000F0465"/>
    <w:rsid w:val="000F4EA2"/>
    <w:rsid w:val="0010392A"/>
    <w:rsid w:val="0014646D"/>
    <w:rsid w:val="001821B2"/>
    <w:rsid w:val="00183734"/>
    <w:rsid w:val="001B50AA"/>
    <w:rsid w:val="001D151F"/>
    <w:rsid w:val="001F17E0"/>
    <w:rsid w:val="001F1FBA"/>
    <w:rsid w:val="001F2C93"/>
    <w:rsid w:val="001F3595"/>
    <w:rsid w:val="001F6B18"/>
    <w:rsid w:val="00205C24"/>
    <w:rsid w:val="0024569E"/>
    <w:rsid w:val="00250C4D"/>
    <w:rsid w:val="0025132F"/>
    <w:rsid w:val="002668D2"/>
    <w:rsid w:val="00271A3F"/>
    <w:rsid w:val="0027723F"/>
    <w:rsid w:val="00286745"/>
    <w:rsid w:val="00287AA2"/>
    <w:rsid w:val="002A2525"/>
    <w:rsid w:val="002A2A55"/>
    <w:rsid w:val="002E1776"/>
    <w:rsid w:val="00310E3B"/>
    <w:rsid w:val="0032014E"/>
    <w:rsid w:val="0032376A"/>
    <w:rsid w:val="003633D6"/>
    <w:rsid w:val="00374ABF"/>
    <w:rsid w:val="003905AE"/>
    <w:rsid w:val="003C587A"/>
    <w:rsid w:val="003C5B30"/>
    <w:rsid w:val="0040729B"/>
    <w:rsid w:val="004169C3"/>
    <w:rsid w:val="004251DD"/>
    <w:rsid w:val="00427B2B"/>
    <w:rsid w:val="00436199"/>
    <w:rsid w:val="00447E73"/>
    <w:rsid w:val="0046055D"/>
    <w:rsid w:val="004714CF"/>
    <w:rsid w:val="0049031E"/>
    <w:rsid w:val="00496618"/>
    <w:rsid w:val="004A2C91"/>
    <w:rsid w:val="004A3FE6"/>
    <w:rsid w:val="004A4F92"/>
    <w:rsid w:val="004B34BD"/>
    <w:rsid w:val="004F70E6"/>
    <w:rsid w:val="00511AEF"/>
    <w:rsid w:val="005127B9"/>
    <w:rsid w:val="0051390D"/>
    <w:rsid w:val="005247AB"/>
    <w:rsid w:val="00526563"/>
    <w:rsid w:val="00527903"/>
    <w:rsid w:val="00527C7B"/>
    <w:rsid w:val="00580B06"/>
    <w:rsid w:val="00597DF5"/>
    <w:rsid w:val="005B4850"/>
    <w:rsid w:val="005F1919"/>
    <w:rsid w:val="005F24C2"/>
    <w:rsid w:val="00605337"/>
    <w:rsid w:val="00654F86"/>
    <w:rsid w:val="00677C53"/>
    <w:rsid w:val="00680036"/>
    <w:rsid w:val="006839E9"/>
    <w:rsid w:val="006D1EEF"/>
    <w:rsid w:val="006D4C3C"/>
    <w:rsid w:val="006F3580"/>
    <w:rsid w:val="00744072"/>
    <w:rsid w:val="0074428A"/>
    <w:rsid w:val="007457C3"/>
    <w:rsid w:val="00781CFC"/>
    <w:rsid w:val="00793FF1"/>
    <w:rsid w:val="007D0ACC"/>
    <w:rsid w:val="007D20EC"/>
    <w:rsid w:val="008059A2"/>
    <w:rsid w:val="00812F22"/>
    <w:rsid w:val="00827130"/>
    <w:rsid w:val="00895481"/>
    <w:rsid w:val="008D6F89"/>
    <w:rsid w:val="008E3537"/>
    <w:rsid w:val="008E5AA9"/>
    <w:rsid w:val="008F2187"/>
    <w:rsid w:val="00900A2B"/>
    <w:rsid w:val="00950219"/>
    <w:rsid w:val="009764BE"/>
    <w:rsid w:val="009832FC"/>
    <w:rsid w:val="0098713D"/>
    <w:rsid w:val="009B4A73"/>
    <w:rsid w:val="009D797A"/>
    <w:rsid w:val="00A46438"/>
    <w:rsid w:val="00A51025"/>
    <w:rsid w:val="00A8582F"/>
    <w:rsid w:val="00A958EC"/>
    <w:rsid w:val="00AB4E52"/>
    <w:rsid w:val="00AC11C4"/>
    <w:rsid w:val="00B513F3"/>
    <w:rsid w:val="00B51DBE"/>
    <w:rsid w:val="00B92CDD"/>
    <w:rsid w:val="00BC27B9"/>
    <w:rsid w:val="00BD1609"/>
    <w:rsid w:val="00BD4827"/>
    <w:rsid w:val="00BE0DA5"/>
    <w:rsid w:val="00BF3AFE"/>
    <w:rsid w:val="00C1095E"/>
    <w:rsid w:val="00C44064"/>
    <w:rsid w:val="00C6718C"/>
    <w:rsid w:val="00C769BD"/>
    <w:rsid w:val="00C76DDB"/>
    <w:rsid w:val="00C95A71"/>
    <w:rsid w:val="00CC351F"/>
    <w:rsid w:val="00CD0792"/>
    <w:rsid w:val="00CE207A"/>
    <w:rsid w:val="00CE31F8"/>
    <w:rsid w:val="00D12F0F"/>
    <w:rsid w:val="00D177B8"/>
    <w:rsid w:val="00D62507"/>
    <w:rsid w:val="00D75E0E"/>
    <w:rsid w:val="00D7619A"/>
    <w:rsid w:val="00D76773"/>
    <w:rsid w:val="00D76A6E"/>
    <w:rsid w:val="00D91D72"/>
    <w:rsid w:val="00D9578C"/>
    <w:rsid w:val="00DA143A"/>
    <w:rsid w:val="00DB183F"/>
    <w:rsid w:val="00DB70E9"/>
    <w:rsid w:val="00DF2B9E"/>
    <w:rsid w:val="00DF3034"/>
    <w:rsid w:val="00DF6221"/>
    <w:rsid w:val="00DF7342"/>
    <w:rsid w:val="00E118A7"/>
    <w:rsid w:val="00E25D42"/>
    <w:rsid w:val="00E569DB"/>
    <w:rsid w:val="00E85E76"/>
    <w:rsid w:val="00EB585F"/>
    <w:rsid w:val="00EF17B3"/>
    <w:rsid w:val="00EF2675"/>
    <w:rsid w:val="00F307B7"/>
    <w:rsid w:val="00F40FDF"/>
    <w:rsid w:val="00F54F3E"/>
    <w:rsid w:val="00F61006"/>
    <w:rsid w:val="00F67862"/>
    <w:rsid w:val="00F8610C"/>
    <w:rsid w:val="00FA6C21"/>
    <w:rsid w:val="00FC38B2"/>
    <w:rsid w:val="00FE2AA6"/>
    <w:rsid w:val="00FF3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05535EE"/>
  <w15:docId w15:val="{1520CC60-52C0-4172-8BF4-66713DD7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iPriority="9" w:unhideWhenUsed="1"/>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A4C"/>
    <w:pPr>
      <w:spacing w:before="200" w:after="200"/>
    </w:pPr>
    <w:rPr>
      <w:rFonts w:ascii="Calibri" w:hAnsi="Calibri"/>
      <w:sz w:val="24"/>
      <w:lang w:eastAsia="en-US"/>
    </w:rPr>
  </w:style>
  <w:style w:type="paragraph" w:styleId="Heading1">
    <w:name w:val="heading 1"/>
    <w:basedOn w:val="Normal"/>
    <w:next w:val="Normal"/>
    <w:link w:val="Heading1Char"/>
    <w:qFormat/>
    <w:rsid w:val="00EE4D16"/>
    <w:pPr>
      <w:keepNext/>
      <w:pBdr>
        <w:bottom w:val="single" w:sz="18" w:space="2" w:color="auto"/>
      </w:pBdr>
      <w:spacing w:after="480"/>
      <w:outlineLvl w:val="0"/>
    </w:pPr>
    <w:rPr>
      <w:b/>
      <w:kern w:val="28"/>
      <w:sz w:val="48"/>
    </w:rPr>
  </w:style>
  <w:style w:type="paragraph" w:styleId="Heading2">
    <w:name w:val="heading 2"/>
    <w:basedOn w:val="Normal"/>
    <w:next w:val="Normal"/>
    <w:link w:val="Heading2Char"/>
    <w:qFormat/>
    <w:rsid w:val="00EE4D16"/>
    <w:pPr>
      <w:keepNext/>
      <w:spacing w:before="360"/>
      <w:outlineLvl w:val="1"/>
    </w:pPr>
    <w:rPr>
      <w:b/>
      <w:snapToGrid w:val="0"/>
      <w:sz w:val="32"/>
    </w:rPr>
  </w:style>
  <w:style w:type="paragraph" w:styleId="Heading3">
    <w:name w:val="heading 3"/>
    <w:basedOn w:val="Normal"/>
    <w:next w:val="Normal"/>
    <w:link w:val="Heading3Char"/>
    <w:autoRedefine/>
    <w:qFormat/>
    <w:rsid w:val="008E3537"/>
    <w:pPr>
      <w:keepNext/>
      <w:keepLines/>
      <w:pBdr>
        <w:top w:val="nil"/>
        <w:left w:val="nil"/>
        <w:bottom w:val="nil"/>
        <w:right w:val="nil"/>
        <w:between w:val="nil"/>
        <w:bar w:val="nil"/>
      </w:pBdr>
      <w:spacing w:before="360"/>
      <w:contextualSpacing/>
      <w:jc w:val="both"/>
      <w:outlineLvl w:val="2"/>
    </w:pPr>
    <w:rPr>
      <w:b/>
      <w:bCs/>
      <w:sz w:val="28"/>
      <w:szCs w:val="26"/>
    </w:rPr>
  </w:style>
  <w:style w:type="paragraph" w:styleId="Heading4">
    <w:name w:val="heading 4"/>
    <w:basedOn w:val="Normal"/>
    <w:next w:val="Normal"/>
    <w:link w:val="Heading4Char"/>
    <w:autoRedefine/>
    <w:qFormat/>
    <w:rsid w:val="006766F9"/>
    <w:pPr>
      <w:keepNext/>
      <w:keepLines/>
      <w:spacing w:before="240" w:after="120"/>
      <w:outlineLvl w:val="3"/>
    </w:pPr>
    <w:rPr>
      <w:b/>
      <w:bCs/>
      <w:i/>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bCs/>
      <w:kern w:val="0"/>
      <w:sz w:val="40"/>
      <w:szCs w:val="28"/>
      <w:lang w:val="en-US"/>
    </w:rPr>
  </w:style>
  <w:style w:type="character" w:customStyle="1" w:styleId="Heading1Char">
    <w:name w:val="Heading 1 Char"/>
    <w:link w:val="Heading1"/>
    <w:locked/>
    <w:rsid w:val="00EE4D16"/>
    <w:rPr>
      <w:rFonts w:ascii="Calibri" w:hAnsi="Calibri"/>
      <w:b/>
      <w:kern w:val="28"/>
      <w:sz w:val="48"/>
      <w:lang w:eastAsia="en-US"/>
    </w:rPr>
  </w:style>
  <w:style w:type="paragraph" w:customStyle="1" w:styleId="BodyText1">
    <w:name w:val="Body Text 1"/>
    <w:basedOn w:val="Normal"/>
    <w:rsid w:val="007316E2"/>
    <w:pPr>
      <w:jc w:val="both"/>
    </w:pPr>
  </w:style>
  <w:style w:type="paragraph" w:customStyle="1" w:styleId="BSbullet1">
    <w:name w:val="BS_bullet 1"/>
    <w:basedOn w:val="BodyTextIndent"/>
    <w:link w:val="BSbullet1Char"/>
    <w:qFormat/>
    <w:rsid w:val="009E4D5F"/>
    <w:pPr>
      <w:keepNext w:val="0"/>
      <w:keepLines w:val="0"/>
      <w:numPr>
        <w:numId w:val="1"/>
      </w:numPr>
      <w:jc w:val="left"/>
    </w:pPr>
  </w:style>
  <w:style w:type="paragraph" w:styleId="BodyTextIndent">
    <w:name w:val="Body Text Indent"/>
    <w:basedOn w:val="Normal"/>
    <w:next w:val="BodyText"/>
    <w:link w:val="BodyTextIndentChar"/>
    <w:rsid w:val="00FB4CEC"/>
    <w:pPr>
      <w:keepNext/>
      <w:keepLines/>
      <w:numPr>
        <w:numId w:val="2"/>
      </w:numPr>
      <w:spacing w:after="120"/>
      <w:jc w:val="both"/>
    </w:pPr>
    <w:rPr>
      <w:szCs w:val="24"/>
    </w:rPr>
  </w:style>
  <w:style w:type="paragraph" w:styleId="BodyText">
    <w:name w:val="Body Text"/>
    <w:basedOn w:val="Normal"/>
    <w:link w:val="BodyTextChar"/>
    <w:uiPriority w:val="99"/>
    <w:rsid w:val="00FB4CEC"/>
    <w:pPr>
      <w:keepNext/>
      <w:keepLines/>
      <w:spacing w:before="120" w:after="120"/>
      <w:jc w:val="both"/>
    </w:pPr>
  </w:style>
  <w:style w:type="character" w:customStyle="1" w:styleId="BodyTextChar">
    <w:name w:val="Body Text Char"/>
    <w:link w:val="BodyText"/>
    <w:uiPriority w:val="99"/>
    <w:locked/>
    <w:rsid w:val="007316E2"/>
    <w:rPr>
      <w:rFonts w:ascii="Calibri" w:hAnsi="Calibri"/>
      <w:sz w:val="24"/>
      <w:lang w:eastAsia="en-US"/>
    </w:rPr>
  </w:style>
  <w:style w:type="character" w:customStyle="1" w:styleId="BodyTextIndentChar">
    <w:name w:val="Body Text Indent Char"/>
    <w:link w:val="BodyTextIndent"/>
    <w:locked/>
    <w:rsid w:val="00BF50D3"/>
    <w:rPr>
      <w:rFonts w:ascii="Calibri" w:hAnsi="Calibri"/>
      <w:sz w:val="24"/>
      <w:szCs w:val="24"/>
      <w:lang w:eastAsia="en-US"/>
    </w:rPr>
  </w:style>
  <w:style w:type="character" w:customStyle="1" w:styleId="BSbullet1Char">
    <w:name w:val="BS_bullet 1 Char"/>
    <w:basedOn w:val="BodyTextIndentChar"/>
    <w:link w:val="BSbullet1"/>
    <w:rsid w:val="009E4D5F"/>
    <w:rPr>
      <w:rFonts w:ascii="Calibri" w:hAnsi="Calibri"/>
      <w:sz w:val="24"/>
      <w:szCs w:val="24"/>
      <w:lang w:eastAsia="en-US"/>
    </w:rPr>
  </w:style>
  <w:style w:type="paragraph" w:customStyle="1" w:styleId="FooterBP">
    <w:name w:val="Footer BP"/>
    <w:basedOn w:val="Normal"/>
    <w:next w:val="Normal"/>
    <w:rsid w:val="00FB4CEC"/>
    <w:pPr>
      <w:pBdr>
        <w:top w:val="single" w:sz="4" w:space="1" w:color="auto"/>
      </w:pBdr>
      <w:tabs>
        <w:tab w:val="center" w:pos="4536"/>
        <w:tab w:val="right" w:pos="9356"/>
      </w:tabs>
      <w:ind w:left="-284" w:right="-329"/>
    </w:pPr>
    <w:rPr>
      <w:i/>
      <w:sz w:val="20"/>
    </w:rPr>
  </w:style>
  <w:style w:type="character" w:customStyle="1" w:styleId="Heading2Char">
    <w:name w:val="Heading 2 Char"/>
    <w:link w:val="Heading2"/>
    <w:locked/>
    <w:rsid w:val="00EE4D16"/>
    <w:rPr>
      <w:rFonts w:ascii="Calibri" w:hAnsi="Calibri"/>
      <w:b/>
      <w:snapToGrid w:val="0"/>
      <w:sz w:val="32"/>
      <w:lang w:eastAsia="en-US"/>
    </w:rPr>
  </w:style>
  <w:style w:type="paragraph" w:styleId="ListParagraph">
    <w:name w:val="List Paragraph"/>
    <w:basedOn w:val="Normal"/>
    <w:link w:val="ListParagraphChar"/>
    <w:uiPriority w:val="34"/>
    <w:qFormat/>
    <w:rsid w:val="009E567D"/>
    <w:pPr>
      <w:spacing w:after="0"/>
      <w:ind w:left="357" w:hanging="357"/>
    </w:pPr>
    <w:rPr>
      <w:sz w:val="16"/>
      <w:szCs w:val="24"/>
    </w:rPr>
  </w:style>
  <w:style w:type="character" w:customStyle="1" w:styleId="ListParagraphChar">
    <w:name w:val="List Paragraph Char"/>
    <w:link w:val="ListParagraph"/>
    <w:uiPriority w:val="34"/>
    <w:rsid w:val="005B5A37"/>
    <w:rPr>
      <w:rFonts w:ascii="Calibri" w:hAnsi="Calibri"/>
      <w:sz w:val="16"/>
      <w:szCs w:val="24"/>
      <w:lang w:eastAsia="en-US"/>
    </w:rPr>
  </w:style>
  <w:style w:type="paragraph" w:styleId="Caption">
    <w:name w:val="caption"/>
    <w:basedOn w:val="Normal"/>
    <w:next w:val="Normal"/>
    <w:unhideWhenUsed/>
    <w:qFormat/>
    <w:locked/>
    <w:rsid w:val="00F31EEF"/>
    <w:pPr>
      <w:keepNext/>
      <w:spacing w:before="240"/>
    </w:pPr>
    <w:rPr>
      <w:b/>
      <w:bCs/>
      <w:color w:val="000000"/>
      <w:sz w:val="22"/>
      <w:szCs w:val="18"/>
    </w:rPr>
  </w:style>
  <w:style w:type="paragraph" w:customStyle="1" w:styleId="BStabletext">
    <w:name w:val="BS_table text"/>
    <w:basedOn w:val="BStableheading1"/>
    <w:link w:val="BStabletextChar"/>
    <w:autoRedefine/>
    <w:qFormat/>
    <w:rsid w:val="00F80175"/>
    <w:pPr>
      <w:framePr w:wrap="auto" w:vAnchor="margin" w:yAlign="inline"/>
      <w:ind w:left="227" w:hanging="227"/>
      <w:jc w:val="left"/>
    </w:pPr>
    <w:rPr>
      <w:b w:val="0"/>
      <w:lang w:eastAsia="en-AU"/>
    </w:rPr>
  </w:style>
  <w:style w:type="paragraph" w:customStyle="1" w:styleId="BStableheading1">
    <w:name w:val="BS_table heading 1"/>
    <w:basedOn w:val="NoSpacing"/>
    <w:link w:val="BStableheading1Char"/>
    <w:rsid w:val="007D71D2"/>
    <w:pPr>
      <w:framePr w:wrap="around" w:vAnchor="text" w:hAnchor="text" w:y="1"/>
      <w:jc w:val="right"/>
    </w:pPr>
    <w:rPr>
      <w:b/>
      <w:bCs/>
    </w:rPr>
  </w:style>
  <w:style w:type="paragraph" w:styleId="NoSpacing">
    <w:name w:val="No Spacing"/>
    <w:link w:val="NoSpacingChar"/>
    <w:uiPriority w:val="1"/>
    <w:qFormat/>
    <w:rsid w:val="007A4C99"/>
    <w:rPr>
      <w:rFonts w:ascii="Calibri" w:hAnsi="Calibri"/>
      <w:lang w:eastAsia="en-US"/>
    </w:rPr>
  </w:style>
  <w:style w:type="character" w:customStyle="1" w:styleId="NoSpacingChar">
    <w:name w:val="No Spacing Char"/>
    <w:link w:val="NoSpacing"/>
    <w:uiPriority w:val="1"/>
    <w:rsid w:val="007A4C99"/>
    <w:rPr>
      <w:rFonts w:ascii="Calibri" w:hAnsi="Calibri"/>
      <w:lang w:eastAsia="en-US"/>
    </w:rPr>
  </w:style>
  <w:style w:type="character" w:customStyle="1" w:styleId="BStableheading1Char">
    <w:name w:val="BS_table heading 1 Char"/>
    <w:basedOn w:val="NoSpacingChar"/>
    <w:link w:val="BStableheading1"/>
    <w:rsid w:val="007D71D2"/>
    <w:rPr>
      <w:rFonts w:ascii="Calibri" w:hAnsi="Calibri"/>
      <w:b/>
      <w:bCs/>
      <w:lang w:eastAsia="en-US"/>
    </w:rPr>
  </w:style>
  <w:style w:type="character" w:customStyle="1" w:styleId="BStabletextChar">
    <w:name w:val="BS_table text Char"/>
    <w:basedOn w:val="BStableheading1Char"/>
    <w:link w:val="BStabletext"/>
    <w:rsid w:val="00F80175"/>
    <w:rPr>
      <w:rFonts w:ascii="Calibri" w:hAnsi="Calibri"/>
      <w:b/>
      <w:bCs/>
      <w:lang w:eastAsia="en-US"/>
    </w:rPr>
  </w:style>
  <w:style w:type="character" w:styleId="Strong">
    <w:name w:val="Strong"/>
    <w:qFormat/>
    <w:rsid w:val="00D746DB"/>
    <w:rPr>
      <w:rFonts w:ascii="Calibri" w:hAnsi="Calibri"/>
      <w:b/>
      <w:bCs/>
    </w:rPr>
  </w:style>
  <w:style w:type="paragraph" w:customStyle="1" w:styleId="NoteHeading1">
    <w:name w:val="Note Heading1"/>
    <w:basedOn w:val="Normal"/>
    <w:autoRedefine/>
    <w:rsid w:val="00A757AE"/>
    <w:pPr>
      <w:spacing w:before="120" w:after="0"/>
      <w:ind w:left="28"/>
    </w:pPr>
    <w:rPr>
      <w:b/>
      <w:bCs/>
      <w:sz w:val="18"/>
      <w:szCs w:val="18"/>
    </w:rPr>
  </w:style>
  <w:style w:type="character" w:styleId="LineNumber">
    <w:name w:val="line number"/>
    <w:basedOn w:val="DefaultParagraphFont"/>
    <w:rsid w:val="00FB4CEC"/>
  </w:style>
  <w:style w:type="paragraph" w:customStyle="1" w:styleId="NumberedNotes">
    <w:name w:val="Numbered Notes"/>
    <w:basedOn w:val="FootnoteText"/>
    <w:rsid w:val="007316E2"/>
    <w:pPr>
      <w:spacing w:after="60"/>
      <w:ind w:left="357" w:hanging="357"/>
      <w:jc w:val="both"/>
    </w:pPr>
    <w:rPr>
      <w:sz w:val="16"/>
    </w:rPr>
  </w:style>
  <w:style w:type="paragraph" w:styleId="FootnoteText">
    <w:name w:val="footnote text"/>
    <w:basedOn w:val="Normal"/>
    <w:link w:val="FootnoteTextChar"/>
    <w:rsid w:val="00FB4CEC"/>
    <w:rPr>
      <w:sz w:val="20"/>
    </w:rPr>
  </w:style>
  <w:style w:type="character" w:customStyle="1" w:styleId="FootnoteTextChar">
    <w:name w:val="Footnote Text Char"/>
    <w:link w:val="FootnoteText"/>
    <w:locked/>
    <w:rsid w:val="007316E2"/>
    <w:rPr>
      <w:rFonts w:ascii="Calibri" w:hAnsi="Calibri"/>
      <w:lang w:eastAsia="en-US"/>
    </w:rPr>
  </w:style>
  <w:style w:type="character" w:customStyle="1" w:styleId="Heading3Char">
    <w:name w:val="Heading 3 Char"/>
    <w:link w:val="Heading3"/>
    <w:locked/>
    <w:rsid w:val="008E3537"/>
    <w:rPr>
      <w:rFonts w:ascii="Calibri" w:hAnsi="Calibri"/>
      <w:b/>
      <w:bCs/>
      <w:sz w:val="28"/>
      <w:szCs w:val="26"/>
      <w:lang w:eastAsia="en-US"/>
    </w:rPr>
  </w:style>
  <w:style w:type="character" w:customStyle="1" w:styleId="Heading4Char">
    <w:name w:val="Heading 4 Char"/>
    <w:link w:val="Heading4"/>
    <w:locked/>
    <w:rsid w:val="006766F9"/>
    <w:rPr>
      <w:rFonts w:ascii="Calibri" w:hAnsi="Calibri"/>
      <w:b/>
      <w:bCs/>
      <w:i/>
      <w:sz w:val="24"/>
      <w:bdr w:val="none" w:sz="0" w:space="0" w:color="auto" w:frame="1"/>
      <w:lang w:eastAsia="en-US"/>
    </w:rPr>
  </w:style>
  <w:style w:type="paragraph" w:customStyle="1" w:styleId="BSnote">
    <w:name w:val="BS_note"/>
    <w:basedOn w:val="NoteHeading2"/>
    <w:link w:val="BSnoteChar"/>
    <w:qFormat/>
    <w:rsid w:val="00EE4D16"/>
    <w:pPr>
      <w:keepNext/>
      <w:spacing w:after="0"/>
    </w:pPr>
    <w:rPr>
      <w:sz w:val="18"/>
      <w:szCs w:val="16"/>
    </w:rPr>
  </w:style>
  <w:style w:type="paragraph" w:customStyle="1" w:styleId="NoteHeading2">
    <w:name w:val="Note Heading2"/>
    <w:basedOn w:val="Normal"/>
    <w:next w:val="Normal"/>
    <w:link w:val="NoteHeadingChar"/>
    <w:rsid w:val="00FB4CEC"/>
    <w:pPr>
      <w:spacing w:before="120"/>
    </w:pPr>
    <w:rPr>
      <w:b/>
      <w:sz w:val="16"/>
    </w:rPr>
  </w:style>
  <w:style w:type="character" w:customStyle="1" w:styleId="NoteHeadingChar">
    <w:name w:val="Note Heading Char"/>
    <w:link w:val="NoteHeading2"/>
    <w:locked/>
    <w:rsid w:val="007316E2"/>
    <w:rPr>
      <w:rFonts w:ascii="Calibri" w:hAnsi="Calibri"/>
      <w:b/>
      <w:sz w:val="16"/>
      <w:lang w:eastAsia="en-US"/>
    </w:rPr>
  </w:style>
  <w:style w:type="character" w:customStyle="1" w:styleId="BSnoteChar">
    <w:name w:val="BS_note Char"/>
    <w:link w:val="BSnote"/>
    <w:rsid w:val="00EE4D16"/>
    <w:rPr>
      <w:rFonts w:ascii="Calibri" w:hAnsi="Calibri"/>
      <w:b/>
      <w:sz w:val="18"/>
      <w:szCs w:val="16"/>
      <w:lang w:eastAsia="en-US"/>
    </w:rPr>
  </w:style>
  <w:style w:type="paragraph" w:customStyle="1" w:styleId="BSnoteslist">
    <w:name w:val="BS_notes list"/>
    <w:basedOn w:val="Alnotes"/>
    <w:link w:val="BSnoteslistChar"/>
    <w:qFormat/>
    <w:rsid w:val="00833051"/>
    <w:pPr>
      <w:numPr>
        <w:numId w:val="4"/>
      </w:numPr>
    </w:pPr>
  </w:style>
  <w:style w:type="paragraph" w:customStyle="1" w:styleId="Alnotes">
    <w:name w:val="Al notes"/>
    <w:basedOn w:val="ListParagraph"/>
    <w:next w:val="Normal"/>
    <w:link w:val="AlnotesChar"/>
    <w:autoRedefine/>
    <w:rsid w:val="00C0540A"/>
    <w:pPr>
      <w:numPr>
        <w:numId w:val="5"/>
      </w:numPr>
      <w:spacing w:before="0"/>
    </w:pPr>
    <w:rPr>
      <w:sz w:val="18"/>
    </w:rPr>
  </w:style>
  <w:style w:type="character" w:customStyle="1" w:styleId="AlnotesChar">
    <w:name w:val="Al notes Char"/>
    <w:link w:val="Alnotes"/>
    <w:rsid w:val="00C0540A"/>
    <w:rPr>
      <w:rFonts w:ascii="Calibri" w:hAnsi="Calibri"/>
      <w:sz w:val="18"/>
      <w:szCs w:val="24"/>
      <w:lang w:eastAsia="en-US"/>
    </w:rPr>
  </w:style>
  <w:style w:type="character" w:customStyle="1" w:styleId="BSnoteslistChar">
    <w:name w:val="BS_notes list Char"/>
    <w:basedOn w:val="AlnotesChar"/>
    <w:link w:val="BSnoteslist"/>
    <w:rsid w:val="00833051"/>
    <w:rPr>
      <w:rFonts w:ascii="Calibri" w:hAnsi="Calibri"/>
      <w:sz w:val="18"/>
      <w:szCs w:val="24"/>
      <w:lang w:eastAsia="en-US"/>
    </w:rPr>
  </w:style>
  <w:style w:type="paragraph" w:customStyle="1" w:styleId="BStablefigures00">
    <w:name w:val="BS_table figures_0_0"/>
    <w:basedOn w:val="Normal"/>
    <w:link w:val="BStablefiguresChar00"/>
    <w:autoRedefine/>
    <w:qFormat/>
    <w:rsid w:val="00C06982"/>
    <w:pPr>
      <w:tabs>
        <w:tab w:val="center" w:pos="618"/>
        <w:tab w:val="right" w:pos="1033"/>
      </w:tabs>
      <w:spacing w:before="0" w:after="0" w:line="254" w:lineRule="auto"/>
      <w:jc w:val="right"/>
    </w:pPr>
    <w:rPr>
      <w:sz w:val="20"/>
      <w:lang w:eastAsia="en-AU"/>
    </w:rPr>
  </w:style>
  <w:style w:type="character" w:customStyle="1" w:styleId="BStablefiguresChar00">
    <w:name w:val="BS_table figures Char_0_0"/>
    <w:basedOn w:val="DefaultParagraphFont"/>
    <w:link w:val="BStablefigures00"/>
    <w:locked/>
    <w:rsid w:val="00C06982"/>
    <w:rPr>
      <w:rFonts w:ascii="Calibri" w:hAnsi="Calibri"/>
    </w:rPr>
  </w:style>
  <w:style w:type="paragraph" w:customStyle="1" w:styleId="Normal0">
    <w:name w:val="Normal_0"/>
    <w:qFormat/>
    <w:rsid w:val="00211F16"/>
    <w:pPr>
      <w:spacing w:before="200" w:after="200"/>
    </w:pPr>
    <w:rPr>
      <w:rFonts w:ascii="Calibri" w:hAnsi="Calibri"/>
      <w:sz w:val="24"/>
      <w:lang w:eastAsia="en-US"/>
    </w:rPr>
  </w:style>
  <w:style w:type="paragraph" w:customStyle="1" w:styleId="Normal02">
    <w:name w:val="Normal_0_2"/>
    <w:qFormat/>
    <w:rsid w:val="00B53086"/>
    <w:pPr>
      <w:spacing w:before="200" w:after="200"/>
    </w:pPr>
    <w:rPr>
      <w:rFonts w:ascii="Calibri" w:hAnsi="Calibri"/>
      <w:sz w:val="24"/>
      <w:lang w:eastAsia="en-US"/>
    </w:rPr>
  </w:style>
  <w:style w:type="paragraph" w:customStyle="1" w:styleId="BSnote0">
    <w:name w:val="BS_note_0"/>
    <w:basedOn w:val="Normal"/>
    <w:link w:val="BSnoteChar0"/>
    <w:qFormat/>
    <w:rsid w:val="00B53086"/>
    <w:pPr>
      <w:keepNext/>
      <w:spacing w:before="120" w:after="0"/>
    </w:pPr>
    <w:rPr>
      <w:b/>
      <w:sz w:val="18"/>
      <w:szCs w:val="16"/>
    </w:rPr>
  </w:style>
  <w:style w:type="character" w:customStyle="1" w:styleId="BSnoteChar0">
    <w:name w:val="BS_note Char_0"/>
    <w:link w:val="BSnote0"/>
    <w:locked/>
    <w:rsid w:val="00B53086"/>
    <w:rPr>
      <w:rFonts w:ascii="Calibri" w:hAnsi="Calibri"/>
      <w:b/>
      <w:sz w:val="18"/>
      <w:szCs w:val="16"/>
      <w:lang w:eastAsia="en-US"/>
    </w:rPr>
  </w:style>
  <w:style w:type="paragraph" w:customStyle="1" w:styleId="BSnoteslist1">
    <w:name w:val="BS_notes list_1"/>
    <w:basedOn w:val="Normal"/>
    <w:link w:val="BSnoteslistChar1"/>
    <w:qFormat/>
    <w:rsid w:val="00B53086"/>
    <w:pPr>
      <w:numPr>
        <w:numId w:val="13"/>
      </w:numPr>
      <w:spacing w:before="0" w:after="0"/>
    </w:pPr>
    <w:rPr>
      <w:sz w:val="18"/>
      <w:szCs w:val="24"/>
    </w:rPr>
  </w:style>
  <w:style w:type="character" w:customStyle="1" w:styleId="BSnoteslistChar1">
    <w:name w:val="BS_notes list Char_1"/>
    <w:basedOn w:val="DefaultParagraphFont"/>
    <w:link w:val="BSnoteslist1"/>
    <w:locked/>
    <w:rsid w:val="00B53086"/>
    <w:rPr>
      <w:rFonts w:ascii="Calibri" w:hAnsi="Calibri"/>
      <w:sz w:val="18"/>
      <w:szCs w:val="24"/>
      <w:lang w:eastAsia="en-US"/>
    </w:rPr>
  </w:style>
  <w:style w:type="paragraph" w:customStyle="1" w:styleId="Normal40">
    <w:name w:val="Normal_4_0"/>
    <w:qFormat/>
    <w:rsid w:val="00BD4666"/>
    <w:pPr>
      <w:spacing w:before="200" w:after="200"/>
    </w:pPr>
    <w:rPr>
      <w:rFonts w:ascii="Calibri" w:hAnsi="Calibri"/>
      <w:sz w:val="24"/>
      <w:lang w:eastAsia="en-US"/>
    </w:rPr>
  </w:style>
  <w:style w:type="paragraph" w:customStyle="1" w:styleId="Normal4">
    <w:name w:val="Normal_4"/>
    <w:qFormat/>
    <w:rsid w:val="00B53086"/>
    <w:pPr>
      <w:spacing w:before="200" w:after="200"/>
    </w:pPr>
    <w:rPr>
      <w:rFonts w:ascii="Calibri" w:hAnsi="Calibri"/>
      <w:sz w:val="24"/>
      <w:lang w:eastAsia="en-US"/>
    </w:rPr>
  </w:style>
  <w:style w:type="paragraph" w:customStyle="1" w:styleId="BSnote2">
    <w:name w:val="BS_note_2"/>
    <w:basedOn w:val="Normal"/>
    <w:link w:val="BSnoteChar2"/>
    <w:qFormat/>
    <w:rsid w:val="00C30EE6"/>
    <w:pPr>
      <w:keepNext/>
      <w:keepLines/>
      <w:spacing w:before="120" w:after="0"/>
    </w:pPr>
    <w:rPr>
      <w:rFonts w:cs="Calibri"/>
      <w:b/>
      <w:sz w:val="18"/>
      <w:szCs w:val="16"/>
      <w:lang w:eastAsia="en-AU"/>
    </w:rPr>
  </w:style>
  <w:style w:type="character" w:customStyle="1" w:styleId="BSnoteChar2">
    <w:name w:val="BS_note Char_2"/>
    <w:link w:val="BSnote2"/>
    <w:locked/>
    <w:rsid w:val="00C30EE6"/>
    <w:rPr>
      <w:rFonts w:ascii="Calibri" w:hAnsi="Calibri" w:cs="Calibri"/>
      <w:b/>
      <w:sz w:val="18"/>
      <w:szCs w:val="16"/>
    </w:rPr>
  </w:style>
  <w:style w:type="paragraph" w:customStyle="1" w:styleId="BSnoteslist2">
    <w:name w:val="BS_notes list_2"/>
    <w:basedOn w:val="Normal"/>
    <w:link w:val="BSnoteslistChar2"/>
    <w:qFormat/>
    <w:rsid w:val="00F8515C"/>
    <w:pPr>
      <w:numPr>
        <w:numId w:val="22"/>
      </w:numPr>
      <w:spacing w:before="0" w:after="0"/>
    </w:pPr>
    <w:rPr>
      <w:sz w:val="18"/>
      <w:szCs w:val="24"/>
    </w:rPr>
  </w:style>
  <w:style w:type="character" w:customStyle="1" w:styleId="BSnoteslistChar2">
    <w:name w:val="BS_notes list Char_2"/>
    <w:basedOn w:val="DefaultParagraphFont"/>
    <w:link w:val="BSnoteslist2"/>
    <w:locked/>
    <w:rsid w:val="00F8515C"/>
    <w:rPr>
      <w:rFonts w:ascii="Calibri" w:hAnsi="Calibri"/>
      <w:sz w:val="18"/>
      <w:szCs w:val="24"/>
      <w:lang w:eastAsia="en-US"/>
    </w:rPr>
  </w:style>
  <w:style w:type="paragraph" w:customStyle="1" w:styleId="Bodytext0">
    <w:name w:val="Bodytext"/>
    <w:basedOn w:val="Normal"/>
    <w:rsid w:val="000315D6"/>
    <w:pPr>
      <w:tabs>
        <w:tab w:val="left" w:pos="283"/>
        <w:tab w:val="left" w:pos="567"/>
      </w:tabs>
      <w:suppressAutoHyphens/>
      <w:autoSpaceDE w:val="0"/>
      <w:autoSpaceDN w:val="0"/>
      <w:adjustRightInd w:val="0"/>
      <w:spacing w:before="0" w:after="170" w:line="270" w:lineRule="atLeast"/>
    </w:pPr>
    <w:rPr>
      <w:rFonts w:ascii="Franklin Gothic Book" w:eastAsia="SimSun" w:hAnsi="Franklin Gothic Book" w:cs="Franklin Gothic Book"/>
      <w:color w:val="000000"/>
      <w:sz w:val="20"/>
      <w:lang w:val="en-GB" w:eastAsia="en-AU"/>
    </w:rPr>
  </w:style>
  <w:style w:type="paragraph" w:customStyle="1" w:styleId="BStableheading11">
    <w:name w:val="BS_table heading 1_1"/>
    <w:basedOn w:val="Normal"/>
    <w:link w:val="BStableheading1Char1"/>
    <w:rsid w:val="00F8515C"/>
    <w:pPr>
      <w:framePr w:wrap="around" w:vAnchor="text" w:hAnchor="text" w:y="1"/>
      <w:spacing w:before="0" w:after="0"/>
      <w:jc w:val="right"/>
    </w:pPr>
    <w:rPr>
      <w:b/>
      <w:bCs/>
      <w:sz w:val="20"/>
    </w:rPr>
  </w:style>
  <w:style w:type="character" w:customStyle="1" w:styleId="BStableheading1Char1">
    <w:name w:val="BS_table heading 1 Char_1"/>
    <w:basedOn w:val="DefaultParagraphFont"/>
    <w:link w:val="BStableheading11"/>
    <w:locked/>
    <w:rsid w:val="00F8515C"/>
    <w:rPr>
      <w:rFonts w:ascii="Calibri" w:hAnsi="Calibri"/>
      <w:b/>
      <w:bCs/>
      <w:lang w:eastAsia="en-US"/>
    </w:rPr>
  </w:style>
  <w:style w:type="paragraph" w:customStyle="1" w:styleId="Normal1">
    <w:name w:val="Normal_1"/>
    <w:qFormat/>
    <w:rPr>
      <w:sz w:val="24"/>
      <w:szCs w:val="24"/>
    </w:rPr>
  </w:style>
  <w:style w:type="table" w:customStyle="1" w:styleId="CDMRange1">
    <w:name w:val="CDM Range 1"/>
    <w:basedOn w:val="TableNormal"/>
    <w:next w:val="TableNormal"/>
    <w:semiHidden/>
    <w:tblPr/>
  </w:style>
  <w:style w:type="paragraph" w:customStyle="1" w:styleId="Normal2">
    <w:name w:val="Normal_2"/>
    <w:qFormat/>
    <w:rPr>
      <w:sz w:val="24"/>
      <w:szCs w:val="24"/>
    </w:rPr>
  </w:style>
  <w:style w:type="table" w:customStyle="1" w:styleId="CDMRange2">
    <w:name w:val="CDM Range 2"/>
    <w:basedOn w:val="TableNormal"/>
    <w:next w:val="TableNormal"/>
    <w:semiHidden/>
    <w:tblPr/>
  </w:style>
  <w:style w:type="paragraph" w:customStyle="1" w:styleId="Normal3">
    <w:name w:val="Normal_3"/>
    <w:qFormat/>
    <w:rPr>
      <w:sz w:val="24"/>
      <w:szCs w:val="24"/>
    </w:rPr>
  </w:style>
  <w:style w:type="table" w:customStyle="1" w:styleId="CDMRange10">
    <w:name w:val="CDM Range 1_0"/>
    <w:basedOn w:val="TableNormal"/>
    <w:next w:val="TableNormal"/>
    <w:semiHidden/>
    <w:tblPr/>
  </w:style>
  <w:style w:type="paragraph" w:customStyle="1" w:styleId="Normal5">
    <w:name w:val="Normal_5"/>
    <w:qFormat/>
    <w:rPr>
      <w:sz w:val="24"/>
      <w:szCs w:val="24"/>
    </w:rPr>
  </w:style>
  <w:style w:type="table" w:customStyle="1" w:styleId="CDMRange20">
    <w:name w:val="CDM Range 2_0"/>
    <w:basedOn w:val="TableNormal"/>
    <w:next w:val="TableNormal"/>
    <w:semiHidden/>
    <w:tblPr/>
  </w:style>
  <w:style w:type="paragraph" w:customStyle="1" w:styleId="Normal6">
    <w:name w:val="Normal_6"/>
    <w:qFormat/>
    <w:rPr>
      <w:sz w:val="24"/>
      <w:szCs w:val="24"/>
    </w:rPr>
  </w:style>
  <w:style w:type="table" w:customStyle="1" w:styleId="CDMRange11">
    <w:name w:val="CDM Range 1_1"/>
    <w:basedOn w:val="TableNormal"/>
    <w:next w:val="TableNormal"/>
    <w:semiHidden/>
    <w:tblPr/>
  </w:style>
  <w:style w:type="paragraph" w:customStyle="1" w:styleId="Normal7">
    <w:name w:val="Normal_7"/>
    <w:qFormat/>
    <w:rPr>
      <w:sz w:val="24"/>
      <w:szCs w:val="24"/>
    </w:rPr>
  </w:style>
  <w:style w:type="table" w:customStyle="1" w:styleId="CDMRange21">
    <w:name w:val="CDM Range 2_1"/>
    <w:basedOn w:val="TableNormal"/>
    <w:next w:val="TableNormal"/>
    <w:semiHidden/>
    <w:tblPr/>
  </w:style>
  <w:style w:type="paragraph" w:customStyle="1" w:styleId="Normal8">
    <w:name w:val="Normal_8"/>
    <w:qFormat/>
    <w:rPr>
      <w:sz w:val="24"/>
      <w:szCs w:val="24"/>
    </w:rPr>
  </w:style>
  <w:style w:type="table" w:customStyle="1" w:styleId="CDMRange12">
    <w:name w:val="CDM Range 1_2"/>
    <w:basedOn w:val="TableNormal"/>
    <w:next w:val="TableNormal"/>
    <w:semiHidden/>
    <w:tblPr/>
  </w:style>
  <w:style w:type="paragraph" w:customStyle="1" w:styleId="Normal9">
    <w:name w:val="Normal_9"/>
    <w:qFormat/>
    <w:rPr>
      <w:sz w:val="24"/>
      <w:szCs w:val="24"/>
    </w:rPr>
  </w:style>
  <w:style w:type="table" w:customStyle="1" w:styleId="CDMRange22">
    <w:name w:val="CDM Range 2_2"/>
    <w:basedOn w:val="TableNormal"/>
    <w:next w:val="TableNormal"/>
    <w:semiHidden/>
    <w:tblPr/>
  </w:style>
  <w:style w:type="paragraph" w:customStyle="1" w:styleId="Normal10">
    <w:name w:val="Normal_10"/>
    <w:qFormat/>
    <w:rPr>
      <w:sz w:val="24"/>
      <w:szCs w:val="24"/>
    </w:rPr>
  </w:style>
  <w:style w:type="table" w:customStyle="1" w:styleId="CDMRange13">
    <w:name w:val="CDM Range 1_3"/>
    <w:basedOn w:val="TableNormal"/>
    <w:next w:val="TableNormal"/>
    <w:semiHidden/>
    <w:tblPr/>
  </w:style>
  <w:style w:type="paragraph" w:customStyle="1" w:styleId="Normal11">
    <w:name w:val="Normal_11"/>
    <w:qFormat/>
    <w:rPr>
      <w:sz w:val="24"/>
      <w:szCs w:val="24"/>
    </w:rPr>
  </w:style>
  <w:style w:type="table" w:customStyle="1" w:styleId="CDMRange23">
    <w:name w:val="CDM Range 2_3"/>
    <w:basedOn w:val="TableNormal"/>
    <w:next w:val="TableNormal"/>
    <w:semiHidden/>
    <w:tblPr/>
  </w:style>
  <w:style w:type="paragraph" w:customStyle="1" w:styleId="Normal12">
    <w:name w:val="Normal_12"/>
    <w:qFormat/>
    <w:rPr>
      <w:sz w:val="24"/>
      <w:szCs w:val="24"/>
    </w:rPr>
  </w:style>
  <w:style w:type="table" w:customStyle="1" w:styleId="CDMRange14">
    <w:name w:val="CDM Range 1_4"/>
    <w:basedOn w:val="TableNormal"/>
    <w:next w:val="TableNormal"/>
    <w:semiHidden/>
    <w:tblPr/>
  </w:style>
  <w:style w:type="paragraph" w:customStyle="1" w:styleId="Normal13">
    <w:name w:val="Normal_13"/>
    <w:qFormat/>
    <w:rPr>
      <w:sz w:val="24"/>
      <w:szCs w:val="24"/>
    </w:rPr>
  </w:style>
  <w:style w:type="table" w:customStyle="1" w:styleId="CDMRange24">
    <w:name w:val="CDM Range 2_4"/>
    <w:basedOn w:val="TableNormal"/>
    <w:next w:val="TableNormal"/>
    <w:semiHidden/>
    <w:tblPr/>
  </w:style>
  <w:style w:type="paragraph" w:customStyle="1" w:styleId="Normal14">
    <w:name w:val="Normal_14"/>
    <w:qFormat/>
    <w:rPr>
      <w:sz w:val="24"/>
      <w:szCs w:val="24"/>
    </w:rPr>
  </w:style>
  <w:style w:type="table" w:customStyle="1" w:styleId="CDMRange15">
    <w:name w:val="CDM Range 1_5"/>
    <w:basedOn w:val="TableNormal"/>
    <w:next w:val="TableNormal"/>
    <w:semiHidden/>
    <w:tblPr/>
  </w:style>
  <w:style w:type="paragraph" w:customStyle="1" w:styleId="Normal15">
    <w:name w:val="Normal_15"/>
    <w:qFormat/>
    <w:rPr>
      <w:sz w:val="24"/>
      <w:szCs w:val="24"/>
    </w:rPr>
  </w:style>
  <w:style w:type="table" w:customStyle="1" w:styleId="CDMRange25">
    <w:name w:val="CDM Range 2_5"/>
    <w:basedOn w:val="TableNormal"/>
    <w:next w:val="TableNormal"/>
    <w:semiHidden/>
    <w:tblPr/>
  </w:style>
  <w:style w:type="paragraph" w:customStyle="1" w:styleId="Normal16">
    <w:name w:val="Normal_16"/>
    <w:qFormat/>
    <w:rPr>
      <w:sz w:val="24"/>
      <w:szCs w:val="24"/>
    </w:rPr>
  </w:style>
  <w:style w:type="table" w:customStyle="1" w:styleId="CDMRange16">
    <w:name w:val="CDM Range 1_6"/>
    <w:basedOn w:val="TableNormal"/>
    <w:next w:val="TableNormal"/>
    <w:semiHidden/>
    <w:tblPr/>
  </w:style>
  <w:style w:type="paragraph" w:customStyle="1" w:styleId="Normal17">
    <w:name w:val="Normal_17"/>
    <w:qFormat/>
    <w:rPr>
      <w:sz w:val="24"/>
      <w:szCs w:val="24"/>
    </w:rPr>
  </w:style>
  <w:style w:type="table" w:customStyle="1" w:styleId="CDMRange26">
    <w:name w:val="CDM Range 2_6"/>
    <w:basedOn w:val="TableNormal"/>
    <w:next w:val="TableNormal"/>
    <w:semiHidden/>
    <w:tblPr/>
  </w:style>
  <w:style w:type="paragraph" w:customStyle="1" w:styleId="Normal18">
    <w:name w:val="Normal_18"/>
    <w:qFormat/>
    <w:rPr>
      <w:sz w:val="24"/>
      <w:szCs w:val="24"/>
    </w:rPr>
  </w:style>
  <w:style w:type="table" w:customStyle="1" w:styleId="CDMRange17">
    <w:name w:val="CDM Range 1_7"/>
    <w:basedOn w:val="TableNormal"/>
    <w:next w:val="TableNormal"/>
    <w:semiHidden/>
    <w:tblPr/>
  </w:style>
  <w:style w:type="paragraph" w:customStyle="1" w:styleId="BStablefigures">
    <w:name w:val="BS_table figures"/>
    <w:basedOn w:val="BStabletext"/>
    <w:link w:val="BStablefiguresChar"/>
    <w:autoRedefine/>
    <w:qFormat/>
    <w:rsid w:val="009832FC"/>
    <w:pPr>
      <w:jc w:val="right"/>
    </w:pPr>
    <w:rPr>
      <w:bCs w:val="0"/>
      <w:szCs w:val="24"/>
      <w:lang w:eastAsia="en-US"/>
    </w:rPr>
  </w:style>
  <w:style w:type="character" w:customStyle="1" w:styleId="BStablefiguresChar">
    <w:name w:val="BS_table figures Char"/>
    <w:basedOn w:val="AITableTextChar"/>
    <w:link w:val="BStablefigures"/>
    <w:rsid w:val="009832FC"/>
    <w:rPr>
      <w:rFonts w:ascii="Calibri" w:hAnsi="Calibri"/>
      <w:szCs w:val="24"/>
      <w:lang w:eastAsia="en-US"/>
    </w:rPr>
  </w:style>
  <w:style w:type="character" w:customStyle="1" w:styleId="AITableTextChar">
    <w:name w:val="AI Table Text Char"/>
    <w:link w:val="AITableText"/>
    <w:locked/>
    <w:rsid w:val="009832FC"/>
    <w:rPr>
      <w:rFonts w:ascii="Calibri" w:hAnsi="Calibri"/>
      <w:szCs w:val="24"/>
      <w:lang w:eastAsia="en-US"/>
    </w:rPr>
  </w:style>
  <w:style w:type="paragraph" w:customStyle="1" w:styleId="AITableText">
    <w:name w:val="AI Table Text"/>
    <w:basedOn w:val="Normal"/>
    <w:link w:val="AITableTextChar"/>
    <w:rsid w:val="009832FC"/>
    <w:pPr>
      <w:jc w:val="right"/>
    </w:pPr>
    <w:rPr>
      <w:sz w:val="20"/>
      <w:szCs w:val="24"/>
    </w:rPr>
  </w:style>
  <w:style w:type="paragraph" w:customStyle="1" w:styleId="Heading21">
    <w:name w:val="Heading 2_1"/>
    <w:basedOn w:val="Normal3"/>
    <w:next w:val="Normal3"/>
    <w:link w:val="Heading2Char1"/>
    <w:qFormat/>
    <w:rsid w:val="009832FC"/>
    <w:pPr>
      <w:keepNext/>
      <w:snapToGrid w:val="0"/>
      <w:spacing w:before="360" w:after="200"/>
      <w:outlineLvl w:val="1"/>
    </w:pPr>
    <w:rPr>
      <w:rFonts w:ascii="Calibri" w:hAnsi="Calibri"/>
      <w:b/>
      <w:sz w:val="32"/>
      <w:szCs w:val="20"/>
      <w:lang w:eastAsia="en-US"/>
    </w:rPr>
  </w:style>
  <w:style w:type="character" w:customStyle="1" w:styleId="Heading2Char1">
    <w:name w:val="Heading 2 Char_1"/>
    <w:link w:val="Heading21"/>
    <w:locked/>
    <w:rsid w:val="009832FC"/>
    <w:rPr>
      <w:rFonts w:ascii="Calibri" w:hAnsi="Calibri"/>
      <w:b/>
      <w:sz w:val="32"/>
      <w:lang w:eastAsia="en-US"/>
    </w:rPr>
  </w:style>
  <w:style w:type="paragraph" w:customStyle="1" w:styleId="Normal030">
    <w:name w:val="Normal_0_3_0"/>
    <w:qFormat/>
    <w:rsid w:val="009832FC"/>
    <w:pPr>
      <w:spacing w:before="200" w:after="200"/>
    </w:pPr>
    <w:rPr>
      <w:rFonts w:ascii="Calibri" w:hAnsi="Calibri"/>
      <w:sz w:val="24"/>
      <w:lang w:eastAsia="en-US"/>
    </w:rPr>
  </w:style>
  <w:style w:type="paragraph" w:customStyle="1" w:styleId="Normal03">
    <w:name w:val="Normal_0_3"/>
    <w:qFormat/>
    <w:rsid w:val="009832FC"/>
    <w:pPr>
      <w:spacing w:before="200" w:after="200"/>
    </w:pPr>
    <w:rPr>
      <w:rFonts w:ascii="Calibri" w:hAnsi="Calibri"/>
      <w:sz w:val="24"/>
      <w:lang w:eastAsia="en-US"/>
    </w:rPr>
  </w:style>
  <w:style w:type="character" w:styleId="CommentReference">
    <w:name w:val="annotation reference"/>
    <w:basedOn w:val="DefaultParagraphFont"/>
    <w:semiHidden/>
    <w:unhideWhenUsed/>
    <w:rsid w:val="009832FC"/>
    <w:rPr>
      <w:sz w:val="16"/>
      <w:szCs w:val="16"/>
    </w:rPr>
  </w:style>
  <w:style w:type="paragraph" w:styleId="CommentText">
    <w:name w:val="annotation text"/>
    <w:basedOn w:val="Normal"/>
    <w:link w:val="CommentTextChar"/>
    <w:semiHidden/>
    <w:unhideWhenUsed/>
    <w:rsid w:val="009832FC"/>
    <w:rPr>
      <w:sz w:val="20"/>
    </w:rPr>
  </w:style>
  <w:style w:type="character" w:customStyle="1" w:styleId="CommentTextChar">
    <w:name w:val="Comment Text Char"/>
    <w:basedOn w:val="DefaultParagraphFont"/>
    <w:link w:val="CommentText"/>
    <w:semiHidden/>
    <w:rsid w:val="009832FC"/>
    <w:rPr>
      <w:rFonts w:ascii="Calibri" w:hAnsi="Calibri"/>
      <w:lang w:eastAsia="en-US"/>
    </w:rPr>
  </w:style>
  <w:style w:type="paragraph" w:styleId="CommentSubject">
    <w:name w:val="annotation subject"/>
    <w:basedOn w:val="CommentText"/>
    <w:next w:val="CommentText"/>
    <w:link w:val="CommentSubjectChar"/>
    <w:semiHidden/>
    <w:unhideWhenUsed/>
    <w:rsid w:val="009832FC"/>
    <w:rPr>
      <w:b/>
      <w:bCs/>
    </w:rPr>
  </w:style>
  <w:style w:type="character" w:customStyle="1" w:styleId="CommentSubjectChar">
    <w:name w:val="Comment Subject Char"/>
    <w:basedOn w:val="CommentTextChar"/>
    <w:link w:val="CommentSubject"/>
    <w:semiHidden/>
    <w:rsid w:val="009832FC"/>
    <w:rPr>
      <w:rFonts w:ascii="Calibri" w:hAnsi="Calibri"/>
      <w:b/>
      <w:bCs/>
      <w:lang w:eastAsia="en-US"/>
    </w:rPr>
  </w:style>
  <w:style w:type="paragraph" w:customStyle="1" w:styleId="Normal010">
    <w:name w:val="Normal_0_1_0"/>
    <w:qFormat/>
    <w:rsid w:val="009832FC"/>
    <w:pPr>
      <w:spacing w:before="200" w:after="200"/>
    </w:pPr>
    <w:rPr>
      <w:rFonts w:ascii="Calibri" w:hAnsi="Calibri"/>
      <w:sz w:val="24"/>
      <w:lang w:eastAsia="en-US"/>
    </w:rPr>
  </w:style>
  <w:style w:type="paragraph" w:customStyle="1" w:styleId="BSnote00">
    <w:name w:val="BS_note_0_0"/>
    <w:basedOn w:val="Normal"/>
    <w:link w:val="BSnoteChar00"/>
    <w:qFormat/>
    <w:rsid w:val="009832FC"/>
    <w:pPr>
      <w:keepNext/>
      <w:spacing w:before="120" w:after="0"/>
    </w:pPr>
    <w:rPr>
      <w:rFonts w:cs="Calibri"/>
      <w:b/>
      <w:sz w:val="18"/>
      <w:szCs w:val="16"/>
    </w:rPr>
  </w:style>
  <w:style w:type="character" w:customStyle="1" w:styleId="BSnoteChar00">
    <w:name w:val="BS_note Char_0_0"/>
    <w:link w:val="BSnote00"/>
    <w:locked/>
    <w:rsid w:val="009832FC"/>
    <w:rPr>
      <w:rFonts w:ascii="Calibri" w:hAnsi="Calibri" w:cs="Calibri"/>
      <w:b/>
      <w:sz w:val="18"/>
      <w:szCs w:val="16"/>
      <w:lang w:eastAsia="en-US"/>
    </w:rPr>
  </w:style>
  <w:style w:type="paragraph" w:customStyle="1" w:styleId="BSnoteslist10">
    <w:name w:val="BS_notes list_1_0"/>
    <w:basedOn w:val="Normal"/>
    <w:link w:val="BSnoteslistChar10"/>
    <w:qFormat/>
    <w:rsid w:val="009832FC"/>
    <w:pPr>
      <w:spacing w:before="0" w:after="0"/>
      <w:ind w:left="360" w:hanging="360"/>
    </w:pPr>
    <w:rPr>
      <w:rFonts w:cs="Calibri"/>
      <w:sz w:val="18"/>
      <w:szCs w:val="24"/>
    </w:rPr>
  </w:style>
  <w:style w:type="character" w:customStyle="1" w:styleId="BSnoteslistChar10">
    <w:name w:val="BS_notes list Char_1_0"/>
    <w:basedOn w:val="DefaultParagraphFont"/>
    <w:link w:val="BSnoteslist10"/>
    <w:locked/>
    <w:rsid w:val="009832FC"/>
    <w:rPr>
      <w:rFonts w:ascii="Calibri" w:hAnsi="Calibri" w:cs="Calibri"/>
      <w:sz w:val="18"/>
      <w:szCs w:val="24"/>
      <w:lang w:eastAsia="en-US"/>
    </w:rPr>
  </w:style>
  <w:style w:type="character" w:customStyle="1" w:styleId="y0nh2b">
    <w:name w:val="y0nh2b"/>
    <w:basedOn w:val="DefaultParagraphFont"/>
    <w:rsid w:val="009832FC"/>
  </w:style>
  <w:style w:type="paragraph" w:customStyle="1" w:styleId="Caption1">
    <w:name w:val="Caption_1"/>
    <w:basedOn w:val="Normal"/>
    <w:next w:val="Normal"/>
    <w:qFormat/>
    <w:locked/>
    <w:rsid w:val="009832FC"/>
    <w:pPr>
      <w:keepNext/>
      <w:spacing w:before="240"/>
    </w:pPr>
    <w:rPr>
      <w:b/>
      <w:bCs/>
      <w:color w:val="000000"/>
      <w:sz w:val="22"/>
      <w:szCs w:val="18"/>
    </w:rPr>
  </w:style>
  <w:style w:type="paragraph" w:customStyle="1" w:styleId="BStabletext0">
    <w:name w:val="BS_table text_0"/>
    <w:basedOn w:val="BStableheading10"/>
    <w:link w:val="BStabletextChar0"/>
    <w:autoRedefine/>
    <w:qFormat/>
    <w:rsid w:val="009832FC"/>
    <w:pPr>
      <w:framePr w:wrap="auto" w:vAnchor="margin" w:yAlign="inline"/>
      <w:ind w:left="227" w:hanging="227"/>
      <w:jc w:val="left"/>
    </w:pPr>
    <w:rPr>
      <w:b w:val="0"/>
    </w:rPr>
  </w:style>
  <w:style w:type="paragraph" w:customStyle="1" w:styleId="BStableheading10">
    <w:name w:val="BS_table heading 1_0"/>
    <w:basedOn w:val="Normal"/>
    <w:link w:val="BStableheading1Char0"/>
    <w:rsid w:val="009832FC"/>
    <w:pPr>
      <w:framePr w:wrap="around" w:vAnchor="text" w:hAnchor="text" w:y="1"/>
      <w:spacing w:before="0" w:after="0"/>
      <w:jc w:val="right"/>
    </w:pPr>
    <w:rPr>
      <w:rFonts w:cs="Calibri"/>
      <w:b/>
      <w:bCs/>
      <w:sz w:val="20"/>
    </w:rPr>
  </w:style>
  <w:style w:type="character" w:customStyle="1" w:styleId="BStableheading1Char0">
    <w:name w:val="BS_table heading 1 Char_0"/>
    <w:basedOn w:val="DefaultParagraphFont"/>
    <w:link w:val="BStableheading10"/>
    <w:locked/>
    <w:rsid w:val="009832FC"/>
    <w:rPr>
      <w:rFonts w:ascii="Calibri" w:hAnsi="Calibri" w:cs="Calibri"/>
      <w:b/>
      <w:bCs/>
      <w:lang w:eastAsia="en-US"/>
    </w:rPr>
  </w:style>
  <w:style w:type="character" w:customStyle="1" w:styleId="BStabletextChar0">
    <w:name w:val="BS_table text Char_0"/>
    <w:basedOn w:val="BStableheading1Char0"/>
    <w:link w:val="BStabletext0"/>
    <w:locked/>
    <w:rsid w:val="009832FC"/>
    <w:rPr>
      <w:rFonts w:ascii="Calibri" w:hAnsi="Calibri" w:cs="Calibri"/>
      <w:b w:val="0"/>
      <w:bCs/>
      <w:lang w:eastAsia="en-US"/>
    </w:rPr>
  </w:style>
  <w:style w:type="paragraph" w:customStyle="1" w:styleId="BStablefigures0">
    <w:name w:val="BS_table figures_0"/>
    <w:basedOn w:val="BStabletext0"/>
    <w:link w:val="BStablefiguresChar0"/>
    <w:autoRedefine/>
    <w:qFormat/>
    <w:rsid w:val="009832FC"/>
    <w:pPr>
      <w:jc w:val="right"/>
    </w:pPr>
    <w:rPr>
      <w:bCs w:val="0"/>
    </w:rPr>
  </w:style>
  <w:style w:type="character" w:customStyle="1" w:styleId="BStablefiguresChar0">
    <w:name w:val="BS_table figures Char_0"/>
    <w:basedOn w:val="DefaultParagraphFont"/>
    <w:link w:val="BStablefigures0"/>
    <w:locked/>
    <w:rsid w:val="009832FC"/>
    <w:rPr>
      <w:rFonts w:ascii="Calibri" w:hAnsi="Calibri" w:cs="Calibri"/>
      <w:lang w:eastAsia="en-US"/>
    </w:rPr>
  </w:style>
  <w:style w:type="paragraph" w:customStyle="1" w:styleId="BSnoteslist0">
    <w:name w:val="BS_notes list_0"/>
    <w:basedOn w:val="Normal"/>
    <w:link w:val="BSnoteslistChar0"/>
    <w:qFormat/>
    <w:rsid w:val="009832FC"/>
    <w:pPr>
      <w:spacing w:before="0" w:after="0"/>
    </w:pPr>
    <w:rPr>
      <w:rFonts w:cs="Calibri"/>
      <w:sz w:val="20"/>
    </w:rPr>
  </w:style>
  <w:style w:type="character" w:customStyle="1" w:styleId="BSnoteslistChar0">
    <w:name w:val="BS_notes list Char_0"/>
    <w:basedOn w:val="DefaultParagraphFont"/>
    <w:link w:val="BSnoteslist0"/>
    <w:locked/>
    <w:rsid w:val="009832FC"/>
    <w:rPr>
      <w:rFonts w:ascii="Calibri" w:hAnsi="Calibri" w:cs="Calibri"/>
      <w:lang w:eastAsia="en-US"/>
    </w:rPr>
  </w:style>
  <w:style w:type="paragraph" w:customStyle="1" w:styleId="BStablelist">
    <w:name w:val="BS_table list"/>
    <w:basedOn w:val="AIIndent"/>
    <w:link w:val="BStablelistChar"/>
    <w:qFormat/>
    <w:rsid w:val="009832FC"/>
    <w:pPr>
      <w:tabs>
        <w:tab w:val="clear" w:pos="360"/>
      </w:tabs>
      <w:spacing w:before="0" w:after="0"/>
      <w:ind w:left="360" w:hanging="360"/>
    </w:pPr>
  </w:style>
  <w:style w:type="paragraph" w:customStyle="1" w:styleId="AIIndent">
    <w:name w:val="AI Indent"/>
    <w:basedOn w:val="Normal"/>
    <w:link w:val="AIIndentChar"/>
    <w:rsid w:val="009832FC"/>
    <w:pPr>
      <w:tabs>
        <w:tab w:val="num" w:pos="360"/>
      </w:tabs>
      <w:ind w:left="357" w:hanging="357"/>
    </w:pPr>
    <w:rPr>
      <w:sz w:val="20"/>
    </w:rPr>
  </w:style>
  <w:style w:type="character" w:customStyle="1" w:styleId="AIIndentChar">
    <w:name w:val="AI Indent Char"/>
    <w:link w:val="AIIndent"/>
    <w:locked/>
    <w:rsid w:val="009832FC"/>
    <w:rPr>
      <w:rFonts w:ascii="Calibri" w:hAnsi="Calibri"/>
      <w:lang w:eastAsia="en-US"/>
    </w:rPr>
  </w:style>
  <w:style w:type="character" w:customStyle="1" w:styleId="BStablelistChar">
    <w:name w:val="BS_table list Char"/>
    <w:basedOn w:val="AIIndentChar"/>
    <w:link w:val="BStablelist"/>
    <w:rsid w:val="009832FC"/>
    <w:rPr>
      <w:rFonts w:ascii="Calibri" w:hAnsi="Calibri"/>
      <w:lang w:eastAsia="en-US"/>
    </w:rPr>
  </w:style>
  <w:style w:type="paragraph" w:customStyle="1" w:styleId="HeadD">
    <w:name w:val="Head D"/>
    <w:basedOn w:val="Normal"/>
    <w:rsid w:val="009832FC"/>
    <w:pPr>
      <w:tabs>
        <w:tab w:val="left" w:pos="283"/>
        <w:tab w:val="left" w:pos="567"/>
      </w:tabs>
      <w:suppressAutoHyphens/>
      <w:autoSpaceDE w:val="0"/>
      <w:autoSpaceDN w:val="0"/>
      <w:adjustRightInd w:val="0"/>
      <w:spacing w:before="227" w:after="113" w:line="270" w:lineRule="atLeast"/>
    </w:pPr>
    <w:rPr>
      <w:rFonts w:ascii="Franklin Gothic Demi" w:hAnsi="Franklin Gothic Demi" w:cs="Franklin Gothic Demi"/>
      <w:color w:val="000000"/>
      <w:sz w:val="26"/>
      <w:szCs w:val="26"/>
      <w:lang w:val="en-GB" w:eastAsia="en-AU"/>
    </w:rPr>
  </w:style>
  <w:style w:type="paragraph" w:customStyle="1" w:styleId="BSbullet2">
    <w:name w:val="BS_bullet 2"/>
    <w:basedOn w:val="BSbullet1"/>
    <w:link w:val="BSbullet2Char"/>
    <w:qFormat/>
    <w:rsid w:val="009832FC"/>
    <w:pPr>
      <w:numPr>
        <w:numId w:val="0"/>
      </w:numPr>
      <w:ind w:left="1437" w:hanging="360"/>
    </w:pPr>
  </w:style>
  <w:style w:type="character" w:customStyle="1" w:styleId="BSbullet2Char">
    <w:name w:val="BS_bullet 2 Char"/>
    <w:basedOn w:val="BSbullet1Char"/>
    <w:link w:val="BSbullet2"/>
    <w:rsid w:val="009832FC"/>
    <w:rPr>
      <w:rFonts w:ascii="Calibri" w:hAnsi="Calibri"/>
      <w:sz w:val="24"/>
      <w:szCs w:val="24"/>
      <w:lang w:eastAsia="en-US"/>
    </w:rPr>
  </w:style>
  <w:style w:type="paragraph" w:styleId="Footer">
    <w:name w:val="footer"/>
    <w:basedOn w:val="Normal"/>
    <w:link w:val="FooterChar"/>
    <w:unhideWhenUsed/>
    <w:rsid w:val="009832FC"/>
    <w:pPr>
      <w:tabs>
        <w:tab w:val="center" w:pos="4513"/>
        <w:tab w:val="right" w:pos="9026"/>
      </w:tabs>
      <w:spacing w:before="0" w:after="0"/>
    </w:pPr>
  </w:style>
  <w:style w:type="character" w:customStyle="1" w:styleId="FooterChar">
    <w:name w:val="Footer Char"/>
    <w:basedOn w:val="DefaultParagraphFont"/>
    <w:link w:val="Footer"/>
    <w:rsid w:val="009832FC"/>
    <w:rPr>
      <w:rFonts w:ascii="Calibri" w:hAnsi="Calibri"/>
      <w:sz w:val="24"/>
      <w:lang w:eastAsia="en-US"/>
    </w:rPr>
  </w:style>
  <w:style w:type="paragraph" w:styleId="TOC1">
    <w:name w:val="toc 1"/>
    <w:basedOn w:val="Normal"/>
    <w:next w:val="Normal"/>
    <w:autoRedefine/>
    <w:uiPriority w:val="39"/>
    <w:unhideWhenUsed/>
    <w:qFormat/>
    <w:locked/>
    <w:rsid w:val="00B51DBE"/>
    <w:pPr>
      <w:tabs>
        <w:tab w:val="right" w:leader="dot" w:pos="9016"/>
      </w:tabs>
      <w:spacing w:after="100"/>
    </w:pPr>
    <w:rPr>
      <w:b/>
      <w:bCs/>
      <w:sz w:val="32"/>
      <w:szCs w:val="32"/>
      <w:bdr w:val="nil"/>
    </w:rPr>
  </w:style>
  <w:style w:type="paragraph" w:styleId="TOC2">
    <w:name w:val="toc 2"/>
    <w:basedOn w:val="Normal"/>
    <w:next w:val="Normal"/>
    <w:autoRedefine/>
    <w:uiPriority w:val="39"/>
    <w:unhideWhenUsed/>
    <w:qFormat/>
    <w:locked/>
    <w:rsid w:val="00EB585F"/>
    <w:pPr>
      <w:spacing w:after="100"/>
      <w:ind w:left="240"/>
    </w:pPr>
  </w:style>
  <w:style w:type="character" w:styleId="Hyperlink">
    <w:name w:val="Hyperlink"/>
    <w:basedOn w:val="DefaultParagraphFont"/>
    <w:uiPriority w:val="99"/>
    <w:unhideWhenUsed/>
    <w:rsid w:val="00EB585F"/>
    <w:rPr>
      <w:color w:val="0000FF" w:themeColor="hyperlink"/>
      <w:u w:val="single"/>
    </w:rPr>
  </w:style>
  <w:style w:type="paragraph" w:styleId="TOC3">
    <w:name w:val="toc 3"/>
    <w:basedOn w:val="Normal"/>
    <w:next w:val="Normal"/>
    <w:autoRedefine/>
    <w:uiPriority w:val="39"/>
    <w:unhideWhenUsed/>
    <w:locked/>
    <w:rsid w:val="00B51DB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279795">
      <w:bodyDiv w:val="1"/>
      <w:marLeft w:val="0"/>
      <w:marRight w:val="0"/>
      <w:marTop w:val="0"/>
      <w:marBottom w:val="0"/>
      <w:divBdr>
        <w:top w:val="none" w:sz="0" w:space="0" w:color="auto"/>
        <w:left w:val="none" w:sz="0" w:space="0" w:color="auto"/>
        <w:bottom w:val="none" w:sz="0" w:space="0" w:color="auto"/>
        <w:right w:val="none" w:sz="0" w:space="0" w:color="auto"/>
      </w:divBdr>
    </w:div>
    <w:div w:id="18588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AD0D3-6B84-4232-A226-22C80D55CA7C}">
  <ds:schemaRefs>
    <ds:schemaRef ds:uri="http://schemas.openxmlformats.org/officeDocument/2006/bibliography"/>
  </ds:schemaRefs>
</ds:datastoreItem>
</file>

<file path=customXml/itemProps2.xml><?xml version="1.0" encoding="utf-8"?>
<ds:datastoreItem xmlns:ds="http://schemas.openxmlformats.org/officeDocument/2006/customXml" ds:itemID="{EDC4EF5B-89DB-42DE-A108-5054DD84C58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3773338-2623-4C9A-81A2-2E84E09D9D45}">
  <ds:schemaRefs>
    <ds:schemaRef ds:uri="http://schemas.microsoft.com/sharepoint/v3/contenttype/forms"/>
  </ds:schemaRefs>
</ds:datastoreItem>
</file>

<file path=customXml/itemProps4.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19399</Words>
  <Characters>110772</Characters>
  <Application>Microsoft Office Word</Application>
  <DocSecurity>4</DocSecurity>
  <Lines>923</Lines>
  <Paragraphs>259</Paragraphs>
  <ScaleCrop>false</ScaleCrop>
  <HeadingPairs>
    <vt:vector size="2" baseType="variant">
      <vt:variant>
        <vt:lpstr>Title</vt:lpstr>
      </vt:variant>
      <vt:variant>
        <vt:i4>1</vt:i4>
      </vt:variant>
    </vt:vector>
  </HeadingPairs>
  <TitlesOfParts>
    <vt:vector size="1" baseType="lpstr">
      <vt:lpstr>2021-22 ACT Health Budget Statement</vt:lpstr>
    </vt:vector>
  </TitlesOfParts>
  <Manager>Jean-Paul Donda</Manager>
  <Company>ACT Health</Company>
  <LinksUpToDate>false</LinksUpToDate>
  <CharactersWithSpaces>129912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ACT Health Budget Statement</dc:title>
  <dc:subject>2021-22 Budget Statement for ACT Health</dc:subject>
  <dc:creator>Gray Charlton</dc:creator>
  <cp:keywords>2021-22 ACT Health Budget Statement</cp:keywords>
  <cp:lastModifiedBy>Forshaw, Jessica (Health)</cp:lastModifiedBy>
  <cp:revision>2</cp:revision>
  <cp:lastPrinted>2021-10-01T02:12:00Z</cp:lastPrinted>
  <dcterms:created xsi:type="dcterms:W3CDTF">2021-10-07T22:08:00Z</dcterms:created>
  <dcterms:modified xsi:type="dcterms:W3CDTF">2021-10-07T22:08:00Z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escription">
    <vt:lpwstr>ACT Health Budget Statements includes financial statements, output classes, descriptions of functions, roles and responsibilities, together with major priorities</vt:lpwstr>
  </property>
</Properties>
</file>