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CAF0E" w14:textId="77777777" w:rsidR="0097380E" w:rsidRDefault="00D736A2" w:rsidP="004A3C60">
      <w:pPr>
        <w:rPr>
          <w:rFonts w:ascii="Arial" w:hAnsi="Arial" w:cs="Arial"/>
          <w:b/>
          <w:color w:val="000000" w:themeColor="text1"/>
          <w:sz w:val="28"/>
          <w:szCs w:val="26"/>
        </w:rPr>
      </w:pPr>
      <w:r w:rsidRPr="0097380E">
        <w:rPr>
          <w:rFonts w:ascii="Arial" w:hAnsi="Arial" w:cs="Arial"/>
          <w:b/>
          <w:i/>
          <w:color w:val="000000" w:themeColor="text1"/>
          <w:sz w:val="28"/>
          <w:szCs w:val="26"/>
        </w:rPr>
        <w:t>Indu</w:t>
      </w:r>
      <w:r w:rsidR="005409EE" w:rsidRPr="0097380E">
        <w:rPr>
          <w:rFonts w:ascii="Arial" w:hAnsi="Arial" w:cs="Arial"/>
          <w:b/>
          <w:i/>
          <w:color w:val="000000" w:themeColor="text1"/>
          <w:sz w:val="28"/>
          <w:szCs w:val="26"/>
        </w:rPr>
        <w:t>stry</w:t>
      </w:r>
      <w:r w:rsidR="00243CC5" w:rsidRPr="0097380E">
        <w:rPr>
          <w:rFonts w:ascii="Arial" w:hAnsi="Arial" w:cs="Arial"/>
          <w:b/>
          <w:i/>
          <w:color w:val="000000" w:themeColor="text1"/>
          <w:sz w:val="28"/>
          <w:szCs w:val="26"/>
        </w:rPr>
        <w:t xml:space="preserve"> P</w:t>
      </w:r>
      <w:r w:rsidRPr="0097380E">
        <w:rPr>
          <w:rFonts w:ascii="Arial" w:hAnsi="Arial" w:cs="Arial"/>
          <w:b/>
          <w:i/>
          <w:color w:val="000000" w:themeColor="text1"/>
          <w:sz w:val="28"/>
          <w:szCs w:val="26"/>
        </w:rPr>
        <w:t xml:space="preserve">anel Review of the </w:t>
      </w:r>
      <w:r w:rsidR="004A3C60" w:rsidRPr="0097380E">
        <w:rPr>
          <w:rFonts w:ascii="Arial" w:hAnsi="Arial" w:cs="Arial"/>
          <w:b/>
          <w:i/>
          <w:color w:val="000000" w:themeColor="text1"/>
          <w:sz w:val="28"/>
          <w:szCs w:val="26"/>
        </w:rPr>
        <w:t xml:space="preserve">Independent Competition and Regulatory Commission’s </w:t>
      </w:r>
      <w:r w:rsidR="00343BA8" w:rsidRPr="0097380E">
        <w:rPr>
          <w:rFonts w:ascii="Arial" w:hAnsi="Arial" w:cs="Arial"/>
          <w:b/>
          <w:i/>
          <w:color w:val="000000" w:themeColor="text1"/>
          <w:sz w:val="28"/>
          <w:szCs w:val="26"/>
        </w:rPr>
        <w:t>2013</w:t>
      </w:r>
      <w:r w:rsidR="00185436" w:rsidRPr="0097380E">
        <w:rPr>
          <w:rFonts w:ascii="Arial" w:hAnsi="Arial" w:cs="Arial"/>
          <w:b/>
          <w:i/>
          <w:color w:val="000000" w:themeColor="text1"/>
          <w:sz w:val="28"/>
          <w:szCs w:val="26"/>
        </w:rPr>
        <w:t xml:space="preserve"> </w:t>
      </w:r>
      <w:r w:rsidRPr="0097380E">
        <w:rPr>
          <w:rFonts w:ascii="Arial" w:hAnsi="Arial" w:cs="Arial"/>
          <w:b/>
          <w:i/>
          <w:color w:val="000000" w:themeColor="text1"/>
          <w:sz w:val="28"/>
          <w:szCs w:val="26"/>
        </w:rPr>
        <w:t xml:space="preserve">Price </w:t>
      </w:r>
      <w:r w:rsidR="00343BA8" w:rsidRPr="0097380E">
        <w:rPr>
          <w:rFonts w:ascii="Arial" w:hAnsi="Arial" w:cs="Arial"/>
          <w:b/>
          <w:i/>
          <w:color w:val="000000" w:themeColor="text1"/>
          <w:sz w:val="28"/>
          <w:szCs w:val="26"/>
        </w:rPr>
        <w:t>Direction</w:t>
      </w:r>
      <w:r w:rsidR="00343BA8" w:rsidRPr="0097380E">
        <w:rPr>
          <w:rFonts w:ascii="Arial" w:hAnsi="Arial" w:cs="Arial"/>
          <w:b/>
          <w:color w:val="000000" w:themeColor="text1"/>
          <w:sz w:val="28"/>
          <w:szCs w:val="26"/>
        </w:rPr>
        <w:t xml:space="preserve">: </w:t>
      </w:r>
      <w:r w:rsidR="004A3C60" w:rsidRPr="0097380E">
        <w:rPr>
          <w:rFonts w:ascii="Arial" w:hAnsi="Arial" w:cs="Arial"/>
          <w:b/>
          <w:color w:val="000000" w:themeColor="text1"/>
          <w:sz w:val="28"/>
          <w:szCs w:val="26"/>
        </w:rPr>
        <w:t xml:space="preserve"> </w:t>
      </w:r>
    </w:p>
    <w:p w14:paraId="61B475BD" w14:textId="77777777" w:rsidR="00343BA8" w:rsidRPr="0097380E" w:rsidRDefault="001C454C" w:rsidP="004A3C60">
      <w:pPr>
        <w:rPr>
          <w:rFonts w:ascii="Arial" w:hAnsi="Arial" w:cs="Arial"/>
          <w:b/>
          <w:color w:val="000000" w:themeColor="text1"/>
          <w:sz w:val="28"/>
          <w:szCs w:val="26"/>
        </w:rPr>
      </w:pPr>
      <w:r>
        <w:rPr>
          <w:rFonts w:ascii="Arial" w:hAnsi="Arial" w:cs="Arial"/>
          <w:b/>
          <w:color w:val="000000" w:themeColor="text1"/>
          <w:sz w:val="28"/>
          <w:szCs w:val="26"/>
        </w:rPr>
        <w:t xml:space="preserve">Overview of </w:t>
      </w:r>
      <w:r w:rsidR="0097380E" w:rsidRPr="0097380E">
        <w:rPr>
          <w:rFonts w:ascii="Arial" w:hAnsi="Arial" w:cs="Arial"/>
          <w:b/>
          <w:color w:val="000000" w:themeColor="text1"/>
          <w:sz w:val="28"/>
          <w:szCs w:val="26"/>
        </w:rPr>
        <w:t>f</w:t>
      </w:r>
      <w:r w:rsidR="0075189A" w:rsidRPr="0097380E">
        <w:rPr>
          <w:rFonts w:ascii="Arial" w:hAnsi="Arial" w:cs="Arial"/>
          <w:b/>
          <w:color w:val="000000" w:themeColor="text1"/>
          <w:sz w:val="28"/>
          <w:szCs w:val="26"/>
        </w:rPr>
        <w:t>inal</w:t>
      </w:r>
      <w:r w:rsidR="00343BA8" w:rsidRPr="0097380E">
        <w:rPr>
          <w:rFonts w:ascii="Arial" w:hAnsi="Arial" w:cs="Arial"/>
          <w:b/>
          <w:color w:val="000000" w:themeColor="text1"/>
          <w:sz w:val="28"/>
          <w:szCs w:val="26"/>
        </w:rPr>
        <w:t xml:space="preserve"> </w:t>
      </w:r>
      <w:r w:rsidR="0097380E" w:rsidRPr="0097380E">
        <w:rPr>
          <w:rFonts w:ascii="Arial" w:hAnsi="Arial" w:cs="Arial"/>
          <w:b/>
          <w:color w:val="000000" w:themeColor="text1"/>
          <w:sz w:val="28"/>
          <w:szCs w:val="26"/>
        </w:rPr>
        <w:t>r</w:t>
      </w:r>
      <w:r w:rsidR="00343BA8" w:rsidRPr="0097380E">
        <w:rPr>
          <w:rFonts w:ascii="Arial" w:hAnsi="Arial" w:cs="Arial"/>
          <w:b/>
          <w:color w:val="000000" w:themeColor="text1"/>
          <w:sz w:val="28"/>
          <w:szCs w:val="26"/>
        </w:rPr>
        <w:t>eport</w:t>
      </w:r>
      <w:r w:rsidR="0097380E" w:rsidRPr="0097380E">
        <w:rPr>
          <w:rFonts w:ascii="Arial" w:hAnsi="Arial" w:cs="Arial"/>
          <w:b/>
          <w:color w:val="000000" w:themeColor="text1"/>
          <w:sz w:val="28"/>
          <w:szCs w:val="26"/>
        </w:rPr>
        <w:t xml:space="preserve"> </w:t>
      </w:r>
      <w:r>
        <w:rPr>
          <w:rFonts w:ascii="Arial" w:hAnsi="Arial" w:cs="Arial"/>
          <w:b/>
          <w:color w:val="000000" w:themeColor="text1"/>
          <w:sz w:val="28"/>
          <w:szCs w:val="26"/>
        </w:rPr>
        <w:t>and decision</w:t>
      </w:r>
    </w:p>
    <w:p w14:paraId="6315C2B4" w14:textId="77777777" w:rsidR="007D6691" w:rsidRPr="007328A6" w:rsidRDefault="007D6691" w:rsidP="00510A87">
      <w:pPr>
        <w:rPr>
          <w:rFonts w:ascii="Arial" w:hAnsi="Arial" w:cs="Arial"/>
          <w:color w:val="000000" w:themeColor="text1"/>
          <w:sz w:val="22"/>
          <w:szCs w:val="22"/>
        </w:rPr>
      </w:pPr>
    </w:p>
    <w:p w14:paraId="54DB5492" w14:textId="77777777" w:rsidR="00196D08" w:rsidRPr="00A00549" w:rsidRDefault="00196D08" w:rsidP="00147936">
      <w:pPr>
        <w:rPr>
          <w:rFonts w:ascii="Arial" w:hAnsi="Arial" w:cs="Arial"/>
          <w:b/>
          <w:color w:val="1F497D" w:themeColor="text2"/>
          <w:szCs w:val="22"/>
        </w:rPr>
      </w:pPr>
      <w:r w:rsidRPr="00A00549">
        <w:rPr>
          <w:rFonts w:ascii="Arial" w:hAnsi="Arial" w:cs="Arial"/>
          <w:b/>
          <w:color w:val="1F497D" w:themeColor="text2"/>
          <w:szCs w:val="22"/>
        </w:rPr>
        <w:t>Why was a review required?</w:t>
      </w:r>
    </w:p>
    <w:p w14:paraId="7D48556E" w14:textId="77777777" w:rsidR="00196D08" w:rsidRPr="0064400F" w:rsidRDefault="00196D08" w:rsidP="00147936">
      <w:pPr>
        <w:rPr>
          <w:rFonts w:ascii="Arial" w:hAnsi="Arial" w:cs="Arial"/>
          <w:sz w:val="20"/>
          <w:szCs w:val="22"/>
        </w:rPr>
      </w:pPr>
    </w:p>
    <w:p w14:paraId="5B02487B" w14:textId="77777777" w:rsidR="00196D08" w:rsidRDefault="00E75846" w:rsidP="00147936">
      <w:pPr>
        <w:rPr>
          <w:rFonts w:ascii="Arial" w:hAnsi="Arial" w:cs="Arial"/>
          <w:sz w:val="22"/>
          <w:szCs w:val="22"/>
        </w:rPr>
      </w:pPr>
      <w:r>
        <w:rPr>
          <w:rFonts w:ascii="Arial" w:hAnsi="Arial" w:cs="Arial"/>
          <w:sz w:val="22"/>
          <w:szCs w:val="22"/>
        </w:rPr>
        <w:t>An</w:t>
      </w:r>
      <w:r w:rsidR="00CF1C81" w:rsidRPr="007328A6">
        <w:rPr>
          <w:rFonts w:ascii="Arial" w:hAnsi="Arial" w:cs="Arial"/>
          <w:sz w:val="22"/>
          <w:szCs w:val="22"/>
        </w:rPr>
        <w:t xml:space="preserve"> </w:t>
      </w:r>
      <w:r>
        <w:rPr>
          <w:rFonts w:ascii="Arial" w:hAnsi="Arial" w:cs="Arial"/>
          <w:sz w:val="22"/>
          <w:szCs w:val="22"/>
        </w:rPr>
        <w:t>I</w:t>
      </w:r>
      <w:r w:rsidR="00CF1C81" w:rsidRPr="007328A6">
        <w:rPr>
          <w:rFonts w:ascii="Arial" w:hAnsi="Arial" w:cs="Arial"/>
          <w:sz w:val="22"/>
          <w:szCs w:val="22"/>
        </w:rPr>
        <w:t xml:space="preserve">ndustry </w:t>
      </w:r>
      <w:r>
        <w:rPr>
          <w:rFonts w:ascii="Arial" w:hAnsi="Arial" w:cs="Arial"/>
          <w:sz w:val="22"/>
          <w:szCs w:val="22"/>
        </w:rPr>
        <w:t>P</w:t>
      </w:r>
      <w:r w:rsidR="00CF1C81" w:rsidRPr="007328A6">
        <w:rPr>
          <w:rFonts w:ascii="Arial" w:hAnsi="Arial" w:cs="Arial"/>
          <w:sz w:val="22"/>
          <w:szCs w:val="22"/>
        </w:rPr>
        <w:t xml:space="preserve">anel </w:t>
      </w:r>
      <w:r w:rsidR="00D736A2" w:rsidRPr="007328A6">
        <w:rPr>
          <w:rFonts w:ascii="Arial" w:hAnsi="Arial" w:cs="Arial"/>
          <w:sz w:val="22"/>
          <w:szCs w:val="22"/>
        </w:rPr>
        <w:t xml:space="preserve">was appointed </w:t>
      </w:r>
      <w:r>
        <w:rPr>
          <w:rFonts w:ascii="Arial" w:hAnsi="Arial" w:cs="Arial"/>
          <w:sz w:val="22"/>
          <w:szCs w:val="22"/>
        </w:rPr>
        <w:t xml:space="preserve">by the ACT Treasurer </w:t>
      </w:r>
      <w:r w:rsidR="00CF1C81" w:rsidRPr="007328A6">
        <w:rPr>
          <w:rFonts w:ascii="Arial" w:hAnsi="Arial" w:cs="Arial"/>
          <w:sz w:val="22"/>
          <w:szCs w:val="22"/>
        </w:rPr>
        <w:t xml:space="preserve">to </w:t>
      </w:r>
      <w:r w:rsidR="00E73CDB">
        <w:rPr>
          <w:rFonts w:ascii="Arial" w:hAnsi="Arial" w:cs="Arial"/>
          <w:sz w:val="22"/>
          <w:szCs w:val="22"/>
        </w:rPr>
        <w:t xml:space="preserve">review </w:t>
      </w:r>
      <w:r w:rsidRPr="00196D08">
        <w:rPr>
          <w:rFonts w:ascii="Arial" w:hAnsi="Arial" w:cs="Arial"/>
          <w:sz w:val="22"/>
          <w:szCs w:val="22"/>
        </w:rPr>
        <w:t xml:space="preserve">the </w:t>
      </w:r>
      <w:r w:rsidR="00E73CDB" w:rsidRPr="00196D08">
        <w:rPr>
          <w:rFonts w:ascii="Arial" w:hAnsi="Arial" w:cs="Arial"/>
          <w:sz w:val="22"/>
          <w:szCs w:val="22"/>
        </w:rPr>
        <w:t>price direction for water and sewerage services</w:t>
      </w:r>
      <w:r w:rsidR="00E73CDB">
        <w:rPr>
          <w:rFonts w:ascii="Arial" w:hAnsi="Arial" w:cs="Arial"/>
          <w:sz w:val="22"/>
          <w:szCs w:val="22"/>
        </w:rPr>
        <w:t xml:space="preserve"> set by the </w:t>
      </w:r>
      <w:r w:rsidRPr="00196D08">
        <w:rPr>
          <w:rFonts w:ascii="Arial" w:hAnsi="Arial" w:cs="Arial"/>
          <w:sz w:val="22"/>
          <w:szCs w:val="22"/>
        </w:rPr>
        <w:t>Independent Competition and Regulatory Commission</w:t>
      </w:r>
      <w:r w:rsidR="00196D08">
        <w:rPr>
          <w:rFonts w:ascii="Arial" w:hAnsi="Arial" w:cs="Arial"/>
          <w:sz w:val="22"/>
          <w:szCs w:val="22"/>
        </w:rPr>
        <w:t xml:space="preserve"> (ICRC) </w:t>
      </w:r>
      <w:r w:rsidR="00E73CDB">
        <w:rPr>
          <w:rFonts w:ascii="Arial" w:hAnsi="Arial" w:cs="Arial"/>
          <w:sz w:val="22"/>
          <w:szCs w:val="22"/>
        </w:rPr>
        <w:t xml:space="preserve">in 2013. </w:t>
      </w:r>
    </w:p>
    <w:p w14:paraId="01A389B4" w14:textId="77777777" w:rsidR="00E73CDB" w:rsidRPr="0064400F" w:rsidRDefault="00E73CDB" w:rsidP="00147936">
      <w:pPr>
        <w:rPr>
          <w:rFonts w:ascii="Arial" w:hAnsi="Arial" w:cs="Arial"/>
          <w:sz w:val="20"/>
          <w:szCs w:val="22"/>
        </w:rPr>
      </w:pPr>
    </w:p>
    <w:p w14:paraId="79E66AE5" w14:textId="77777777" w:rsidR="00CF1C81" w:rsidRPr="007328A6" w:rsidRDefault="00E75846" w:rsidP="00147936">
      <w:pPr>
        <w:rPr>
          <w:rFonts w:ascii="Arial" w:hAnsi="Arial" w:cs="Arial"/>
          <w:b/>
          <w:color w:val="000000" w:themeColor="text1"/>
          <w:sz w:val="22"/>
          <w:szCs w:val="22"/>
        </w:rPr>
      </w:pPr>
      <w:r w:rsidRPr="00196D08">
        <w:rPr>
          <w:rFonts w:ascii="Arial" w:hAnsi="Arial" w:cs="Arial"/>
          <w:sz w:val="22"/>
          <w:szCs w:val="22"/>
        </w:rPr>
        <w:t>Th</w:t>
      </w:r>
      <w:r w:rsidR="00E73CDB">
        <w:rPr>
          <w:rFonts w:ascii="Arial" w:hAnsi="Arial" w:cs="Arial"/>
          <w:sz w:val="22"/>
          <w:szCs w:val="22"/>
        </w:rPr>
        <w:t>e</w:t>
      </w:r>
      <w:r w:rsidRPr="00196D08">
        <w:rPr>
          <w:rFonts w:ascii="Arial" w:hAnsi="Arial" w:cs="Arial"/>
          <w:sz w:val="22"/>
          <w:szCs w:val="22"/>
        </w:rPr>
        <w:t xml:space="preserve"> </w:t>
      </w:r>
      <w:r w:rsidR="00E73CDB">
        <w:rPr>
          <w:rFonts w:ascii="Arial" w:hAnsi="Arial" w:cs="Arial"/>
          <w:sz w:val="22"/>
          <w:szCs w:val="22"/>
        </w:rPr>
        <w:t>review was triggered by</w:t>
      </w:r>
      <w:r w:rsidRPr="00196D08">
        <w:rPr>
          <w:rFonts w:ascii="Arial" w:hAnsi="Arial" w:cs="Arial"/>
          <w:sz w:val="22"/>
          <w:szCs w:val="22"/>
        </w:rPr>
        <w:t xml:space="preserve"> </w:t>
      </w:r>
      <w:r w:rsidR="001063C0">
        <w:rPr>
          <w:rFonts w:ascii="Arial" w:hAnsi="Arial" w:cs="Arial"/>
          <w:sz w:val="22"/>
          <w:szCs w:val="22"/>
        </w:rPr>
        <w:t xml:space="preserve">Icon Water </w:t>
      </w:r>
      <w:r w:rsidR="00A67281">
        <w:rPr>
          <w:rFonts w:ascii="Arial" w:hAnsi="Arial" w:cs="Arial"/>
          <w:sz w:val="22"/>
          <w:szCs w:val="22"/>
        </w:rPr>
        <w:t xml:space="preserve">(under the name of ACTEW Corporation) </w:t>
      </w:r>
      <w:r w:rsidRPr="007328A6">
        <w:rPr>
          <w:rFonts w:ascii="Arial" w:hAnsi="Arial" w:cs="Arial"/>
          <w:sz w:val="22"/>
          <w:szCs w:val="22"/>
        </w:rPr>
        <w:t xml:space="preserve">under the </w:t>
      </w:r>
      <w:r w:rsidR="00E73CDB">
        <w:rPr>
          <w:rFonts w:ascii="Arial" w:hAnsi="Arial" w:cs="Arial"/>
          <w:sz w:val="22"/>
          <w:szCs w:val="22"/>
        </w:rPr>
        <w:t xml:space="preserve">appeal process provided for in the </w:t>
      </w:r>
      <w:r w:rsidRPr="007328A6">
        <w:rPr>
          <w:rFonts w:ascii="Arial" w:hAnsi="Arial" w:cs="Arial"/>
          <w:i/>
          <w:sz w:val="22"/>
          <w:szCs w:val="22"/>
        </w:rPr>
        <w:t>Independent Competition and Regulatory Commission Act 1997</w:t>
      </w:r>
      <w:r>
        <w:rPr>
          <w:rFonts w:ascii="Arial" w:hAnsi="Arial" w:cs="Arial"/>
          <w:i/>
          <w:sz w:val="22"/>
          <w:szCs w:val="22"/>
        </w:rPr>
        <w:t>.</w:t>
      </w:r>
    </w:p>
    <w:p w14:paraId="179FCF5A" w14:textId="77777777" w:rsidR="00CF1C81" w:rsidRPr="0064400F" w:rsidRDefault="00CF1C81" w:rsidP="00147936">
      <w:pPr>
        <w:rPr>
          <w:rFonts w:ascii="Arial" w:hAnsi="Arial" w:cs="Arial"/>
          <w:sz w:val="20"/>
          <w:szCs w:val="22"/>
        </w:rPr>
      </w:pPr>
    </w:p>
    <w:p w14:paraId="68E26DF5" w14:textId="79EBF9EB" w:rsidR="009845AD" w:rsidRPr="007328A6" w:rsidRDefault="0075189A" w:rsidP="00147936">
      <w:pPr>
        <w:rPr>
          <w:rFonts w:ascii="Arial" w:hAnsi="Arial" w:cs="Arial"/>
          <w:sz w:val="22"/>
          <w:szCs w:val="22"/>
        </w:rPr>
      </w:pPr>
      <w:r>
        <w:rPr>
          <w:rFonts w:ascii="Arial" w:hAnsi="Arial" w:cs="Arial"/>
          <w:sz w:val="22"/>
          <w:szCs w:val="22"/>
        </w:rPr>
        <w:t xml:space="preserve">The Panel submitted its final report </w:t>
      </w:r>
      <w:r w:rsidRPr="007328A6">
        <w:rPr>
          <w:rFonts w:ascii="Arial" w:hAnsi="Arial" w:cs="Arial"/>
          <w:sz w:val="22"/>
          <w:szCs w:val="22"/>
        </w:rPr>
        <w:t>set</w:t>
      </w:r>
      <w:r>
        <w:rPr>
          <w:rFonts w:ascii="Arial" w:hAnsi="Arial" w:cs="Arial"/>
          <w:sz w:val="22"/>
          <w:szCs w:val="22"/>
        </w:rPr>
        <w:t>ting</w:t>
      </w:r>
      <w:r w:rsidRPr="007328A6">
        <w:rPr>
          <w:rFonts w:ascii="Arial" w:hAnsi="Arial" w:cs="Arial"/>
          <w:sz w:val="22"/>
          <w:szCs w:val="22"/>
        </w:rPr>
        <w:t xml:space="preserve"> out </w:t>
      </w:r>
      <w:r>
        <w:rPr>
          <w:rFonts w:ascii="Arial" w:hAnsi="Arial" w:cs="Arial"/>
          <w:sz w:val="22"/>
          <w:szCs w:val="22"/>
        </w:rPr>
        <w:t xml:space="preserve">its pricing </w:t>
      </w:r>
      <w:r w:rsidRPr="007328A6">
        <w:rPr>
          <w:rFonts w:ascii="Arial" w:hAnsi="Arial" w:cs="Arial"/>
          <w:sz w:val="22"/>
          <w:szCs w:val="22"/>
        </w:rPr>
        <w:t>decision</w:t>
      </w:r>
      <w:r>
        <w:rPr>
          <w:rFonts w:ascii="Arial" w:hAnsi="Arial" w:cs="Arial"/>
          <w:sz w:val="22"/>
          <w:szCs w:val="22"/>
        </w:rPr>
        <w:t xml:space="preserve"> to the ACT Treasurer</w:t>
      </w:r>
      <w:r w:rsidR="00960465">
        <w:rPr>
          <w:rFonts w:ascii="Arial" w:hAnsi="Arial" w:cs="Arial"/>
          <w:sz w:val="22"/>
          <w:szCs w:val="22"/>
        </w:rPr>
        <w:t xml:space="preserve"> on </w:t>
      </w:r>
      <w:r w:rsidR="006317CB" w:rsidRPr="007E525D">
        <w:rPr>
          <w:rFonts w:ascii="Arial" w:hAnsi="Arial" w:cs="Arial"/>
          <w:sz w:val="22"/>
          <w:szCs w:val="22"/>
        </w:rPr>
        <w:t>2</w:t>
      </w:r>
      <w:r w:rsidR="00294C31">
        <w:rPr>
          <w:rFonts w:ascii="Arial" w:hAnsi="Arial" w:cs="Arial"/>
          <w:sz w:val="22"/>
          <w:szCs w:val="22"/>
        </w:rPr>
        <w:t>9</w:t>
      </w:r>
      <w:r w:rsidR="00960465">
        <w:rPr>
          <w:rFonts w:ascii="Arial" w:hAnsi="Arial" w:cs="Arial"/>
          <w:sz w:val="22"/>
          <w:szCs w:val="22"/>
        </w:rPr>
        <w:t xml:space="preserve"> April 2015</w:t>
      </w:r>
      <w:r w:rsidR="000F5C4F">
        <w:rPr>
          <w:rFonts w:ascii="Arial" w:hAnsi="Arial" w:cs="Arial"/>
          <w:sz w:val="22"/>
          <w:szCs w:val="22"/>
        </w:rPr>
        <w:t xml:space="preserve">. </w:t>
      </w:r>
      <w:r w:rsidR="00994FEB">
        <w:rPr>
          <w:rFonts w:ascii="Arial" w:hAnsi="Arial" w:cs="Arial"/>
          <w:sz w:val="22"/>
          <w:szCs w:val="22"/>
        </w:rPr>
        <w:t xml:space="preserve">This </w:t>
      </w:r>
      <w:r w:rsidR="00717038">
        <w:rPr>
          <w:rFonts w:ascii="Arial" w:hAnsi="Arial" w:cs="Arial"/>
          <w:sz w:val="22"/>
          <w:szCs w:val="22"/>
        </w:rPr>
        <w:t>report took</w:t>
      </w:r>
      <w:r w:rsidR="0052676C">
        <w:rPr>
          <w:rFonts w:ascii="Arial" w:hAnsi="Arial" w:cs="Arial"/>
          <w:sz w:val="22"/>
          <w:szCs w:val="22"/>
        </w:rPr>
        <w:t xml:space="preserve"> into account matters raised in </w:t>
      </w:r>
      <w:r w:rsidR="005010D1">
        <w:rPr>
          <w:rFonts w:ascii="Arial" w:hAnsi="Arial" w:cs="Arial"/>
          <w:sz w:val="22"/>
          <w:szCs w:val="22"/>
        </w:rPr>
        <w:t xml:space="preserve">responses </w:t>
      </w:r>
      <w:r w:rsidR="0052676C">
        <w:rPr>
          <w:rFonts w:ascii="Arial" w:hAnsi="Arial" w:cs="Arial"/>
          <w:sz w:val="22"/>
          <w:szCs w:val="22"/>
        </w:rPr>
        <w:t xml:space="preserve">to </w:t>
      </w:r>
      <w:r w:rsidR="00994FEB">
        <w:rPr>
          <w:rFonts w:ascii="Arial" w:hAnsi="Arial" w:cs="Arial"/>
          <w:sz w:val="22"/>
          <w:szCs w:val="22"/>
        </w:rPr>
        <w:t xml:space="preserve">the Panel’s </w:t>
      </w:r>
      <w:r w:rsidR="000F5C4F">
        <w:rPr>
          <w:rFonts w:ascii="Arial" w:hAnsi="Arial" w:cs="Arial"/>
          <w:sz w:val="22"/>
          <w:szCs w:val="22"/>
        </w:rPr>
        <w:t>draft report</w:t>
      </w:r>
      <w:r w:rsidR="0052676C">
        <w:rPr>
          <w:rFonts w:ascii="Arial" w:hAnsi="Arial" w:cs="Arial"/>
          <w:sz w:val="22"/>
          <w:szCs w:val="22"/>
        </w:rPr>
        <w:t>, which was</w:t>
      </w:r>
      <w:r w:rsidR="000F5C4F">
        <w:rPr>
          <w:rFonts w:ascii="Arial" w:hAnsi="Arial" w:cs="Arial"/>
          <w:sz w:val="22"/>
          <w:szCs w:val="22"/>
        </w:rPr>
        <w:t xml:space="preserve"> </w:t>
      </w:r>
      <w:r w:rsidR="00994FEB">
        <w:rPr>
          <w:rFonts w:ascii="Arial" w:hAnsi="Arial" w:cs="Arial"/>
          <w:sz w:val="22"/>
          <w:szCs w:val="22"/>
        </w:rPr>
        <w:t xml:space="preserve">released </w:t>
      </w:r>
      <w:r w:rsidR="000F5C4F">
        <w:rPr>
          <w:rFonts w:ascii="Arial" w:hAnsi="Arial" w:cs="Arial"/>
          <w:sz w:val="22"/>
          <w:szCs w:val="22"/>
        </w:rPr>
        <w:t>in December 2014.</w:t>
      </w:r>
    </w:p>
    <w:p w14:paraId="51A14E08" w14:textId="77777777" w:rsidR="00E75846" w:rsidRDefault="00E75846" w:rsidP="00147936">
      <w:pPr>
        <w:rPr>
          <w:rFonts w:ascii="Arial" w:hAnsi="Arial" w:cs="Arial"/>
          <w:b/>
          <w:color w:val="000000" w:themeColor="text1"/>
          <w:sz w:val="22"/>
          <w:szCs w:val="22"/>
        </w:rPr>
      </w:pPr>
    </w:p>
    <w:p w14:paraId="343B76AD" w14:textId="77777777" w:rsidR="004759F0" w:rsidRPr="00A00549" w:rsidRDefault="004759F0" w:rsidP="00147936">
      <w:pPr>
        <w:shd w:val="clear" w:color="auto" w:fill="D9D9D9" w:themeFill="background1" w:themeFillShade="D9"/>
        <w:rPr>
          <w:rFonts w:ascii="Arial" w:hAnsi="Arial" w:cs="Arial"/>
          <w:b/>
          <w:color w:val="1F497D" w:themeColor="text2"/>
          <w:szCs w:val="22"/>
        </w:rPr>
      </w:pPr>
      <w:r>
        <w:rPr>
          <w:rFonts w:ascii="Arial" w:hAnsi="Arial" w:cs="Arial"/>
          <w:b/>
          <w:color w:val="1F497D" w:themeColor="text2"/>
          <w:szCs w:val="22"/>
        </w:rPr>
        <w:t>B</w:t>
      </w:r>
      <w:r w:rsidRPr="00A00549">
        <w:rPr>
          <w:rFonts w:ascii="Arial" w:hAnsi="Arial" w:cs="Arial"/>
          <w:b/>
          <w:color w:val="1F497D" w:themeColor="text2"/>
          <w:szCs w:val="22"/>
        </w:rPr>
        <w:t xml:space="preserve">ackground </w:t>
      </w:r>
      <w:r>
        <w:rPr>
          <w:rFonts w:ascii="Arial" w:hAnsi="Arial" w:cs="Arial"/>
          <w:b/>
          <w:color w:val="1F497D" w:themeColor="text2"/>
          <w:szCs w:val="22"/>
        </w:rPr>
        <w:t>to the review</w:t>
      </w:r>
    </w:p>
    <w:p w14:paraId="6844A8A8" w14:textId="77777777" w:rsidR="004759F0" w:rsidRPr="00F734C9" w:rsidRDefault="004759F0" w:rsidP="00147936">
      <w:pPr>
        <w:shd w:val="clear" w:color="auto" w:fill="D9D9D9" w:themeFill="background1" w:themeFillShade="D9"/>
        <w:rPr>
          <w:rFonts w:ascii="Arial" w:hAnsi="Arial" w:cs="Arial"/>
          <w:b/>
          <w:color w:val="000000" w:themeColor="text1"/>
          <w:sz w:val="10"/>
          <w:szCs w:val="22"/>
        </w:rPr>
      </w:pPr>
    </w:p>
    <w:p w14:paraId="2D071EC2" w14:textId="4C561B5F" w:rsidR="004759F0" w:rsidRPr="007328A6" w:rsidRDefault="004759F0" w:rsidP="00147936">
      <w:pPr>
        <w:shd w:val="clear" w:color="auto" w:fill="D9D9D9" w:themeFill="background1" w:themeFillShade="D9"/>
        <w:rPr>
          <w:rFonts w:ascii="Arial" w:hAnsi="Arial" w:cs="Arial"/>
          <w:sz w:val="22"/>
          <w:szCs w:val="22"/>
        </w:rPr>
      </w:pPr>
      <w:r w:rsidRPr="007328A6">
        <w:rPr>
          <w:rFonts w:ascii="Arial" w:hAnsi="Arial" w:cs="Arial"/>
          <w:sz w:val="22"/>
          <w:szCs w:val="22"/>
        </w:rPr>
        <w:t xml:space="preserve">The </w:t>
      </w:r>
      <w:r>
        <w:rPr>
          <w:rFonts w:ascii="Arial" w:hAnsi="Arial" w:cs="Arial"/>
          <w:sz w:val="22"/>
          <w:szCs w:val="22"/>
        </w:rPr>
        <w:t>ICRC</w:t>
      </w:r>
      <w:r w:rsidRPr="007328A6">
        <w:rPr>
          <w:rFonts w:ascii="Arial" w:hAnsi="Arial" w:cs="Arial"/>
          <w:sz w:val="22"/>
          <w:szCs w:val="22"/>
        </w:rPr>
        <w:t xml:space="preserve"> is responsible for regulating the prices </w:t>
      </w:r>
      <w:r w:rsidR="00356EBC">
        <w:rPr>
          <w:rFonts w:ascii="Arial" w:hAnsi="Arial" w:cs="Arial"/>
          <w:sz w:val="22"/>
          <w:szCs w:val="22"/>
        </w:rPr>
        <w:t>Icon Water</w:t>
      </w:r>
      <w:r w:rsidR="00356EBC" w:rsidRPr="007328A6">
        <w:rPr>
          <w:rFonts w:ascii="Arial" w:hAnsi="Arial" w:cs="Arial"/>
          <w:sz w:val="22"/>
          <w:szCs w:val="22"/>
        </w:rPr>
        <w:t xml:space="preserve"> </w:t>
      </w:r>
      <w:r w:rsidRPr="007328A6">
        <w:rPr>
          <w:rFonts w:ascii="Arial" w:hAnsi="Arial" w:cs="Arial"/>
          <w:sz w:val="22"/>
          <w:szCs w:val="22"/>
        </w:rPr>
        <w:t xml:space="preserve">charges for water and sewerage services in the ACT.  </w:t>
      </w:r>
      <w:r>
        <w:rPr>
          <w:rFonts w:ascii="Arial" w:hAnsi="Arial" w:cs="Arial"/>
          <w:sz w:val="22"/>
          <w:szCs w:val="22"/>
        </w:rPr>
        <w:t>Its</w:t>
      </w:r>
      <w:r w:rsidRPr="007328A6">
        <w:rPr>
          <w:rFonts w:ascii="Arial" w:hAnsi="Arial" w:cs="Arial"/>
          <w:sz w:val="22"/>
          <w:szCs w:val="22"/>
        </w:rPr>
        <w:t xml:space="preserve"> </w:t>
      </w:r>
      <w:r>
        <w:rPr>
          <w:rFonts w:ascii="Arial" w:hAnsi="Arial" w:cs="Arial"/>
          <w:sz w:val="22"/>
          <w:szCs w:val="22"/>
        </w:rPr>
        <w:t>price direction released in 2013</w:t>
      </w:r>
      <w:r w:rsidRPr="007328A6">
        <w:rPr>
          <w:rFonts w:ascii="Arial" w:hAnsi="Arial" w:cs="Arial"/>
          <w:sz w:val="22"/>
          <w:szCs w:val="22"/>
        </w:rPr>
        <w:t xml:space="preserve"> determin</w:t>
      </w:r>
      <w:r>
        <w:rPr>
          <w:rFonts w:ascii="Arial" w:hAnsi="Arial" w:cs="Arial"/>
          <w:sz w:val="22"/>
          <w:szCs w:val="22"/>
        </w:rPr>
        <w:t>ed</w:t>
      </w:r>
      <w:r w:rsidRPr="007328A6">
        <w:rPr>
          <w:rFonts w:ascii="Arial" w:hAnsi="Arial" w:cs="Arial"/>
          <w:sz w:val="22"/>
          <w:szCs w:val="22"/>
        </w:rPr>
        <w:t xml:space="preserve"> that </w:t>
      </w:r>
      <w:r w:rsidR="00356EBC">
        <w:rPr>
          <w:rFonts w:ascii="Arial" w:hAnsi="Arial" w:cs="Arial"/>
          <w:sz w:val="22"/>
          <w:szCs w:val="22"/>
        </w:rPr>
        <w:t>Icon Water</w:t>
      </w:r>
      <w:r w:rsidRPr="007328A6">
        <w:rPr>
          <w:rFonts w:ascii="Arial" w:hAnsi="Arial" w:cs="Arial"/>
          <w:sz w:val="22"/>
          <w:szCs w:val="22"/>
        </w:rPr>
        <w:t>’s maximum prices for water services sh</w:t>
      </w:r>
      <w:r>
        <w:rPr>
          <w:rFonts w:ascii="Arial" w:hAnsi="Arial" w:cs="Arial"/>
          <w:sz w:val="22"/>
          <w:szCs w:val="22"/>
        </w:rPr>
        <w:t>ould increase by 4.9% in 2013</w:t>
      </w:r>
      <w:r>
        <w:rPr>
          <w:rFonts w:ascii="Arial" w:hAnsi="Arial" w:cs="Arial"/>
          <w:color w:val="000000" w:themeColor="text1"/>
          <w:sz w:val="22"/>
          <w:szCs w:val="22"/>
        </w:rPr>
        <w:t>–</w:t>
      </w:r>
      <w:r>
        <w:rPr>
          <w:rFonts w:ascii="Arial" w:hAnsi="Arial" w:cs="Arial"/>
          <w:sz w:val="22"/>
          <w:szCs w:val="22"/>
        </w:rPr>
        <w:t xml:space="preserve">14, while </w:t>
      </w:r>
      <w:r w:rsidRPr="007328A6">
        <w:rPr>
          <w:rFonts w:ascii="Arial" w:hAnsi="Arial" w:cs="Arial"/>
          <w:sz w:val="22"/>
          <w:szCs w:val="22"/>
        </w:rPr>
        <w:t>maximum price</w:t>
      </w:r>
      <w:r w:rsidR="00A9120E">
        <w:rPr>
          <w:rFonts w:ascii="Arial" w:hAnsi="Arial" w:cs="Arial"/>
          <w:sz w:val="22"/>
          <w:szCs w:val="22"/>
        </w:rPr>
        <w:t>s</w:t>
      </w:r>
      <w:r w:rsidRPr="007328A6">
        <w:rPr>
          <w:rFonts w:ascii="Arial" w:hAnsi="Arial" w:cs="Arial"/>
          <w:sz w:val="22"/>
          <w:szCs w:val="22"/>
        </w:rPr>
        <w:t xml:space="preserve"> for sewerage services should fall by 18.1%. To deal with uncertainties about costs and demand over the </w:t>
      </w:r>
      <w:r>
        <w:rPr>
          <w:rFonts w:ascii="Arial" w:hAnsi="Arial" w:cs="Arial"/>
          <w:sz w:val="22"/>
          <w:szCs w:val="22"/>
        </w:rPr>
        <w:t xml:space="preserve">five-year </w:t>
      </w:r>
      <w:r w:rsidRPr="007328A6">
        <w:rPr>
          <w:rFonts w:ascii="Arial" w:hAnsi="Arial" w:cs="Arial"/>
          <w:sz w:val="22"/>
          <w:szCs w:val="22"/>
        </w:rPr>
        <w:t>regulatory period, the ICRC made provision for prices in later years to be established through two ‘biennial recalibra</w:t>
      </w:r>
      <w:r>
        <w:rPr>
          <w:rFonts w:ascii="Arial" w:hAnsi="Arial" w:cs="Arial"/>
          <w:sz w:val="22"/>
          <w:szCs w:val="22"/>
        </w:rPr>
        <w:t>tions’, to be conducted in 2015</w:t>
      </w:r>
      <w:r>
        <w:rPr>
          <w:rFonts w:ascii="Arial" w:hAnsi="Arial" w:cs="Arial"/>
          <w:color w:val="000000" w:themeColor="text1"/>
          <w:sz w:val="22"/>
          <w:szCs w:val="22"/>
        </w:rPr>
        <w:t>–</w:t>
      </w:r>
      <w:r>
        <w:rPr>
          <w:rFonts w:ascii="Arial" w:hAnsi="Arial" w:cs="Arial"/>
          <w:sz w:val="22"/>
          <w:szCs w:val="22"/>
        </w:rPr>
        <w:t>16 and 2017</w:t>
      </w:r>
      <w:r>
        <w:rPr>
          <w:rFonts w:ascii="Arial" w:hAnsi="Arial" w:cs="Arial"/>
          <w:color w:val="000000" w:themeColor="text1"/>
          <w:sz w:val="22"/>
          <w:szCs w:val="22"/>
        </w:rPr>
        <w:t>–</w:t>
      </w:r>
      <w:r w:rsidRPr="007328A6">
        <w:rPr>
          <w:rFonts w:ascii="Arial" w:hAnsi="Arial" w:cs="Arial"/>
          <w:sz w:val="22"/>
          <w:szCs w:val="22"/>
        </w:rPr>
        <w:t xml:space="preserve">18. </w:t>
      </w:r>
    </w:p>
    <w:p w14:paraId="0533B745" w14:textId="77777777" w:rsidR="004759F0" w:rsidRPr="0064400F" w:rsidRDefault="004759F0" w:rsidP="00147936">
      <w:pPr>
        <w:shd w:val="clear" w:color="auto" w:fill="D9D9D9" w:themeFill="background1" w:themeFillShade="D9"/>
        <w:rPr>
          <w:rFonts w:ascii="Arial" w:hAnsi="Arial" w:cs="Arial"/>
          <w:i/>
          <w:sz w:val="16"/>
          <w:szCs w:val="22"/>
        </w:rPr>
      </w:pPr>
    </w:p>
    <w:p w14:paraId="2C0A8DC9" w14:textId="77777777" w:rsidR="004759F0" w:rsidRDefault="00356EBC" w:rsidP="00147936">
      <w:pPr>
        <w:shd w:val="clear" w:color="auto" w:fill="D9D9D9" w:themeFill="background1" w:themeFillShade="D9"/>
        <w:rPr>
          <w:rFonts w:ascii="Arial" w:hAnsi="Arial" w:cs="Arial"/>
          <w:sz w:val="22"/>
          <w:szCs w:val="22"/>
        </w:rPr>
      </w:pPr>
      <w:r>
        <w:rPr>
          <w:rFonts w:ascii="Arial" w:hAnsi="Arial" w:cs="Arial"/>
          <w:sz w:val="22"/>
          <w:szCs w:val="22"/>
        </w:rPr>
        <w:t>Icon Water</w:t>
      </w:r>
      <w:r w:rsidR="00834EDB" w:rsidRPr="001418A2">
        <w:rPr>
          <w:rFonts w:ascii="Arial" w:hAnsi="Arial" w:cs="Arial"/>
          <w:sz w:val="22"/>
          <w:szCs w:val="22"/>
        </w:rPr>
        <w:t xml:space="preserve"> </w:t>
      </w:r>
      <w:r w:rsidR="004759F0" w:rsidRPr="001418A2">
        <w:rPr>
          <w:rFonts w:ascii="Arial" w:hAnsi="Arial" w:cs="Arial"/>
          <w:sz w:val="22"/>
          <w:szCs w:val="22"/>
        </w:rPr>
        <w:t>applied</w:t>
      </w:r>
      <w:r w:rsidR="004759F0" w:rsidRPr="007328A6">
        <w:rPr>
          <w:rFonts w:ascii="Arial" w:hAnsi="Arial" w:cs="Arial"/>
          <w:sz w:val="22"/>
          <w:szCs w:val="22"/>
        </w:rPr>
        <w:t xml:space="preserve"> for a review of the price direction </w:t>
      </w:r>
      <w:r w:rsidR="004759F0">
        <w:rPr>
          <w:rFonts w:ascii="Arial" w:hAnsi="Arial" w:cs="Arial"/>
          <w:sz w:val="22"/>
          <w:szCs w:val="22"/>
        </w:rPr>
        <w:t xml:space="preserve">in September 2013 </w:t>
      </w:r>
      <w:r w:rsidR="004759F0" w:rsidRPr="007328A6">
        <w:rPr>
          <w:rFonts w:ascii="Arial" w:hAnsi="Arial" w:cs="Arial"/>
          <w:sz w:val="22"/>
          <w:szCs w:val="22"/>
        </w:rPr>
        <w:t xml:space="preserve">under </w:t>
      </w:r>
      <w:proofErr w:type="gramStart"/>
      <w:r w:rsidR="004759F0" w:rsidRPr="007328A6">
        <w:rPr>
          <w:rFonts w:ascii="Arial" w:hAnsi="Arial" w:cs="Arial"/>
          <w:sz w:val="22"/>
          <w:szCs w:val="22"/>
        </w:rPr>
        <w:t>the</w:t>
      </w:r>
      <w:proofErr w:type="gramEnd"/>
      <w:r w:rsidR="004759F0" w:rsidRPr="007328A6">
        <w:rPr>
          <w:rFonts w:ascii="Arial" w:hAnsi="Arial" w:cs="Arial"/>
          <w:sz w:val="22"/>
          <w:szCs w:val="22"/>
        </w:rPr>
        <w:t xml:space="preserve"> </w:t>
      </w:r>
      <w:r w:rsidR="004759F0" w:rsidRPr="007328A6">
        <w:rPr>
          <w:rFonts w:ascii="Arial" w:hAnsi="Arial" w:cs="Arial"/>
          <w:i/>
          <w:sz w:val="22"/>
          <w:szCs w:val="22"/>
        </w:rPr>
        <w:t xml:space="preserve">Independent Competition and Regulatory Commission Act 1997 </w:t>
      </w:r>
      <w:r w:rsidR="004759F0" w:rsidRPr="007328A6">
        <w:rPr>
          <w:rFonts w:ascii="Arial" w:hAnsi="Arial" w:cs="Arial"/>
          <w:sz w:val="22"/>
          <w:szCs w:val="22"/>
        </w:rPr>
        <w:t xml:space="preserve">on a range of grounds.  </w:t>
      </w:r>
    </w:p>
    <w:p w14:paraId="2BEE28F2" w14:textId="77777777" w:rsidR="004759F0" w:rsidRPr="0064400F" w:rsidRDefault="004759F0" w:rsidP="00147936">
      <w:pPr>
        <w:shd w:val="clear" w:color="auto" w:fill="D9D9D9" w:themeFill="background1" w:themeFillShade="D9"/>
        <w:rPr>
          <w:rFonts w:ascii="Arial" w:hAnsi="Arial" w:cs="Arial"/>
          <w:i/>
          <w:sz w:val="16"/>
          <w:szCs w:val="22"/>
        </w:rPr>
      </w:pPr>
    </w:p>
    <w:p w14:paraId="6AA585FB" w14:textId="2E0F2437" w:rsidR="004759F0" w:rsidRDefault="004759F0" w:rsidP="00147936">
      <w:pPr>
        <w:shd w:val="clear" w:color="auto" w:fill="D9D9D9" w:themeFill="background1" w:themeFillShade="D9"/>
        <w:rPr>
          <w:rFonts w:ascii="Arial" w:hAnsi="Arial" w:cs="Arial"/>
          <w:sz w:val="22"/>
          <w:szCs w:val="22"/>
        </w:rPr>
      </w:pPr>
      <w:r w:rsidRPr="007328A6">
        <w:rPr>
          <w:rFonts w:ascii="Arial" w:hAnsi="Arial" w:cs="Arial"/>
          <w:sz w:val="22"/>
          <w:szCs w:val="22"/>
        </w:rPr>
        <w:t>In response, the ACT Trea</w:t>
      </w:r>
      <w:r>
        <w:rPr>
          <w:rFonts w:ascii="Arial" w:hAnsi="Arial" w:cs="Arial"/>
          <w:sz w:val="22"/>
          <w:szCs w:val="22"/>
        </w:rPr>
        <w:t>surer appointed an independent Industry Panel</w:t>
      </w:r>
      <w:r w:rsidR="007E525D">
        <w:rPr>
          <w:rFonts w:ascii="Arial" w:hAnsi="Arial" w:cs="Arial"/>
          <w:sz w:val="22"/>
          <w:szCs w:val="22"/>
        </w:rPr>
        <w:t xml:space="preserve"> to conduct the review. </w:t>
      </w:r>
      <w:r w:rsidRPr="007328A6">
        <w:rPr>
          <w:rFonts w:ascii="Arial" w:hAnsi="Arial" w:cs="Arial"/>
          <w:sz w:val="22"/>
          <w:szCs w:val="22"/>
        </w:rPr>
        <w:t>Under the Act, the Panel must:</w:t>
      </w:r>
    </w:p>
    <w:p w14:paraId="6B11E59E" w14:textId="77777777" w:rsidR="004759F0" w:rsidRPr="00F734C9" w:rsidRDefault="004759F0" w:rsidP="00147936">
      <w:pPr>
        <w:shd w:val="clear" w:color="auto" w:fill="D9D9D9" w:themeFill="background1" w:themeFillShade="D9"/>
        <w:rPr>
          <w:rFonts w:ascii="Arial" w:hAnsi="Arial" w:cs="Arial"/>
          <w:sz w:val="8"/>
          <w:szCs w:val="22"/>
        </w:rPr>
      </w:pPr>
    </w:p>
    <w:p w14:paraId="28A2CCC5" w14:textId="77777777" w:rsidR="004759F0" w:rsidRPr="007328AB" w:rsidRDefault="004759F0" w:rsidP="0054783F">
      <w:pPr>
        <w:pStyle w:val="Bullet1"/>
        <w:numPr>
          <w:ilvl w:val="0"/>
          <w:numId w:val="5"/>
        </w:numPr>
        <w:shd w:val="clear" w:color="auto" w:fill="D9D9D9" w:themeFill="background1" w:themeFillShade="D9"/>
        <w:jc w:val="left"/>
        <w:rPr>
          <w:rFonts w:ascii="Arial" w:hAnsi="Arial" w:cs="Arial"/>
          <w:sz w:val="22"/>
          <w:szCs w:val="22"/>
        </w:rPr>
      </w:pPr>
      <w:r w:rsidRPr="007328AB">
        <w:rPr>
          <w:rFonts w:ascii="Arial" w:hAnsi="Arial" w:cs="Arial"/>
          <w:sz w:val="22"/>
          <w:szCs w:val="22"/>
        </w:rPr>
        <w:t xml:space="preserve">either substitute a new price direction for the original price direction, or confirm the original price direction, and </w:t>
      </w:r>
    </w:p>
    <w:p w14:paraId="08966A7A" w14:textId="77777777" w:rsidR="004759F0" w:rsidRPr="007328AB" w:rsidRDefault="004759F0" w:rsidP="0054783F">
      <w:pPr>
        <w:pStyle w:val="Bullet1"/>
        <w:numPr>
          <w:ilvl w:val="0"/>
          <w:numId w:val="5"/>
        </w:numPr>
        <w:shd w:val="clear" w:color="auto" w:fill="D9D9D9" w:themeFill="background1" w:themeFillShade="D9"/>
        <w:jc w:val="left"/>
        <w:rPr>
          <w:rFonts w:ascii="Arial" w:hAnsi="Arial" w:cs="Arial"/>
          <w:sz w:val="22"/>
          <w:szCs w:val="22"/>
        </w:rPr>
      </w:pPr>
      <w:proofErr w:type="gramStart"/>
      <w:r w:rsidRPr="007328AB">
        <w:rPr>
          <w:rFonts w:ascii="Arial" w:hAnsi="Arial" w:cs="Arial"/>
          <w:sz w:val="22"/>
          <w:szCs w:val="22"/>
        </w:rPr>
        <w:t>make</w:t>
      </w:r>
      <w:proofErr w:type="gramEnd"/>
      <w:r w:rsidRPr="007328AB">
        <w:rPr>
          <w:rFonts w:ascii="Arial" w:hAnsi="Arial" w:cs="Arial"/>
          <w:sz w:val="22"/>
          <w:szCs w:val="22"/>
        </w:rPr>
        <w:t xml:space="preserve"> its decision on the merits of the case, having regard to the legislation that governs the price direction.</w:t>
      </w:r>
    </w:p>
    <w:p w14:paraId="0D7F73AF" w14:textId="77777777" w:rsidR="004759F0" w:rsidRDefault="004759F0" w:rsidP="00147936">
      <w:pPr>
        <w:rPr>
          <w:rFonts w:ascii="Arial" w:hAnsi="Arial" w:cs="Arial"/>
          <w:b/>
          <w:color w:val="1F497D" w:themeColor="text2"/>
          <w:szCs w:val="22"/>
        </w:rPr>
      </w:pPr>
    </w:p>
    <w:p w14:paraId="6D85BE3D" w14:textId="77777777" w:rsidR="00144F79" w:rsidRPr="00A00549" w:rsidRDefault="00144F79" w:rsidP="00147936">
      <w:pPr>
        <w:rPr>
          <w:rFonts w:ascii="Arial" w:hAnsi="Arial" w:cs="Arial"/>
          <w:b/>
          <w:color w:val="1F497D" w:themeColor="text2"/>
          <w:szCs w:val="22"/>
        </w:rPr>
      </w:pPr>
      <w:r w:rsidRPr="00A00549">
        <w:rPr>
          <w:rFonts w:ascii="Arial" w:hAnsi="Arial" w:cs="Arial"/>
          <w:b/>
          <w:color w:val="1F497D" w:themeColor="text2"/>
          <w:szCs w:val="22"/>
        </w:rPr>
        <w:t>What did</w:t>
      </w:r>
      <w:r w:rsidR="009F3EBC" w:rsidRPr="00A00549">
        <w:rPr>
          <w:rFonts w:ascii="Arial" w:hAnsi="Arial" w:cs="Arial"/>
          <w:b/>
          <w:color w:val="1F497D" w:themeColor="text2"/>
          <w:szCs w:val="22"/>
        </w:rPr>
        <w:t xml:space="preserve"> the </w:t>
      </w:r>
      <w:r w:rsidR="00CE0696" w:rsidRPr="00A00549">
        <w:rPr>
          <w:rFonts w:ascii="Arial" w:hAnsi="Arial" w:cs="Arial"/>
          <w:b/>
          <w:color w:val="1F497D" w:themeColor="text2"/>
          <w:szCs w:val="22"/>
        </w:rPr>
        <w:t xml:space="preserve">Industry </w:t>
      </w:r>
      <w:r w:rsidR="009F3EBC" w:rsidRPr="00A00549">
        <w:rPr>
          <w:rFonts w:ascii="Arial" w:hAnsi="Arial" w:cs="Arial"/>
          <w:b/>
          <w:color w:val="1F497D" w:themeColor="text2"/>
          <w:szCs w:val="22"/>
        </w:rPr>
        <w:t>Panel decide?</w:t>
      </w:r>
    </w:p>
    <w:p w14:paraId="3EE016CE" w14:textId="77777777" w:rsidR="00144F79" w:rsidRPr="0064400F" w:rsidRDefault="00144F79" w:rsidP="00147936">
      <w:pPr>
        <w:rPr>
          <w:rFonts w:ascii="Arial" w:hAnsi="Arial" w:cs="Arial"/>
          <w:sz w:val="20"/>
          <w:szCs w:val="22"/>
        </w:rPr>
      </w:pPr>
    </w:p>
    <w:p w14:paraId="5624739D" w14:textId="17658C42" w:rsidR="00FD62F5" w:rsidRDefault="000F084C" w:rsidP="00147936">
      <w:pPr>
        <w:pStyle w:val="Bullet1"/>
        <w:numPr>
          <w:ilvl w:val="0"/>
          <w:numId w:val="0"/>
        </w:numPr>
        <w:spacing w:line="240" w:lineRule="auto"/>
        <w:jc w:val="left"/>
        <w:rPr>
          <w:rFonts w:ascii="Arial" w:hAnsi="Arial" w:cs="Arial"/>
          <w:sz w:val="22"/>
          <w:szCs w:val="22"/>
        </w:rPr>
      </w:pPr>
      <w:r>
        <w:rPr>
          <w:rFonts w:ascii="Arial" w:hAnsi="Arial" w:cs="Arial"/>
          <w:sz w:val="22"/>
          <w:szCs w:val="22"/>
        </w:rPr>
        <w:t>The Panel decided to substitute a new price direction</w:t>
      </w:r>
      <w:r w:rsidR="00DC4D3A">
        <w:rPr>
          <w:rFonts w:ascii="Arial" w:hAnsi="Arial" w:cs="Arial"/>
          <w:sz w:val="22"/>
          <w:szCs w:val="22"/>
        </w:rPr>
        <w:t xml:space="preserve"> </w:t>
      </w:r>
      <w:r w:rsidR="00D17404">
        <w:rPr>
          <w:rFonts w:ascii="Arial" w:hAnsi="Arial" w:cs="Arial"/>
          <w:sz w:val="22"/>
          <w:szCs w:val="22"/>
        </w:rPr>
        <w:t xml:space="preserve">for </w:t>
      </w:r>
      <w:r w:rsidR="00D17404" w:rsidRPr="00196D08">
        <w:rPr>
          <w:rFonts w:ascii="Arial" w:hAnsi="Arial" w:cs="Arial"/>
          <w:sz w:val="22"/>
          <w:szCs w:val="22"/>
        </w:rPr>
        <w:t>water and sewerage services</w:t>
      </w:r>
      <w:r w:rsidR="00D17404">
        <w:rPr>
          <w:rFonts w:ascii="Arial" w:hAnsi="Arial" w:cs="Arial"/>
          <w:sz w:val="22"/>
          <w:szCs w:val="22"/>
        </w:rPr>
        <w:t xml:space="preserve"> </w:t>
      </w:r>
      <w:r w:rsidR="00DC4D3A">
        <w:rPr>
          <w:rFonts w:ascii="Arial" w:hAnsi="Arial" w:cs="Arial"/>
          <w:sz w:val="22"/>
          <w:szCs w:val="22"/>
        </w:rPr>
        <w:t>that spans the entire remaining regulatory period until 30 June 2018</w:t>
      </w:r>
      <w:r w:rsidR="0010106B">
        <w:rPr>
          <w:rFonts w:ascii="Arial" w:hAnsi="Arial" w:cs="Arial"/>
          <w:sz w:val="22"/>
          <w:szCs w:val="22"/>
        </w:rPr>
        <w:t xml:space="preserve">. </w:t>
      </w:r>
      <w:r w:rsidR="00FD62F5">
        <w:rPr>
          <w:rFonts w:ascii="Arial" w:hAnsi="Arial" w:cs="Arial"/>
          <w:sz w:val="22"/>
          <w:szCs w:val="22"/>
        </w:rPr>
        <w:t>T</w:t>
      </w:r>
      <w:r w:rsidR="00D17404">
        <w:rPr>
          <w:rFonts w:ascii="Arial" w:hAnsi="Arial" w:cs="Arial"/>
          <w:sz w:val="22"/>
          <w:szCs w:val="22"/>
        </w:rPr>
        <w:t xml:space="preserve">his determination </w:t>
      </w:r>
      <w:r w:rsidR="00FD62F5">
        <w:rPr>
          <w:rFonts w:ascii="Arial" w:hAnsi="Arial" w:cs="Arial"/>
          <w:sz w:val="22"/>
          <w:szCs w:val="22"/>
        </w:rPr>
        <w:t>therefore removes</w:t>
      </w:r>
      <w:r w:rsidR="00600544">
        <w:rPr>
          <w:rFonts w:ascii="Arial" w:hAnsi="Arial" w:cs="Arial"/>
          <w:sz w:val="22"/>
          <w:szCs w:val="22"/>
        </w:rPr>
        <w:t xml:space="preserve"> the uncertainty </w:t>
      </w:r>
      <w:r w:rsidR="00083FD8">
        <w:rPr>
          <w:rFonts w:ascii="Arial" w:hAnsi="Arial" w:cs="Arial"/>
          <w:sz w:val="22"/>
          <w:szCs w:val="22"/>
        </w:rPr>
        <w:t xml:space="preserve">about </w:t>
      </w:r>
      <w:r w:rsidR="00D17404">
        <w:rPr>
          <w:rFonts w:ascii="Arial" w:hAnsi="Arial" w:cs="Arial"/>
          <w:sz w:val="22"/>
          <w:szCs w:val="22"/>
        </w:rPr>
        <w:t xml:space="preserve">future pricing </w:t>
      </w:r>
      <w:r w:rsidR="00FC131A">
        <w:rPr>
          <w:rFonts w:ascii="Arial" w:hAnsi="Arial" w:cs="Arial"/>
          <w:sz w:val="22"/>
          <w:szCs w:val="22"/>
        </w:rPr>
        <w:t xml:space="preserve">changes </w:t>
      </w:r>
      <w:r w:rsidR="00957BB0">
        <w:rPr>
          <w:rFonts w:ascii="Arial" w:hAnsi="Arial" w:cs="Arial"/>
          <w:sz w:val="22"/>
          <w:szCs w:val="22"/>
        </w:rPr>
        <w:t>that c</w:t>
      </w:r>
      <w:r w:rsidR="00D17404">
        <w:rPr>
          <w:rFonts w:ascii="Arial" w:hAnsi="Arial" w:cs="Arial"/>
          <w:sz w:val="22"/>
          <w:szCs w:val="22"/>
        </w:rPr>
        <w:t xml:space="preserve">ould </w:t>
      </w:r>
      <w:r w:rsidR="00FC131A">
        <w:rPr>
          <w:rFonts w:ascii="Arial" w:hAnsi="Arial" w:cs="Arial"/>
          <w:sz w:val="22"/>
          <w:szCs w:val="22"/>
        </w:rPr>
        <w:t xml:space="preserve">otherwise </w:t>
      </w:r>
      <w:r w:rsidR="00D17404">
        <w:rPr>
          <w:rFonts w:ascii="Arial" w:hAnsi="Arial" w:cs="Arial"/>
          <w:sz w:val="22"/>
          <w:szCs w:val="22"/>
        </w:rPr>
        <w:t xml:space="preserve">have </w:t>
      </w:r>
      <w:r w:rsidR="00600544">
        <w:rPr>
          <w:rFonts w:ascii="Arial" w:hAnsi="Arial" w:cs="Arial"/>
          <w:sz w:val="22"/>
          <w:szCs w:val="22"/>
        </w:rPr>
        <w:t>aris</w:t>
      </w:r>
      <w:r w:rsidR="00D17404">
        <w:rPr>
          <w:rFonts w:ascii="Arial" w:hAnsi="Arial" w:cs="Arial"/>
          <w:sz w:val="22"/>
          <w:szCs w:val="22"/>
        </w:rPr>
        <w:t>en</w:t>
      </w:r>
      <w:r w:rsidR="00600544">
        <w:rPr>
          <w:rFonts w:ascii="Arial" w:hAnsi="Arial" w:cs="Arial"/>
          <w:sz w:val="22"/>
          <w:szCs w:val="22"/>
        </w:rPr>
        <w:t xml:space="preserve"> from </w:t>
      </w:r>
      <w:r w:rsidR="00FD62F5">
        <w:rPr>
          <w:rFonts w:ascii="Arial" w:hAnsi="Arial" w:cs="Arial"/>
          <w:sz w:val="22"/>
          <w:szCs w:val="22"/>
        </w:rPr>
        <w:t xml:space="preserve">each of </w:t>
      </w:r>
      <w:r w:rsidR="00D17404">
        <w:rPr>
          <w:rFonts w:ascii="Arial" w:hAnsi="Arial" w:cs="Arial"/>
          <w:sz w:val="22"/>
          <w:szCs w:val="22"/>
        </w:rPr>
        <w:t>the ICRC</w:t>
      </w:r>
      <w:r w:rsidR="00FD62F5">
        <w:rPr>
          <w:rFonts w:ascii="Arial" w:hAnsi="Arial" w:cs="Arial"/>
          <w:sz w:val="22"/>
          <w:szCs w:val="22"/>
        </w:rPr>
        <w:t xml:space="preserve">’s proposed biennial </w:t>
      </w:r>
      <w:r w:rsidR="00FD62F5" w:rsidRPr="00E62085">
        <w:rPr>
          <w:rFonts w:ascii="Arial" w:hAnsi="Arial" w:cs="Arial"/>
          <w:sz w:val="22"/>
          <w:szCs w:val="22"/>
        </w:rPr>
        <w:t>recalibrations</w:t>
      </w:r>
      <w:r w:rsidR="00D17404">
        <w:rPr>
          <w:rFonts w:ascii="Arial" w:hAnsi="Arial" w:cs="Arial"/>
          <w:sz w:val="22"/>
          <w:szCs w:val="22"/>
        </w:rPr>
        <w:t xml:space="preserve"> </w:t>
      </w:r>
      <w:r w:rsidR="00FD62F5">
        <w:rPr>
          <w:rFonts w:ascii="Arial" w:hAnsi="Arial" w:cs="Arial"/>
          <w:sz w:val="22"/>
          <w:szCs w:val="22"/>
        </w:rPr>
        <w:t xml:space="preserve">due in </w:t>
      </w:r>
      <w:r w:rsidR="00D17404">
        <w:rPr>
          <w:rFonts w:ascii="Arial" w:hAnsi="Arial" w:cs="Arial"/>
          <w:sz w:val="22"/>
          <w:szCs w:val="22"/>
        </w:rPr>
        <w:t>2015</w:t>
      </w:r>
      <w:r w:rsidR="00D17404">
        <w:rPr>
          <w:rFonts w:ascii="Arial" w:hAnsi="Arial" w:cs="Arial"/>
          <w:color w:val="000000" w:themeColor="text1"/>
          <w:sz w:val="22"/>
          <w:szCs w:val="22"/>
        </w:rPr>
        <w:t>–</w:t>
      </w:r>
      <w:r w:rsidR="00D17404">
        <w:rPr>
          <w:rFonts w:ascii="Arial" w:hAnsi="Arial" w:cs="Arial"/>
          <w:sz w:val="22"/>
          <w:szCs w:val="22"/>
        </w:rPr>
        <w:t>16 and 2017</w:t>
      </w:r>
      <w:r w:rsidR="00D17404">
        <w:rPr>
          <w:rFonts w:ascii="Arial" w:hAnsi="Arial" w:cs="Arial"/>
          <w:color w:val="000000" w:themeColor="text1"/>
          <w:sz w:val="22"/>
          <w:szCs w:val="22"/>
        </w:rPr>
        <w:t>–</w:t>
      </w:r>
      <w:r w:rsidR="00D17404" w:rsidRPr="007328A6">
        <w:rPr>
          <w:rFonts w:ascii="Arial" w:hAnsi="Arial" w:cs="Arial"/>
          <w:sz w:val="22"/>
          <w:szCs w:val="22"/>
        </w:rPr>
        <w:t>18</w:t>
      </w:r>
      <w:r w:rsidR="00D17404">
        <w:rPr>
          <w:rFonts w:ascii="Arial" w:hAnsi="Arial" w:cs="Arial"/>
          <w:sz w:val="22"/>
          <w:szCs w:val="22"/>
        </w:rPr>
        <w:t>.</w:t>
      </w:r>
    </w:p>
    <w:p w14:paraId="39410A7C" w14:textId="369A8E48" w:rsidR="00FD62F5" w:rsidRDefault="006317CB" w:rsidP="00147936">
      <w:pPr>
        <w:pStyle w:val="Bullet1"/>
        <w:numPr>
          <w:ilvl w:val="0"/>
          <w:numId w:val="0"/>
        </w:numPr>
        <w:spacing w:line="240" w:lineRule="auto"/>
        <w:jc w:val="left"/>
        <w:rPr>
          <w:rFonts w:ascii="Arial" w:hAnsi="Arial" w:cs="Arial"/>
          <w:sz w:val="22"/>
          <w:szCs w:val="22"/>
        </w:rPr>
      </w:pPr>
      <w:r w:rsidRPr="002D744F">
        <w:rPr>
          <w:rFonts w:ascii="Arial" w:hAnsi="Arial" w:cs="Arial"/>
          <w:sz w:val="22"/>
          <w:szCs w:val="22"/>
        </w:rPr>
        <w:t>Th</w:t>
      </w:r>
      <w:r>
        <w:rPr>
          <w:rFonts w:ascii="Arial" w:hAnsi="Arial" w:cs="Arial"/>
          <w:sz w:val="22"/>
          <w:szCs w:val="22"/>
        </w:rPr>
        <w:t xml:space="preserve">e Panel’s </w:t>
      </w:r>
      <w:r w:rsidR="000F084C">
        <w:rPr>
          <w:rFonts w:ascii="Arial" w:hAnsi="Arial" w:cs="Arial"/>
          <w:sz w:val="22"/>
          <w:szCs w:val="22"/>
        </w:rPr>
        <w:t xml:space="preserve">new </w:t>
      </w:r>
      <w:r>
        <w:rPr>
          <w:rFonts w:ascii="Arial" w:hAnsi="Arial" w:cs="Arial"/>
          <w:sz w:val="22"/>
          <w:szCs w:val="22"/>
        </w:rPr>
        <w:t>price direction</w:t>
      </w:r>
      <w:r w:rsidR="0010106B">
        <w:rPr>
          <w:rFonts w:ascii="Arial" w:hAnsi="Arial" w:cs="Arial"/>
          <w:sz w:val="22"/>
          <w:szCs w:val="22"/>
        </w:rPr>
        <w:t xml:space="preserve"> </w:t>
      </w:r>
      <w:r w:rsidR="00717038">
        <w:rPr>
          <w:rFonts w:ascii="Arial" w:hAnsi="Arial" w:cs="Arial"/>
          <w:sz w:val="22"/>
          <w:szCs w:val="22"/>
        </w:rPr>
        <w:t xml:space="preserve">is </w:t>
      </w:r>
      <w:r w:rsidR="00717038" w:rsidRPr="00717038">
        <w:rPr>
          <w:rFonts w:ascii="Arial" w:hAnsi="Arial" w:cs="Arial"/>
          <w:sz w:val="22"/>
          <w:szCs w:val="22"/>
        </w:rPr>
        <w:t>based on a framework that reflects well-tested and accepted regulatory techniques and principles</w:t>
      </w:r>
      <w:r w:rsidR="00717038">
        <w:rPr>
          <w:rFonts w:ascii="Arial" w:hAnsi="Arial" w:cs="Arial"/>
          <w:sz w:val="22"/>
          <w:szCs w:val="22"/>
        </w:rPr>
        <w:t xml:space="preserve">. </w:t>
      </w:r>
    </w:p>
    <w:p w14:paraId="31BB432C" w14:textId="0F3BFBAF" w:rsidR="00717038" w:rsidRDefault="00717038" w:rsidP="00147936">
      <w:pPr>
        <w:pStyle w:val="Bullet1"/>
        <w:numPr>
          <w:ilvl w:val="0"/>
          <w:numId w:val="0"/>
        </w:numPr>
        <w:spacing w:line="240" w:lineRule="auto"/>
        <w:jc w:val="left"/>
        <w:rPr>
          <w:rFonts w:ascii="Arial" w:hAnsi="Arial" w:cs="Arial"/>
          <w:sz w:val="22"/>
          <w:szCs w:val="22"/>
        </w:rPr>
      </w:pPr>
      <w:r>
        <w:rPr>
          <w:rFonts w:ascii="Arial" w:hAnsi="Arial" w:cs="Arial"/>
          <w:sz w:val="22"/>
          <w:szCs w:val="22"/>
        </w:rPr>
        <w:t>The decision provides:</w:t>
      </w:r>
    </w:p>
    <w:p w14:paraId="780CC646" w14:textId="6D2B9FCF" w:rsidR="000318BD" w:rsidRPr="00F06227" w:rsidRDefault="000A6FF2" w:rsidP="0054783F">
      <w:pPr>
        <w:pStyle w:val="Bullet1"/>
        <w:numPr>
          <w:ilvl w:val="0"/>
          <w:numId w:val="6"/>
        </w:numPr>
        <w:spacing w:after="40" w:line="240" w:lineRule="auto"/>
        <w:ind w:left="357" w:hanging="357"/>
        <w:jc w:val="left"/>
        <w:rPr>
          <w:rFonts w:ascii="Arial" w:hAnsi="Arial" w:cs="Arial"/>
          <w:sz w:val="22"/>
          <w:szCs w:val="22"/>
        </w:rPr>
      </w:pPr>
      <w:r>
        <w:rPr>
          <w:rFonts w:ascii="Arial" w:hAnsi="Arial" w:cs="Arial"/>
          <w:sz w:val="22"/>
          <w:szCs w:val="22"/>
        </w:rPr>
        <w:t xml:space="preserve">improved </w:t>
      </w:r>
      <w:r w:rsidR="000318BD">
        <w:rPr>
          <w:rFonts w:ascii="Arial" w:hAnsi="Arial" w:cs="Arial"/>
          <w:sz w:val="22"/>
          <w:szCs w:val="22"/>
        </w:rPr>
        <w:t xml:space="preserve">price certainty and </w:t>
      </w:r>
      <w:r w:rsidR="000318BD" w:rsidRPr="002D744F">
        <w:rPr>
          <w:rFonts w:ascii="Arial" w:hAnsi="Arial" w:cs="Arial"/>
          <w:sz w:val="22"/>
          <w:szCs w:val="22"/>
        </w:rPr>
        <w:t>stability for Icon Water</w:t>
      </w:r>
      <w:r w:rsidR="000318BD">
        <w:rPr>
          <w:rFonts w:ascii="Arial" w:hAnsi="Arial" w:cs="Arial"/>
          <w:sz w:val="22"/>
          <w:szCs w:val="22"/>
        </w:rPr>
        <w:t>, the ACT Government</w:t>
      </w:r>
      <w:r w:rsidR="000318BD" w:rsidRPr="002D744F">
        <w:rPr>
          <w:rFonts w:ascii="Arial" w:hAnsi="Arial" w:cs="Arial"/>
          <w:sz w:val="22"/>
          <w:szCs w:val="22"/>
        </w:rPr>
        <w:t xml:space="preserve"> and </w:t>
      </w:r>
      <w:r w:rsidR="000318BD" w:rsidRPr="00196D08">
        <w:rPr>
          <w:rFonts w:ascii="Arial" w:hAnsi="Arial" w:cs="Arial"/>
          <w:color w:val="000000" w:themeColor="text1"/>
          <w:sz w:val="22"/>
          <w:szCs w:val="22"/>
        </w:rPr>
        <w:t>the ACT community</w:t>
      </w:r>
      <w:r w:rsidR="000318BD" w:rsidRPr="002D744F">
        <w:rPr>
          <w:rFonts w:ascii="Arial" w:hAnsi="Arial" w:cs="Arial"/>
          <w:sz w:val="22"/>
          <w:szCs w:val="22"/>
        </w:rPr>
        <w:t xml:space="preserve"> ov</w:t>
      </w:r>
      <w:r w:rsidR="000318BD">
        <w:rPr>
          <w:rFonts w:ascii="Arial" w:hAnsi="Arial" w:cs="Arial"/>
          <w:sz w:val="22"/>
          <w:szCs w:val="22"/>
        </w:rPr>
        <w:t>er the three years to mid-2018</w:t>
      </w:r>
    </w:p>
    <w:p w14:paraId="1D1F5CB9" w14:textId="77777777" w:rsidR="00717038" w:rsidRPr="00717038" w:rsidRDefault="00717038" w:rsidP="0054783F">
      <w:pPr>
        <w:pStyle w:val="Bullet1"/>
        <w:numPr>
          <w:ilvl w:val="0"/>
          <w:numId w:val="6"/>
        </w:numPr>
        <w:spacing w:after="40" w:line="240" w:lineRule="auto"/>
        <w:ind w:left="357" w:hanging="357"/>
        <w:jc w:val="left"/>
        <w:rPr>
          <w:rFonts w:ascii="Arial" w:hAnsi="Arial" w:cs="Arial"/>
          <w:sz w:val="22"/>
          <w:szCs w:val="22"/>
        </w:rPr>
      </w:pPr>
      <w:r w:rsidRPr="00717038">
        <w:rPr>
          <w:rFonts w:ascii="Arial" w:hAnsi="Arial" w:cs="Arial"/>
          <w:sz w:val="22"/>
          <w:szCs w:val="22"/>
        </w:rPr>
        <w:lastRenderedPageBreak/>
        <w:t>a robust foundation for future price determinations for regulated water and sewerage services in the ACT</w:t>
      </w:r>
    </w:p>
    <w:p w14:paraId="5734F142" w14:textId="286FBB2A" w:rsidR="000318BD" w:rsidRPr="00717038" w:rsidRDefault="000318BD" w:rsidP="0054783F">
      <w:pPr>
        <w:pStyle w:val="Bullet1"/>
        <w:numPr>
          <w:ilvl w:val="0"/>
          <w:numId w:val="6"/>
        </w:numPr>
        <w:spacing w:after="40" w:line="240" w:lineRule="auto"/>
        <w:ind w:left="357" w:hanging="357"/>
        <w:jc w:val="left"/>
        <w:rPr>
          <w:rFonts w:ascii="Arial" w:hAnsi="Arial" w:cs="Arial"/>
          <w:sz w:val="22"/>
          <w:szCs w:val="22"/>
        </w:rPr>
      </w:pPr>
      <w:r>
        <w:rPr>
          <w:rFonts w:ascii="Arial" w:hAnsi="Arial" w:cs="Arial"/>
          <w:sz w:val="22"/>
          <w:szCs w:val="22"/>
        </w:rPr>
        <w:t xml:space="preserve">a regulatory </w:t>
      </w:r>
      <w:r w:rsidRPr="00717038">
        <w:rPr>
          <w:rFonts w:ascii="Arial" w:hAnsi="Arial" w:cs="Arial"/>
          <w:sz w:val="22"/>
          <w:szCs w:val="22"/>
        </w:rPr>
        <w:t>environment that is conducive to efficient investment in the water and sewerage sector</w:t>
      </w:r>
    </w:p>
    <w:p w14:paraId="251858D4" w14:textId="616C0483" w:rsidR="000318BD" w:rsidRDefault="00717038" w:rsidP="0054783F">
      <w:pPr>
        <w:pStyle w:val="Bullet1"/>
        <w:numPr>
          <w:ilvl w:val="0"/>
          <w:numId w:val="6"/>
        </w:numPr>
        <w:spacing w:after="40" w:line="240" w:lineRule="auto"/>
        <w:ind w:left="357" w:hanging="357"/>
        <w:jc w:val="left"/>
        <w:rPr>
          <w:rFonts w:ascii="Arial" w:hAnsi="Arial" w:cs="Arial"/>
          <w:sz w:val="22"/>
          <w:szCs w:val="22"/>
        </w:rPr>
      </w:pPr>
      <w:proofErr w:type="gramStart"/>
      <w:r w:rsidRPr="000318BD">
        <w:rPr>
          <w:rFonts w:ascii="Arial" w:hAnsi="Arial" w:cs="Arial"/>
          <w:sz w:val="22"/>
          <w:szCs w:val="22"/>
        </w:rPr>
        <w:t>incentives</w:t>
      </w:r>
      <w:proofErr w:type="gramEnd"/>
      <w:r w:rsidRPr="000318BD">
        <w:rPr>
          <w:rFonts w:ascii="Arial" w:hAnsi="Arial" w:cs="Arial"/>
          <w:sz w:val="22"/>
          <w:szCs w:val="22"/>
        </w:rPr>
        <w:t xml:space="preserve"> for Icon Water to reduce its costs over time</w:t>
      </w:r>
      <w:r w:rsidR="000318BD">
        <w:rPr>
          <w:rFonts w:ascii="Arial" w:hAnsi="Arial" w:cs="Arial"/>
          <w:sz w:val="22"/>
          <w:szCs w:val="22"/>
        </w:rPr>
        <w:t>.</w:t>
      </w:r>
    </w:p>
    <w:p w14:paraId="15ED1D23" w14:textId="77777777" w:rsidR="007E525D" w:rsidRPr="007E525D" w:rsidRDefault="007E525D" w:rsidP="00147936">
      <w:pPr>
        <w:pStyle w:val="Bullet1"/>
        <w:numPr>
          <w:ilvl w:val="0"/>
          <w:numId w:val="0"/>
        </w:numPr>
        <w:jc w:val="left"/>
        <w:rPr>
          <w:rFonts w:ascii="Arial" w:hAnsi="Arial" w:cs="Arial"/>
          <w:sz w:val="8"/>
          <w:szCs w:val="22"/>
        </w:rPr>
      </w:pPr>
    </w:p>
    <w:p w14:paraId="32148D6A" w14:textId="62513293" w:rsidR="00BF5596" w:rsidRDefault="006A0617" w:rsidP="00147936">
      <w:pPr>
        <w:pStyle w:val="Bullet1"/>
        <w:numPr>
          <w:ilvl w:val="0"/>
          <w:numId w:val="0"/>
        </w:numPr>
        <w:spacing w:line="240" w:lineRule="auto"/>
        <w:jc w:val="left"/>
        <w:rPr>
          <w:rFonts w:ascii="Arial" w:hAnsi="Arial" w:cs="Arial"/>
          <w:sz w:val="22"/>
          <w:szCs w:val="22"/>
        </w:rPr>
      </w:pPr>
      <w:r w:rsidRPr="000318BD">
        <w:rPr>
          <w:rFonts w:ascii="Arial" w:hAnsi="Arial" w:cs="Arial"/>
          <w:sz w:val="22"/>
          <w:szCs w:val="22"/>
        </w:rPr>
        <w:t xml:space="preserve">The </w:t>
      </w:r>
      <w:r w:rsidR="0084550D" w:rsidRPr="000318BD">
        <w:rPr>
          <w:rFonts w:ascii="Arial" w:hAnsi="Arial" w:cs="Arial"/>
          <w:sz w:val="22"/>
          <w:szCs w:val="22"/>
        </w:rPr>
        <w:t xml:space="preserve">effect of the </w:t>
      </w:r>
      <w:r w:rsidRPr="000318BD">
        <w:rPr>
          <w:rFonts w:ascii="Arial" w:hAnsi="Arial" w:cs="Arial"/>
          <w:sz w:val="22"/>
          <w:szCs w:val="22"/>
        </w:rPr>
        <w:t xml:space="preserve">Panel’s final decision </w:t>
      </w:r>
      <w:r w:rsidR="00FB1523" w:rsidRPr="000318BD">
        <w:rPr>
          <w:rFonts w:ascii="Arial" w:hAnsi="Arial" w:cs="Arial"/>
          <w:sz w:val="22"/>
          <w:szCs w:val="22"/>
        </w:rPr>
        <w:t xml:space="preserve">is </w:t>
      </w:r>
      <w:r w:rsidR="00A67ADD">
        <w:rPr>
          <w:rFonts w:ascii="Arial" w:hAnsi="Arial" w:cs="Arial"/>
          <w:sz w:val="22"/>
          <w:szCs w:val="22"/>
        </w:rPr>
        <w:t>that</w:t>
      </w:r>
      <w:r w:rsidR="00BF5596" w:rsidRPr="000318BD">
        <w:rPr>
          <w:rFonts w:ascii="Arial" w:hAnsi="Arial" w:cs="Arial"/>
          <w:sz w:val="22"/>
          <w:szCs w:val="22"/>
        </w:rPr>
        <w:t xml:space="preserve">: </w:t>
      </w:r>
    </w:p>
    <w:p w14:paraId="09C5E406" w14:textId="76A0388A" w:rsidR="001319C8" w:rsidRPr="00147936" w:rsidRDefault="001319C8" w:rsidP="0054783F">
      <w:pPr>
        <w:pStyle w:val="Bullet1"/>
        <w:numPr>
          <w:ilvl w:val="0"/>
          <w:numId w:val="6"/>
        </w:numPr>
        <w:spacing w:after="40" w:line="240" w:lineRule="auto"/>
        <w:ind w:left="357" w:hanging="357"/>
        <w:jc w:val="left"/>
        <w:rPr>
          <w:rFonts w:ascii="Arial" w:hAnsi="Arial" w:cs="Arial"/>
          <w:sz w:val="22"/>
          <w:szCs w:val="22"/>
        </w:rPr>
      </w:pPr>
      <w:r w:rsidRPr="00147936">
        <w:rPr>
          <w:rFonts w:ascii="Arial" w:hAnsi="Arial" w:cs="Arial"/>
          <w:sz w:val="22"/>
          <w:szCs w:val="22"/>
        </w:rPr>
        <w:t xml:space="preserve">water charges will fall in real terms (by </w:t>
      </w:r>
      <w:r w:rsidR="007E525D" w:rsidRPr="00147936">
        <w:rPr>
          <w:rFonts w:ascii="Arial" w:hAnsi="Arial" w:cs="Arial"/>
          <w:sz w:val="22"/>
          <w:szCs w:val="22"/>
        </w:rPr>
        <w:t>3.4</w:t>
      </w:r>
      <w:r w:rsidRPr="00147936">
        <w:rPr>
          <w:rFonts w:ascii="Arial" w:hAnsi="Arial" w:cs="Arial"/>
          <w:sz w:val="22"/>
          <w:szCs w:val="22"/>
        </w:rPr>
        <w:t>% less t</w:t>
      </w:r>
      <w:r w:rsidR="007E525D" w:rsidRPr="00147936">
        <w:rPr>
          <w:rFonts w:ascii="Arial" w:hAnsi="Arial" w:cs="Arial"/>
          <w:sz w:val="22"/>
          <w:szCs w:val="22"/>
        </w:rPr>
        <w:t>han inflation) in 2015–</w:t>
      </w:r>
      <w:r w:rsidRPr="00147936">
        <w:rPr>
          <w:rFonts w:ascii="Arial" w:hAnsi="Arial" w:cs="Arial"/>
          <w:sz w:val="22"/>
          <w:szCs w:val="22"/>
        </w:rPr>
        <w:t>16</w:t>
      </w:r>
      <w:r w:rsidR="007E525D" w:rsidRPr="00147936">
        <w:rPr>
          <w:rFonts w:ascii="Arial" w:hAnsi="Arial" w:cs="Arial"/>
          <w:sz w:val="22"/>
          <w:szCs w:val="22"/>
        </w:rPr>
        <w:t>,</w:t>
      </w:r>
      <w:r w:rsidRPr="00147936">
        <w:rPr>
          <w:rFonts w:ascii="Arial" w:hAnsi="Arial" w:cs="Arial"/>
          <w:sz w:val="22"/>
          <w:szCs w:val="22"/>
        </w:rPr>
        <w:t xml:space="preserve"> and </w:t>
      </w:r>
      <w:r w:rsidR="007E525D" w:rsidRPr="00147936">
        <w:rPr>
          <w:rFonts w:ascii="Arial" w:hAnsi="Arial" w:cs="Arial"/>
          <w:sz w:val="22"/>
          <w:szCs w:val="22"/>
        </w:rPr>
        <w:t xml:space="preserve">then </w:t>
      </w:r>
      <w:r w:rsidRPr="00147936">
        <w:rPr>
          <w:rFonts w:ascii="Arial" w:hAnsi="Arial" w:cs="Arial"/>
          <w:sz w:val="22"/>
          <w:szCs w:val="22"/>
        </w:rPr>
        <w:t>rise in li</w:t>
      </w:r>
      <w:r w:rsidR="007E525D" w:rsidRPr="00147936">
        <w:rPr>
          <w:rFonts w:ascii="Arial" w:hAnsi="Arial" w:cs="Arial"/>
          <w:sz w:val="22"/>
          <w:szCs w:val="22"/>
        </w:rPr>
        <w:t>ne with inflation (CPI) in 2016–17 and 2017–</w:t>
      </w:r>
      <w:r w:rsidRPr="00147936">
        <w:rPr>
          <w:rFonts w:ascii="Arial" w:hAnsi="Arial" w:cs="Arial"/>
          <w:sz w:val="22"/>
          <w:szCs w:val="22"/>
        </w:rPr>
        <w:t xml:space="preserve">18 </w:t>
      </w:r>
    </w:p>
    <w:p w14:paraId="07C97A66" w14:textId="6DDD4DD6" w:rsidR="001319C8" w:rsidRPr="002542AB" w:rsidRDefault="001319C8" w:rsidP="0054783F">
      <w:pPr>
        <w:pStyle w:val="Bullet1"/>
        <w:numPr>
          <w:ilvl w:val="0"/>
          <w:numId w:val="6"/>
        </w:numPr>
        <w:spacing w:after="40" w:line="240" w:lineRule="auto"/>
        <w:ind w:left="357" w:hanging="357"/>
        <w:jc w:val="left"/>
        <w:rPr>
          <w:rFonts w:ascii="Arial" w:hAnsi="Arial" w:cs="Arial"/>
          <w:sz w:val="22"/>
          <w:szCs w:val="22"/>
        </w:rPr>
      </w:pPr>
      <w:proofErr w:type="gramStart"/>
      <w:r w:rsidRPr="00147936">
        <w:rPr>
          <w:rFonts w:ascii="Arial" w:hAnsi="Arial" w:cs="Arial"/>
          <w:sz w:val="22"/>
          <w:szCs w:val="22"/>
        </w:rPr>
        <w:t>sewerage</w:t>
      </w:r>
      <w:proofErr w:type="gramEnd"/>
      <w:r w:rsidRPr="00147936">
        <w:rPr>
          <w:rFonts w:ascii="Arial" w:hAnsi="Arial" w:cs="Arial"/>
          <w:sz w:val="22"/>
          <w:szCs w:val="22"/>
        </w:rPr>
        <w:t xml:space="preserve"> charges will increase </w:t>
      </w:r>
      <w:r w:rsidR="007E525D" w:rsidRPr="00147936">
        <w:rPr>
          <w:rFonts w:ascii="Arial" w:hAnsi="Arial" w:cs="Arial"/>
          <w:sz w:val="22"/>
          <w:szCs w:val="22"/>
        </w:rPr>
        <w:t xml:space="preserve">slightly </w:t>
      </w:r>
      <w:r w:rsidR="0064400F">
        <w:rPr>
          <w:rFonts w:ascii="Arial" w:hAnsi="Arial" w:cs="Arial"/>
          <w:sz w:val="22"/>
          <w:szCs w:val="22"/>
        </w:rPr>
        <w:t xml:space="preserve">in real terms </w:t>
      </w:r>
      <w:r w:rsidR="007E525D" w:rsidRPr="00147936">
        <w:rPr>
          <w:rFonts w:ascii="Arial" w:hAnsi="Arial" w:cs="Arial"/>
          <w:sz w:val="22"/>
          <w:szCs w:val="22"/>
        </w:rPr>
        <w:t xml:space="preserve">(by </w:t>
      </w:r>
      <w:r w:rsidRPr="00147936">
        <w:rPr>
          <w:rFonts w:ascii="Arial" w:hAnsi="Arial" w:cs="Arial"/>
          <w:sz w:val="22"/>
          <w:szCs w:val="22"/>
        </w:rPr>
        <w:t xml:space="preserve">1.4% more than inflation) in </w:t>
      </w:r>
      <w:r w:rsidRPr="002542AB">
        <w:rPr>
          <w:rFonts w:ascii="Arial" w:hAnsi="Arial" w:cs="Arial"/>
          <w:sz w:val="22"/>
          <w:szCs w:val="22"/>
        </w:rPr>
        <w:t>2015</w:t>
      </w:r>
      <w:r w:rsidR="007E525D" w:rsidRPr="002542AB">
        <w:rPr>
          <w:rFonts w:ascii="Arial" w:hAnsi="Arial" w:cs="Arial"/>
          <w:sz w:val="22"/>
          <w:szCs w:val="22"/>
        </w:rPr>
        <w:t>–</w:t>
      </w:r>
      <w:r w:rsidRPr="002542AB">
        <w:rPr>
          <w:rFonts w:ascii="Arial" w:hAnsi="Arial" w:cs="Arial"/>
          <w:sz w:val="22"/>
          <w:szCs w:val="22"/>
        </w:rPr>
        <w:t>16</w:t>
      </w:r>
      <w:r w:rsidR="00490796" w:rsidRPr="002542AB">
        <w:rPr>
          <w:rFonts w:ascii="Arial" w:hAnsi="Arial" w:cs="Arial"/>
          <w:sz w:val="22"/>
          <w:szCs w:val="22"/>
        </w:rPr>
        <w:t>,</w:t>
      </w:r>
      <w:r w:rsidRPr="002542AB">
        <w:rPr>
          <w:rFonts w:ascii="Arial" w:hAnsi="Arial" w:cs="Arial"/>
          <w:sz w:val="22"/>
          <w:szCs w:val="22"/>
        </w:rPr>
        <w:t xml:space="preserve"> and then </w:t>
      </w:r>
      <w:r w:rsidR="00490796" w:rsidRPr="002542AB">
        <w:rPr>
          <w:rFonts w:ascii="Arial" w:hAnsi="Arial" w:cs="Arial"/>
          <w:sz w:val="22"/>
          <w:szCs w:val="22"/>
        </w:rPr>
        <w:t>increase</w:t>
      </w:r>
      <w:r w:rsidRPr="002542AB">
        <w:rPr>
          <w:rFonts w:ascii="Arial" w:hAnsi="Arial" w:cs="Arial"/>
          <w:sz w:val="22"/>
          <w:szCs w:val="22"/>
        </w:rPr>
        <w:t xml:space="preserve"> in line with inflation </w:t>
      </w:r>
      <w:r w:rsidR="00490796" w:rsidRPr="002542AB">
        <w:rPr>
          <w:rFonts w:ascii="Arial" w:hAnsi="Arial" w:cs="Arial"/>
          <w:sz w:val="22"/>
          <w:szCs w:val="22"/>
        </w:rPr>
        <w:t>over</w:t>
      </w:r>
      <w:r w:rsidRPr="002542AB">
        <w:rPr>
          <w:rFonts w:ascii="Arial" w:hAnsi="Arial" w:cs="Arial"/>
          <w:sz w:val="22"/>
          <w:szCs w:val="22"/>
        </w:rPr>
        <w:t xml:space="preserve"> the next two years.</w:t>
      </w:r>
    </w:p>
    <w:p w14:paraId="44E171E2" w14:textId="77777777" w:rsidR="00147936" w:rsidRPr="0064400F" w:rsidRDefault="00147936" w:rsidP="00147936">
      <w:pPr>
        <w:rPr>
          <w:rFonts w:ascii="Arial" w:hAnsi="Arial" w:cs="Arial"/>
          <w:b/>
          <w:color w:val="1F497D" w:themeColor="text2"/>
          <w:sz w:val="20"/>
          <w:szCs w:val="22"/>
        </w:rPr>
      </w:pPr>
    </w:p>
    <w:p w14:paraId="6160CC54" w14:textId="77777777" w:rsidR="00872FD7" w:rsidRPr="00872FD7" w:rsidRDefault="00872FD7" w:rsidP="00147936">
      <w:pPr>
        <w:rPr>
          <w:rFonts w:ascii="Arial" w:hAnsi="Arial" w:cs="Arial"/>
          <w:b/>
          <w:color w:val="1F497D" w:themeColor="text2"/>
          <w:szCs w:val="22"/>
        </w:rPr>
      </w:pPr>
      <w:r w:rsidRPr="00872FD7">
        <w:rPr>
          <w:rFonts w:ascii="Arial" w:hAnsi="Arial" w:cs="Arial"/>
          <w:b/>
          <w:color w:val="1F497D" w:themeColor="text2"/>
          <w:szCs w:val="22"/>
        </w:rPr>
        <w:t>What are the impacts of the Panel’s final determination?</w:t>
      </w:r>
    </w:p>
    <w:p w14:paraId="598B93FF" w14:textId="77777777" w:rsidR="00872FD7" w:rsidRPr="0064400F" w:rsidRDefault="00872FD7" w:rsidP="00147936">
      <w:pPr>
        <w:pStyle w:val="Default"/>
        <w:rPr>
          <w:rFonts w:ascii="Arial" w:hAnsi="Arial" w:cs="Arial"/>
          <w:sz w:val="18"/>
          <w:szCs w:val="22"/>
        </w:rPr>
      </w:pPr>
    </w:p>
    <w:p w14:paraId="5AB9838A" w14:textId="77777777" w:rsidR="00872FD7" w:rsidRDefault="00872FD7" w:rsidP="00147936">
      <w:pPr>
        <w:pStyle w:val="Default"/>
        <w:rPr>
          <w:rFonts w:ascii="Arial" w:hAnsi="Arial" w:cs="Arial"/>
          <w:b/>
          <w:i/>
          <w:sz w:val="22"/>
          <w:szCs w:val="22"/>
        </w:rPr>
      </w:pPr>
      <w:r w:rsidRPr="00D40D42">
        <w:rPr>
          <w:rFonts w:ascii="Arial" w:hAnsi="Arial" w:cs="Arial"/>
          <w:b/>
          <w:i/>
          <w:sz w:val="22"/>
          <w:szCs w:val="22"/>
        </w:rPr>
        <w:t>For households and non-residential customers</w:t>
      </w:r>
    </w:p>
    <w:p w14:paraId="19F8202C" w14:textId="77777777" w:rsidR="00872FD7" w:rsidRPr="002542AB" w:rsidRDefault="00872FD7" w:rsidP="00147936">
      <w:pPr>
        <w:pStyle w:val="Default"/>
        <w:rPr>
          <w:rFonts w:ascii="Arial" w:hAnsi="Arial" w:cs="Arial"/>
          <w:b/>
          <w:i/>
          <w:sz w:val="12"/>
          <w:szCs w:val="22"/>
        </w:rPr>
      </w:pPr>
    </w:p>
    <w:p w14:paraId="5EF7060F" w14:textId="4BBB14C2" w:rsidR="00F06227" w:rsidRPr="00F06227" w:rsidRDefault="00A67ADD" w:rsidP="00147936">
      <w:pPr>
        <w:pStyle w:val="Bullet1"/>
        <w:numPr>
          <w:ilvl w:val="0"/>
          <w:numId w:val="0"/>
        </w:numPr>
        <w:jc w:val="left"/>
        <w:rPr>
          <w:rFonts w:ascii="Arial" w:hAnsi="Arial" w:cs="Arial"/>
          <w:sz w:val="22"/>
          <w:szCs w:val="22"/>
        </w:rPr>
      </w:pPr>
      <w:r>
        <w:rPr>
          <w:rFonts w:ascii="Arial" w:hAnsi="Arial" w:cs="Arial"/>
          <w:sz w:val="22"/>
          <w:szCs w:val="22"/>
        </w:rPr>
        <w:t>Typical households will see a modest increase of $14 i</w:t>
      </w:r>
      <w:r w:rsidR="002B7D90" w:rsidRPr="00F06227">
        <w:rPr>
          <w:rFonts w:ascii="Arial" w:hAnsi="Arial" w:cs="Arial"/>
          <w:sz w:val="22"/>
          <w:szCs w:val="22"/>
        </w:rPr>
        <w:t>n the</w:t>
      </w:r>
      <w:r>
        <w:rPr>
          <w:rFonts w:ascii="Arial" w:hAnsi="Arial" w:cs="Arial"/>
          <w:sz w:val="22"/>
          <w:szCs w:val="22"/>
        </w:rPr>
        <w:t>ir</w:t>
      </w:r>
      <w:r w:rsidR="002B7D90" w:rsidRPr="00F06227">
        <w:rPr>
          <w:rFonts w:ascii="Arial" w:hAnsi="Arial" w:cs="Arial"/>
          <w:sz w:val="22"/>
          <w:szCs w:val="22"/>
        </w:rPr>
        <w:t xml:space="preserve"> combined </w:t>
      </w:r>
      <w:r w:rsidR="00FB1523" w:rsidRPr="00F06227">
        <w:rPr>
          <w:rFonts w:ascii="Arial" w:hAnsi="Arial" w:cs="Arial"/>
          <w:sz w:val="22"/>
          <w:szCs w:val="22"/>
        </w:rPr>
        <w:t xml:space="preserve">annual </w:t>
      </w:r>
      <w:r w:rsidR="0016703E" w:rsidRPr="001418A2">
        <w:rPr>
          <w:rFonts w:ascii="Arial" w:hAnsi="Arial" w:cs="Arial"/>
          <w:sz w:val="22"/>
          <w:szCs w:val="22"/>
        </w:rPr>
        <w:t xml:space="preserve">water and </w:t>
      </w:r>
      <w:r w:rsidR="0016703E" w:rsidRPr="00F06227">
        <w:rPr>
          <w:rFonts w:ascii="Arial" w:hAnsi="Arial" w:cs="Arial"/>
          <w:sz w:val="22"/>
          <w:szCs w:val="22"/>
        </w:rPr>
        <w:t xml:space="preserve">sewerage </w:t>
      </w:r>
      <w:r w:rsidR="002B7D90" w:rsidRPr="00F06227">
        <w:rPr>
          <w:rFonts w:ascii="Arial" w:hAnsi="Arial" w:cs="Arial"/>
          <w:sz w:val="22"/>
          <w:szCs w:val="22"/>
        </w:rPr>
        <w:t xml:space="preserve">bill </w:t>
      </w:r>
      <w:r w:rsidR="005010D1">
        <w:rPr>
          <w:rFonts w:ascii="Arial" w:hAnsi="Arial" w:cs="Arial"/>
          <w:sz w:val="22"/>
          <w:szCs w:val="22"/>
        </w:rPr>
        <w:t>(</w:t>
      </w:r>
      <w:r w:rsidR="00AD01B7">
        <w:rPr>
          <w:rFonts w:ascii="Arial" w:hAnsi="Arial" w:cs="Arial"/>
          <w:sz w:val="22"/>
          <w:szCs w:val="22"/>
        </w:rPr>
        <w:t>a rise of around 1%</w:t>
      </w:r>
      <w:r w:rsidR="005010D1">
        <w:rPr>
          <w:rFonts w:ascii="Arial" w:hAnsi="Arial" w:cs="Arial"/>
          <w:sz w:val="22"/>
          <w:szCs w:val="22"/>
        </w:rPr>
        <w:t>)</w:t>
      </w:r>
      <w:r w:rsidR="00FB1523" w:rsidRPr="00F06227">
        <w:rPr>
          <w:rFonts w:ascii="Arial" w:hAnsi="Arial" w:cs="Arial"/>
          <w:sz w:val="22"/>
          <w:szCs w:val="22"/>
        </w:rPr>
        <w:t xml:space="preserve"> </w:t>
      </w:r>
      <w:r w:rsidR="002B7D90" w:rsidRPr="00F06227">
        <w:rPr>
          <w:rFonts w:ascii="Arial" w:hAnsi="Arial" w:cs="Arial"/>
          <w:sz w:val="22"/>
          <w:szCs w:val="22"/>
        </w:rPr>
        <w:t xml:space="preserve">in </w:t>
      </w:r>
      <w:r w:rsidR="00F06227" w:rsidRPr="00F06227">
        <w:rPr>
          <w:rFonts w:ascii="Arial" w:hAnsi="Arial" w:cs="Arial"/>
          <w:sz w:val="22"/>
          <w:szCs w:val="22"/>
        </w:rPr>
        <w:t>2015–</w:t>
      </w:r>
      <w:r w:rsidR="002B7D90" w:rsidRPr="00F06227">
        <w:rPr>
          <w:rFonts w:ascii="Arial" w:hAnsi="Arial" w:cs="Arial"/>
          <w:sz w:val="22"/>
          <w:szCs w:val="22"/>
        </w:rPr>
        <w:t>16</w:t>
      </w:r>
      <w:r w:rsidR="00147936">
        <w:rPr>
          <w:rFonts w:ascii="Arial" w:hAnsi="Arial" w:cs="Arial"/>
          <w:sz w:val="22"/>
          <w:szCs w:val="22"/>
        </w:rPr>
        <w:t>,</w:t>
      </w:r>
      <w:r w:rsidR="00F06227" w:rsidRPr="00F06227">
        <w:rPr>
          <w:rFonts w:ascii="Arial" w:hAnsi="Arial" w:cs="Arial"/>
          <w:sz w:val="22"/>
          <w:szCs w:val="22"/>
        </w:rPr>
        <w:t xml:space="preserve"> compared to the current 2014–15 year</w:t>
      </w:r>
      <w:r w:rsidR="006D1CB0">
        <w:rPr>
          <w:rFonts w:ascii="Arial" w:hAnsi="Arial" w:cs="Arial"/>
          <w:sz w:val="22"/>
          <w:szCs w:val="22"/>
        </w:rPr>
        <w:t>.</w:t>
      </w:r>
      <w:r w:rsidR="00F06227" w:rsidRPr="00F06227">
        <w:rPr>
          <w:rFonts w:ascii="Arial" w:hAnsi="Arial" w:cs="Arial"/>
          <w:sz w:val="22"/>
          <w:szCs w:val="22"/>
        </w:rPr>
        <w:t xml:space="preserve"> </w:t>
      </w:r>
      <w:r>
        <w:rPr>
          <w:rFonts w:ascii="Arial" w:hAnsi="Arial" w:cs="Arial"/>
          <w:sz w:val="22"/>
          <w:szCs w:val="22"/>
        </w:rPr>
        <w:t xml:space="preserve">This increase is less than the rate of </w:t>
      </w:r>
      <w:r w:rsidRPr="00624E1D">
        <w:rPr>
          <w:rFonts w:ascii="Arial" w:hAnsi="Arial" w:cs="Arial"/>
          <w:sz w:val="22"/>
          <w:szCs w:val="22"/>
        </w:rPr>
        <w:t>inflation</w:t>
      </w:r>
      <w:r w:rsidR="004C2230" w:rsidRPr="00624E1D">
        <w:rPr>
          <w:rFonts w:ascii="Arial" w:hAnsi="Arial" w:cs="Arial"/>
          <w:sz w:val="22"/>
          <w:szCs w:val="22"/>
        </w:rPr>
        <w:t xml:space="preserve"> (</w:t>
      </w:r>
      <w:r w:rsidR="004C2230" w:rsidRPr="00624E1D">
        <w:rPr>
          <w:rFonts w:ascii="Arial" w:hAnsi="Arial" w:cs="Arial"/>
          <w:sz w:val="22"/>
          <w:szCs w:val="22"/>
        </w:rPr>
        <w:t>ass</w:t>
      </w:r>
      <w:r w:rsidR="004C2230" w:rsidRPr="00624E1D">
        <w:rPr>
          <w:rFonts w:ascii="Arial" w:hAnsi="Arial" w:cs="Arial"/>
          <w:sz w:val="22"/>
          <w:szCs w:val="22"/>
        </w:rPr>
        <w:t>uming an inflation rate of 2.5%)</w:t>
      </w:r>
      <w:r w:rsidRPr="00624E1D">
        <w:rPr>
          <w:rFonts w:ascii="Arial" w:hAnsi="Arial" w:cs="Arial"/>
          <w:sz w:val="22"/>
          <w:szCs w:val="22"/>
        </w:rPr>
        <w:t xml:space="preserve">. </w:t>
      </w:r>
      <w:r w:rsidR="00F06227" w:rsidRPr="00624E1D">
        <w:rPr>
          <w:rFonts w:ascii="Arial" w:hAnsi="Arial" w:cs="Arial"/>
          <w:sz w:val="22"/>
          <w:szCs w:val="22"/>
        </w:rPr>
        <w:t>Over the remainder of the period, total bills will</w:t>
      </w:r>
      <w:r w:rsidR="00F06227" w:rsidRPr="00F06227">
        <w:rPr>
          <w:rFonts w:ascii="Arial" w:hAnsi="Arial" w:cs="Arial"/>
          <w:sz w:val="22"/>
          <w:szCs w:val="22"/>
        </w:rPr>
        <w:t xml:space="preserve"> rise </w:t>
      </w:r>
      <w:r w:rsidR="000F084C">
        <w:rPr>
          <w:rFonts w:ascii="Arial" w:hAnsi="Arial" w:cs="Arial"/>
          <w:sz w:val="22"/>
          <w:szCs w:val="22"/>
        </w:rPr>
        <w:t>in line with</w:t>
      </w:r>
      <w:r w:rsidR="00F06227" w:rsidRPr="00F06227">
        <w:rPr>
          <w:rFonts w:ascii="Arial" w:hAnsi="Arial" w:cs="Arial"/>
          <w:sz w:val="22"/>
          <w:szCs w:val="22"/>
        </w:rPr>
        <w:t xml:space="preserve"> rate of inflation. </w:t>
      </w:r>
    </w:p>
    <w:p w14:paraId="45B051A1" w14:textId="708C6F06" w:rsidR="00E070AC" w:rsidRPr="00E070AC" w:rsidRDefault="000F084C" w:rsidP="00147936">
      <w:pPr>
        <w:pStyle w:val="Bullet1"/>
        <w:numPr>
          <w:ilvl w:val="0"/>
          <w:numId w:val="0"/>
        </w:numPr>
        <w:jc w:val="left"/>
        <w:rPr>
          <w:rFonts w:ascii="Arial" w:hAnsi="Arial" w:cs="Arial"/>
          <w:sz w:val="22"/>
          <w:szCs w:val="22"/>
        </w:rPr>
      </w:pPr>
      <w:r>
        <w:rPr>
          <w:rFonts w:ascii="Arial" w:hAnsi="Arial" w:cs="Arial"/>
          <w:sz w:val="22"/>
          <w:szCs w:val="22"/>
        </w:rPr>
        <w:t>D</w:t>
      </w:r>
      <w:r w:rsidRPr="00E070AC">
        <w:rPr>
          <w:rFonts w:ascii="Arial" w:hAnsi="Arial" w:cs="Arial"/>
          <w:sz w:val="22"/>
          <w:szCs w:val="22"/>
        </w:rPr>
        <w:t xml:space="preserve">epending on </w:t>
      </w:r>
      <w:r>
        <w:rPr>
          <w:rFonts w:ascii="Arial" w:hAnsi="Arial" w:cs="Arial"/>
          <w:sz w:val="22"/>
          <w:szCs w:val="22"/>
        </w:rPr>
        <w:t>a non-residential customer’s</w:t>
      </w:r>
      <w:r w:rsidRPr="00E070AC">
        <w:rPr>
          <w:rFonts w:ascii="Arial" w:hAnsi="Arial" w:cs="Arial"/>
          <w:sz w:val="22"/>
          <w:szCs w:val="22"/>
        </w:rPr>
        <w:t xml:space="preserve"> annual water consumption and number of billable fixtures</w:t>
      </w:r>
      <w:r w:rsidR="00147936">
        <w:rPr>
          <w:rFonts w:ascii="Arial" w:hAnsi="Arial" w:cs="Arial"/>
          <w:sz w:val="22"/>
          <w:szCs w:val="22"/>
        </w:rPr>
        <w:t>, the 2015</w:t>
      </w:r>
      <w:r w:rsidR="00147936">
        <w:rPr>
          <w:rFonts w:ascii="Arial" w:hAnsi="Arial" w:cs="Arial"/>
          <w:color w:val="000000" w:themeColor="text1"/>
          <w:sz w:val="22"/>
          <w:szCs w:val="22"/>
        </w:rPr>
        <w:t>–</w:t>
      </w:r>
      <w:r>
        <w:rPr>
          <w:rFonts w:ascii="Arial" w:hAnsi="Arial" w:cs="Arial"/>
          <w:sz w:val="22"/>
          <w:szCs w:val="22"/>
        </w:rPr>
        <w:t>16 b</w:t>
      </w:r>
      <w:r w:rsidR="00E070AC" w:rsidRPr="00E070AC">
        <w:rPr>
          <w:rFonts w:ascii="Arial" w:hAnsi="Arial" w:cs="Arial"/>
          <w:sz w:val="22"/>
          <w:szCs w:val="22"/>
        </w:rPr>
        <w:t xml:space="preserve">ill </w:t>
      </w:r>
      <w:r>
        <w:rPr>
          <w:rFonts w:ascii="Arial" w:hAnsi="Arial" w:cs="Arial"/>
          <w:sz w:val="22"/>
          <w:szCs w:val="22"/>
        </w:rPr>
        <w:t>is</w:t>
      </w:r>
      <w:r w:rsidRPr="00E070AC">
        <w:rPr>
          <w:rFonts w:ascii="Arial" w:hAnsi="Arial" w:cs="Arial"/>
          <w:sz w:val="22"/>
          <w:szCs w:val="22"/>
        </w:rPr>
        <w:t xml:space="preserve"> </w:t>
      </w:r>
      <w:r w:rsidR="00E070AC" w:rsidRPr="00E070AC">
        <w:rPr>
          <w:rFonts w:ascii="Arial" w:hAnsi="Arial" w:cs="Arial"/>
          <w:sz w:val="22"/>
          <w:szCs w:val="22"/>
        </w:rPr>
        <w:t>expec</w:t>
      </w:r>
      <w:r w:rsidR="00E070AC">
        <w:rPr>
          <w:rFonts w:ascii="Arial" w:hAnsi="Arial" w:cs="Arial"/>
          <w:sz w:val="22"/>
          <w:szCs w:val="22"/>
        </w:rPr>
        <w:t xml:space="preserve">ted to </w:t>
      </w:r>
      <w:r w:rsidR="005010D1">
        <w:rPr>
          <w:rFonts w:ascii="Arial" w:hAnsi="Arial" w:cs="Arial"/>
          <w:sz w:val="22"/>
          <w:szCs w:val="22"/>
        </w:rPr>
        <w:t>change</w:t>
      </w:r>
      <w:r w:rsidR="00E070AC">
        <w:rPr>
          <w:rFonts w:ascii="Arial" w:hAnsi="Arial" w:cs="Arial"/>
          <w:sz w:val="22"/>
          <w:szCs w:val="22"/>
        </w:rPr>
        <w:t xml:space="preserve"> </w:t>
      </w:r>
      <w:r>
        <w:rPr>
          <w:rFonts w:ascii="Arial" w:hAnsi="Arial" w:cs="Arial"/>
          <w:sz w:val="22"/>
          <w:szCs w:val="22"/>
        </w:rPr>
        <w:t xml:space="preserve">in the range of </w:t>
      </w:r>
      <w:r w:rsidR="00E070AC" w:rsidRPr="00E070AC">
        <w:rPr>
          <w:rFonts w:ascii="Arial" w:hAnsi="Arial" w:cs="Arial"/>
          <w:sz w:val="22"/>
          <w:szCs w:val="22"/>
        </w:rPr>
        <w:t>from a 7% decrease to an</w:t>
      </w:r>
      <w:r w:rsidR="00E070AC">
        <w:rPr>
          <w:rFonts w:ascii="Arial" w:hAnsi="Arial" w:cs="Arial"/>
          <w:sz w:val="22"/>
          <w:szCs w:val="22"/>
        </w:rPr>
        <w:t xml:space="preserve"> 11% increas</w:t>
      </w:r>
      <w:r>
        <w:rPr>
          <w:rFonts w:ascii="Arial" w:hAnsi="Arial" w:cs="Arial"/>
          <w:sz w:val="22"/>
          <w:szCs w:val="22"/>
        </w:rPr>
        <w:t>e.</w:t>
      </w:r>
      <w:r w:rsidR="00E070AC" w:rsidRPr="00E070AC">
        <w:rPr>
          <w:rFonts w:ascii="Arial" w:hAnsi="Arial" w:cs="Arial"/>
          <w:sz w:val="22"/>
          <w:szCs w:val="22"/>
        </w:rPr>
        <w:t xml:space="preserve">  </w:t>
      </w:r>
    </w:p>
    <w:p w14:paraId="46093CE3" w14:textId="44402AE5" w:rsidR="00B36626" w:rsidRDefault="00B36626" w:rsidP="00147936">
      <w:pPr>
        <w:pStyle w:val="Bullet1"/>
        <w:numPr>
          <w:ilvl w:val="0"/>
          <w:numId w:val="0"/>
        </w:numPr>
        <w:jc w:val="left"/>
        <w:rPr>
          <w:rFonts w:ascii="Arial" w:hAnsi="Arial" w:cs="Arial"/>
          <w:sz w:val="22"/>
          <w:szCs w:val="22"/>
        </w:rPr>
      </w:pPr>
      <w:r>
        <w:rPr>
          <w:rFonts w:ascii="Arial" w:hAnsi="Arial" w:cs="Arial"/>
          <w:sz w:val="22"/>
          <w:szCs w:val="22"/>
        </w:rPr>
        <w:t>These price rises are consistent with water ut</w:t>
      </w:r>
      <w:r w:rsidR="00147936">
        <w:rPr>
          <w:rFonts w:ascii="Arial" w:hAnsi="Arial" w:cs="Arial"/>
          <w:sz w:val="22"/>
          <w:szCs w:val="22"/>
        </w:rPr>
        <w:t xml:space="preserve">ility charges in other parts of </w:t>
      </w:r>
      <w:r>
        <w:rPr>
          <w:rFonts w:ascii="Arial" w:hAnsi="Arial" w:cs="Arial"/>
          <w:sz w:val="22"/>
          <w:szCs w:val="22"/>
        </w:rPr>
        <w:t xml:space="preserve">Australia. </w:t>
      </w:r>
    </w:p>
    <w:p w14:paraId="6B71AC06" w14:textId="005EE8C9" w:rsidR="001C68EB" w:rsidRDefault="001C68EB" w:rsidP="00147936">
      <w:pPr>
        <w:pStyle w:val="Bullet1"/>
        <w:numPr>
          <w:ilvl w:val="0"/>
          <w:numId w:val="0"/>
        </w:numPr>
        <w:jc w:val="left"/>
        <w:rPr>
          <w:rFonts w:ascii="Arial" w:hAnsi="Arial" w:cs="Arial"/>
          <w:sz w:val="22"/>
          <w:szCs w:val="22"/>
        </w:rPr>
      </w:pPr>
      <w:r w:rsidRPr="002D744F">
        <w:rPr>
          <w:rFonts w:ascii="Arial" w:hAnsi="Arial" w:cs="Arial"/>
          <w:sz w:val="22"/>
          <w:szCs w:val="22"/>
        </w:rPr>
        <w:t xml:space="preserve">The modest price changes </w:t>
      </w:r>
      <w:r w:rsidR="00AC541A" w:rsidRPr="002D744F">
        <w:rPr>
          <w:rFonts w:ascii="Arial" w:hAnsi="Arial" w:cs="Arial"/>
          <w:sz w:val="22"/>
          <w:szCs w:val="22"/>
        </w:rPr>
        <w:t>proposed</w:t>
      </w:r>
      <w:r w:rsidR="00E960B7" w:rsidRPr="002D744F">
        <w:rPr>
          <w:rFonts w:ascii="Arial" w:hAnsi="Arial" w:cs="Arial"/>
          <w:sz w:val="22"/>
          <w:szCs w:val="22"/>
        </w:rPr>
        <w:t xml:space="preserve"> </w:t>
      </w:r>
      <w:r w:rsidRPr="002D744F">
        <w:rPr>
          <w:rFonts w:ascii="Arial" w:hAnsi="Arial" w:cs="Arial"/>
          <w:sz w:val="22"/>
          <w:szCs w:val="22"/>
        </w:rPr>
        <w:t>are unlikely to have a</w:t>
      </w:r>
      <w:r w:rsidR="002D744F">
        <w:rPr>
          <w:rFonts w:ascii="Arial" w:hAnsi="Arial" w:cs="Arial"/>
          <w:sz w:val="22"/>
          <w:szCs w:val="22"/>
        </w:rPr>
        <w:t xml:space="preserve"> significant </w:t>
      </w:r>
      <w:r w:rsidRPr="002D744F">
        <w:rPr>
          <w:rFonts w:ascii="Arial" w:hAnsi="Arial" w:cs="Arial"/>
          <w:sz w:val="22"/>
          <w:szCs w:val="22"/>
        </w:rPr>
        <w:t>impact on the bills of vulnerable customers</w:t>
      </w:r>
      <w:r w:rsidR="00E960B7" w:rsidRPr="002D744F">
        <w:rPr>
          <w:rFonts w:ascii="Arial" w:hAnsi="Arial" w:cs="Arial"/>
          <w:sz w:val="22"/>
          <w:szCs w:val="22"/>
        </w:rPr>
        <w:t>.</w:t>
      </w:r>
      <w:r w:rsidR="002D744F" w:rsidRPr="002D744F">
        <w:rPr>
          <w:rFonts w:ascii="Arial" w:hAnsi="Arial" w:cs="Arial"/>
          <w:sz w:val="22"/>
          <w:szCs w:val="22"/>
        </w:rPr>
        <w:t xml:space="preserve"> However, the Panel acknowledge</w:t>
      </w:r>
      <w:r w:rsidR="009943AB">
        <w:rPr>
          <w:rFonts w:ascii="Arial" w:hAnsi="Arial" w:cs="Arial"/>
          <w:sz w:val="22"/>
          <w:szCs w:val="22"/>
        </w:rPr>
        <w:t>s</w:t>
      </w:r>
      <w:r w:rsidR="002D744F" w:rsidRPr="002D744F">
        <w:rPr>
          <w:rFonts w:ascii="Arial" w:hAnsi="Arial" w:cs="Arial"/>
          <w:sz w:val="22"/>
          <w:szCs w:val="22"/>
        </w:rPr>
        <w:t xml:space="preserve"> that </w:t>
      </w:r>
      <w:r w:rsidR="002D744F" w:rsidRPr="002D744F">
        <w:rPr>
          <w:rFonts w:ascii="Arial" w:hAnsi="Arial" w:cs="Arial"/>
          <w:i/>
          <w:sz w:val="22"/>
          <w:szCs w:val="22"/>
        </w:rPr>
        <w:t>any</w:t>
      </w:r>
      <w:r w:rsidR="002D744F" w:rsidRPr="002D744F">
        <w:rPr>
          <w:rFonts w:ascii="Arial" w:hAnsi="Arial" w:cs="Arial"/>
          <w:sz w:val="22"/>
          <w:szCs w:val="22"/>
        </w:rPr>
        <w:t xml:space="preserve"> increase will </w:t>
      </w:r>
      <w:r w:rsidR="002D744F">
        <w:rPr>
          <w:rFonts w:ascii="Arial" w:hAnsi="Arial" w:cs="Arial"/>
          <w:sz w:val="22"/>
          <w:szCs w:val="22"/>
        </w:rPr>
        <w:t>affect</w:t>
      </w:r>
      <w:r w:rsidR="002D744F" w:rsidRPr="002D744F">
        <w:rPr>
          <w:rFonts w:ascii="Arial" w:hAnsi="Arial" w:cs="Arial"/>
          <w:sz w:val="22"/>
          <w:szCs w:val="22"/>
        </w:rPr>
        <w:t xml:space="preserve"> low income and vulnerable households, and </w:t>
      </w:r>
      <w:r w:rsidR="00FB1523">
        <w:rPr>
          <w:rFonts w:ascii="Arial" w:hAnsi="Arial" w:cs="Arial"/>
          <w:sz w:val="22"/>
          <w:szCs w:val="22"/>
        </w:rPr>
        <w:t xml:space="preserve">recognises the importance of </w:t>
      </w:r>
      <w:r w:rsidR="004566BB">
        <w:rPr>
          <w:rFonts w:ascii="Arial" w:hAnsi="Arial" w:cs="Arial"/>
          <w:sz w:val="22"/>
          <w:szCs w:val="22"/>
        </w:rPr>
        <w:t xml:space="preserve">programs </w:t>
      </w:r>
      <w:r w:rsidR="000F084C">
        <w:rPr>
          <w:rFonts w:ascii="Arial" w:hAnsi="Arial" w:cs="Arial"/>
          <w:sz w:val="22"/>
          <w:szCs w:val="22"/>
        </w:rPr>
        <w:t>which</w:t>
      </w:r>
      <w:r w:rsidR="004566BB">
        <w:rPr>
          <w:rFonts w:ascii="Arial" w:hAnsi="Arial" w:cs="Arial"/>
          <w:sz w:val="22"/>
          <w:szCs w:val="22"/>
        </w:rPr>
        <w:t xml:space="preserve"> assist </w:t>
      </w:r>
      <w:r w:rsidR="009943AB">
        <w:rPr>
          <w:rFonts w:ascii="Arial" w:hAnsi="Arial" w:cs="Arial"/>
          <w:sz w:val="22"/>
          <w:szCs w:val="22"/>
        </w:rPr>
        <w:t>those</w:t>
      </w:r>
      <w:r w:rsidR="004566BB">
        <w:rPr>
          <w:rFonts w:ascii="Arial" w:hAnsi="Arial" w:cs="Arial"/>
          <w:sz w:val="22"/>
          <w:szCs w:val="22"/>
        </w:rPr>
        <w:t xml:space="preserve"> fac</w:t>
      </w:r>
      <w:r w:rsidR="009943AB">
        <w:rPr>
          <w:rFonts w:ascii="Arial" w:hAnsi="Arial" w:cs="Arial"/>
          <w:sz w:val="22"/>
          <w:szCs w:val="22"/>
        </w:rPr>
        <w:t>ing</w:t>
      </w:r>
      <w:r w:rsidR="004566BB">
        <w:rPr>
          <w:rFonts w:ascii="Arial" w:hAnsi="Arial" w:cs="Arial"/>
          <w:sz w:val="22"/>
          <w:szCs w:val="22"/>
        </w:rPr>
        <w:t xml:space="preserve"> difficulties in paying water and sewerage bills. </w:t>
      </w:r>
    </w:p>
    <w:p w14:paraId="1B545DAE" w14:textId="0501DA39" w:rsidR="000F084C" w:rsidRPr="002D744F" w:rsidRDefault="000F084C" w:rsidP="00147936">
      <w:pPr>
        <w:pStyle w:val="Bullet1"/>
        <w:numPr>
          <w:ilvl w:val="0"/>
          <w:numId w:val="0"/>
        </w:numPr>
        <w:jc w:val="left"/>
        <w:rPr>
          <w:rFonts w:ascii="Arial" w:hAnsi="Arial" w:cs="Arial"/>
          <w:sz w:val="22"/>
          <w:szCs w:val="22"/>
        </w:rPr>
      </w:pPr>
      <w:r w:rsidRPr="006D1CB0">
        <w:rPr>
          <w:rFonts w:ascii="Arial" w:hAnsi="Arial" w:cs="Arial"/>
          <w:sz w:val="22"/>
          <w:szCs w:val="22"/>
        </w:rPr>
        <w:t xml:space="preserve">All indicative bills assume the inflation rate (CPI) is 2.5% per annum and that the cost pass-through mechanism is not triggered by unforeseen events or government decisions (such as changes to the Water Abstraction Charge or Utilities Network Facilities Tax). </w:t>
      </w:r>
    </w:p>
    <w:p w14:paraId="0E9A93AA" w14:textId="77777777" w:rsidR="000C7150" w:rsidRPr="00185436" w:rsidRDefault="009D1839" w:rsidP="00147936">
      <w:pPr>
        <w:pStyle w:val="Default"/>
        <w:rPr>
          <w:rFonts w:ascii="Arial" w:hAnsi="Arial" w:cs="Arial"/>
          <w:b/>
          <w:i/>
          <w:sz w:val="22"/>
          <w:szCs w:val="22"/>
        </w:rPr>
      </w:pPr>
      <w:r w:rsidRPr="00185436">
        <w:rPr>
          <w:rFonts w:ascii="Arial" w:hAnsi="Arial" w:cs="Arial"/>
          <w:b/>
          <w:i/>
          <w:sz w:val="22"/>
          <w:szCs w:val="22"/>
        </w:rPr>
        <w:t xml:space="preserve">For </w:t>
      </w:r>
      <w:r w:rsidR="00C70DDE">
        <w:rPr>
          <w:rFonts w:ascii="Arial" w:hAnsi="Arial" w:cs="Arial"/>
          <w:b/>
          <w:i/>
          <w:sz w:val="22"/>
          <w:szCs w:val="22"/>
        </w:rPr>
        <w:t>Icon Water</w:t>
      </w:r>
      <w:r w:rsidR="000C7150" w:rsidRPr="00185436">
        <w:rPr>
          <w:rFonts w:ascii="Arial" w:hAnsi="Arial" w:cs="Arial"/>
          <w:b/>
          <w:i/>
          <w:sz w:val="22"/>
          <w:szCs w:val="22"/>
        </w:rPr>
        <w:t xml:space="preserve"> and future regulatory decisions</w:t>
      </w:r>
    </w:p>
    <w:p w14:paraId="5B1F94C2" w14:textId="77777777" w:rsidR="000C7150" w:rsidRPr="00854534" w:rsidRDefault="000C7150" w:rsidP="00147936">
      <w:pPr>
        <w:pStyle w:val="Default"/>
        <w:rPr>
          <w:rFonts w:ascii="Arial" w:hAnsi="Arial" w:cs="Arial"/>
          <w:b/>
          <w:sz w:val="14"/>
          <w:szCs w:val="22"/>
        </w:rPr>
      </w:pPr>
    </w:p>
    <w:p w14:paraId="659AB290" w14:textId="77777777" w:rsidR="003F60B5" w:rsidRPr="001418A2" w:rsidRDefault="003F60B5" w:rsidP="00147936">
      <w:pPr>
        <w:rPr>
          <w:rFonts w:ascii="Arial" w:hAnsi="Arial" w:cs="Arial"/>
          <w:sz w:val="22"/>
          <w:szCs w:val="22"/>
        </w:rPr>
      </w:pPr>
      <w:r>
        <w:rPr>
          <w:rFonts w:ascii="Arial" w:hAnsi="Arial" w:cs="Arial"/>
          <w:color w:val="000000" w:themeColor="text1"/>
          <w:sz w:val="22"/>
          <w:szCs w:val="22"/>
        </w:rPr>
        <w:t>Although t</w:t>
      </w:r>
      <w:r w:rsidR="002D744F">
        <w:rPr>
          <w:rFonts w:ascii="Arial" w:hAnsi="Arial" w:cs="Arial"/>
          <w:color w:val="000000" w:themeColor="text1"/>
          <w:sz w:val="22"/>
          <w:szCs w:val="22"/>
        </w:rPr>
        <w:t xml:space="preserve">he </w:t>
      </w:r>
      <w:r w:rsidR="00766DA5">
        <w:rPr>
          <w:rFonts w:ascii="Arial" w:hAnsi="Arial" w:cs="Arial"/>
          <w:color w:val="000000" w:themeColor="text1"/>
          <w:sz w:val="22"/>
          <w:szCs w:val="22"/>
        </w:rPr>
        <w:t xml:space="preserve">Panel has set a price path that </w:t>
      </w:r>
      <w:r w:rsidR="002D744F">
        <w:rPr>
          <w:rFonts w:ascii="Arial" w:hAnsi="Arial" w:cs="Arial"/>
          <w:sz w:val="22"/>
          <w:szCs w:val="22"/>
        </w:rPr>
        <w:t>is lower than th</w:t>
      </w:r>
      <w:r w:rsidR="00766DA5">
        <w:rPr>
          <w:rFonts w:ascii="Arial" w:hAnsi="Arial" w:cs="Arial"/>
          <w:sz w:val="22"/>
          <w:szCs w:val="22"/>
        </w:rPr>
        <w:t xml:space="preserve">at </w:t>
      </w:r>
      <w:r w:rsidR="002D744F">
        <w:rPr>
          <w:rFonts w:ascii="Arial" w:hAnsi="Arial" w:cs="Arial"/>
          <w:sz w:val="22"/>
          <w:szCs w:val="22"/>
        </w:rPr>
        <w:t>proposed by Icon Water</w:t>
      </w:r>
      <w:r w:rsidR="00394CB4">
        <w:rPr>
          <w:rFonts w:ascii="Arial" w:hAnsi="Arial" w:cs="Arial"/>
          <w:sz w:val="22"/>
          <w:szCs w:val="22"/>
        </w:rPr>
        <w:t xml:space="preserve">, </w:t>
      </w:r>
      <w:r>
        <w:rPr>
          <w:rFonts w:ascii="Arial" w:hAnsi="Arial" w:cs="Arial"/>
          <w:sz w:val="22"/>
          <w:szCs w:val="22"/>
        </w:rPr>
        <w:t>t</w:t>
      </w:r>
      <w:r w:rsidRPr="001418A2">
        <w:rPr>
          <w:rFonts w:ascii="Arial" w:hAnsi="Arial" w:cs="Arial"/>
          <w:sz w:val="22"/>
          <w:szCs w:val="22"/>
        </w:rPr>
        <w:t>he decision inc</w:t>
      </w:r>
      <w:r>
        <w:rPr>
          <w:rFonts w:ascii="Arial" w:hAnsi="Arial" w:cs="Arial"/>
          <w:sz w:val="22"/>
          <w:szCs w:val="22"/>
        </w:rPr>
        <w:t>orporates</w:t>
      </w:r>
      <w:r w:rsidRPr="001418A2">
        <w:rPr>
          <w:rFonts w:ascii="Arial" w:hAnsi="Arial" w:cs="Arial"/>
          <w:sz w:val="22"/>
          <w:szCs w:val="22"/>
        </w:rPr>
        <w:t xml:space="preserve"> safeguards to protect </w:t>
      </w:r>
      <w:r>
        <w:rPr>
          <w:rFonts w:ascii="Arial" w:hAnsi="Arial" w:cs="Arial"/>
          <w:color w:val="000000" w:themeColor="text1"/>
          <w:sz w:val="22"/>
          <w:szCs w:val="22"/>
        </w:rPr>
        <w:t>Icon Water</w:t>
      </w:r>
      <w:r w:rsidR="00097729">
        <w:rPr>
          <w:rFonts w:ascii="Arial" w:hAnsi="Arial" w:cs="Arial"/>
          <w:sz w:val="22"/>
          <w:szCs w:val="22"/>
        </w:rPr>
        <w:t xml:space="preserve">’s financial viability. </w:t>
      </w:r>
    </w:p>
    <w:p w14:paraId="7AC12137" w14:textId="77777777" w:rsidR="00CB4A0B" w:rsidRPr="002542AB" w:rsidRDefault="00CB4A0B" w:rsidP="00147936">
      <w:pPr>
        <w:rPr>
          <w:rFonts w:ascii="Arial" w:hAnsi="Arial" w:cs="Arial"/>
          <w:color w:val="000000" w:themeColor="text1"/>
          <w:sz w:val="18"/>
          <w:szCs w:val="22"/>
        </w:rPr>
      </w:pPr>
    </w:p>
    <w:p w14:paraId="5E243231" w14:textId="32D71C9F" w:rsidR="003F60B5" w:rsidRPr="007C1960" w:rsidRDefault="003F60B5" w:rsidP="00147936">
      <w:pPr>
        <w:rPr>
          <w:rFonts w:ascii="Arial" w:hAnsi="Arial" w:cs="Arial"/>
          <w:color w:val="000000" w:themeColor="text1"/>
          <w:sz w:val="22"/>
          <w:szCs w:val="22"/>
        </w:rPr>
      </w:pPr>
      <w:r>
        <w:rPr>
          <w:rFonts w:ascii="Arial" w:hAnsi="Arial" w:cs="Arial"/>
          <w:color w:val="000000" w:themeColor="text1"/>
          <w:sz w:val="22"/>
          <w:szCs w:val="22"/>
        </w:rPr>
        <w:t xml:space="preserve">The form of regulation </w:t>
      </w:r>
      <w:r w:rsidR="0048188E">
        <w:rPr>
          <w:rFonts w:ascii="Arial" w:hAnsi="Arial" w:cs="Arial"/>
          <w:color w:val="000000" w:themeColor="text1"/>
          <w:sz w:val="22"/>
          <w:szCs w:val="22"/>
        </w:rPr>
        <w:t>determin</w:t>
      </w:r>
      <w:r>
        <w:rPr>
          <w:rFonts w:ascii="Arial" w:hAnsi="Arial" w:cs="Arial"/>
          <w:color w:val="000000" w:themeColor="text1"/>
          <w:sz w:val="22"/>
          <w:szCs w:val="22"/>
        </w:rPr>
        <w:t xml:space="preserve">ed in the Panel’s final decision </w:t>
      </w:r>
      <w:r w:rsidR="000F084C">
        <w:rPr>
          <w:rFonts w:ascii="Arial" w:hAnsi="Arial" w:cs="Arial"/>
          <w:color w:val="000000" w:themeColor="text1"/>
          <w:sz w:val="22"/>
          <w:szCs w:val="22"/>
        </w:rPr>
        <w:t>reflects best practice p</w:t>
      </w:r>
      <w:r w:rsidR="0064400F">
        <w:rPr>
          <w:rFonts w:ascii="Arial" w:hAnsi="Arial" w:cs="Arial"/>
          <w:color w:val="000000" w:themeColor="text1"/>
          <w:sz w:val="22"/>
          <w:szCs w:val="22"/>
        </w:rPr>
        <w:t xml:space="preserve">rinciples for risk allocation. </w:t>
      </w:r>
      <w:r w:rsidR="000F084C">
        <w:rPr>
          <w:rFonts w:ascii="Arial" w:hAnsi="Arial" w:cs="Arial"/>
          <w:color w:val="000000" w:themeColor="text1"/>
          <w:sz w:val="22"/>
          <w:szCs w:val="22"/>
        </w:rPr>
        <w:t xml:space="preserve">This means that risk is shared between </w:t>
      </w:r>
      <w:r w:rsidRPr="003F60B5">
        <w:rPr>
          <w:rFonts w:ascii="Arial" w:hAnsi="Arial" w:cs="Arial"/>
          <w:color w:val="000000" w:themeColor="text1"/>
          <w:sz w:val="22"/>
          <w:szCs w:val="22"/>
        </w:rPr>
        <w:t>customers and Icon Water</w:t>
      </w:r>
      <w:r w:rsidR="000F084C">
        <w:rPr>
          <w:rFonts w:ascii="Arial" w:hAnsi="Arial" w:cs="Arial"/>
          <w:color w:val="000000" w:themeColor="text1"/>
          <w:sz w:val="22"/>
          <w:szCs w:val="22"/>
        </w:rPr>
        <w:t>.</w:t>
      </w:r>
      <w:r w:rsidRPr="003F60B5">
        <w:rPr>
          <w:rFonts w:ascii="Arial" w:hAnsi="Arial" w:cs="Arial"/>
          <w:color w:val="000000" w:themeColor="text1"/>
          <w:sz w:val="22"/>
          <w:szCs w:val="22"/>
        </w:rPr>
        <w:t xml:space="preserve"> </w:t>
      </w:r>
      <w:r w:rsidR="000F084C">
        <w:rPr>
          <w:rFonts w:ascii="Arial" w:hAnsi="Arial" w:cs="Arial"/>
          <w:color w:val="000000" w:themeColor="text1"/>
          <w:sz w:val="22"/>
          <w:szCs w:val="22"/>
        </w:rPr>
        <w:t xml:space="preserve">Also, </w:t>
      </w:r>
      <w:r w:rsidRPr="003F60B5">
        <w:rPr>
          <w:rFonts w:ascii="Arial" w:hAnsi="Arial" w:cs="Arial"/>
          <w:color w:val="000000" w:themeColor="text1"/>
          <w:sz w:val="22"/>
          <w:szCs w:val="22"/>
        </w:rPr>
        <w:t xml:space="preserve">Icon Water </w:t>
      </w:r>
      <w:r w:rsidR="000F084C">
        <w:rPr>
          <w:rFonts w:ascii="Arial" w:hAnsi="Arial" w:cs="Arial"/>
          <w:color w:val="000000" w:themeColor="text1"/>
          <w:sz w:val="22"/>
          <w:szCs w:val="22"/>
        </w:rPr>
        <w:t>has an incentive t</w:t>
      </w:r>
      <w:r w:rsidRPr="003F60B5">
        <w:rPr>
          <w:rFonts w:ascii="Arial" w:hAnsi="Arial" w:cs="Arial"/>
          <w:color w:val="000000" w:themeColor="text1"/>
          <w:sz w:val="22"/>
          <w:szCs w:val="22"/>
        </w:rPr>
        <w:t>o pursue efficiencies</w:t>
      </w:r>
      <w:r w:rsidRPr="007A4588">
        <w:rPr>
          <w:rFonts w:ascii="Arial" w:hAnsi="Arial" w:cs="Arial"/>
          <w:color w:val="000000" w:themeColor="text1"/>
          <w:sz w:val="22"/>
          <w:szCs w:val="22"/>
        </w:rPr>
        <w:t>.</w:t>
      </w:r>
      <w:r>
        <w:rPr>
          <w:rFonts w:ascii="Arial" w:hAnsi="Arial" w:cs="Arial"/>
          <w:color w:val="000000" w:themeColor="text1"/>
          <w:sz w:val="22"/>
          <w:szCs w:val="22"/>
        </w:rPr>
        <w:t xml:space="preserve"> </w:t>
      </w:r>
      <w:r w:rsidRPr="007A4588">
        <w:rPr>
          <w:rFonts w:ascii="Arial" w:hAnsi="Arial" w:cs="Arial"/>
          <w:color w:val="000000" w:themeColor="text1"/>
          <w:sz w:val="22"/>
          <w:szCs w:val="22"/>
        </w:rPr>
        <w:t xml:space="preserve"> </w:t>
      </w:r>
    </w:p>
    <w:p w14:paraId="1B7A51E4" w14:textId="77777777" w:rsidR="0064400F" w:rsidRPr="0064400F" w:rsidRDefault="0064400F" w:rsidP="0064400F">
      <w:pPr>
        <w:rPr>
          <w:rFonts w:ascii="Arial" w:hAnsi="Arial" w:cs="Arial"/>
          <w:b/>
          <w:color w:val="1F497D" w:themeColor="text2"/>
          <w:sz w:val="18"/>
          <w:szCs w:val="22"/>
        </w:rPr>
      </w:pPr>
    </w:p>
    <w:p w14:paraId="2DA65B57" w14:textId="17DACEAF" w:rsidR="00AC541A" w:rsidRDefault="00AC541A" w:rsidP="0064400F">
      <w:pPr>
        <w:rPr>
          <w:rFonts w:ascii="Arial" w:hAnsi="Arial" w:cs="Arial"/>
          <w:b/>
          <w:color w:val="1F497D" w:themeColor="text2"/>
          <w:szCs w:val="22"/>
        </w:rPr>
      </w:pPr>
      <w:r>
        <w:rPr>
          <w:rFonts w:ascii="Arial" w:hAnsi="Arial" w:cs="Arial"/>
          <w:b/>
          <w:color w:val="1F497D" w:themeColor="text2"/>
          <w:szCs w:val="22"/>
        </w:rPr>
        <w:t>What changes were made following the Panel’s draft report?</w:t>
      </w:r>
    </w:p>
    <w:p w14:paraId="3EA44604" w14:textId="77777777" w:rsidR="0064400F" w:rsidRPr="0064400F" w:rsidRDefault="0064400F" w:rsidP="00147936">
      <w:pPr>
        <w:rPr>
          <w:rFonts w:ascii="Arial" w:hAnsi="Arial" w:cs="Arial"/>
          <w:b/>
          <w:color w:val="1F497D" w:themeColor="text2"/>
          <w:sz w:val="18"/>
          <w:szCs w:val="22"/>
        </w:rPr>
      </w:pPr>
    </w:p>
    <w:p w14:paraId="6D274571" w14:textId="77777777" w:rsidR="002542AB" w:rsidRDefault="004B0DC4" w:rsidP="00147936">
      <w:pPr>
        <w:rPr>
          <w:rFonts w:ascii="Arial" w:hAnsi="Arial" w:cs="Arial"/>
          <w:color w:val="000000" w:themeColor="text1"/>
          <w:sz w:val="22"/>
          <w:szCs w:val="22"/>
        </w:rPr>
      </w:pPr>
      <w:r w:rsidRPr="004B0DC4">
        <w:rPr>
          <w:rFonts w:ascii="Arial" w:hAnsi="Arial" w:cs="Arial"/>
          <w:color w:val="000000" w:themeColor="text1"/>
          <w:sz w:val="22"/>
          <w:szCs w:val="22"/>
        </w:rPr>
        <w:t xml:space="preserve">The </w:t>
      </w:r>
      <w:r w:rsidR="00F87E7E">
        <w:rPr>
          <w:rFonts w:ascii="Arial" w:hAnsi="Arial" w:cs="Arial"/>
          <w:color w:val="000000" w:themeColor="text1"/>
          <w:sz w:val="22"/>
          <w:szCs w:val="22"/>
        </w:rPr>
        <w:t xml:space="preserve">Panel’s </w:t>
      </w:r>
      <w:r w:rsidRPr="004B0DC4">
        <w:rPr>
          <w:rFonts w:ascii="Arial" w:hAnsi="Arial" w:cs="Arial"/>
          <w:color w:val="000000" w:themeColor="text1"/>
          <w:sz w:val="22"/>
          <w:szCs w:val="22"/>
        </w:rPr>
        <w:t>final decision is</w:t>
      </w:r>
      <w:r w:rsidR="005010D1">
        <w:rPr>
          <w:rFonts w:ascii="Arial" w:hAnsi="Arial" w:cs="Arial"/>
          <w:color w:val="000000" w:themeColor="text1"/>
          <w:sz w:val="22"/>
          <w:szCs w:val="22"/>
        </w:rPr>
        <w:t xml:space="preserve"> broadly</w:t>
      </w:r>
      <w:r w:rsidRPr="004B0DC4">
        <w:rPr>
          <w:rFonts w:ascii="Arial" w:hAnsi="Arial" w:cs="Arial"/>
          <w:color w:val="000000" w:themeColor="text1"/>
          <w:sz w:val="22"/>
          <w:szCs w:val="22"/>
        </w:rPr>
        <w:t xml:space="preserve"> </w:t>
      </w:r>
      <w:r w:rsidR="00671AE7">
        <w:rPr>
          <w:rFonts w:ascii="Arial" w:hAnsi="Arial" w:cs="Arial"/>
          <w:color w:val="000000" w:themeColor="text1"/>
          <w:sz w:val="22"/>
          <w:szCs w:val="22"/>
        </w:rPr>
        <w:t>in line</w:t>
      </w:r>
      <w:r w:rsidR="00F87E7E">
        <w:rPr>
          <w:rFonts w:ascii="Arial" w:hAnsi="Arial" w:cs="Arial"/>
          <w:color w:val="000000" w:themeColor="text1"/>
          <w:sz w:val="22"/>
          <w:szCs w:val="22"/>
        </w:rPr>
        <w:t xml:space="preserve"> </w:t>
      </w:r>
      <w:r w:rsidRPr="004B0DC4">
        <w:rPr>
          <w:rFonts w:ascii="Arial" w:hAnsi="Arial" w:cs="Arial"/>
          <w:color w:val="000000" w:themeColor="text1"/>
          <w:sz w:val="22"/>
          <w:szCs w:val="22"/>
        </w:rPr>
        <w:t xml:space="preserve">with </w:t>
      </w:r>
      <w:r w:rsidR="00F87E7E">
        <w:rPr>
          <w:rFonts w:ascii="Arial" w:hAnsi="Arial" w:cs="Arial"/>
          <w:color w:val="000000" w:themeColor="text1"/>
          <w:sz w:val="22"/>
          <w:szCs w:val="22"/>
        </w:rPr>
        <w:t xml:space="preserve">its </w:t>
      </w:r>
      <w:r w:rsidRPr="004B0DC4">
        <w:rPr>
          <w:rFonts w:ascii="Arial" w:hAnsi="Arial" w:cs="Arial"/>
          <w:color w:val="000000" w:themeColor="text1"/>
          <w:sz w:val="22"/>
          <w:szCs w:val="22"/>
        </w:rPr>
        <w:t>draft decision</w:t>
      </w:r>
      <w:r w:rsidR="00671AE7">
        <w:rPr>
          <w:rFonts w:ascii="Arial" w:hAnsi="Arial" w:cs="Arial"/>
          <w:color w:val="000000" w:themeColor="text1"/>
          <w:sz w:val="22"/>
          <w:szCs w:val="22"/>
        </w:rPr>
        <w:t xml:space="preserve">. </w:t>
      </w:r>
    </w:p>
    <w:p w14:paraId="0214BF02" w14:textId="77777777" w:rsidR="002542AB" w:rsidRPr="0064400F" w:rsidRDefault="002542AB" w:rsidP="00147936">
      <w:pPr>
        <w:rPr>
          <w:rFonts w:ascii="Arial" w:hAnsi="Arial" w:cs="Arial"/>
          <w:color w:val="000000" w:themeColor="text1"/>
          <w:sz w:val="16"/>
          <w:szCs w:val="22"/>
        </w:rPr>
      </w:pPr>
    </w:p>
    <w:p w14:paraId="4EBC40F7" w14:textId="1F99D410" w:rsidR="002542AB" w:rsidRDefault="00E240B6" w:rsidP="00147936">
      <w:pPr>
        <w:rPr>
          <w:rFonts w:ascii="Arial" w:hAnsi="Arial" w:cs="Arial"/>
          <w:color w:val="000000" w:themeColor="text1"/>
          <w:sz w:val="22"/>
          <w:szCs w:val="22"/>
        </w:rPr>
      </w:pPr>
      <w:r w:rsidRPr="001319C8">
        <w:rPr>
          <w:rFonts w:ascii="Arial" w:hAnsi="Arial" w:cs="Arial"/>
          <w:color w:val="000000" w:themeColor="text1"/>
          <w:sz w:val="22"/>
          <w:szCs w:val="22"/>
        </w:rPr>
        <w:lastRenderedPageBreak/>
        <w:t xml:space="preserve">The Panel listened carefully to feedback on its draft decision, including matters raised at a public hearing held on 6 February 2015, and </w:t>
      </w:r>
      <w:r w:rsidR="002542AB">
        <w:rPr>
          <w:rFonts w:ascii="Arial" w:hAnsi="Arial" w:cs="Arial"/>
          <w:color w:val="000000" w:themeColor="text1"/>
          <w:sz w:val="22"/>
          <w:szCs w:val="22"/>
        </w:rPr>
        <w:t xml:space="preserve">took account of </w:t>
      </w:r>
      <w:r w:rsidRPr="001319C8">
        <w:rPr>
          <w:rFonts w:ascii="Arial" w:hAnsi="Arial" w:cs="Arial"/>
          <w:color w:val="000000" w:themeColor="text1"/>
          <w:sz w:val="22"/>
          <w:szCs w:val="22"/>
        </w:rPr>
        <w:t xml:space="preserve">additional information provided by Icon Water. </w:t>
      </w:r>
    </w:p>
    <w:p w14:paraId="444CF809" w14:textId="77777777" w:rsidR="00624E1D" w:rsidRDefault="00624E1D" w:rsidP="00147936">
      <w:pPr>
        <w:rPr>
          <w:rFonts w:ascii="Arial" w:hAnsi="Arial" w:cs="Arial"/>
          <w:color w:val="000000" w:themeColor="text1"/>
          <w:sz w:val="22"/>
          <w:szCs w:val="22"/>
        </w:rPr>
      </w:pPr>
    </w:p>
    <w:p w14:paraId="5CFFE4FE" w14:textId="271522F7" w:rsidR="00A001B8" w:rsidRDefault="00E240B6" w:rsidP="00147936">
      <w:pPr>
        <w:rPr>
          <w:rFonts w:ascii="Arial" w:hAnsi="Arial" w:cs="Arial"/>
          <w:color w:val="000000" w:themeColor="text1"/>
          <w:sz w:val="22"/>
          <w:szCs w:val="22"/>
        </w:rPr>
      </w:pPr>
      <w:r w:rsidRPr="001319C8">
        <w:rPr>
          <w:rFonts w:ascii="Arial" w:hAnsi="Arial" w:cs="Arial"/>
          <w:color w:val="000000" w:themeColor="text1"/>
          <w:sz w:val="22"/>
          <w:szCs w:val="22"/>
        </w:rPr>
        <w:t>While m</w:t>
      </w:r>
      <w:r w:rsidR="005010D1" w:rsidRPr="007E525D">
        <w:rPr>
          <w:rFonts w:ascii="Arial" w:hAnsi="Arial" w:cs="Arial"/>
          <w:color w:val="000000" w:themeColor="text1"/>
          <w:sz w:val="22"/>
          <w:szCs w:val="22"/>
        </w:rPr>
        <w:t xml:space="preserve">any components of the draft decision were not </w:t>
      </w:r>
      <w:r w:rsidR="00F81572" w:rsidRPr="007E525D">
        <w:rPr>
          <w:rFonts w:ascii="Arial" w:hAnsi="Arial" w:cs="Arial"/>
          <w:color w:val="000000" w:themeColor="text1"/>
          <w:sz w:val="22"/>
          <w:szCs w:val="22"/>
        </w:rPr>
        <w:t>challenged in</w:t>
      </w:r>
      <w:r w:rsidR="005010D1" w:rsidRPr="007E525D">
        <w:rPr>
          <w:rFonts w:ascii="Arial" w:hAnsi="Arial" w:cs="Arial"/>
          <w:color w:val="000000" w:themeColor="text1"/>
          <w:sz w:val="22"/>
          <w:szCs w:val="22"/>
        </w:rPr>
        <w:t xml:space="preserve"> any submission and </w:t>
      </w:r>
      <w:r w:rsidR="00AB7E30" w:rsidRPr="007E525D">
        <w:rPr>
          <w:rFonts w:ascii="Arial" w:hAnsi="Arial" w:cs="Arial"/>
          <w:color w:val="000000" w:themeColor="text1"/>
          <w:sz w:val="22"/>
          <w:szCs w:val="22"/>
        </w:rPr>
        <w:t>have been</w:t>
      </w:r>
      <w:r w:rsidR="005010D1" w:rsidRPr="007E525D">
        <w:rPr>
          <w:rFonts w:ascii="Arial" w:hAnsi="Arial" w:cs="Arial"/>
          <w:color w:val="000000" w:themeColor="text1"/>
          <w:sz w:val="22"/>
          <w:szCs w:val="22"/>
        </w:rPr>
        <w:t xml:space="preserve"> confirmed</w:t>
      </w:r>
      <w:r w:rsidRPr="007E525D">
        <w:rPr>
          <w:rFonts w:ascii="Arial" w:hAnsi="Arial" w:cs="Arial"/>
          <w:color w:val="000000" w:themeColor="text1"/>
          <w:sz w:val="22"/>
          <w:szCs w:val="22"/>
        </w:rPr>
        <w:t xml:space="preserve">, </w:t>
      </w:r>
      <w:r w:rsidR="00147936">
        <w:rPr>
          <w:rFonts w:ascii="Arial" w:hAnsi="Arial" w:cs="Arial"/>
          <w:color w:val="000000" w:themeColor="text1"/>
          <w:sz w:val="22"/>
          <w:szCs w:val="22"/>
        </w:rPr>
        <w:t>s</w:t>
      </w:r>
      <w:r w:rsidR="00F81572" w:rsidRPr="001319C8">
        <w:rPr>
          <w:rFonts w:ascii="Arial" w:hAnsi="Arial" w:cs="Arial"/>
          <w:color w:val="000000" w:themeColor="text1"/>
          <w:sz w:val="22"/>
          <w:szCs w:val="22"/>
        </w:rPr>
        <w:t xml:space="preserve">everal issues were reconsidered </w:t>
      </w:r>
      <w:r w:rsidR="00AB7E30" w:rsidRPr="007E525D">
        <w:rPr>
          <w:rFonts w:ascii="Arial" w:hAnsi="Arial" w:cs="Arial"/>
          <w:color w:val="000000" w:themeColor="text1"/>
          <w:sz w:val="22"/>
          <w:szCs w:val="22"/>
        </w:rPr>
        <w:t xml:space="preserve">by the Panel </w:t>
      </w:r>
      <w:r w:rsidR="00F81572" w:rsidRPr="007E525D">
        <w:rPr>
          <w:rFonts w:ascii="Arial" w:hAnsi="Arial" w:cs="Arial"/>
          <w:color w:val="000000" w:themeColor="text1"/>
          <w:sz w:val="22"/>
          <w:szCs w:val="22"/>
        </w:rPr>
        <w:t>in light of submissions contending for changes to some aspects of the draft decision</w:t>
      </w:r>
      <w:r w:rsidRPr="007E525D">
        <w:rPr>
          <w:rFonts w:ascii="Arial" w:hAnsi="Arial" w:cs="Arial"/>
          <w:color w:val="000000" w:themeColor="text1"/>
          <w:sz w:val="22"/>
          <w:szCs w:val="22"/>
        </w:rPr>
        <w:t>.</w:t>
      </w:r>
      <w:r w:rsidR="00F81572" w:rsidRPr="007E525D">
        <w:rPr>
          <w:rFonts w:ascii="Arial" w:hAnsi="Arial" w:cs="Arial"/>
          <w:color w:val="000000" w:themeColor="text1"/>
          <w:sz w:val="22"/>
          <w:szCs w:val="22"/>
        </w:rPr>
        <w:t xml:space="preserve"> </w:t>
      </w:r>
      <w:r w:rsidR="00F81572">
        <w:rPr>
          <w:rFonts w:ascii="Arial" w:hAnsi="Arial" w:cs="Arial"/>
          <w:color w:val="000000" w:themeColor="text1"/>
          <w:sz w:val="22"/>
          <w:szCs w:val="22"/>
        </w:rPr>
        <w:t>After reconsider</w:t>
      </w:r>
      <w:r w:rsidR="000F084C">
        <w:rPr>
          <w:rFonts w:ascii="Arial" w:hAnsi="Arial" w:cs="Arial"/>
          <w:color w:val="000000" w:themeColor="text1"/>
          <w:sz w:val="22"/>
          <w:szCs w:val="22"/>
        </w:rPr>
        <w:t>ing</w:t>
      </w:r>
      <w:r w:rsidR="00F81572">
        <w:rPr>
          <w:rFonts w:ascii="Arial" w:hAnsi="Arial" w:cs="Arial"/>
          <w:color w:val="000000" w:themeColor="text1"/>
          <w:sz w:val="22"/>
          <w:szCs w:val="22"/>
        </w:rPr>
        <w:t xml:space="preserve"> these matters</w:t>
      </w:r>
      <w:r w:rsidR="000F084C">
        <w:rPr>
          <w:rFonts w:ascii="Arial" w:hAnsi="Arial" w:cs="Arial"/>
          <w:color w:val="000000" w:themeColor="text1"/>
          <w:sz w:val="22"/>
          <w:szCs w:val="22"/>
        </w:rPr>
        <w:t>,</w:t>
      </w:r>
      <w:r w:rsidR="00F81572">
        <w:rPr>
          <w:rFonts w:ascii="Arial" w:hAnsi="Arial" w:cs="Arial"/>
          <w:color w:val="000000" w:themeColor="text1"/>
          <w:sz w:val="22"/>
          <w:szCs w:val="22"/>
        </w:rPr>
        <w:t xml:space="preserve"> </w:t>
      </w:r>
      <w:r w:rsidR="00F81572" w:rsidRPr="00671AE7">
        <w:rPr>
          <w:rFonts w:ascii="Arial" w:hAnsi="Arial" w:cs="Arial"/>
          <w:color w:val="000000" w:themeColor="text1"/>
          <w:sz w:val="22"/>
          <w:szCs w:val="22"/>
        </w:rPr>
        <w:t xml:space="preserve">the </w:t>
      </w:r>
      <w:r w:rsidR="004B0DC4" w:rsidRPr="004B0DC4">
        <w:rPr>
          <w:rFonts w:ascii="Arial" w:hAnsi="Arial" w:cs="Arial"/>
          <w:color w:val="000000" w:themeColor="text1"/>
          <w:sz w:val="22"/>
          <w:szCs w:val="22"/>
        </w:rPr>
        <w:t xml:space="preserve">Panel </w:t>
      </w:r>
      <w:r w:rsidR="00521FD6">
        <w:rPr>
          <w:rFonts w:ascii="Arial" w:hAnsi="Arial" w:cs="Arial"/>
          <w:color w:val="000000" w:themeColor="text1"/>
          <w:sz w:val="22"/>
          <w:szCs w:val="22"/>
        </w:rPr>
        <w:t>revised</w:t>
      </w:r>
      <w:r w:rsidR="005010D1">
        <w:rPr>
          <w:rFonts w:ascii="Arial" w:hAnsi="Arial" w:cs="Arial"/>
          <w:color w:val="000000" w:themeColor="text1"/>
          <w:sz w:val="22"/>
          <w:szCs w:val="22"/>
        </w:rPr>
        <w:t xml:space="preserve"> two </w:t>
      </w:r>
      <w:r w:rsidR="00F81572">
        <w:rPr>
          <w:rFonts w:ascii="Arial" w:hAnsi="Arial" w:cs="Arial"/>
          <w:color w:val="000000" w:themeColor="text1"/>
          <w:sz w:val="22"/>
          <w:szCs w:val="22"/>
        </w:rPr>
        <w:t>key variables:</w:t>
      </w:r>
      <w:r w:rsidR="005010D1">
        <w:rPr>
          <w:rFonts w:ascii="Arial" w:hAnsi="Arial" w:cs="Arial"/>
          <w:color w:val="000000" w:themeColor="text1"/>
          <w:sz w:val="22"/>
          <w:szCs w:val="22"/>
        </w:rPr>
        <w:t xml:space="preserve"> forecasts of capital expenditure and water sales</w:t>
      </w:r>
      <w:r w:rsidR="00FD56AD" w:rsidRPr="00FD56AD">
        <w:rPr>
          <w:rFonts w:ascii="Arial" w:hAnsi="Arial" w:cs="Arial"/>
          <w:color w:val="000000" w:themeColor="text1"/>
          <w:sz w:val="22"/>
          <w:szCs w:val="22"/>
        </w:rPr>
        <w:t xml:space="preserve">. </w:t>
      </w:r>
    </w:p>
    <w:p w14:paraId="6000BE1C" w14:textId="77777777" w:rsidR="00AB7E30" w:rsidRPr="00624E1D" w:rsidRDefault="00AB7E30" w:rsidP="00147936">
      <w:pPr>
        <w:rPr>
          <w:rFonts w:ascii="Arial" w:hAnsi="Arial" w:cs="Arial"/>
          <w:color w:val="000000" w:themeColor="text1"/>
          <w:sz w:val="16"/>
          <w:szCs w:val="22"/>
        </w:rPr>
      </w:pPr>
    </w:p>
    <w:p w14:paraId="178A3036" w14:textId="06511D3E" w:rsidR="00AC541A" w:rsidRPr="00147936" w:rsidRDefault="005010D1" w:rsidP="00147936">
      <w:pPr>
        <w:pStyle w:val="Bullet1"/>
        <w:numPr>
          <w:ilvl w:val="0"/>
          <w:numId w:val="0"/>
        </w:numPr>
        <w:spacing w:line="240" w:lineRule="auto"/>
        <w:jc w:val="left"/>
        <w:rPr>
          <w:rFonts w:ascii="Arial" w:hAnsi="Arial" w:cs="Arial"/>
          <w:sz w:val="22"/>
          <w:szCs w:val="22"/>
        </w:rPr>
      </w:pPr>
      <w:r w:rsidRPr="00147936">
        <w:rPr>
          <w:rFonts w:ascii="Arial" w:hAnsi="Arial" w:cs="Arial"/>
          <w:sz w:val="22"/>
          <w:szCs w:val="22"/>
        </w:rPr>
        <w:t>The</w:t>
      </w:r>
      <w:r w:rsidR="00AC541A" w:rsidRPr="00147936">
        <w:rPr>
          <w:rFonts w:ascii="Arial" w:hAnsi="Arial" w:cs="Arial"/>
          <w:sz w:val="22"/>
          <w:szCs w:val="22"/>
        </w:rPr>
        <w:t xml:space="preserve"> most significant change</w:t>
      </w:r>
      <w:r w:rsidRPr="00147936">
        <w:rPr>
          <w:rFonts w:ascii="Arial" w:hAnsi="Arial" w:cs="Arial"/>
          <w:sz w:val="22"/>
          <w:szCs w:val="22"/>
        </w:rPr>
        <w:t xml:space="preserve"> to prices</w:t>
      </w:r>
      <w:r w:rsidR="00AC541A" w:rsidRPr="00147936">
        <w:rPr>
          <w:rFonts w:ascii="Arial" w:hAnsi="Arial" w:cs="Arial"/>
          <w:sz w:val="22"/>
          <w:szCs w:val="22"/>
        </w:rPr>
        <w:t xml:space="preserve"> arise</w:t>
      </w:r>
      <w:r w:rsidR="000F084C" w:rsidRPr="00147936">
        <w:rPr>
          <w:rFonts w:ascii="Arial" w:hAnsi="Arial" w:cs="Arial"/>
          <w:sz w:val="22"/>
          <w:szCs w:val="22"/>
        </w:rPr>
        <w:t xml:space="preserve"> from the Panel adopting lower water</w:t>
      </w:r>
      <w:r w:rsidR="00AC541A" w:rsidRPr="00147936">
        <w:rPr>
          <w:rFonts w:ascii="Arial" w:hAnsi="Arial" w:cs="Arial"/>
          <w:sz w:val="22"/>
          <w:szCs w:val="22"/>
        </w:rPr>
        <w:t xml:space="preserve"> demand forecasts</w:t>
      </w:r>
      <w:r w:rsidR="000F084C" w:rsidRPr="00147936">
        <w:rPr>
          <w:rFonts w:ascii="Arial" w:hAnsi="Arial" w:cs="Arial"/>
          <w:sz w:val="22"/>
          <w:szCs w:val="22"/>
        </w:rPr>
        <w:t>:</w:t>
      </w:r>
      <w:r w:rsidR="00AC541A" w:rsidRPr="00147936">
        <w:rPr>
          <w:rFonts w:ascii="Arial" w:hAnsi="Arial" w:cs="Arial"/>
          <w:sz w:val="22"/>
          <w:szCs w:val="22"/>
        </w:rPr>
        <w:t xml:space="preserve"> </w:t>
      </w:r>
    </w:p>
    <w:p w14:paraId="589E9A2A" w14:textId="489A7DAB" w:rsidR="00AC541A" w:rsidRPr="0016703E" w:rsidRDefault="00AC541A" w:rsidP="0054783F">
      <w:pPr>
        <w:pStyle w:val="Bullet1"/>
        <w:numPr>
          <w:ilvl w:val="0"/>
          <w:numId w:val="6"/>
        </w:numPr>
        <w:spacing w:after="40" w:line="240" w:lineRule="auto"/>
        <w:ind w:left="357" w:hanging="357"/>
        <w:jc w:val="left"/>
        <w:rPr>
          <w:rFonts w:ascii="Arial" w:hAnsi="Arial" w:cs="Arial"/>
          <w:sz w:val="22"/>
          <w:szCs w:val="22"/>
        </w:rPr>
      </w:pPr>
      <w:r w:rsidRPr="0016703E">
        <w:rPr>
          <w:rFonts w:ascii="Arial" w:hAnsi="Arial" w:cs="Arial"/>
          <w:sz w:val="22"/>
          <w:szCs w:val="22"/>
        </w:rPr>
        <w:t xml:space="preserve">While the size of the </w:t>
      </w:r>
      <w:r w:rsidR="000F084C">
        <w:rPr>
          <w:rFonts w:ascii="Arial" w:hAnsi="Arial" w:cs="Arial"/>
          <w:sz w:val="22"/>
          <w:szCs w:val="22"/>
        </w:rPr>
        <w:t>decrease</w:t>
      </w:r>
      <w:r w:rsidRPr="0016703E">
        <w:rPr>
          <w:rFonts w:ascii="Arial" w:hAnsi="Arial" w:cs="Arial"/>
          <w:sz w:val="22"/>
          <w:szCs w:val="22"/>
        </w:rPr>
        <w:t xml:space="preserve"> is modest (with water sales now projected to be around 2% lower than forecast at the draft decision stage), this has a </w:t>
      </w:r>
      <w:r w:rsidR="00A9120E">
        <w:rPr>
          <w:rFonts w:ascii="Arial" w:hAnsi="Arial" w:cs="Arial"/>
          <w:sz w:val="22"/>
          <w:szCs w:val="22"/>
        </w:rPr>
        <w:t xml:space="preserve">direct </w:t>
      </w:r>
      <w:r w:rsidRPr="0016703E">
        <w:rPr>
          <w:rFonts w:ascii="Arial" w:hAnsi="Arial" w:cs="Arial"/>
          <w:sz w:val="22"/>
          <w:szCs w:val="22"/>
        </w:rPr>
        <w:t xml:space="preserve">impact on the volumetric charges for water. </w:t>
      </w:r>
    </w:p>
    <w:p w14:paraId="7B2837C1" w14:textId="523494DB" w:rsidR="00147936" w:rsidRPr="00147936" w:rsidRDefault="00033152" w:rsidP="0054783F">
      <w:pPr>
        <w:pStyle w:val="Bullet1"/>
        <w:numPr>
          <w:ilvl w:val="0"/>
          <w:numId w:val="6"/>
        </w:numPr>
        <w:spacing w:after="40" w:line="240" w:lineRule="auto"/>
        <w:ind w:left="357" w:hanging="357"/>
        <w:jc w:val="left"/>
        <w:rPr>
          <w:rFonts w:ascii="Arial" w:hAnsi="Arial" w:cs="Arial"/>
          <w:sz w:val="22"/>
          <w:szCs w:val="22"/>
        </w:rPr>
      </w:pPr>
      <w:r w:rsidRPr="001068C3">
        <w:rPr>
          <w:rFonts w:ascii="Arial" w:hAnsi="Arial" w:cs="Arial"/>
          <w:sz w:val="22"/>
          <w:szCs w:val="22"/>
        </w:rPr>
        <w:t>Because t</w:t>
      </w:r>
      <w:r w:rsidR="00D24C1D" w:rsidRPr="001068C3">
        <w:rPr>
          <w:rFonts w:ascii="Arial" w:hAnsi="Arial" w:cs="Arial"/>
          <w:sz w:val="22"/>
          <w:szCs w:val="22"/>
        </w:rPr>
        <w:t xml:space="preserve">he Panel’s demand forecasts </w:t>
      </w:r>
      <w:r w:rsidR="005010D1">
        <w:rPr>
          <w:rFonts w:ascii="Arial" w:hAnsi="Arial" w:cs="Arial"/>
          <w:sz w:val="22"/>
          <w:szCs w:val="22"/>
        </w:rPr>
        <w:t>remain</w:t>
      </w:r>
      <w:r w:rsidR="00D24C1D" w:rsidRPr="001068C3">
        <w:rPr>
          <w:rFonts w:ascii="Arial" w:hAnsi="Arial" w:cs="Arial"/>
          <w:sz w:val="22"/>
          <w:szCs w:val="22"/>
        </w:rPr>
        <w:t xml:space="preserve"> higher than those proposed by Icon Water</w:t>
      </w:r>
      <w:r w:rsidRPr="001068C3">
        <w:rPr>
          <w:rFonts w:ascii="Arial" w:hAnsi="Arial" w:cs="Arial"/>
          <w:sz w:val="22"/>
          <w:szCs w:val="22"/>
        </w:rPr>
        <w:t xml:space="preserve">, resulting price rises </w:t>
      </w:r>
      <w:r w:rsidR="000F084C">
        <w:rPr>
          <w:rFonts w:ascii="Arial" w:hAnsi="Arial" w:cs="Arial"/>
          <w:sz w:val="22"/>
          <w:szCs w:val="22"/>
        </w:rPr>
        <w:t>are</w:t>
      </w:r>
      <w:r w:rsidR="000F084C" w:rsidRPr="001068C3">
        <w:rPr>
          <w:rFonts w:ascii="Arial" w:hAnsi="Arial" w:cs="Arial"/>
          <w:sz w:val="22"/>
          <w:szCs w:val="22"/>
        </w:rPr>
        <w:t xml:space="preserve"> </w:t>
      </w:r>
      <w:r w:rsidRPr="001068C3">
        <w:rPr>
          <w:rFonts w:ascii="Arial" w:hAnsi="Arial" w:cs="Arial"/>
          <w:sz w:val="22"/>
          <w:szCs w:val="22"/>
        </w:rPr>
        <w:t xml:space="preserve">lower than that contended by Icon Water.  </w:t>
      </w:r>
    </w:p>
    <w:p w14:paraId="463F83C7" w14:textId="77777777" w:rsidR="00147936" w:rsidRPr="00147936" w:rsidRDefault="00147936" w:rsidP="00147936">
      <w:pPr>
        <w:pStyle w:val="Bullet1"/>
        <w:numPr>
          <w:ilvl w:val="0"/>
          <w:numId w:val="0"/>
        </w:numPr>
        <w:spacing w:line="240" w:lineRule="auto"/>
        <w:jc w:val="left"/>
        <w:rPr>
          <w:rFonts w:ascii="Arial" w:hAnsi="Arial" w:cs="Arial"/>
          <w:sz w:val="6"/>
          <w:szCs w:val="22"/>
        </w:rPr>
      </w:pPr>
    </w:p>
    <w:p w14:paraId="5E5F41DA" w14:textId="6DEEB71A" w:rsidR="004E5A4A" w:rsidRPr="00B1038C" w:rsidRDefault="004E5A4A" w:rsidP="00147936">
      <w:pPr>
        <w:pStyle w:val="Bullet1"/>
        <w:numPr>
          <w:ilvl w:val="0"/>
          <w:numId w:val="0"/>
        </w:numPr>
        <w:spacing w:line="240" w:lineRule="auto"/>
        <w:jc w:val="left"/>
        <w:rPr>
          <w:rFonts w:ascii="Arial" w:hAnsi="Arial" w:cs="Arial"/>
          <w:sz w:val="22"/>
          <w:szCs w:val="22"/>
        </w:rPr>
      </w:pPr>
      <w:r w:rsidRPr="00B1038C">
        <w:rPr>
          <w:rFonts w:ascii="Arial" w:hAnsi="Arial" w:cs="Arial"/>
          <w:sz w:val="22"/>
          <w:szCs w:val="22"/>
        </w:rPr>
        <w:t>Other changes</w:t>
      </w:r>
      <w:r w:rsidR="002472FE">
        <w:rPr>
          <w:rFonts w:ascii="Arial" w:hAnsi="Arial" w:cs="Arial"/>
          <w:sz w:val="22"/>
          <w:szCs w:val="22"/>
        </w:rPr>
        <w:t xml:space="preserve"> include</w:t>
      </w:r>
      <w:r w:rsidRPr="00B1038C">
        <w:rPr>
          <w:rFonts w:ascii="Arial" w:hAnsi="Arial" w:cs="Arial"/>
          <w:sz w:val="22"/>
          <w:szCs w:val="22"/>
        </w:rPr>
        <w:t>:</w:t>
      </w:r>
    </w:p>
    <w:p w14:paraId="076E2915" w14:textId="2884EB9A" w:rsidR="004E5A4A" w:rsidRPr="00B1038C" w:rsidRDefault="004E5A4A" w:rsidP="0054783F">
      <w:pPr>
        <w:pStyle w:val="Bullet1"/>
        <w:numPr>
          <w:ilvl w:val="0"/>
          <w:numId w:val="6"/>
        </w:numPr>
        <w:spacing w:after="40" w:line="240" w:lineRule="auto"/>
        <w:ind w:left="357" w:hanging="357"/>
        <w:jc w:val="left"/>
        <w:rPr>
          <w:rFonts w:ascii="Arial" w:hAnsi="Arial" w:cs="Arial"/>
          <w:sz w:val="22"/>
          <w:szCs w:val="22"/>
        </w:rPr>
      </w:pPr>
      <w:r w:rsidRPr="00B1038C">
        <w:rPr>
          <w:rFonts w:ascii="Arial" w:hAnsi="Arial" w:cs="Arial"/>
          <w:sz w:val="22"/>
          <w:szCs w:val="22"/>
        </w:rPr>
        <w:t xml:space="preserve">A $20 million reduction in </w:t>
      </w:r>
      <w:r w:rsidR="002472FE">
        <w:rPr>
          <w:rFonts w:ascii="Arial" w:hAnsi="Arial" w:cs="Arial"/>
          <w:sz w:val="22"/>
          <w:szCs w:val="22"/>
        </w:rPr>
        <w:t xml:space="preserve">forecast </w:t>
      </w:r>
      <w:r w:rsidRPr="00B1038C">
        <w:rPr>
          <w:rFonts w:ascii="Arial" w:hAnsi="Arial" w:cs="Arial"/>
          <w:sz w:val="22"/>
          <w:szCs w:val="22"/>
        </w:rPr>
        <w:t xml:space="preserve">capital expenditure because of new information </w:t>
      </w:r>
      <w:r>
        <w:rPr>
          <w:rFonts w:ascii="Arial" w:hAnsi="Arial" w:cs="Arial"/>
          <w:sz w:val="22"/>
          <w:szCs w:val="22"/>
        </w:rPr>
        <w:t>concerning</w:t>
      </w:r>
      <w:r w:rsidRPr="00B1038C">
        <w:rPr>
          <w:rFonts w:ascii="Arial" w:hAnsi="Arial" w:cs="Arial"/>
          <w:sz w:val="22"/>
          <w:szCs w:val="22"/>
        </w:rPr>
        <w:t xml:space="preserve"> </w:t>
      </w:r>
      <w:r w:rsidR="002472FE">
        <w:rPr>
          <w:rFonts w:ascii="Arial" w:hAnsi="Arial" w:cs="Arial"/>
          <w:sz w:val="22"/>
          <w:szCs w:val="22"/>
        </w:rPr>
        <w:t xml:space="preserve">delivery </w:t>
      </w:r>
      <w:r w:rsidRPr="00B1038C">
        <w:rPr>
          <w:rFonts w:ascii="Arial" w:hAnsi="Arial" w:cs="Arial"/>
          <w:sz w:val="22"/>
          <w:szCs w:val="22"/>
        </w:rPr>
        <w:t>of Icon Water</w:t>
      </w:r>
      <w:r w:rsidR="002472FE">
        <w:rPr>
          <w:rFonts w:ascii="Arial" w:hAnsi="Arial" w:cs="Arial"/>
          <w:sz w:val="22"/>
          <w:szCs w:val="22"/>
        </w:rPr>
        <w:t xml:space="preserve">’s </w:t>
      </w:r>
      <w:r w:rsidRPr="00B1038C">
        <w:rPr>
          <w:rFonts w:ascii="Arial" w:hAnsi="Arial" w:cs="Arial"/>
          <w:sz w:val="22"/>
          <w:szCs w:val="22"/>
        </w:rPr>
        <w:t xml:space="preserve">capital program. </w:t>
      </w:r>
    </w:p>
    <w:p w14:paraId="09FFCCAB" w14:textId="0EFA5DF8" w:rsidR="004E5A4A" w:rsidRPr="00B1038C" w:rsidRDefault="004E5A4A" w:rsidP="0054783F">
      <w:pPr>
        <w:pStyle w:val="Bullet1"/>
        <w:numPr>
          <w:ilvl w:val="0"/>
          <w:numId w:val="6"/>
        </w:numPr>
        <w:spacing w:after="40" w:line="240" w:lineRule="auto"/>
        <w:ind w:left="357" w:hanging="357"/>
        <w:jc w:val="left"/>
        <w:rPr>
          <w:rFonts w:ascii="Arial" w:hAnsi="Arial" w:cs="Arial"/>
          <w:sz w:val="22"/>
          <w:szCs w:val="22"/>
        </w:rPr>
      </w:pPr>
      <w:r w:rsidRPr="00B1038C">
        <w:rPr>
          <w:rFonts w:ascii="Arial" w:hAnsi="Arial" w:cs="Arial"/>
          <w:sz w:val="22"/>
          <w:szCs w:val="22"/>
        </w:rPr>
        <w:t xml:space="preserve">Updated asset lives </w:t>
      </w:r>
      <w:r w:rsidR="002472FE">
        <w:rPr>
          <w:rFonts w:ascii="Arial" w:hAnsi="Arial" w:cs="Arial"/>
          <w:sz w:val="22"/>
          <w:szCs w:val="22"/>
        </w:rPr>
        <w:t>for</w:t>
      </w:r>
      <w:r w:rsidR="002472FE" w:rsidRPr="00B1038C">
        <w:rPr>
          <w:rFonts w:ascii="Arial" w:hAnsi="Arial" w:cs="Arial"/>
          <w:sz w:val="22"/>
          <w:szCs w:val="22"/>
        </w:rPr>
        <w:t xml:space="preserve"> </w:t>
      </w:r>
      <w:r w:rsidRPr="00B1038C">
        <w:rPr>
          <w:rFonts w:ascii="Arial" w:hAnsi="Arial" w:cs="Arial"/>
          <w:sz w:val="22"/>
          <w:szCs w:val="22"/>
        </w:rPr>
        <w:t>around 60 projects, which affect the allowances for depreciation.</w:t>
      </w:r>
    </w:p>
    <w:p w14:paraId="355B60D6" w14:textId="77777777" w:rsidR="004E5A4A" w:rsidRPr="00B1038C" w:rsidRDefault="004E5A4A" w:rsidP="0054783F">
      <w:pPr>
        <w:pStyle w:val="Bullet1"/>
        <w:numPr>
          <w:ilvl w:val="0"/>
          <w:numId w:val="6"/>
        </w:numPr>
        <w:spacing w:after="40" w:line="240" w:lineRule="auto"/>
        <w:ind w:left="357" w:hanging="357"/>
        <w:jc w:val="left"/>
        <w:rPr>
          <w:rFonts w:ascii="Arial" w:hAnsi="Arial" w:cs="Arial"/>
          <w:sz w:val="22"/>
          <w:szCs w:val="22"/>
        </w:rPr>
      </w:pPr>
      <w:r w:rsidRPr="00B1038C">
        <w:rPr>
          <w:rFonts w:ascii="Arial" w:hAnsi="Arial" w:cs="Arial"/>
          <w:sz w:val="22"/>
          <w:szCs w:val="22"/>
        </w:rPr>
        <w:t xml:space="preserve">Minor reductions in forecast operating expenditure (reflecting a lower </w:t>
      </w:r>
      <w:r w:rsidRPr="0016703E">
        <w:rPr>
          <w:rFonts w:ascii="Arial" w:hAnsi="Arial" w:cs="Arial"/>
          <w:sz w:val="22"/>
          <w:szCs w:val="22"/>
        </w:rPr>
        <w:t>W</w:t>
      </w:r>
      <w:r>
        <w:rPr>
          <w:rFonts w:ascii="Arial" w:hAnsi="Arial" w:cs="Arial"/>
          <w:sz w:val="22"/>
          <w:szCs w:val="22"/>
        </w:rPr>
        <w:t xml:space="preserve">ater </w:t>
      </w:r>
      <w:r w:rsidRPr="0016703E">
        <w:rPr>
          <w:rFonts w:ascii="Arial" w:hAnsi="Arial" w:cs="Arial"/>
          <w:sz w:val="22"/>
          <w:szCs w:val="22"/>
        </w:rPr>
        <w:t>A</w:t>
      </w:r>
      <w:r>
        <w:rPr>
          <w:rFonts w:ascii="Arial" w:hAnsi="Arial" w:cs="Arial"/>
          <w:sz w:val="22"/>
          <w:szCs w:val="22"/>
        </w:rPr>
        <w:t xml:space="preserve">bstraction </w:t>
      </w:r>
      <w:r w:rsidRPr="0016703E">
        <w:rPr>
          <w:rFonts w:ascii="Arial" w:hAnsi="Arial" w:cs="Arial"/>
          <w:sz w:val="22"/>
          <w:szCs w:val="22"/>
        </w:rPr>
        <w:t>C</w:t>
      </w:r>
      <w:r>
        <w:rPr>
          <w:rFonts w:ascii="Arial" w:hAnsi="Arial" w:cs="Arial"/>
          <w:sz w:val="22"/>
          <w:szCs w:val="22"/>
        </w:rPr>
        <w:t xml:space="preserve">harge </w:t>
      </w:r>
      <w:r w:rsidRPr="00B1038C">
        <w:rPr>
          <w:rFonts w:ascii="Arial" w:hAnsi="Arial" w:cs="Arial"/>
          <w:sz w:val="22"/>
          <w:szCs w:val="22"/>
        </w:rPr>
        <w:t xml:space="preserve">because of lower water sales forecasts and the correction of an error in conversion from real to nominal values). </w:t>
      </w:r>
    </w:p>
    <w:p w14:paraId="0D9ECBBC" w14:textId="627FDD06" w:rsidR="004E5A4A" w:rsidRPr="00B1038C" w:rsidRDefault="004E5A4A" w:rsidP="0054783F">
      <w:pPr>
        <w:pStyle w:val="Bullet1"/>
        <w:numPr>
          <w:ilvl w:val="0"/>
          <w:numId w:val="6"/>
        </w:numPr>
        <w:spacing w:after="40" w:line="240" w:lineRule="auto"/>
        <w:ind w:left="357" w:hanging="357"/>
        <w:jc w:val="left"/>
        <w:rPr>
          <w:rFonts w:ascii="Arial" w:hAnsi="Arial" w:cs="Arial"/>
          <w:sz w:val="22"/>
          <w:szCs w:val="22"/>
        </w:rPr>
      </w:pPr>
      <w:r>
        <w:rPr>
          <w:rFonts w:ascii="Arial" w:hAnsi="Arial" w:cs="Arial"/>
          <w:sz w:val="22"/>
          <w:szCs w:val="22"/>
        </w:rPr>
        <w:t>A d</w:t>
      </w:r>
      <w:r w:rsidRPr="00B1038C">
        <w:rPr>
          <w:rFonts w:ascii="Arial" w:hAnsi="Arial" w:cs="Arial"/>
          <w:sz w:val="22"/>
          <w:szCs w:val="22"/>
        </w:rPr>
        <w:t xml:space="preserve">ecision not to include a ‘true up’ </w:t>
      </w:r>
      <w:r w:rsidR="002472FE">
        <w:rPr>
          <w:rFonts w:ascii="Arial" w:hAnsi="Arial" w:cs="Arial"/>
          <w:sz w:val="22"/>
          <w:szCs w:val="22"/>
        </w:rPr>
        <w:t xml:space="preserve">adjustment </w:t>
      </w:r>
      <w:r w:rsidRPr="00B1038C">
        <w:rPr>
          <w:rFonts w:ascii="Arial" w:hAnsi="Arial" w:cs="Arial"/>
          <w:sz w:val="22"/>
          <w:szCs w:val="22"/>
        </w:rPr>
        <w:t xml:space="preserve">because </w:t>
      </w:r>
      <w:r w:rsidR="002472FE">
        <w:rPr>
          <w:rFonts w:ascii="Arial" w:hAnsi="Arial" w:cs="Arial"/>
          <w:sz w:val="22"/>
          <w:szCs w:val="22"/>
        </w:rPr>
        <w:t xml:space="preserve">of changes to </w:t>
      </w:r>
      <w:r w:rsidRPr="00B1038C">
        <w:rPr>
          <w:rFonts w:ascii="Arial" w:hAnsi="Arial" w:cs="Arial"/>
          <w:sz w:val="22"/>
          <w:szCs w:val="22"/>
        </w:rPr>
        <w:t>the Panel</w:t>
      </w:r>
      <w:r w:rsidR="002472FE">
        <w:rPr>
          <w:rFonts w:ascii="Arial" w:hAnsi="Arial" w:cs="Arial"/>
          <w:sz w:val="22"/>
          <w:szCs w:val="22"/>
        </w:rPr>
        <w:t>’s views about Icon Water significantly</w:t>
      </w:r>
      <w:r w:rsidRPr="00B1038C">
        <w:rPr>
          <w:rFonts w:ascii="Arial" w:hAnsi="Arial" w:cs="Arial"/>
          <w:sz w:val="22"/>
          <w:szCs w:val="22"/>
        </w:rPr>
        <w:t xml:space="preserve"> over-</w:t>
      </w:r>
      <w:r w:rsidR="002472FE" w:rsidRPr="00B1038C">
        <w:rPr>
          <w:rFonts w:ascii="Arial" w:hAnsi="Arial" w:cs="Arial"/>
          <w:sz w:val="22"/>
          <w:szCs w:val="22"/>
        </w:rPr>
        <w:t>recover</w:t>
      </w:r>
      <w:r w:rsidR="002472FE">
        <w:rPr>
          <w:rFonts w:ascii="Arial" w:hAnsi="Arial" w:cs="Arial"/>
          <w:sz w:val="22"/>
          <w:szCs w:val="22"/>
        </w:rPr>
        <w:t xml:space="preserve">ing </w:t>
      </w:r>
      <w:r w:rsidRPr="00B1038C">
        <w:rPr>
          <w:rFonts w:ascii="Arial" w:hAnsi="Arial" w:cs="Arial"/>
          <w:sz w:val="22"/>
          <w:szCs w:val="22"/>
        </w:rPr>
        <w:t>revenue during the first two years of the regulatory period (when the ICRC’s prices apply).</w:t>
      </w:r>
    </w:p>
    <w:p w14:paraId="1FFAA48B" w14:textId="03126DE2" w:rsidR="004E5A4A" w:rsidRPr="00B1038C" w:rsidRDefault="004E5A4A" w:rsidP="0054783F">
      <w:pPr>
        <w:pStyle w:val="Bullet1"/>
        <w:numPr>
          <w:ilvl w:val="0"/>
          <w:numId w:val="6"/>
        </w:numPr>
        <w:spacing w:after="40" w:line="240" w:lineRule="auto"/>
        <w:ind w:left="357" w:hanging="357"/>
        <w:jc w:val="left"/>
        <w:rPr>
          <w:rFonts w:ascii="Arial" w:hAnsi="Arial" w:cs="Arial"/>
          <w:sz w:val="22"/>
          <w:szCs w:val="22"/>
        </w:rPr>
      </w:pPr>
      <w:r w:rsidRPr="00B1038C">
        <w:rPr>
          <w:rFonts w:ascii="Arial" w:hAnsi="Arial" w:cs="Arial"/>
          <w:sz w:val="22"/>
          <w:szCs w:val="22"/>
        </w:rPr>
        <w:t xml:space="preserve">Reduced the size of the </w:t>
      </w:r>
      <w:proofErr w:type="spellStart"/>
      <w:r w:rsidRPr="00B1038C">
        <w:rPr>
          <w:rFonts w:ascii="Arial" w:hAnsi="Arial" w:cs="Arial"/>
          <w:sz w:val="22"/>
          <w:szCs w:val="22"/>
        </w:rPr>
        <w:t>deadband</w:t>
      </w:r>
      <w:proofErr w:type="spellEnd"/>
      <w:r w:rsidRPr="00B1038C">
        <w:rPr>
          <w:rFonts w:ascii="Arial" w:hAnsi="Arial" w:cs="Arial"/>
          <w:sz w:val="22"/>
          <w:szCs w:val="22"/>
        </w:rPr>
        <w:t xml:space="preserve"> to </w:t>
      </w:r>
      <w:r w:rsidR="001068C3" w:rsidRPr="00AD01B7">
        <w:rPr>
          <w:rFonts w:ascii="Arial" w:hAnsi="Arial" w:cs="Arial"/>
          <w:sz w:val="22"/>
          <w:szCs w:val="22"/>
        </w:rPr>
        <w:t>6</w:t>
      </w:r>
      <w:r w:rsidRPr="00AD01B7">
        <w:rPr>
          <w:rFonts w:ascii="Arial" w:hAnsi="Arial" w:cs="Arial"/>
          <w:sz w:val="22"/>
          <w:szCs w:val="22"/>
        </w:rPr>
        <w:t>%</w:t>
      </w:r>
      <w:r w:rsidRPr="00B1038C">
        <w:rPr>
          <w:rFonts w:ascii="Arial" w:hAnsi="Arial" w:cs="Arial"/>
          <w:sz w:val="22"/>
          <w:szCs w:val="22"/>
        </w:rPr>
        <w:t xml:space="preserve"> (from 7% in the draft decision). This </w:t>
      </w:r>
      <w:r w:rsidR="002472FE">
        <w:rPr>
          <w:rFonts w:ascii="Arial" w:hAnsi="Arial" w:cs="Arial"/>
          <w:sz w:val="22"/>
          <w:szCs w:val="22"/>
        </w:rPr>
        <w:t xml:space="preserve">was a direct result of the </w:t>
      </w:r>
      <w:r w:rsidRPr="00B1038C">
        <w:rPr>
          <w:rFonts w:ascii="Arial" w:hAnsi="Arial" w:cs="Arial"/>
          <w:sz w:val="22"/>
          <w:szCs w:val="22"/>
        </w:rPr>
        <w:t xml:space="preserve">revised </w:t>
      </w:r>
      <w:r w:rsidR="002472FE">
        <w:rPr>
          <w:rFonts w:ascii="Arial" w:hAnsi="Arial" w:cs="Arial"/>
          <w:sz w:val="22"/>
          <w:szCs w:val="22"/>
        </w:rPr>
        <w:t xml:space="preserve">forecast for </w:t>
      </w:r>
      <w:r w:rsidRPr="00B1038C">
        <w:rPr>
          <w:rFonts w:ascii="Arial" w:hAnsi="Arial" w:cs="Arial"/>
          <w:sz w:val="22"/>
          <w:szCs w:val="22"/>
        </w:rPr>
        <w:t>water sales.</w:t>
      </w:r>
    </w:p>
    <w:p w14:paraId="0DAF4A8E" w14:textId="77777777" w:rsidR="00147936" w:rsidRPr="00147936" w:rsidRDefault="00147936" w:rsidP="00147936">
      <w:pPr>
        <w:pStyle w:val="Bullet1"/>
        <w:numPr>
          <w:ilvl w:val="0"/>
          <w:numId w:val="0"/>
        </w:numPr>
        <w:jc w:val="left"/>
        <w:rPr>
          <w:rFonts w:ascii="Arial" w:hAnsi="Arial" w:cs="Arial"/>
          <w:sz w:val="10"/>
          <w:szCs w:val="22"/>
        </w:rPr>
      </w:pPr>
      <w:bookmarkStart w:id="0" w:name="_GoBack"/>
    </w:p>
    <w:bookmarkEnd w:id="0"/>
    <w:p w14:paraId="6D8739A4" w14:textId="73BF3F87" w:rsidR="004E5A4A" w:rsidRDefault="006564C5" w:rsidP="00147936">
      <w:pPr>
        <w:pStyle w:val="Bullet1"/>
        <w:numPr>
          <w:ilvl w:val="0"/>
          <w:numId w:val="0"/>
        </w:numPr>
        <w:jc w:val="left"/>
        <w:rPr>
          <w:rFonts w:ascii="Arial" w:hAnsi="Arial" w:cs="Arial"/>
          <w:color w:val="C00000"/>
          <w:sz w:val="22"/>
          <w:szCs w:val="22"/>
        </w:rPr>
      </w:pPr>
      <w:r>
        <w:rPr>
          <w:rFonts w:ascii="Arial" w:hAnsi="Arial" w:cs="Arial"/>
          <w:sz w:val="22"/>
          <w:szCs w:val="22"/>
        </w:rPr>
        <w:t>T</w:t>
      </w:r>
      <w:r w:rsidR="004E5A4A" w:rsidRPr="00B1038C">
        <w:rPr>
          <w:rFonts w:ascii="Arial" w:hAnsi="Arial" w:cs="Arial"/>
          <w:sz w:val="22"/>
          <w:szCs w:val="22"/>
        </w:rPr>
        <w:t>he Panel did not accept Icon Water’s contention for a higher rate of return</w:t>
      </w:r>
      <w:r w:rsidR="004E5A4A">
        <w:rPr>
          <w:rFonts w:ascii="Arial" w:hAnsi="Arial" w:cs="Arial"/>
          <w:sz w:val="22"/>
          <w:szCs w:val="22"/>
        </w:rPr>
        <w:t xml:space="preserve"> (</w:t>
      </w:r>
      <w:r w:rsidR="004E5A4A" w:rsidRPr="00B1038C">
        <w:rPr>
          <w:rFonts w:ascii="Arial" w:hAnsi="Arial" w:cs="Arial"/>
          <w:sz w:val="22"/>
          <w:szCs w:val="22"/>
        </w:rPr>
        <w:t>another major driver of price rises for water and sewerage services</w:t>
      </w:r>
      <w:r w:rsidR="004E5A4A">
        <w:rPr>
          <w:rFonts w:ascii="Arial" w:hAnsi="Arial" w:cs="Arial"/>
          <w:sz w:val="22"/>
          <w:szCs w:val="22"/>
        </w:rPr>
        <w:t>)</w:t>
      </w:r>
      <w:r w:rsidR="004E5A4A" w:rsidRPr="00B1038C">
        <w:rPr>
          <w:rFonts w:ascii="Arial" w:hAnsi="Arial" w:cs="Arial"/>
          <w:sz w:val="22"/>
          <w:szCs w:val="22"/>
        </w:rPr>
        <w:t>.</w:t>
      </w:r>
      <w:r w:rsidR="004E5A4A" w:rsidRPr="009647CA">
        <w:rPr>
          <w:rFonts w:ascii="Arial" w:hAnsi="Arial" w:cs="Arial"/>
          <w:color w:val="C00000"/>
          <w:sz w:val="22"/>
          <w:szCs w:val="22"/>
        </w:rPr>
        <w:t xml:space="preserve"> </w:t>
      </w:r>
    </w:p>
    <w:p w14:paraId="77BB3DEA" w14:textId="77777777" w:rsidR="00AC541A" w:rsidRPr="002542AB" w:rsidRDefault="00AC541A" w:rsidP="00147936">
      <w:pPr>
        <w:rPr>
          <w:rFonts w:ascii="Arial" w:hAnsi="Arial" w:cs="Arial"/>
          <w:b/>
          <w:color w:val="1F497D" w:themeColor="text2"/>
          <w:sz w:val="14"/>
          <w:szCs w:val="22"/>
        </w:rPr>
      </w:pPr>
    </w:p>
    <w:p w14:paraId="6543253A" w14:textId="77777777" w:rsidR="009845AD" w:rsidRPr="00A00549" w:rsidRDefault="009845AD" w:rsidP="00147936">
      <w:pPr>
        <w:rPr>
          <w:rFonts w:ascii="Arial" w:hAnsi="Arial" w:cs="Arial"/>
          <w:b/>
          <w:color w:val="1F497D" w:themeColor="text2"/>
          <w:szCs w:val="22"/>
        </w:rPr>
      </w:pPr>
      <w:r w:rsidRPr="00A00549">
        <w:rPr>
          <w:rFonts w:ascii="Arial" w:hAnsi="Arial" w:cs="Arial"/>
          <w:b/>
          <w:color w:val="1F497D" w:themeColor="text2"/>
          <w:szCs w:val="22"/>
        </w:rPr>
        <w:t>How did the Panel reach its decision?</w:t>
      </w:r>
    </w:p>
    <w:p w14:paraId="5BF81F93" w14:textId="77777777" w:rsidR="009845AD" w:rsidRPr="00F734C9" w:rsidRDefault="009845AD" w:rsidP="00147936">
      <w:pPr>
        <w:rPr>
          <w:rFonts w:ascii="Arial" w:hAnsi="Arial" w:cs="Arial"/>
          <w:b/>
          <w:color w:val="000000" w:themeColor="text1"/>
          <w:sz w:val="14"/>
          <w:szCs w:val="22"/>
        </w:rPr>
      </w:pPr>
    </w:p>
    <w:p w14:paraId="2B483FC6" w14:textId="0061D372" w:rsidR="009357C5" w:rsidRDefault="009357C5" w:rsidP="00147936">
      <w:pPr>
        <w:rPr>
          <w:rFonts w:ascii="Arial" w:hAnsi="Arial" w:cs="Arial"/>
          <w:sz w:val="22"/>
          <w:szCs w:val="22"/>
        </w:rPr>
      </w:pPr>
      <w:r>
        <w:rPr>
          <w:rFonts w:ascii="Arial" w:hAnsi="Arial" w:cs="Arial"/>
          <w:sz w:val="22"/>
          <w:szCs w:val="22"/>
        </w:rPr>
        <w:t xml:space="preserve">In keeping with </w:t>
      </w:r>
      <w:r w:rsidRPr="009845AD">
        <w:rPr>
          <w:rFonts w:ascii="Arial" w:hAnsi="Arial" w:cs="Arial"/>
          <w:sz w:val="22"/>
          <w:szCs w:val="22"/>
        </w:rPr>
        <w:t>the Act and the terms of referenc</w:t>
      </w:r>
      <w:r w:rsidR="00147936">
        <w:rPr>
          <w:rFonts w:ascii="Arial" w:hAnsi="Arial" w:cs="Arial"/>
          <w:sz w:val="22"/>
          <w:szCs w:val="22"/>
        </w:rPr>
        <w:t xml:space="preserve">e for the ICRC’s original price </w:t>
      </w:r>
      <w:r w:rsidRPr="009845AD">
        <w:rPr>
          <w:rFonts w:ascii="Arial" w:hAnsi="Arial" w:cs="Arial"/>
          <w:sz w:val="22"/>
          <w:szCs w:val="22"/>
        </w:rPr>
        <w:t>direction, the Panel</w:t>
      </w:r>
      <w:r w:rsidR="008F6881">
        <w:rPr>
          <w:rFonts w:ascii="Arial" w:hAnsi="Arial" w:cs="Arial"/>
          <w:sz w:val="22"/>
          <w:szCs w:val="22"/>
        </w:rPr>
        <w:t xml:space="preserve">’s decision </w:t>
      </w:r>
      <w:r w:rsidRPr="009845AD">
        <w:rPr>
          <w:rFonts w:ascii="Arial" w:hAnsi="Arial" w:cs="Arial"/>
          <w:sz w:val="22"/>
          <w:szCs w:val="22"/>
        </w:rPr>
        <w:t>t</w:t>
      </w:r>
      <w:r w:rsidR="008F6881">
        <w:rPr>
          <w:rFonts w:ascii="Arial" w:hAnsi="Arial" w:cs="Arial"/>
          <w:sz w:val="22"/>
          <w:szCs w:val="22"/>
        </w:rPr>
        <w:t>akes</w:t>
      </w:r>
      <w:r w:rsidRPr="009845AD">
        <w:rPr>
          <w:rFonts w:ascii="Arial" w:hAnsi="Arial" w:cs="Arial"/>
          <w:sz w:val="22"/>
          <w:szCs w:val="22"/>
        </w:rPr>
        <w:t xml:space="preserve"> account of a broad range of matters</w:t>
      </w:r>
      <w:r>
        <w:rPr>
          <w:rFonts w:ascii="Arial" w:hAnsi="Arial" w:cs="Arial"/>
          <w:sz w:val="22"/>
          <w:szCs w:val="22"/>
        </w:rPr>
        <w:t>. These include</w:t>
      </w:r>
      <w:r w:rsidRPr="009845AD">
        <w:rPr>
          <w:rFonts w:ascii="Arial" w:hAnsi="Arial" w:cs="Arial"/>
          <w:sz w:val="22"/>
          <w:szCs w:val="22"/>
        </w:rPr>
        <w:t xml:space="preserve"> objectives related to</w:t>
      </w:r>
      <w:r>
        <w:rPr>
          <w:rFonts w:ascii="Arial" w:hAnsi="Arial" w:cs="Arial"/>
          <w:sz w:val="22"/>
          <w:szCs w:val="22"/>
        </w:rPr>
        <w:t xml:space="preserve"> </w:t>
      </w:r>
      <w:r w:rsidRPr="009845AD">
        <w:rPr>
          <w:rFonts w:ascii="Arial" w:hAnsi="Arial" w:cs="Arial"/>
          <w:sz w:val="22"/>
          <w:szCs w:val="22"/>
        </w:rPr>
        <w:t>consumer protection</w:t>
      </w:r>
      <w:r>
        <w:rPr>
          <w:rFonts w:ascii="Arial" w:hAnsi="Arial" w:cs="Arial"/>
          <w:sz w:val="22"/>
          <w:szCs w:val="22"/>
        </w:rPr>
        <w:t xml:space="preserve">, </w:t>
      </w:r>
      <w:r w:rsidRPr="009845AD">
        <w:rPr>
          <w:rFonts w:ascii="Arial" w:hAnsi="Arial" w:cs="Arial"/>
          <w:sz w:val="22"/>
          <w:szCs w:val="22"/>
        </w:rPr>
        <w:t>economic efficiency</w:t>
      </w:r>
      <w:r>
        <w:rPr>
          <w:rFonts w:ascii="Arial" w:hAnsi="Arial" w:cs="Arial"/>
          <w:sz w:val="22"/>
          <w:szCs w:val="22"/>
        </w:rPr>
        <w:t xml:space="preserve"> and Icon Water’s </w:t>
      </w:r>
      <w:r w:rsidRPr="009845AD">
        <w:rPr>
          <w:rFonts w:ascii="Arial" w:hAnsi="Arial" w:cs="Arial"/>
          <w:sz w:val="22"/>
          <w:szCs w:val="22"/>
        </w:rPr>
        <w:t>financial viability.</w:t>
      </w:r>
    </w:p>
    <w:p w14:paraId="0DC34FAC" w14:textId="77777777" w:rsidR="009357C5" w:rsidRDefault="009357C5" w:rsidP="00147936">
      <w:pPr>
        <w:rPr>
          <w:rFonts w:ascii="Arial" w:hAnsi="Arial" w:cs="Arial"/>
          <w:sz w:val="22"/>
          <w:szCs w:val="22"/>
        </w:rPr>
      </w:pPr>
    </w:p>
    <w:p w14:paraId="18D42A91" w14:textId="383CC48F" w:rsidR="009357C5" w:rsidRPr="009357C5" w:rsidRDefault="009357C5" w:rsidP="00147936">
      <w:pPr>
        <w:rPr>
          <w:rFonts w:ascii="Arial" w:hAnsi="Arial" w:cs="Arial"/>
          <w:sz w:val="22"/>
          <w:szCs w:val="22"/>
        </w:rPr>
      </w:pPr>
      <w:r>
        <w:rPr>
          <w:rFonts w:ascii="Arial" w:hAnsi="Arial" w:cs="Arial"/>
          <w:color w:val="000000" w:themeColor="text1"/>
          <w:sz w:val="22"/>
          <w:szCs w:val="22"/>
        </w:rPr>
        <w:t>The Panel</w:t>
      </w:r>
      <w:r w:rsidR="008F6881">
        <w:rPr>
          <w:rFonts w:ascii="Arial" w:hAnsi="Arial" w:cs="Arial"/>
          <w:color w:val="000000" w:themeColor="text1"/>
          <w:sz w:val="22"/>
          <w:szCs w:val="22"/>
        </w:rPr>
        <w:t>’s</w:t>
      </w:r>
      <w:r>
        <w:rPr>
          <w:rFonts w:ascii="Arial" w:hAnsi="Arial" w:cs="Arial"/>
          <w:color w:val="000000" w:themeColor="text1"/>
          <w:sz w:val="22"/>
          <w:szCs w:val="22"/>
        </w:rPr>
        <w:t xml:space="preserve"> </w:t>
      </w:r>
      <w:r w:rsidR="008F6881">
        <w:rPr>
          <w:rFonts w:ascii="Arial" w:hAnsi="Arial" w:cs="Arial"/>
          <w:color w:val="000000" w:themeColor="text1"/>
          <w:sz w:val="22"/>
          <w:szCs w:val="22"/>
        </w:rPr>
        <w:t>approach to setting prices was</w:t>
      </w:r>
      <w:r w:rsidRPr="007A4588">
        <w:rPr>
          <w:rFonts w:ascii="Arial" w:hAnsi="Arial" w:cs="Arial"/>
          <w:color w:val="000000" w:themeColor="text1"/>
          <w:sz w:val="22"/>
          <w:szCs w:val="22"/>
        </w:rPr>
        <w:t xml:space="preserve"> based on tried </w:t>
      </w:r>
      <w:r>
        <w:rPr>
          <w:rFonts w:ascii="Arial" w:hAnsi="Arial" w:cs="Arial"/>
          <w:color w:val="000000" w:themeColor="text1"/>
          <w:sz w:val="22"/>
          <w:szCs w:val="22"/>
        </w:rPr>
        <w:t xml:space="preserve">and tested regulatory practices. </w:t>
      </w:r>
      <w:r w:rsidR="008F6881">
        <w:rPr>
          <w:rFonts w:ascii="Arial" w:hAnsi="Arial" w:cs="Arial"/>
          <w:sz w:val="22"/>
          <w:szCs w:val="22"/>
        </w:rPr>
        <w:t xml:space="preserve">This </w:t>
      </w:r>
      <w:r>
        <w:rPr>
          <w:rFonts w:ascii="Arial" w:hAnsi="Arial" w:cs="Arial"/>
          <w:sz w:val="22"/>
          <w:szCs w:val="22"/>
        </w:rPr>
        <w:t xml:space="preserve">entailed </w:t>
      </w:r>
      <w:r w:rsidRPr="007328A6">
        <w:rPr>
          <w:rFonts w:ascii="Arial" w:hAnsi="Arial" w:cs="Arial"/>
          <w:sz w:val="22"/>
          <w:szCs w:val="22"/>
        </w:rPr>
        <w:t>analysis and modelling, and expert advice on the costs of providing water and sewerage services</w:t>
      </w:r>
      <w:r w:rsidR="00DD0EE7">
        <w:rPr>
          <w:rFonts w:ascii="Arial" w:hAnsi="Arial" w:cs="Arial"/>
          <w:sz w:val="22"/>
          <w:szCs w:val="22"/>
        </w:rPr>
        <w:t>,</w:t>
      </w:r>
      <w:r w:rsidRPr="007328A6">
        <w:rPr>
          <w:rFonts w:ascii="Arial" w:hAnsi="Arial" w:cs="Arial"/>
          <w:sz w:val="22"/>
          <w:szCs w:val="22"/>
        </w:rPr>
        <w:t xml:space="preserve"> and the forecast demand for these services over the regulatory period.</w:t>
      </w:r>
    </w:p>
    <w:p w14:paraId="1E71AF2E" w14:textId="77777777" w:rsidR="009357C5" w:rsidRDefault="009357C5" w:rsidP="00147936">
      <w:pPr>
        <w:rPr>
          <w:rFonts w:ascii="Arial" w:hAnsi="Arial" w:cs="Arial"/>
          <w:sz w:val="22"/>
          <w:szCs w:val="22"/>
        </w:rPr>
      </w:pPr>
    </w:p>
    <w:p w14:paraId="0A5A3B86" w14:textId="77777777" w:rsidR="009357C5" w:rsidRDefault="009357C5" w:rsidP="00147936">
      <w:pPr>
        <w:rPr>
          <w:rFonts w:ascii="Arial" w:hAnsi="Arial" w:cs="Arial"/>
          <w:sz w:val="22"/>
          <w:szCs w:val="22"/>
        </w:rPr>
      </w:pPr>
      <w:r>
        <w:rPr>
          <w:rFonts w:ascii="Arial" w:hAnsi="Arial" w:cs="Arial"/>
          <w:sz w:val="22"/>
          <w:szCs w:val="22"/>
        </w:rPr>
        <w:t>In reaching its final decision, t</w:t>
      </w:r>
      <w:r w:rsidR="009845AD" w:rsidRPr="007328A6">
        <w:rPr>
          <w:rFonts w:ascii="Arial" w:hAnsi="Arial" w:cs="Arial"/>
          <w:sz w:val="22"/>
          <w:szCs w:val="22"/>
        </w:rPr>
        <w:t>he Panel examined the ICRC’s original price direction</w:t>
      </w:r>
      <w:r w:rsidR="009845AD">
        <w:rPr>
          <w:rFonts w:ascii="Arial" w:hAnsi="Arial" w:cs="Arial"/>
          <w:sz w:val="22"/>
          <w:szCs w:val="22"/>
        </w:rPr>
        <w:t xml:space="preserve"> and investigated </w:t>
      </w:r>
      <w:r w:rsidR="009845AD" w:rsidRPr="007328A6">
        <w:rPr>
          <w:rFonts w:ascii="Arial" w:hAnsi="Arial" w:cs="Arial"/>
          <w:sz w:val="22"/>
          <w:szCs w:val="22"/>
        </w:rPr>
        <w:t xml:space="preserve">those matters raised </w:t>
      </w:r>
      <w:r w:rsidR="007328AB">
        <w:rPr>
          <w:rFonts w:ascii="Arial" w:hAnsi="Arial" w:cs="Arial"/>
          <w:sz w:val="22"/>
          <w:szCs w:val="22"/>
        </w:rPr>
        <w:t xml:space="preserve">by </w:t>
      </w:r>
      <w:r>
        <w:rPr>
          <w:rFonts w:ascii="Arial" w:hAnsi="Arial" w:cs="Arial"/>
          <w:sz w:val="22"/>
          <w:szCs w:val="22"/>
        </w:rPr>
        <w:t>Icon Water</w:t>
      </w:r>
      <w:r w:rsidR="00C70DDE">
        <w:rPr>
          <w:rFonts w:ascii="Arial" w:hAnsi="Arial" w:cs="Arial"/>
          <w:sz w:val="22"/>
          <w:szCs w:val="22"/>
        </w:rPr>
        <w:t xml:space="preserve"> </w:t>
      </w:r>
      <w:r w:rsidR="007328AB">
        <w:rPr>
          <w:rFonts w:ascii="Arial" w:hAnsi="Arial" w:cs="Arial"/>
          <w:sz w:val="22"/>
          <w:szCs w:val="22"/>
        </w:rPr>
        <w:t>in its</w:t>
      </w:r>
      <w:r w:rsidR="009845AD" w:rsidRPr="007328A6">
        <w:rPr>
          <w:rFonts w:ascii="Arial" w:hAnsi="Arial" w:cs="Arial"/>
          <w:sz w:val="22"/>
          <w:szCs w:val="22"/>
        </w:rPr>
        <w:t xml:space="preserve"> Statement o</w:t>
      </w:r>
      <w:r w:rsidR="00C70DDE">
        <w:rPr>
          <w:rFonts w:ascii="Arial" w:hAnsi="Arial" w:cs="Arial"/>
          <w:sz w:val="22"/>
          <w:szCs w:val="22"/>
        </w:rPr>
        <w:t>f Facts and Contentions</w:t>
      </w:r>
      <w:r>
        <w:rPr>
          <w:rFonts w:ascii="Arial" w:hAnsi="Arial" w:cs="Arial"/>
          <w:sz w:val="22"/>
          <w:szCs w:val="22"/>
        </w:rPr>
        <w:t xml:space="preserve">, </w:t>
      </w:r>
      <w:r w:rsidR="006109CC">
        <w:rPr>
          <w:rFonts w:ascii="Arial" w:hAnsi="Arial" w:cs="Arial"/>
          <w:sz w:val="22"/>
          <w:szCs w:val="22"/>
        </w:rPr>
        <w:t xml:space="preserve">its submission to the Panel’s draft report, </w:t>
      </w:r>
      <w:r>
        <w:rPr>
          <w:rFonts w:ascii="Arial" w:hAnsi="Arial" w:cs="Arial"/>
          <w:sz w:val="22"/>
          <w:szCs w:val="22"/>
        </w:rPr>
        <w:t>and in its subsequent responses to Panel questions</w:t>
      </w:r>
      <w:r w:rsidR="009845AD">
        <w:rPr>
          <w:rFonts w:ascii="Arial" w:hAnsi="Arial" w:cs="Arial"/>
          <w:sz w:val="22"/>
          <w:szCs w:val="22"/>
        </w:rPr>
        <w:t xml:space="preserve">. </w:t>
      </w:r>
    </w:p>
    <w:p w14:paraId="42AA45EB" w14:textId="77777777" w:rsidR="009357C5" w:rsidRDefault="009357C5" w:rsidP="00147936">
      <w:pPr>
        <w:rPr>
          <w:rFonts w:ascii="Arial" w:hAnsi="Arial" w:cs="Arial"/>
          <w:sz w:val="22"/>
          <w:szCs w:val="22"/>
        </w:rPr>
      </w:pPr>
    </w:p>
    <w:p w14:paraId="17FC1DB1" w14:textId="79CCE3D2" w:rsidR="00C43448" w:rsidRPr="00624E1D" w:rsidRDefault="006109CC" w:rsidP="00FC50CB">
      <w:pPr>
        <w:rPr>
          <w:rFonts w:ascii="Arial" w:hAnsi="Arial" w:cs="Arial"/>
          <w:sz w:val="22"/>
          <w:szCs w:val="22"/>
        </w:rPr>
      </w:pPr>
      <w:r>
        <w:rPr>
          <w:rFonts w:ascii="Arial" w:hAnsi="Arial" w:cs="Arial"/>
          <w:sz w:val="22"/>
          <w:szCs w:val="22"/>
        </w:rPr>
        <w:t>Written s</w:t>
      </w:r>
      <w:r w:rsidR="009845AD" w:rsidRPr="007328A6">
        <w:rPr>
          <w:rFonts w:ascii="Arial" w:hAnsi="Arial" w:cs="Arial"/>
          <w:sz w:val="22"/>
          <w:szCs w:val="22"/>
        </w:rPr>
        <w:t xml:space="preserve">ubmissions </w:t>
      </w:r>
      <w:r w:rsidR="009845AD">
        <w:rPr>
          <w:rFonts w:ascii="Arial" w:hAnsi="Arial" w:cs="Arial"/>
          <w:sz w:val="22"/>
          <w:szCs w:val="22"/>
        </w:rPr>
        <w:t xml:space="preserve">from </w:t>
      </w:r>
      <w:r w:rsidR="005010D1">
        <w:rPr>
          <w:rFonts w:ascii="Arial" w:hAnsi="Arial" w:cs="Arial"/>
          <w:sz w:val="22"/>
          <w:szCs w:val="22"/>
        </w:rPr>
        <w:t>members of the public</w:t>
      </w:r>
      <w:r w:rsidR="009845AD" w:rsidRPr="007328A6">
        <w:rPr>
          <w:rFonts w:ascii="Arial" w:hAnsi="Arial" w:cs="Arial"/>
          <w:sz w:val="22"/>
          <w:szCs w:val="22"/>
        </w:rPr>
        <w:t xml:space="preserve"> and </w:t>
      </w:r>
      <w:r w:rsidR="00CB4A0B">
        <w:rPr>
          <w:rFonts w:ascii="Arial" w:hAnsi="Arial" w:cs="Arial"/>
          <w:sz w:val="22"/>
          <w:szCs w:val="22"/>
        </w:rPr>
        <w:t xml:space="preserve">matters raised during </w:t>
      </w:r>
      <w:r>
        <w:rPr>
          <w:rFonts w:ascii="Arial" w:hAnsi="Arial" w:cs="Arial"/>
          <w:sz w:val="22"/>
          <w:szCs w:val="22"/>
        </w:rPr>
        <w:t>the Panel’s</w:t>
      </w:r>
      <w:r w:rsidR="00E6444C" w:rsidRPr="007328A6">
        <w:rPr>
          <w:rFonts w:ascii="Arial" w:hAnsi="Arial" w:cs="Arial"/>
          <w:sz w:val="22"/>
          <w:szCs w:val="22"/>
        </w:rPr>
        <w:t xml:space="preserve"> </w:t>
      </w:r>
      <w:r w:rsidR="00C70DDE">
        <w:rPr>
          <w:rFonts w:ascii="Arial" w:hAnsi="Arial" w:cs="Arial"/>
          <w:sz w:val="22"/>
          <w:szCs w:val="22"/>
        </w:rPr>
        <w:t>public hearing</w:t>
      </w:r>
      <w:r w:rsidR="009845AD" w:rsidRPr="007328A6">
        <w:rPr>
          <w:rFonts w:ascii="Arial" w:hAnsi="Arial" w:cs="Arial"/>
          <w:sz w:val="22"/>
          <w:szCs w:val="22"/>
        </w:rPr>
        <w:t>s</w:t>
      </w:r>
      <w:r w:rsidR="009357C5">
        <w:rPr>
          <w:rFonts w:ascii="Arial" w:hAnsi="Arial" w:cs="Arial"/>
          <w:sz w:val="22"/>
          <w:szCs w:val="22"/>
        </w:rPr>
        <w:t xml:space="preserve"> were also </w:t>
      </w:r>
      <w:r w:rsidR="00F16448">
        <w:rPr>
          <w:rFonts w:ascii="Arial" w:hAnsi="Arial" w:cs="Arial"/>
          <w:sz w:val="22"/>
          <w:szCs w:val="22"/>
        </w:rPr>
        <w:t xml:space="preserve">carefully </w:t>
      </w:r>
      <w:r w:rsidR="009357C5">
        <w:rPr>
          <w:rFonts w:ascii="Arial" w:hAnsi="Arial" w:cs="Arial"/>
          <w:sz w:val="22"/>
          <w:szCs w:val="22"/>
        </w:rPr>
        <w:t xml:space="preserve">considered. </w:t>
      </w:r>
    </w:p>
    <w:sectPr w:rsidR="00C43448" w:rsidRPr="00624E1D" w:rsidSect="005C3AC8">
      <w:headerReference w:type="even" r:id="rId8"/>
      <w:headerReference w:type="default" r:id="rId9"/>
      <w:footerReference w:type="even" r:id="rId10"/>
      <w:footerReference w:type="default" r:id="rId11"/>
      <w:headerReference w:type="first" r:id="rId12"/>
      <w:footerReference w:type="first" r:id="rId13"/>
      <w:pgSz w:w="11900" w:h="16840"/>
      <w:pgMar w:top="1276" w:right="2119" w:bottom="1134" w:left="184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E59EA" w14:textId="77777777" w:rsidR="0044460B" w:rsidRDefault="0044460B" w:rsidP="00AE16F0">
      <w:r>
        <w:separator/>
      </w:r>
    </w:p>
  </w:endnote>
  <w:endnote w:type="continuationSeparator" w:id="0">
    <w:p w14:paraId="140D59C5" w14:textId="77777777" w:rsidR="0044460B" w:rsidRDefault="0044460B" w:rsidP="00A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8004A" w14:textId="77777777" w:rsidR="00CF797C" w:rsidRDefault="00CF797C" w:rsidP="004F0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FDFC9" w14:textId="77777777" w:rsidR="00CF797C" w:rsidRDefault="00CF797C" w:rsidP="00AE16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A7D7" w14:textId="77777777" w:rsidR="00CF797C" w:rsidRDefault="00CF797C" w:rsidP="004F0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E1D">
      <w:rPr>
        <w:rStyle w:val="PageNumber"/>
        <w:noProof/>
      </w:rPr>
      <w:t>3</w:t>
    </w:r>
    <w:r>
      <w:rPr>
        <w:rStyle w:val="PageNumber"/>
      </w:rPr>
      <w:fldChar w:fldCharType="end"/>
    </w:r>
  </w:p>
  <w:p w14:paraId="2589A964" w14:textId="77777777" w:rsidR="00CF797C" w:rsidRDefault="00CF797C" w:rsidP="00AE16F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17C9" w14:textId="77777777" w:rsidR="002F396C" w:rsidRDefault="002F3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449E9" w14:textId="77777777" w:rsidR="0044460B" w:rsidRDefault="0044460B" w:rsidP="00AE16F0">
      <w:r>
        <w:separator/>
      </w:r>
    </w:p>
  </w:footnote>
  <w:footnote w:type="continuationSeparator" w:id="0">
    <w:p w14:paraId="4A4BB7EE" w14:textId="77777777" w:rsidR="0044460B" w:rsidRDefault="0044460B" w:rsidP="00AE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8517" w14:textId="77777777" w:rsidR="002F396C" w:rsidRDefault="002F3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094F" w14:textId="0AD37966" w:rsidR="00CF797C" w:rsidRPr="00AE16F0" w:rsidRDefault="002F396C">
    <w:pPr>
      <w:pStyle w:val="Header"/>
      <w:rPr>
        <w:rFonts w:asciiTheme="majorHAnsi" w:hAnsiTheme="majorHAnsi"/>
        <w:sz w:val="20"/>
        <w:szCs w:val="20"/>
      </w:rPr>
    </w:pPr>
    <w:r>
      <w:rPr>
        <w:rFonts w:asciiTheme="majorHAnsi" w:hAnsiTheme="majorHAnsi"/>
        <w:sz w:val="20"/>
        <w:szCs w:val="20"/>
      </w:rPr>
      <w:t xml:space="preserve">Industry </w:t>
    </w:r>
    <w:r w:rsidR="00CF797C">
      <w:rPr>
        <w:rFonts w:asciiTheme="majorHAnsi" w:hAnsiTheme="majorHAnsi"/>
        <w:sz w:val="20"/>
        <w:szCs w:val="20"/>
      </w:rPr>
      <w:t>Panel</w:t>
    </w:r>
    <w:r>
      <w:rPr>
        <w:rFonts w:asciiTheme="majorHAnsi" w:hAnsiTheme="majorHAnsi"/>
        <w:sz w:val="20"/>
        <w:szCs w:val="20"/>
      </w:rPr>
      <w:t>’s Final Report: F</w:t>
    </w:r>
    <w:r w:rsidR="00CF797C">
      <w:rPr>
        <w:rFonts w:asciiTheme="majorHAnsi" w:hAnsiTheme="majorHAnsi"/>
        <w:sz w:val="20"/>
        <w:szCs w:val="20"/>
      </w:rPr>
      <w:t>actsheet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59C2" w14:textId="77777777" w:rsidR="002F396C" w:rsidRDefault="002F3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8F2E2F6"/>
    <w:lvl w:ilvl="0">
      <w:start w:val="1"/>
      <w:numFmt w:val="bullet"/>
      <w:pStyle w:val="ListBullet"/>
      <w:lvlText w:val=""/>
      <w:lvlJc w:val="left"/>
      <w:pPr>
        <w:tabs>
          <w:tab w:val="num" w:pos="360"/>
        </w:tabs>
        <w:ind w:left="360" w:hanging="360"/>
      </w:pPr>
      <w:rPr>
        <w:rFonts w:ascii="Wingdings" w:hAnsi="Wingdings" w:hint="default"/>
        <w:color w:val="auto"/>
      </w:rPr>
    </w:lvl>
  </w:abstractNum>
  <w:abstractNum w:abstractNumId="1">
    <w:nsid w:val="3B3C33D0"/>
    <w:multiLevelType w:val="hybridMultilevel"/>
    <w:tmpl w:val="A954A82E"/>
    <w:lvl w:ilvl="0" w:tplc="D9982A56">
      <w:numFmt w:val="bullet"/>
      <w:pStyle w:val="BulletLas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B36C4"/>
    <w:multiLevelType w:val="hybridMultilevel"/>
    <w:tmpl w:val="79B46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2AB11EF"/>
    <w:multiLevelType w:val="hybridMultilevel"/>
    <w:tmpl w:val="C0E23F9E"/>
    <w:lvl w:ilvl="0" w:tplc="9064B3F0">
      <w:start w:val="1"/>
      <w:numFmt w:val="bullet"/>
      <w:pStyle w:val="Bullet1"/>
      <w:lvlText w:val=""/>
      <w:lvlJc w:val="left"/>
      <w:pPr>
        <w:ind w:left="360" w:hanging="360"/>
      </w:pPr>
      <w:rPr>
        <w:rFonts w:ascii="Symbol" w:hAnsi="Symbol" w:hint="default"/>
        <w:b w:val="0"/>
        <w:i w:val="0"/>
        <w:color w:val="auto"/>
        <w:sz w:val="22"/>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
    <w:nsid w:val="6CC21D21"/>
    <w:multiLevelType w:val="hybridMultilevel"/>
    <w:tmpl w:val="E896629E"/>
    <w:lvl w:ilvl="0" w:tplc="0C09000F">
      <w:start w:val="1"/>
      <w:numFmt w:val="bullet"/>
      <w:pStyle w:val="Bullet2"/>
      <w:lvlText w:val="–"/>
      <w:lvlJc w:val="left"/>
      <w:pPr>
        <w:ind w:left="720" w:hanging="360"/>
      </w:pPr>
      <w:rPr>
        <w:rFonts w:ascii="Angsana New" w:hAnsi="Angsan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5977F00"/>
    <w:multiLevelType w:val="hybridMultilevel"/>
    <w:tmpl w:val="F5C2B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F0"/>
    <w:rsid w:val="00001DA5"/>
    <w:rsid w:val="00003C99"/>
    <w:rsid w:val="00015844"/>
    <w:rsid w:val="0001653E"/>
    <w:rsid w:val="00021DC5"/>
    <w:rsid w:val="0002610F"/>
    <w:rsid w:val="000318BD"/>
    <w:rsid w:val="00033152"/>
    <w:rsid w:val="00043688"/>
    <w:rsid w:val="00060A1F"/>
    <w:rsid w:val="00063DD3"/>
    <w:rsid w:val="00070D5C"/>
    <w:rsid w:val="00081957"/>
    <w:rsid w:val="00082DA1"/>
    <w:rsid w:val="00083FD8"/>
    <w:rsid w:val="00097729"/>
    <w:rsid w:val="000A6FF2"/>
    <w:rsid w:val="000B2ADB"/>
    <w:rsid w:val="000B68FC"/>
    <w:rsid w:val="000C6AB7"/>
    <w:rsid w:val="000C7150"/>
    <w:rsid w:val="000D726A"/>
    <w:rsid w:val="000E0232"/>
    <w:rsid w:val="000F084C"/>
    <w:rsid w:val="000F5C4F"/>
    <w:rsid w:val="000F6B4F"/>
    <w:rsid w:val="0010106B"/>
    <w:rsid w:val="001063C0"/>
    <w:rsid w:val="001068C3"/>
    <w:rsid w:val="001141BC"/>
    <w:rsid w:val="00114746"/>
    <w:rsid w:val="001255BD"/>
    <w:rsid w:val="001319C8"/>
    <w:rsid w:val="001418A2"/>
    <w:rsid w:val="00144F79"/>
    <w:rsid w:val="00147936"/>
    <w:rsid w:val="00161F09"/>
    <w:rsid w:val="001638D6"/>
    <w:rsid w:val="0016703E"/>
    <w:rsid w:val="00173084"/>
    <w:rsid w:val="0017623A"/>
    <w:rsid w:val="00177253"/>
    <w:rsid w:val="00181AF4"/>
    <w:rsid w:val="00185436"/>
    <w:rsid w:val="00194753"/>
    <w:rsid w:val="00196D08"/>
    <w:rsid w:val="001A33EC"/>
    <w:rsid w:val="001B3D85"/>
    <w:rsid w:val="001C454C"/>
    <w:rsid w:val="001C68EB"/>
    <w:rsid w:val="001D60E4"/>
    <w:rsid w:val="001E18E8"/>
    <w:rsid w:val="0020246C"/>
    <w:rsid w:val="002041D4"/>
    <w:rsid w:val="00214EEC"/>
    <w:rsid w:val="002179DC"/>
    <w:rsid w:val="00220859"/>
    <w:rsid w:val="00221118"/>
    <w:rsid w:val="00224E53"/>
    <w:rsid w:val="00243CC5"/>
    <w:rsid w:val="002472FE"/>
    <w:rsid w:val="002502BF"/>
    <w:rsid w:val="002542AB"/>
    <w:rsid w:val="00256D73"/>
    <w:rsid w:val="00280F38"/>
    <w:rsid w:val="00294C31"/>
    <w:rsid w:val="002A0B3A"/>
    <w:rsid w:val="002A55DD"/>
    <w:rsid w:val="002B542E"/>
    <w:rsid w:val="002B7D90"/>
    <w:rsid w:val="002C22E5"/>
    <w:rsid w:val="002D744F"/>
    <w:rsid w:val="002E3244"/>
    <w:rsid w:val="002E6C16"/>
    <w:rsid w:val="002E6E11"/>
    <w:rsid w:val="002E7805"/>
    <w:rsid w:val="002E7C5E"/>
    <w:rsid w:val="002F3645"/>
    <w:rsid w:val="002F396C"/>
    <w:rsid w:val="002F7500"/>
    <w:rsid w:val="003017A2"/>
    <w:rsid w:val="0030532A"/>
    <w:rsid w:val="00312E33"/>
    <w:rsid w:val="00327989"/>
    <w:rsid w:val="00330ED5"/>
    <w:rsid w:val="00333D87"/>
    <w:rsid w:val="003348C1"/>
    <w:rsid w:val="00334D15"/>
    <w:rsid w:val="003357A2"/>
    <w:rsid w:val="00343B8D"/>
    <w:rsid w:val="00343BA8"/>
    <w:rsid w:val="00356EBC"/>
    <w:rsid w:val="003619BD"/>
    <w:rsid w:val="00361C07"/>
    <w:rsid w:val="00366B12"/>
    <w:rsid w:val="00371DED"/>
    <w:rsid w:val="00385A4B"/>
    <w:rsid w:val="00394347"/>
    <w:rsid w:val="00394CB4"/>
    <w:rsid w:val="00396E88"/>
    <w:rsid w:val="003A44F2"/>
    <w:rsid w:val="003B20C8"/>
    <w:rsid w:val="003C5B8F"/>
    <w:rsid w:val="003C6B48"/>
    <w:rsid w:val="003D0DE1"/>
    <w:rsid w:val="003F10A3"/>
    <w:rsid w:val="003F60B5"/>
    <w:rsid w:val="003F7593"/>
    <w:rsid w:val="003F7A68"/>
    <w:rsid w:val="00401F3B"/>
    <w:rsid w:val="0040215E"/>
    <w:rsid w:val="00406F35"/>
    <w:rsid w:val="0041498D"/>
    <w:rsid w:val="00420552"/>
    <w:rsid w:val="00431DC4"/>
    <w:rsid w:val="00433F75"/>
    <w:rsid w:val="0044048F"/>
    <w:rsid w:val="004404D6"/>
    <w:rsid w:val="004419C7"/>
    <w:rsid w:val="0044460B"/>
    <w:rsid w:val="004520E1"/>
    <w:rsid w:val="004566BB"/>
    <w:rsid w:val="0046330A"/>
    <w:rsid w:val="00466679"/>
    <w:rsid w:val="00471FF6"/>
    <w:rsid w:val="004759F0"/>
    <w:rsid w:val="0047713B"/>
    <w:rsid w:val="0048188E"/>
    <w:rsid w:val="00481FAA"/>
    <w:rsid w:val="00490796"/>
    <w:rsid w:val="004934F6"/>
    <w:rsid w:val="004A3C60"/>
    <w:rsid w:val="004B0DC4"/>
    <w:rsid w:val="004C2230"/>
    <w:rsid w:val="004C3F91"/>
    <w:rsid w:val="004D0370"/>
    <w:rsid w:val="004D065F"/>
    <w:rsid w:val="004E5A4A"/>
    <w:rsid w:val="004F0123"/>
    <w:rsid w:val="004F0BFD"/>
    <w:rsid w:val="004F3B34"/>
    <w:rsid w:val="005010D1"/>
    <w:rsid w:val="00510A87"/>
    <w:rsid w:val="005164B8"/>
    <w:rsid w:val="0051721C"/>
    <w:rsid w:val="00521FD6"/>
    <w:rsid w:val="0052676C"/>
    <w:rsid w:val="00531188"/>
    <w:rsid w:val="00533512"/>
    <w:rsid w:val="00534AFF"/>
    <w:rsid w:val="0053556A"/>
    <w:rsid w:val="005409EE"/>
    <w:rsid w:val="0054197C"/>
    <w:rsid w:val="0054783F"/>
    <w:rsid w:val="005564BE"/>
    <w:rsid w:val="00561E87"/>
    <w:rsid w:val="00562EFF"/>
    <w:rsid w:val="005667BD"/>
    <w:rsid w:val="00573A6A"/>
    <w:rsid w:val="00574789"/>
    <w:rsid w:val="00575F56"/>
    <w:rsid w:val="00587948"/>
    <w:rsid w:val="00591E25"/>
    <w:rsid w:val="005C3AC8"/>
    <w:rsid w:val="005E49FA"/>
    <w:rsid w:val="005E7AAC"/>
    <w:rsid w:val="00600544"/>
    <w:rsid w:val="006007B7"/>
    <w:rsid w:val="006109CC"/>
    <w:rsid w:val="00622295"/>
    <w:rsid w:val="0062284B"/>
    <w:rsid w:val="00624E1D"/>
    <w:rsid w:val="006317CB"/>
    <w:rsid w:val="006320B5"/>
    <w:rsid w:val="0063492F"/>
    <w:rsid w:val="0063783F"/>
    <w:rsid w:val="0064400F"/>
    <w:rsid w:val="006564C5"/>
    <w:rsid w:val="00667598"/>
    <w:rsid w:val="00671AE7"/>
    <w:rsid w:val="006736E8"/>
    <w:rsid w:val="006760F2"/>
    <w:rsid w:val="0068012C"/>
    <w:rsid w:val="006805C1"/>
    <w:rsid w:val="00683B32"/>
    <w:rsid w:val="0068543A"/>
    <w:rsid w:val="00691D5A"/>
    <w:rsid w:val="00693506"/>
    <w:rsid w:val="006953B7"/>
    <w:rsid w:val="006A0617"/>
    <w:rsid w:val="006A1EE5"/>
    <w:rsid w:val="006D1CB0"/>
    <w:rsid w:val="006D66A1"/>
    <w:rsid w:val="006E529A"/>
    <w:rsid w:val="006E7297"/>
    <w:rsid w:val="006F2648"/>
    <w:rsid w:val="006F4BDD"/>
    <w:rsid w:val="006F797F"/>
    <w:rsid w:val="006F7C03"/>
    <w:rsid w:val="0070353E"/>
    <w:rsid w:val="00704C90"/>
    <w:rsid w:val="007120E9"/>
    <w:rsid w:val="00717038"/>
    <w:rsid w:val="007328A6"/>
    <w:rsid w:val="007328AB"/>
    <w:rsid w:val="00734E9D"/>
    <w:rsid w:val="0074702C"/>
    <w:rsid w:val="0075189A"/>
    <w:rsid w:val="00766DA5"/>
    <w:rsid w:val="00767F53"/>
    <w:rsid w:val="007A4588"/>
    <w:rsid w:val="007A6C4A"/>
    <w:rsid w:val="007B1618"/>
    <w:rsid w:val="007C1960"/>
    <w:rsid w:val="007C69BD"/>
    <w:rsid w:val="007D6691"/>
    <w:rsid w:val="007E525D"/>
    <w:rsid w:val="007E53DB"/>
    <w:rsid w:val="00834EDB"/>
    <w:rsid w:val="00836917"/>
    <w:rsid w:val="0084163A"/>
    <w:rsid w:val="0084550D"/>
    <w:rsid w:val="00846116"/>
    <w:rsid w:val="00851855"/>
    <w:rsid w:val="00854534"/>
    <w:rsid w:val="00857FDA"/>
    <w:rsid w:val="008657C1"/>
    <w:rsid w:val="00871A05"/>
    <w:rsid w:val="00872FD7"/>
    <w:rsid w:val="0087318B"/>
    <w:rsid w:val="008740D5"/>
    <w:rsid w:val="008754ED"/>
    <w:rsid w:val="008913D7"/>
    <w:rsid w:val="008978DB"/>
    <w:rsid w:val="008A7ECD"/>
    <w:rsid w:val="008B1725"/>
    <w:rsid w:val="008B1F58"/>
    <w:rsid w:val="008B5477"/>
    <w:rsid w:val="008C36C5"/>
    <w:rsid w:val="008C629E"/>
    <w:rsid w:val="008C6BE1"/>
    <w:rsid w:val="008E7D99"/>
    <w:rsid w:val="008F3196"/>
    <w:rsid w:val="008F4F4A"/>
    <w:rsid w:val="008F6881"/>
    <w:rsid w:val="009021DD"/>
    <w:rsid w:val="00912D05"/>
    <w:rsid w:val="00914A31"/>
    <w:rsid w:val="00923A9B"/>
    <w:rsid w:val="0093201E"/>
    <w:rsid w:val="009357C5"/>
    <w:rsid w:val="00957BB0"/>
    <w:rsid w:val="00960465"/>
    <w:rsid w:val="00970FEE"/>
    <w:rsid w:val="0097380E"/>
    <w:rsid w:val="00973A8D"/>
    <w:rsid w:val="0098066F"/>
    <w:rsid w:val="009845AD"/>
    <w:rsid w:val="009943AB"/>
    <w:rsid w:val="00994FEB"/>
    <w:rsid w:val="00995B07"/>
    <w:rsid w:val="009A16BB"/>
    <w:rsid w:val="009B0F4B"/>
    <w:rsid w:val="009C1CA7"/>
    <w:rsid w:val="009C1D7D"/>
    <w:rsid w:val="009D1839"/>
    <w:rsid w:val="009F2560"/>
    <w:rsid w:val="009F3EBC"/>
    <w:rsid w:val="00A001B8"/>
    <w:rsid w:val="00A00549"/>
    <w:rsid w:val="00A03AE0"/>
    <w:rsid w:val="00A05A73"/>
    <w:rsid w:val="00A279E1"/>
    <w:rsid w:val="00A30981"/>
    <w:rsid w:val="00A42F00"/>
    <w:rsid w:val="00A464AB"/>
    <w:rsid w:val="00A46C60"/>
    <w:rsid w:val="00A50853"/>
    <w:rsid w:val="00A52E5B"/>
    <w:rsid w:val="00A610DA"/>
    <w:rsid w:val="00A62339"/>
    <w:rsid w:val="00A67281"/>
    <w:rsid w:val="00A67ADD"/>
    <w:rsid w:val="00A73B92"/>
    <w:rsid w:val="00A837D6"/>
    <w:rsid w:val="00A86C40"/>
    <w:rsid w:val="00A9120E"/>
    <w:rsid w:val="00A93AE9"/>
    <w:rsid w:val="00AB1E19"/>
    <w:rsid w:val="00AB7E30"/>
    <w:rsid w:val="00AC2609"/>
    <w:rsid w:val="00AC541A"/>
    <w:rsid w:val="00AD01B7"/>
    <w:rsid w:val="00AD181B"/>
    <w:rsid w:val="00AE16F0"/>
    <w:rsid w:val="00B2467D"/>
    <w:rsid w:val="00B27475"/>
    <w:rsid w:val="00B36626"/>
    <w:rsid w:val="00B466A4"/>
    <w:rsid w:val="00B47FB6"/>
    <w:rsid w:val="00B51AAD"/>
    <w:rsid w:val="00B51CB0"/>
    <w:rsid w:val="00B55361"/>
    <w:rsid w:val="00B557FF"/>
    <w:rsid w:val="00B60832"/>
    <w:rsid w:val="00B65D04"/>
    <w:rsid w:val="00B73451"/>
    <w:rsid w:val="00B7537B"/>
    <w:rsid w:val="00B94E63"/>
    <w:rsid w:val="00B9625C"/>
    <w:rsid w:val="00BA019D"/>
    <w:rsid w:val="00BA075E"/>
    <w:rsid w:val="00BA172C"/>
    <w:rsid w:val="00BB13A1"/>
    <w:rsid w:val="00BC6F1D"/>
    <w:rsid w:val="00BE1436"/>
    <w:rsid w:val="00BE2B94"/>
    <w:rsid w:val="00BF0788"/>
    <w:rsid w:val="00BF5596"/>
    <w:rsid w:val="00C0133C"/>
    <w:rsid w:val="00C03948"/>
    <w:rsid w:val="00C2754C"/>
    <w:rsid w:val="00C33644"/>
    <w:rsid w:val="00C43448"/>
    <w:rsid w:val="00C70DDE"/>
    <w:rsid w:val="00C81ADB"/>
    <w:rsid w:val="00C85167"/>
    <w:rsid w:val="00C867A1"/>
    <w:rsid w:val="00C86E1D"/>
    <w:rsid w:val="00C911B4"/>
    <w:rsid w:val="00C94864"/>
    <w:rsid w:val="00CB0728"/>
    <w:rsid w:val="00CB4A0B"/>
    <w:rsid w:val="00CE0696"/>
    <w:rsid w:val="00CE13E3"/>
    <w:rsid w:val="00CE4420"/>
    <w:rsid w:val="00CF1C81"/>
    <w:rsid w:val="00CF21C7"/>
    <w:rsid w:val="00CF3D98"/>
    <w:rsid w:val="00CF797C"/>
    <w:rsid w:val="00D0492E"/>
    <w:rsid w:val="00D0678F"/>
    <w:rsid w:val="00D0788A"/>
    <w:rsid w:val="00D158C4"/>
    <w:rsid w:val="00D17404"/>
    <w:rsid w:val="00D17CAA"/>
    <w:rsid w:val="00D22E8D"/>
    <w:rsid w:val="00D2327A"/>
    <w:rsid w:val="00D24C1D"/>
    <w:rsid w:val="00D40D42"/>
    <w:rsid w:val="00D610C1"/>
    <w:rsid w:val="00D6393D"/>
    <w:rsid w:val="00D65612"/>
    <w:rsid w:val="00D67C15"/>
    <w:rsid w:val="00D71B28"/>
    <w:rsid w:val="00D736A2"/>
    <w:rsid w:val="00D8161B"/>
    <w:rsid w:val="00DA4B81"/>
    <w:rsid w:val="00DA500B"/>
    <w:rsid w:val="00DA6566"/>
    <w:rsid w:val="00DC263E"/>
    <w:rsid w:val="00DC4D3A"/>
    <w:rsid w:val="00DC5879"/>
    <w:rsid w:val="00DD0EE7"/>
    <w:rsid w:val="00DE5FEB"/>
    <w:rsid w:val="00E0300F"/>
    <w:rsid w:val="00E03D5F"/>
    <w:rsid w:val="00E04B32"/>
    <w:rsid w:val="00E070AC"/>
    <w:rsid w:val="00E12D4C"/>
    <w:rsid w:val="00E14CD0"/>
    <w:rsid w:val="00E234C5"/>
    <w:rsid w:val="00E240B6"/>
    <w:rsid w:val="00E24FA2"/>
    <w:rsid w:val="00E44EE6"/>
    <w:rsid w:val="00E502A4"/>
    <w:rsid w:val="00E604BF"/>
    <w:rsid w:val="00E6444C"/>
    <w:rsid w:val="00E651AE"/>
    <w:rsid w:val="00E73CDB"/>
    <w:rsid w:val="00E75846"/>
    <w:rsid w:val="00E77617"/>
    <w:rsid w:val="00E87E99"/>
    <w:rsid w:val="00E90841"/>
    <w:rsid w:val="00E91405"/>
    <w:rsid w:val="00E94141"/>
    <w:rsid w:val="00E960B7"/>
    <w:rsid w:val="00ED222F"/>
    <w:rsid w:val="00EE00B4"/>
    <w:rsid w:val="00EE6806"/>
    <w:rsid w:val="00EE6CAC"/>
    <w:rsid w:val="00EE76DB"/>
    <w:rsid w:val="00EF1A99"/>
    <w:rsid w:val="00EF1FD6"/>
    <w:rsid w:val="00F0573D"/>
    <w:rsid w:val="00F05E2C"/>
    <w:rsid w:val="00F06227"/>
    <w:rsid w:val="00F11BDF"/>
    <w:rsid w:val="00F16164"/>
    <w:rsid w:val="00F16448"/>
    <w:rsid w:val="00F230B2"/>
    <w:rsid w:val="00F267A0"/>
    <w:rsid w:val="00F43B32"/>
    <w:rsid w:val="00F52559"/>
    <w:rsid w:val="00F54384"/>
    <w:rsid w:val="00F607C6"/>
    <w:rsid w:val="00F734C9"/>
    <w:rsid w:val="00F81572"/>
    <w:rsid w:val="00F85084"/>
    <w:rsid w:val="00F87E7E"/>
    <w:rsid w:val="00F90169"/>
    <w:rsid w:val="00F90585"/>
    <w:rsid w:val="00F9070E"/>
    <w:rsid w:val="00F9740B"/>
    <w:rsid w:val="00FA3774"/>
    <w:rsid w:val="00FA433A"/>
    <w:rsid w:val="00FB1523"/>
    <w:rsid w:val="00FB17AD"/>
    <w:rsid w:val="00FB328E"/>
    <w:rsid w:val="00FC131A"/>
    <w:rsid w:val="00FC16E8"/>
    <w:rsid w:val="00FC423F"/>
    <w:rsid w:val="00FC4768"/>
    <w:rsid w:val="00FC4B95"/>
    <w:rsid w:val="00FC50CB"/>
    <w:rsid w:val="00FD56AD"/>
    <w:rsid w:val="00FD62F5"/>
    <w:rsid w:val="00FD6655"/>
    <w:rsid w:val="00FD7BDC"/>
    <w:rsid w:val="00FE09F4"/>
    <w:rsid w:val="00FE4DD4"/>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15AF6"/>
  <w15:docId w15:val="{1E2726A1-A4DF-4C26-95CC-A5273BAE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F00"/>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8B1F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91E2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6F0"/>
    <w:pPr>
      <w:tabs>
        <w:tab w:val="center" w:pos="4320"/>
        <w:tab w:val="right" w:pos="8640"/>
      </w:tabs>
    </w:pPr>
  </w:style>
  <w:style w:type="character" w:customStyle="1" w:styleId="HeaderChar">
    <w:name w:val="Header Char"/>
    <w:basedOn w:val="DefaultParagraphFont"/>
    <w:link w:val="Header"/>
    <w:uiPriority w:val="99"/>
    <w:rsid w:val="00AE16F0"/>
  </w:style>
  <w:style w:type="paragraph" w:styleId="Footer">
    <w:name w:val="footer"/>
    <w:basedOn w:val="Normal"/>
    <w:link w:val="FooterChar"/>
    <w:uiPriority w:val="99"/>
    <w:unhideWhenUsed/>
    <w:rsid w:val="00AE16F0"/>
    <w:pPr>
      <w:tabs>
        <w:tab w:val="center" w:pos="4320"/>
        <w:tab w:val="right" w:pos="8640"/>
      </w:tabs>
    </w:pPr>
  </w:style>
  <w:style w:type="character" w:customStyle="1" w:styleId="FooterChar">
    <w:name w:val="Footer Char"/>
    <w:basedOn w:val="DefaultParagraphFont"/>
    <w:link w:val="Footer"/>
    <w:uiPriority w:val="99"/>
    <w:rsid w:val="00AE16F0"/>
  </w:style>
  <w:style w:type="character" w:styleId="PageNumber">
    <w:name w:val="page number"/>
    <w:basedOn w:val="DefaultParagraphFont"/>
    <w:uiPriority w:val="99"/>
    <w:semiHidden/>
    <w:unhideWhenUsed/>
    <w:rsid w:val="00AE16F0"/>
  </w:style>
  <w:style w:type="paragraph" w:styleId="ListParagraph">
    <w:name w:val="List Paragraph"/>
    <w:aliases w:val="List bullet"/>
    <w:basedOn w:val="Normal"/>
    <w:link w:val="ListParagraphChar"/>
    <w:uiPriority w:val="34"/>
    <w:qFormat/>
    <w:rsid w:val="00AE16F0"/>
    <w:pPr>
      <w:ind w:left="720"/>
      <w:contextualSpacing/>
    </w:pPr>
  </w:style>
  <w:style w:type="character" w:styleId="Emphasis">
    <w:name w:val="Emphasis"/>
    <w:basedOn w:val="DefaultParagraphFont"/>
    <w:uiPriority w:val="20"/>
    <w:qFormat/>
    <w:rsid w:val="004F0BFD"/>
    <w:rPr>
      <w:i/>
      <w:iCs/>
    </w:rPr>
  </w:style>
  <w:style w:type="character" w:customStyle="1" w:styleId="apple-converted-space">
    <w:name w:val="apple-converted-space"/>
    <w:basedOn w:val="DefaultParagraphFont"/>
    <w:rsid w:val="004F0BFD"/>
  </w:style>
  <w:style w:type="character" w:styleId="Hyperlink">
    <w:name w:val="Hyperlink"/>
    <w:basedOn w:val="DefaultParagraphFont"/>
    <w:uiPriority w:val="99"/>
    <w:unhideWhenUsed/>
    <w:rsid w:val="00A62339"/>
    <w:rPr>
      <w:color w:val="0000FF"/>
      <w:u w:val="single"/>
    </w:rPr>
  </w:style>
  <w:style w:type="character" w:customStyle="1" w:styleId="Heading1Char">
    <w:name w:val="Heading 1 Char"/>
    <w:basedOn w:val="DefaultParagraphFont"/>
    <w:link w:val="Heading1"/>
    <w:uiPriority w:val="9"/>
    <w:rsid w:val="00A42F00"/>
    <w:rPr>
      <w:rFonts w:ascii="Times" w:hAnsi="Times"/>
      <w:b/>
      <w:bCs/>
      <w:kern w:val="36"/>
      <w:sz w:val="48"/>
      <w:szCs w:val="48"/>
    </w:rPr>
  </w:style>
  <w:style w:type="character" w:customStyle="1" w:styleId="Heading6Char">
    <w:name w:val="Heading 6 Char"/>
    <w:basedOn w:val="DefaultParagraphFont"/>
    <w:link w:val="Heading6"/>
    <w:uiPriority w:val="9"/>
    <w:semiHidden/>
    <w:rsid w:val="00591E25"/>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8B1F58"/>
    <w:rPr>
      <w:rFonts w:asciiTheme="majorHAnsi" w:eastAsiaTheme="majorEastAsia" w:hAnsiTheme="majorHAnsi" w:cstheme="majorBidi"/>
      <w:b/>
      <w:bCs/>
      <w:color w:val="4F81BD" w:themeColor="accent1"/>
      <w:sz w:val="26"/>
      <w:szCs w:val="26"/>
    </w:rPr>
  </w:style>
  <w:style w:type="character" w:customStyle="1" w:styleId="maintitle">
    <w:name w:val="maintitle"/>
    <w:rsid w:val="008B1F58"/>
  </w:style>
  <w:style w:type="paragraph" w:customStyle="1" w:styleId="Bullet1">
    <w:name w:val="Bullet 1"/>
    <w:basedOn w:val="Normal"/>
    <w:link w:val="Bullet1Char"/>
    <w:qFormat/>
    <w:rsid w:val="009F3EBC"/>
    <w:pPr>
      <w:numPr>
        <w:numId w:val="2"/>
      </w:numPr>
      <w:spacing w:after="120" w:line="264" w:lineRule="auto"/>
      <w:jc w:val="both"/>
    </w:pPr>
    <w:rPr>
      <w:rFonts w:ascii="Times New Roman" w:eastAsia="Cambria" w:hAnsi="Times New Roman" w:cs="Times New Roman"/>
      <w:lang w:val="en-GB"/>
    </w:rPr>
  </w:style>
  <w:style w:type="character" w:customStyle="1" w:styleId="Bullet1Char">
    <w:name w:val="Bullet 1 Char"/>
    <w:link w:val="Bullet1"/>
    <w:locked/>
    <w:rsid w:val="009F3EBC"/>
    <w:rPr>
      <w:rFonts w:ascii="Times New Roman" w:eastAsia="Cambria" w:hAnsi="Times New Roman" w:cs="Times New Roman"/>
      <w:lang w:val="en-GB"/>
    </w:rPr>
  </w:style>
  <w:style w:type="paragraph" w:customStyle="1" w:styleId="Default">
    <w:name w:val="Default"/>
    <w:rsid w:val="00E14CD0"/>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CE13E3"/>
    <w:rPr>
      <w:b/>
      <w:bCs/>
    </w:rPr>
  </w:style>
  <w:style w:type="paragraph" w:styleId="BalloonText">
    <w:name w:val="Balloon Text"/>
    <w:basedOn w:val="Normal"/>
    <w:link w:val="BalloonTextChar"/>
    <w:uiPriority w:val="99"/>
    <w:semiHidden/>
    <w:unhideWhenUsed/>
    <w:rsid w:val="00A30981"/>
    <w:rPr>
      <w:rFonts w:ascii="Tahoma" w:hAnsi="Tahoma" w:cs="Tahoma"/>
      <w:sz w:val="16"/>
      <w:szCs w:val="16"/>
    </w:rPr>
  </w:style>
  <w:style w:type="character" w:customStyle="1" w:styleId="BalloonTextChar">
    <w:name w:val="Balloon Text Char"/>
    <w:basedOn w:val="DefaultParagraphFont"/>
    <w:link w:val="BalloonText"/>
    <w:uiPriority w:val="99"/>
    <w:semiHidden/>
    <w:rsid w:val="00A30981"/>
    <w:rPr>
      <w:rFonts w:ascii="Tahoma" w:hAnsi="Tahoma" w:cs="Tahoma"/>
      <w:sz w:val="16"/>
      <w:szCs w:val="16"/>
    </w:rPr>
  </w:style>
  <w:style w:type="character" w:styleId="CommentReference">
    <w:name w:val="annotation reference"/>
    <w:basedOn w:val="DefaultParagraphFont"/>
    <w:uiPriority w:val="99"/>
    <w:semiHidden/>
    <w:unhideWhenUsed/>
    <w:rsid w:val="00A30981"/>
    <w:rPr>
      <w:sz w:val="16"/>
      <w:szCs w:val="16"/>
    </w:rPr>
  </w:style>
  <w:style w:type="paragraph" w:styleId="CommentText">
    <w:name w:val="annotation text"/>
    <w:basedOn w:val="Normal"/>
    <w:link w:val="CommentTextChar"/>
    <w:semiHidden/>
    <w:unhideWhenUsed/>
    <w:rsid w:val="00A30981"/>
    <w:rPr>
      <w:sz w:val="20"/>
      <w:szCs w:val="20"/>
    </w:rPr>
  </w:style>
  <w:style w:type="character" w:customStyle="1" w:styleId="CommentTextChar">
    <w:name w:val="Comment Text Char"/>
    <w:basedOn w:val="DefaultParagraphFont"/>
    <w:link w:val="CommentText"/>
    <w:semiHidden/>
    <w:rsid w:val="00A30981"/>
    <w:rPr>
      <w:sz w:val="20"/>
      <w:szCs w:val="20"/>
    </w:rPr>
  </w:style>
  <w:style w:type="paragraph" w:styleId="CommentSubject">
    <w:name w:val="annotation subject"/>
    <w:basedOn w:val="CommentText"/>
    <w:next w:val="CommentText"/>
    <w:link w:val="CommentSubjectChar"/>
    <w:uiPriority w:val="99"/>
    <w:semiHidden/>
    <w:unhideWhenUsed/>
    <w:rsid w:val="00A30981"/>
    <w:rPr>
      <w:b/>
      <w:bCs/>
    </w:rPr>
  </w:style>
  <w:style w:type="character" w:customStyle="1" w:styleId="CommentSubjectChar">
    <w:name w:val="Comment Subject Char"/>
    <w:basedOn w:val="CommentTextChar"/>
    <w:link w:val="CommentSubject"/>
    <w:uiPriority w:val="99"/>
    <w:semiHidden/>
    <w:rsid w:val="00A30981"/>
    <w:rPr>
      <w:b/>
      <w:bCs/>
      <w:sz w:val="20"/>
      <w:szCs w:val="20"/>
    </w:rPr>
  </w:style>
  <w:style w:type="paragraph" w:customStyle="1" w:styleId="BulletLast">
    <w:name w:val="Bullet Last"/>
    <w:basedOn w:val="Bullet1"/>
    <w:qFormat/>
    <w:rsid w:val="00CF1C81"/>
    <w:pPr>
      <w:numPr>
        <w:numId w:val="1"/>
      </w:numPr>
      <w:spacing w:after="220"/>
      <w:ind w:left="357" w:hanging="357"/>
    </w:pPr>
    <w:rPr>
      <w:szCs w:val="20"/>
    </w:rPr>
  </w:style>
  <w:style w:type="paragraph" w:customStyle="1" w:styleId="Bullet2">
    <w:name w:val="Bullet 2"/>
    <w:basedOn w:val="Normal"/>
    <w:link w:val="Bullet2Char"/>
    <w:qFormat/>
    <w:rsid w:val="00573A6A"/>
    <w:pPr>
      <w:keepNext/>
      <w:numPr>
        <w:numId w:val="3"/>
      </w:numPr>
      <w:spacing w:after="120" w:line="264" w:lineRule="auto"/>
      <w:jc w:val="both"/>
    </w:pPr>
    <w:rPr>
      <w:rFonts w:ascii="Times New Roman" w:eastAsia="Cambria" w:hAnsi="Times New Roman" w:cs="Times New Roman"/>
      <w:szCs w:val="20"/>
      <w:lang w:val="en-GB"/>
    </w:rPr>
  </w:style>
  <w:style w:type="character" w:customStyle="1" w:styleId="Bullet2Char">
    <w:name w:val="Bullet 2 Char"/>
    <w:basedOn w:val="DefaultParagraphFont"/>
    <w:link w:val="Bullet2"/>
    <w:rsid w:val="00573A6A"/>
    <w:rPr>
      <w:rFonts w:ascii="Times New Roman" w:eastAsia="Cambria" w:hAnsi="Times New Roman" w:cs="Times New Roman"/>
      <w:szCs w:val="20"/>
      <w:lang w:val="en-GB"/>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Footnote Text Char2"/>
    <w:basedOn w:val="Normal"/>
    <w:link w:val="FootnoteTextChar"/>
    <w:qFormat/>
    <w:rsid w:val="00EE6806"/>
    <w:pPr>
      <w:tabs>
        <w:tab w:val="left" w:pos="357"/>
      </w:tabs>
      <w:overflowPunct w:val="0"/>
      <w:autoSpaceDE w:val="0"/>
      <w:autoSpaceDN w:val="0"/>
      <w:adjustRightInd w:val="0"/>
      <w:spacing w:after="120"/>
      <w:ind w:left="357" w:hanging="357"/>
      <w:jc w:val="both"/>
      <w:textAlignment w:val="baseline"/>
    </w:pPr>
    <w:rPr>
      <w:rFonts w:ascii="Times New Roman" w:eastAsia="Cambria" w:hAnsi="Times New Roman" w:cs="Times New Roman"/>
      <w:sz w:val="18"/>
      <w:szCs w:val="18"/>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rsid w:val="00EE6806"/>
    <w:rPr>
      <w:rFonts w:ascii="Times New Roman" w:eastAsia="Cambria" w:hAnsi="Times New Roman" w:cs="Times New Roman"/>
      <w:sz w:val="18"/>
      <w:szCs w:val="18"/>
    </w:rPr>
  </w:style>
  <w:style w:type="character" w:styleId="FootnoteReference">
    <w:name w:val="footnote reference"/>
    <w:aliases w:val="(NECG) Footnote Reference"/>
    <w:basedOn w:val="DefaultParagraphFont"/>
    <w:unhideWhenUsed/>
    <w:rsid w:val="00EE6806"/>
    <w:rPr>
      <w:vertAlign w:val="superscript"/>
    </w:rPr>
  </w:style>
  <w:style w:type="table" w:styleId="TableGrid">
    <w:name w:val="Table Grid"/>
    <w:basedOn w:val="TableNormal"/>
    <w:uiPriority w:val="59"/>
    <w:rsid w:val="00EE6806"/>
    <w:pPr>
      <w:spacing w:after="220" w:line="280" w:lineRule="atLeast"/>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99"/>
    <w:qFormat/>
    <w:rsid w:val="00EE6806"/>
    <w:pPr>
      <w:spacing w:after="240" w:line="264" w:lineRule="auto"/>
      <w:ind w:left="1418"/>
      <w:jc w:val="both"/>
    </w:pPr>
    <w:rPr>
      <w:rFonts w:ascii="Times New Roman" w:eastAsia="Cambria" w:hAnsi="Times New Roman" w:cs="Times New Roman"/>
      <w:szCs w:val="20"/>
      <w:lang w:val="en-GB"/>
    </w:rPr>
  </w:style>
  <w:style w:type="paragraph" w:styleId="ListBullet">
    <w:name w:val="List Bullet"/>
    <w:uiPriority w:val="99"/>
    <w:rsid w:val="00A00549"/>
    <w:pPr>
      <w:numPr>
        <w:numId w:val="4"/>
      </w:numPr>
      <w:spacing w:after="160" w:line="240" w:lineRule="exact"/>
    </w:pPr>
    <w:rPr>
      <w:rFonts w:ascii="Arial" w:eastAsia="Times New Roman" w:hAnsi="Arial" w:cs="Times New Roman"/>
      <w:sz w:val="20"/>
      <w:szCs w:val="20"/>
      <w:lang w:eastAsia="en-AU"/>
    </w:rPr>
  </w:style>
  <w:style w:type="paragraph" w:styleId="Revision">
    <w:name w:val="Revision"/>
    <w:hidden/>
    <w:uiPriority w:val="99"/>
    <w:semiHidden/>
    <w:rsid w:val="00327989"/>
  </w:style>
  <w:style w:type="character" w:customStyle="1" w:styleId="ListParagraphChar">
    <w:name w:val="List Paragraph Char"/>
    <w:aliases w:val="List bullet Char"/>
    <w:basedOn w:val="DefaultParagraphFont"/>
    <w:link w:val="ListParagraph"/>
    <w:uiPriority w:val="34"/>
    <w:rsid w:val="0013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6093">
      <w:bodyDiv w:val="1"/>
      <w:marLeft w:val="0"/>
      <w:marRight w:val="0"/>
      <w:marTop w:val="0"/>
      <w:marBottom w:val="0"/>
      <w:divBdr>
        <w:top w:val="none" w:sz="0" w:space="0" w:color="auto"/>
        <w:left w:val="none" w:sz="0" w:space="0" w:color="auto"/>
        <w:bottom w:val="none" w:sz="0" w:space="0" w:color="auto"/>
        <w:right w:val="none" w:sz="0" w:space="0" w:color="auto"/>
      </w:divBdr>
    </w:div>
    <w:div w:id="120391227">
      <w:bodyDiv w:val="1"/>
      <w:marLeft w:val="0"/>
      <w:marRight w:val="0"/>
      <w:marTop w:val="0"/>
      <w:marBottom w:val="0"/>
      <w:divBdr>
        <w:top w:val="none" w:sz="0" w:space="0" w:color="auto"/>
        <w:left w:val="none" w:sz="0" w:space="0" w:color="auto"/>
        <w:bottom w:val="none" w:sz="0" w:space="0" w:color="auto"/>
        <w:right w:val="none" w:sz="0" w:space="0" w:color="auto"/>
      </w:divBdr>
    </w:div>
    <w:div w:id="156070008">
      <w:bodyDiv w:val="1"/>
      <w:marLeft w:val="0"/>
      <w:marRight w:val="0"/>
      <w:marTop w:val="0"/>
      <w:marBottom w:val="0"/>
      <w:divBdr>
        <w:top w:val="none" w:sz="0" w:space="0" w:color="auto"/>
        <w:left w:val="none" w:sz="0" w:space="0" w:color="auto"/>
        <w:bottom w:val="none" w:sz="0" w:space="0" w:color="auto"/>
        <w:right w:val="none" w:sz="0" w:space="0" w:color="auto"/>
      </w:divBdr>
      <w:divsChild>
        <w:div w:id="237520768">
          <w:marLeft w:val="1166"/>
          <w:marRight w:val="0"/>
          <w:marTop w:val="96"/>
          <w:marBottom w:val="0"/>
          <w:divBdr>
            <w:top w:val="none" w:sz="0" w:space="0" w:color="auto"/>
            <w:left w:val="none" w:sz="0" w:space="0" w:color="auto"/>
            <w:bottom w:val="none" w:sz="0" w:space="0" w:color="auto"/>
            <w:right w:val="none" w:sz="0" w:space="0" w:color="auto"/>
          </w:divBdr>
        </w:div>
        <w:div w:id="1055276330">
          <w:marLeft w:val="1166"/>
          <w:marRight w:val="0"/>
          <w:marTop w:val="96"/>
          <w:marBottom w:val="0"/>
          <w:divBdr>
            <w:top w:val="none" w:sz="0" w:space="0" w:color="auto"/>
            <w:left w:val="none" w:sz="0" w:space="0" w:color="auto"/>
            <w:bottom w:val="none" w:sz="0" w:space="0" w:color="auto"/>
            <w:right w:val="none" w:sz="0" w:space="0" w:color="auto"/>
          </w:divBdr>
        </w:div>
      </w:divsChild>
    </w:div>
    <w:div w:id="201212240">
      <w:bodyDiv w:val="1"/>
      <w:marLeft w:val="0"/>
      <w:marRight w:val="0"/>
      <w:marTop w:val="0"/>
      <w:marBottom w:val="0"/>
      <w:divBdr>
        <w:top w:val="none" w:sz="0" w:space="0" w:color="auto"/>
        <w:left w:val="none" w:sz="0" w:space="0" w:color="auto"/>
        <w:bottom w:val="none" w:sz="0" w:space="0" w:color="auto"/>
        <w:right w:val="none" w:sz="0" w:space="0" w:color="auto"/>
      </w:divBdr>
    </w:div>
    <w:div w:id="288050096">
      <w:bodyDiv w:val="1"/>
      <w:marLeft w:val="0"/>
      <w:marRight w:val="0"/>
      <w:marTop w:val="0"/>
      <w:marBottom w:val="0"/>
      <w:divBdr>
        <w:top w:val="none" w:sz="0" w:space="0" w:color="auto"/>
        <w:left w:val="none" w:sz="0" w:space="0" w:color="auto"/>
        <w:bottom w:val="none" w:sz="0" w:space="0" w:color="auto"/>
        <w:right w:val="none" w:sz="0" w:space="0" w:color="auto"/>
      </w:divBdr>
    </w:div>
    <w:div w:id="296378301">
      <w:bodyDiv w:val="1"/>
      <w:marLeft w:val="0"/>
      <w:marRight w:val="0"/>
      <w:marTop w:val="0"/>
      <w:marBottom w:val="0"/>
      <w:divBdr>
        <w:top w:val="none" w:sz="0" w:space="0" w:color="auto"/>
        <w:left w:val="none" w:sz="0" w:space="0" w:color="auto"/>
        <w:bottom w:val="none" w:sz="0" w:space="0" w:color="auto"/>
        <w:right w:val="none" w:sz="0" w:space="0" w:color="auto"/>
      </w:divBdr>
    </w:div>
    <w:div w:id="331033494">
      <w:bodyDiv w:val="1"/>
      <w:marLeft w:val="0"/>
      <w:marRight w:val="0"/>
      <w:marTop w:val="0"/>
      <w:marBottom w:val="0"/>
      <w:divBdr>
        <w:top w:val="none" w:sz="0" w:space="0" w:color="auto"/>
        <w:left w:val="none" w:sz="0" w:space="0" w:color="auto"/>
        <w:bottom w:val="none" w:sz="0" w:space="0" w:color="auto"/>
        <w:right w:val="none" w:sz="0" w:space="0" w:color="auto"/>
      </w:divBdr>
    </w:div>
    <w:div w:id="687560182">
      <w:bodyDiv w:val="1"/>
      <w:marLeft w:val="0"/>
      <w:marRight w:val="0"/>
      <w:marTop w:val="0"/>
      <w:marBottom w:val="0"/>
      <w:divBdr>
        <w:top w:val="none" w:sz="0" w:space="0" w:color="auto"/>
        <w:left w:val="none" w:sz="0" w:space="0" w:color="auto"/>
        <w:bottom w:val="none" w:sz="0" w:space="0" w:color="auto"/>
        <w:right w:val="none" w:sz="0" w:space="0" w:color="auto"/>
      </w:divBdr>
    </w:div>
    <w:div w:id="752238199">
      <w:bodyDiv w:val="1"/>
      <w:marLeft w:val="0"/>
      <w:marRight w:val="0"/>
      <w:marTop w:val="0"/>
      <w:marBottom w:val="0"/>
      <w:divBdr>
        <w:top w:val="none" w:sz="0" w:space="0" w:color="auto"/>
        <w:left w:val="none" w:sz="0" w:space="0" w:color="auto"/>
        <w:bottom w:val="none" w:sz="0" w:space="0" w:color="auto"/>
        <w:right w:val="none" w:sz="0" w:space="0" w:color="auto"/>
      </w:divBdr>
    </w:div>
    <w:div w:id="811823349">
      <w:bodyDiv w:val="1"/>
      <w:marLeft w:val="0"/>
      <w:marRight w:val="0"/>
      <w:marTop w:val="0"/>
      <w:marBottom w:val="0"/>
      <w:divBdr>
        <w:top w:val="none" w:sz="0" w:space="0" w:color="auto"/>
        <w:left w:val="none" w:sz="0" w:space="0" w:color="auto"/>
        <w:bottom w:val="none" w:sz="0" w:space="0" w:color="auto"/>
        <w:right w:val="none" w:sz="0" w:space="0" w:color="auto"/>
      </w:divBdr>
    </w:div>
    <w:div w:id="854147925">
      <w:bodyDiv w:val="1"/>
      <w:marLeft w:val="0"/>
      <w:marRight w:val="0"/>
      <w:marTop w:val="0"/>
      <w:marBottom w:val="0"/>
      <w:divBdr>
        <w:top w:val="none" w:sz="0" w:space="0" w:color="auto"/>
        <w:left w:val="none" w:sz="0" w:space="0" w:color="auto"/>
        <w:bottom w:val="none" w:sz="0" w:space="0" w:color="auto"/>
        <w:right w:val="none" w:sz="0" w:space="0" w:color="auto"/>
      </w:divBdr>
    </w:div>
    <w:div w:id="889195979">
      <w:bodyDiv w:val="1"/>
      <w:marLeft w:val="0"/>
      <w:marRight w:val="0"/>
      <w:marTop w:val="0"/>
      <w:marBottom w:val="0"/>
      <w:divBdr>
        <w:top w:val="none" w:sz="0" w:space="0" w:color="auto"/>
        <w:left w:val="none" w:sz="0" w:space="0" w:color="auto"/>
        <w:bottom w:val="none" w:sz="0" w:space="0" w:color="auto"/>
        <w:right w:val="none" w:sz="0" w:space="0" w:color="auto"/>
      </w:divBdr>
    </w:div>
    <w:div w:id="963847607">
      <w:bodyDiv w:val="1"/>
      <w:marLeft w:val="0"/>
      <w:marRight w:val="0"/>
      <w:marTop w:val="0"/>
      <w:marBottom w:val="0"/>
      <w:divBdr>
        <w:top w:val="none" w:sz="0" w:space="0" w:color="auto"/>
        <w:left w:val="none" w:sz="0" w:space="0" w:color="auto"/>
        <w:bottom w:val="none" w:sz="0" w:space="0" w:color="auto"/>
        <w:right w:val="none" w:sz="0" w:space="0" w:color="auto"/>
      </w:divBdr>
    </w:div>
    <w:div w:id="1156723675">
      <w:bodyDiv w:val="1"/>
      <w:marLeft w:val="0"/>
      <w:marRight w:val="0"/>
      <w:marTop w:val="0"/>
      <w:marBottom w:val="0"/>
      <w:divBdr>
        <w:top w:val="none" w:sz="0" w:space="0" w:color="auto"/>
        <w:left w:val="none" w:sz="0" w:space="0" w:color="auto"/>
        <w:bottom w:val="none" w:sz="0" w:space="0" w:color="auto"/>
        <w:right w:val="none" w:sz="0" w:space="0" w:color="auto"/>
      </w:divBdr>
    </w:div>
    <w:div w:id="1212957788">
      <w:bodyDiv w:val="1"/>
      <w:marLeft w:val="0"/>
      <w:marRight w:val="0"/>
      <w:marTop w:val="0"/>
      <w:marBottom w:val="0"/>
      <w:divBdr>
        <w:top w:val="none" w:sz="0" w:space="0" w:color="auto"/>
        <w:left w:val="none" w:sz="0" w:space="0" w:color="auto"/>
        <w:bottom w:val="none" w:sz="0" w:space="0" w:color="auto"/>
        <w:right w:val="none" w:sz="0" w:space="0" w:color="auto"/>
      </w:divBdr>
      <w:divsChild>
        <w:div w:id="1817795105">
          <w:marLeft w:val="547"/>
          <w:marRight w:val="0"/>
          <w:marTop w:val="134"/>
          <w:marBottom w:val="0"/>
          <w:divBdr>
            <w:top w:val="none" w:sz="0" w:space="0" w:color="auto"/>
            <w:left w:val="none" w:sz="0" w:space="0" w:color="auto"/>
            <w:bottom w:val="none" w:sz="0" w:space="0" w:color="auto"/>
            <w:right w:val="none" w:sz="0" w:space="0" w:color="auto"/>
          </w:divBdr>
        </w:div>
        <w:div w:id="790168695">
          <w:marLeft w:val="1166"/>
          <w:marRight w:val="0"/>
          <w:marTop w:val="96"/>
          <w:marBottom w:val="0"/>
          <w:divBdr>
            <w:top w:val="none" w:sz="0" w:space="0" w:color="auto"/>
            <w:left w:val="none" w:sz="0" w:space="0" w:color="auto"/>
            <w:bottom w:val="none" w:sz="0" w:space="0" w:color="auto"/>
            <w:right w:val="none" w:sz="0" w:space="0" w:color="auto"/>
          </w:divBdr>
        </w:div>
        <w:div w:id="1640721651">
          <w:marLeft w:val="1166"/>
          <w:marRight w:val="0"/>
          <w:marTop w:val="96"/>
          <w:marBottom w:val="0"/>
          <w:divBdr>
            <w:top w:val="none" w:sz="0" w:space="0" w:color="auto"/>
            <w:left w:val="none" w:sz="0" w:space="0" w:color="auto"/>
            <w:bottom w:val="none" w:sz="0" w:space="0" w:color="auto"/>
            <w:right w:val="none" w:sz="0" w:space="0" w:color="auto"/>
          </w:divBdr>
        </w:div>
        <w:div w:id="1138108721">
          <w:marLeft w:val="547"/>
          <w:marRight w:val="0"/>
          <w:marTop w:val="134"/>
          <w:marBottom w:val="0"/>
          <w:divBdr>
            <w:top w:val="none" w:sz="0" w:space="0" w:color="auto"/>
            <w:left w:val="none" w:sz="0" w:space="0" w:color="auto"/>
            <w:bottom w:val="none" w:sz="0" w:space="0" w:color="auto"/>
            <w:right w:val="none" w:sz="0" w:space="0" w:color="auto"/>
          </w:divBdr>
        </w:div>
        <w:div w:id="1574506338">
          <w:marLeft w:val="1166"/>
          <w:marRight w:val="0"/>
          <w:marTop w:val="96"/>
          <w:marBottom w:val="0"/>
          <w:divBdr>
            <w:top w:val="none" w:sz="0" w:space="0" w:color="auto"/>
            <w:left w:val="none" w:sz="0" w:space="0" w:color="auto"/>
            <w:bottom w:val="none" w:sz="0" w:space="0" w:color="auto"/>
            <w:right w:val="none" w:sz="0" w:space="0" w:color="auto"/>
          </w:divBdr>
        </w:div>
        <w:div w:id="916404621">
          <w:marLeft w:val="1166"/>
          <w:marRight w:val="0"/>
          <w:marTop w:val="96"/>
          <w:marBottom w:val="0"/>
          <w:divBdr>
            <w:top w:val="none" w:sz="0" w:space="0" w:color="auto"/>
            <w:left w:val="none" w:sz="0" w:space="0" w:color="auto"/>
            <w:bottom w:val="none" w:sz="0" w:space="0" w:color="auto"/>
            <w:right w:val="none" w:sz="0" w:space="0" w:color="auto"/>
          </w:divBdr>
        </w:div>
        <w:div w:id="204829476">
          <w:marLeft w:val="1166"/>
          <w:marRight w:val="0"/>
          <w:marTop w:val="96"/>
          <w:marBottom w:val="0"/>
          <w:divBdr>
            <w:top w:val="none" w:sz="0" w:space="0" w:color="auto"/>
            <w:left w:val="none" w:sz="0" w:space="0" w:color="auto"/>
            <w:bottom w:val="none" w:sz="0" w:space="0" w:color="auto"/>
            <w:right w:val="none" w:sz="0" w:space="0" w:color="auto"/>
          </w:divBdr>
        </w:div>
      </w:divsChild>
    </w:div>
    <w:div w:id="1256013902">
      <w:bodyDiv w:val="1"/>
      <w:marLeft w:val="0"/>
      <w:marRight w:val="0"/>
      <w:marTop w:val="0"/>
      <w:marBottom w:val="0"/>
      <w:divBdr>
        <w:top w:val="none" w:sz="0" w:space="0" w:color="auto"/>
        <w:left w:val="none" w:sz="0" w:space="0" w:color="auto"/>
        <w:bottom w:val="none" w:sz="0" w:space="0" w:color="auto"/>
        <w:right w:val="none" w:sz="0" w:space="0" w:color="auto"/>
      </w:divBdr>
    </w:div>
    <w:div w:id="1371568978">
      <w:bodyDiv w:val="1"/>
      <w:marLeft w:val="0"/>
      <w:marRight w:val="0"/>
      <w:marTop w:val="0"/>
      <w:marBottom w:val="0"/>
      <w:divBdr>
        <w:top w:val="none" w:sz="0" w:space="0" w:color="auto"/>
        <w:left w:val="none" w:sz="0" w:space="0" w:color="auto"/>
        <w:bottom w:val="none" w:sz="0" w:space="0" w:color="auto"/>
        <w:right w:val="none" w:sz="0" w:space="0" w:color="auto"/>
      </w:divBdr>
    </w:div>
    <w:div w:id="1399211090">
      <w:bodyDiv w:val="1"/>
      <w:marLeft w:val="0"/>
      <w:marRight w:val="0"/>
      <w:marTop w:val="0"/>
      <w:marBottom w:val="0"/>
      <w:divBdr>
        <w:top w:val="none" w:sz="0" w:space="0" w:color="auto"/>
        <w:left w:val="none" w:sz="0" w:space="0" w:color="auto"/>
        <w:bottom w:val="none" w:sz="0" w:space="0" w:color="auto"/>
        <w:right w:val="none" w:sz="0" w:space="0" w:color="auto"/>
      </w:divBdr>
    </w:div>
    <w:div w:id="1441803213">
      <w:bodyDiv w:val="1"/>
      <w:marLeft w:val="0"/>
      <w:marRight w:val="0"/>
      <w:marTop w:val="0"/>
      <w:marBottom w:val="0"/>
      <w:divBdr>
        <w:top w:val="none" w:sz="0" w:space="0" w:color="auto"/>
        <w:left w:val="none" w:sz="0" w:space="0" w:color="auto"/>
        <w:bottom w:val="none" w:sz="0" w:space="0" w:color="auto"/>
        <w:right w:val="none" w:sz="0" w:space="0" w:color="auto"/>
      </w:divBdr>
    </w:div>
    <w:div w:id="1512791166">
      <w:bodyDiv w:val="1"/>
      <w:marLeft w:val="0"/>
      <w:marRight w:val="0"/>
      <w:marTop w:val="0"/>
      <w:marBottom w:val="0"/>
      <w:divBdr>
        <w:top w:val="none" w:sz="0" w:space="0" w:color="auto"/>
        <w:left w:val="none" w:sz="0" w:space="0" w:color="auto"/>
        <w:bottom w:val="none" w:sz="0" w:space="0" w:color="auto"/>
        <w:right w:val="none" w:sz="0" w:space="0" w:color="auto"/>
      </w:divBdr>
    </w:div>
    <w:div w:id="1588004988">
      <w:bodyDiv w:val="1"/>
      <w:marLeft w:val="0"/>
      <w:marRight w:val="0"/>
      <w:marTop w:val="0"/>
      <w:marBottom w:val="0"/>
      <w:divBdr>
        <w:top w:val="none" w:sz="0" w:space="0" w:color="auto"/>
        <w:left w:val="none" w:sz="0" w:space="0" w:color="auto"/>
        <w:bottom w:val="none" w:sz="0" w:space="0" w:color="auto"/>
        <w:right w:val="none" w:sz="0" w:space="0" w:color="auto"/>
      </w:divBdr>
    </w:div>
    <w:div w:id="1816527149">
      <w:bodyDiv w:val="1"/>
      <w:marLeft w:val="0"/>
      <w:marRight w:val="0"/>
      <w:marTop w:val="0"/>
      <w:marBottom w:val="0"/>
      <w:divBdr>
        <w:top w:val="none" w:sz="0" w:space="0" w:color="auto"/>
        <w:left w:val="none" w:sz="0" w:space="0" w:color="auto"/>
        <w:bottom w:val="none" w:sz="0" w:space="0" w:color="auto"/>
        <w:right w:val="none" w:sz="0" w:space="0" w:color="auto"/>
      </w:divBdr>
    </w:div>
    <w:div w:id="1929581086">
      <w:bodyDiv w:val="1"/>
      <w:marLeft w:val="0"/>
      <w:marRight w:val="0"/>
      <w:marTop w:val="0"/>
      <w:marBottom w:val="0"/>
      <w:divBdr>
        <w:top w:val="none" w:sz="0" w:space="0" w:color="auto"/>
        <w:left w:val="none" w:sz="0" w:space="0" w:color="auto"/>
        <w:bottom w:val="none" w:sz="0" w:space="0" w:color="auto"/>
        <w:right w:val="none" w:sz="0" w:space="0" w:color="auto"/>
      </w:divBdr>
    </w:div>
    <w:div w:id="1977759100">
      <w:bodyDiv w:val="1"/>
      <w:marLeft w:val="0"/>
      <w:marRight w:val="0"/>
      <w:marTop w:val="0"/>
      <w:marBottom w:val="0"/>
      <w:divBdr>
        <w:top w:val="none" w:sz="0" w:space="0" w:color="auto"/>
        <w:left w:val="none" w:sz="0" w:space="0" w:color="auto"/>
        <w:bottom w:val="none" w:sz="0" w:space="0" w:color="auto"/>
        <w:right w:val="none" w:sz="0" w:space="0" w:color="auto"/>
      </w:divBdr>
    </w:div>
    <w:div w:id="2071928175">
      <w:bodyDiv w:val="1"/>
      <w:marLeft w:val="0"/>
      <w:marRight w:val="0"/>
      <w:marTop w:val="0"/>
      <w:marBottom w:val="0"/>
      <w:divBdr>
        <w:top w:val="none" w:sz="0" w:space="0" w:color="auto"/>
        <w:left w:val="none" w:sz="0" w:space="0" w:color="auto"/>
        <w:bottom w:val="none" w:sz="0" w:space="0" w:color="auto"/>
        <w:right w:val="none" w:sz="0" w:space="0" w:color="auto"/>
      </w:divBdr>
    </w:div>
    <w:div w:id="2114587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09C81-BA8D-4219-8315-12556800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report - factsheet, QAs</vt:lpstr>
    </vt:vector>
  </TitlesOfParts>
  <Company>Colmhall</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Factsheet</dc:title>
  <dc:creator>Industry Panel Secretariat</dc:creator>
  <cp:keywords>Industry Panel Review</cp:keywords>
  <cp:lastModifiedBy>Lynne Griffiths</cp:lastModifiedBy>
  <cp:revision>4</cp:revision>
  <cp:lastPrinted>2015-03-16T22:31:00Z</cp:lastPrinted>
  <dcterms:created xsi:type="dcterms:W3CDTF">2015-04-28T05:31:00Z</dcterms:created>
  <dcterms:modified xsi:type="dcterms:W3CDTF">2015-04-28T05:54:00Z</dcterms:modified>
</cp:coreProperties>
</file>